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15.xml" ContentType="application/vnd.openxmlformats-officedocument.wordprocessingml.header+xml"/>
  <Override PartName="/word/footer25.xml" ContentType="application/vnd.openxmlformats-officedocument.wordprocessingml.footer+xml"/>
  <Override PartName="/word/header16.xml" ContentType="application/vnd.openxmlformats-officedocument.wordprocessingml.header+xml"/>
  <Override PartName="/word/footer26.xml" ContentType="application/vnd.openxmlformats-officedocument.wordprocessingml.footer+xml"/>
  <Override PartName="/word/header17.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8.xml" ContentType="application/vnd.openxmlformats-officedocument.wordprocessingml.header+xml"/>
  <Override PartName="/word/footer29.xml" ContentType="application/vnd.openxmlformats-officedocument.wordprocessingml.footer+xml"/>
  <Override PartName="/word/header19.xml" ContentType="application/vnd.openxmlformats-officedocument.wordprocessingml.header+xml"/>
  <Override PartName="/word/footer30.xml" ContentType="application/vnd.openxmlformats-officedocument.wordprocessingml.footer+xml"/>
  <Override PartName="/word/header20.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2.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2"/>
        <w:rPr>
          <w:rFonts w:ascii="Times New Roman" w:hAnsi="Times New Roman" w:cs="Times New Roman" w:eastAsia="Times New Roman" w:hint="default"/>
          <w:sz w:val="29"/>
          <w:szCs w:val="29"/>
        </w:rPr>
      </w:pPr>
    </w:p>
    <w:p>
      <w:pPr>
        <w:tabs>
          <w:tab w:pos="5625" w:val="left" w:leader="none"/>
        </w:tabs>
        <w:spacing w:before="44"/>
        <w:ind w:left="112" w:right="1115" w:firstLine="0"/>
        <w:jc w:val="left"/>
        <w:rPr>
          <w:rFonts w:ascii="宋体" w:hAnsi="宋体" w:cs="宋体" w:eastAsia="宋体" w:hint="default"/>
          <w:sz w:val="18"/>
          <w:szCs w:val="18"/>
        </w:rPr>
      </w:pPr>
      <w:r>
        <w:rPr/>
        <w:pict>
          <v:shape style="position:absolute;margin-left:56.759998pt;margin-top:-12.657253pt;width:136.080pt;height:25.32pt;mso-position-horizontal-relative:page;mso-position-vertical-relative:paragraph;z-index:-1170496" type="#_x0000_t75" stroked="false">
            <v:imagedata r:id="rId6" o:title=""/>
          </v:shape>
        </w:pic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47"/>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6"/>
        <w:ind w:left="0" w:right="1017" w:firstLine="0"/>
        <w:jc w:val="center"/>
        <w:rPr>
          <w:rFonts w:ascii="宋体" w:hAnsi="宋体" w:cs="宋体" w:eastAsia="宋体" w:hint="default"/>
          <w:sz w:val="36"/>
          <w:szCs w:val="36"/>
        </w:rPr>
      </w:pPr>
      <w:r>
        <w:rPr>
          <w:rFonts w:ascii="宋体" w:hAnsi="宋体" w:cs="宋体" w:eastAsia="宋体" w:hint="default"/>
          <w:b/>
          <w:bCs/>
          <w:sz w:val="36"/>
          <w:szCs w:val="36"/>
        </w:rPr>
        <w:t>浙江万马股份有限公司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0" w:right="1020"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8"/>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5"/>
        <w:rPr>
          <w:rFonts w:ascii="宋体" w:hAnsi="宋体" w:cs="宋体" w:eastAsia="宋体" w:hint="default"/>
          <w:b/>
          <w:bCs/>
          <w:sz w:val="48"/>
          <w:szCs w:val="48"/>
        </w:rPr>
      </w:pPr>
    </w:p>
    <w:p>
      <w:pPr>
        <w:spacing w:before="0"/>
        <w:ind w:left="0" w:right="1020"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w:t>
      </w:r>
      <w:r>
        <w:rPr>
          <w:rFonts w:ascii="宋体" w:hAnsi="宋体" w:cs="宋体" w:eastAsia="宋体" w:hint="default"/>
          <w:b/>
          <w:bCs/>
          <w:spacing w:val="-83"/>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5"/>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footerReference w:type="default" r:id="rId5"/>
          <w:type w:val="continuous"/>
          <w:pgSz w:w="11910" w:h="16840"/>
          <w:pgMar w:footer="504" w:top="660" w:bottom="700" w:left="102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Heading1"/>
        <w:spacing w:line="240" w:lineRule="auto"/>
        <w:ind w:left="2846" w:right="1115"/>
        <w:jc w:val="left"/>
        <w:rPr>
          <w:b w:val="0"/>
          <w:bCs w:val="0"/>
        </w:rPr>
      </w:pPr>
      <w:bookmarkStart w:name="第一节重要提示、目录和释义" w:id="1"/>
      <w:bookmarkEnd w:id="1"/>
      <w:r>
        <w:rPr>
          <w:b w:val="0"/>
          <w:bCs w:val="0"/>
        </w:rPr>
      </w:r>
      <w:bookmarkStart w:name="_bookmark0" w:id="2"/>
      <w:bookmarkEnd w:id="2"/>
      <w:r>
        <w:rPr>
          <w:b w:val="0"/>
          <w:bCs w:val="0"/>
        </w:rPr>
      </w:r>
      <w:r>
        <w:rPr/>
        <w:t>第一节重要提示、目录和释义</w:t>
      </w:r>
      <w:r>
        <w:rPr>
          <w:b w:val="0"/>
          <w:bCs w:val="0"/>
        </w:rPr>
      </w:r>
    </w:p>
    <w:p>
      <w:pPr>
        <w:spacing w:line="240" w:lineRule="auto" w:before="9"/>
        <w:rPr>
          <w:rFonts w:ascii="宋体" w:hAnsi="宋体" w:cs="宋体" w:eastAsia="宋体" w:hint="default"/>
          <w:b/>
          <w:bCs/>
          <w:sz w:val="44"/>
          <w:szCs w:val="44"/>
        </w:rPr>
      </w:pPr>
    </w:p>
    <w:p>
      <w:pPr>
        <w:pStyle w:val="Heading3"/>
        <w:spacing w:line="338" w:lineRule="auto"/>
        <w:ind w:right="1115" w:firstLine="480"/>
        <w:jc w:val="left"/>
      </w:pPr>
      <w:r>
        <w:rPr>
          <w:rFonts w:ascii="Times New Roman" w:hAnsi="Times New Roman" w:cs="Times New Roman" w:eastAsia="Times New Roman" w:hint="default"/>
          <w:spacing w:val="2"/>
        </w:rPr>
        <w:t>1.</w:t>
      </w:r>
      <w:r>
        <w:rPr>
          <w:spacing w:val="2"/>
        </w:rPr>
        <w:t>公司董事会、监事会及董事、监事、高级管理人员保证年度报告内容的真实、准确、</w:t>
      </w:r>
      <w:r>
        <w:rPr/>
        <w:t> 完整，不存在虚假记载、误导性陈述或重大遗漏，并承担个别和连带的法律责任。</w:t>
      </w:r>
    </w:p>
    <w:p>
      <w:pPr>
        <w:pStyle w:val="Heading3"/>
        <w:spacing w:line="338" w:lineRule="auto" w:before="211"/>
        <w:ind w:right="1115" w:firstLine="480"/>
        <w:jc w:val="left"/>
      </w:pPr>
      <w:r>
        <w:rPr>
          <w:rFonts w:ascii="Times New Roman" w:hAnsi="Times New Roman" w:cs="Times New Roman" w:eastAsia="Times New Roman" w:hint="default"/>
          <w:spacing w:val="-2"/>
        </w:rPr>
        <w:t>2.</w:t>
      </w:r>
      <w:r>
        <w:rPr>
          <w:spacing w:val="-2"/>
        </w:rPr>
        <w:t>公司负责人张珊珊、主管会计工作负责人许刚及会计机构负责人</w:t>
      </w:r>
      <w:r>
        <w:rPr>
          <w:rFonts w:ascii="Times New Roman" w:hAnsi="Times New Roman" w:cs="Times New Roman" w:eastAsia="Times New Roman" w:hint="default"/>
          <w:spacing w:val="-2"/>
        </w:rPr>
        <w:t>(</w:t>
      </w:r>
      <w:r>
        <w:rPr>
          <w:spacing w:val="-2"/>
        </w:rPr>
        <w:t>会计主管人员</w:t>
      </w:r>
      <w:r>
        <w:rPr>
          <w:rFonts w:ascii="Times New Roman" w:hAnsi="Times New Roman" w:cs="Times New Roman" w:eastAsia="Times New Roman" w:hint="default"/>
          <w:spacing w:val="-2"/>
        </w:rPr>
        <w:t>)</w:t>
      </w:r>
      <w:r>
        <w:rPr>
          <w:spacing w:val="-2"/>
        </w:rPr>
        <w:t>丁大雷</w:t>
      </w:r>
      <w:r>
        <w:rPr/>
        <w:t> 声明：保证年度报告中财务报告的真实、准确、完整。</w:t>
      </w:r>
    </w:p>
    <w:p>
      <w:pPr>
        <w:pStyle w:val="Heading3"/>
        <w:spacing w:line="240" w:lineRule="auto" w:before="211"/>
        <w:ind w:left="592" w:right="1115"/>
        <w:jc w:val="left"/>
      </w:pPr>
      <w:r>
        <w:rPr>
          <w:rFonts w:ascii="Times New Roman" w:hAnsi="Times New Roman" w:cs="Times New Roman" w:eastAsia="Times New Roman" w:hint="default"/>
        </w:rPr>
        <w:t>3.</w:t>
      </w:r>
      <w:r>
        <w:rPr/>
        <w:t>所有董事均已出席了审议本报告的董事会会议。</w:t>
      </w:r>
    </w:p>
    <w:p>
      <w:pPr>
        <w:spacing w:line="240" w:lineRule="auto" w:before="4"/>
        <w:rPr>
          <w:rFonts w:ascii="宋体" w:hAnsi="宋体" w:cs="宋体" w:eastAsia="宋体" w:hint="default"/>
          <w:sz w:val="22"/>
          <w:szCs w:val="22"/>
        </w:rPr>
      </w:pPr>
    </w:p>
    <w:p>
      <w:pPr>
        <w:pStyle w:val="Heading3"/>
        <w:spacing w:line="338" w:lineRule="auto"/>
        <w:ind w:right="1115" w:firstLine="480"/>
        <w:jc w:val="left"/>
      </w:pPr>
      <w:r>
        <w:rPr>
          <w:rFonts w:ascii="Times New Roman" w:hAnsi="Times New Roman" w:cs="Times New Roman" w:eastAsia="Times New Roman" w:hint="default"/>
        </w:rPr>
        <w:t>4.</w:t>
      </w:r>
      <w:r>
        <w:rPr/>
        <w:t>公司可能面临的风险因素参见本报告“第四节 经营情况讨论与分析”之“ 十</w:t>
      </w:r>
      <w:r>
        <w:rPr>
          <w:spacing w:val="-21"/>
        </w:rPr>
        <w:t> </w:t>
      </w:r>
      <w:r>
        <w:rPr/>
        <w:t>公司面</w:t>
      </w:r>
      <w:r>
        <w:rPr/>
        <w:t> 临的风险和应对措施”相关内容。</w:t>
      </w:r>
    </w:p>
    <w:p>
      <w:pPr>
        <w:pStyle w:val="Heading3"/>
        <w:spacing w:line="240" w:lineRule="auto" w:before="211"/>
        <w:ind w:left="592" w:right="1115"/>
        <w:jc w:val="left"/>
        <w:rPr>
          <w:rFonts w:ascii="Times New Roman" w:hAnsi="Times New Roman" w:cs="Times New Roman" w:eastAsia="Times New Roman" w:hint="default"/>
        </w:rPr>
      </w:pPr>
      <w:r>
        <w:rPr>
          <w:rFonts w:ascii="Times New Roman" w:hAnsi="Times New Roman" w:cs="Times New Roman" w:eastAsia="Times New Roman" w:hint="default"/>
        </w:rPr>
        <w:t>5.</w:t>
      </w:r>
      <w:r>
        <w:rPr/>
        <w:t>公司</w:t>
      </w:r>
      <w:r>
        <w:rPr>
          <w:spacing w:val="-5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spacing w:val="2"/>
        </w:rPr>
        <w:t>年度利润分配预案：以公司总股本</w:t>
      </w:r>
      <w:r>
        <w:rPr>
          <w:spacing w:val="-55"/>
        </w:rPr>
        <w:t> </w:t>
      </w:r>
      <w:r>
        <w:rPr>
          <w:rFonts w:ascii="Times New Roman" w:hAnsi="Times New Roman" w:cs="Times New Roman" w:eastAsia="Times New Roman" w:hint="default"/>
        </w:rPr>
        <w:t>1,035,489,098</w:t>
      </w:r>
      <w:r>
        <w:rPr>
          <w:rFonts w:ascii="Times New Roman" w:hAnsi="Times New Roman" w:cs="Times New Roman" w:eastAsia="Times New Roman" w:hint="default"/>
          <w:spacing w:val="7"/>
        </w:rPr>
        <w:t> </w:t>
      </w:r>
      <w:r>
        <w:rPr>
          <w:spacing w:val="2"/>
        </w:rPr>
        <w:t>股为基数向全体股东每</w:t>
      </w:r>
      <w:r>
        <w:rPr>
          <w:spacing w:val="-55"/>
        </w:rPr>
        <w:t> </w:t>
      </w:r>
      <w:r>
        <w:rPr>
          <w:rFonts w:ascii="Times New Roman" w:hAnsi="Times New Roman" w:cs="Times New Roman" w:eastAsia="Times New Roman" w:hint="default"/>
        </w:rPr>
        <w:t>10</w:t>
      </w:r>
    </w:p>
    <w:p>
      <w:pPr>
        <w:pStyle w:val="Heading3"/>
        <w:spacing w:line="348" w:lineRule="auto" w:before="135"/>
        <w:ind w:right="1130"/>
        <w:jc w:val="both"/>
      </w:pPr>
      <w:r>
        <w:rPr/>
        <w:t>股派发现金股利人民币</w:t>
      </w:r>
      <w:r>
        <w:rPr>
          <w:spacing w:val="-61"/>
        </w:rPr>
        <w:t> </w:t>
      </w:r>
      <w:r>
        <w:rPr>
          <w:rFonts w:ascii="Times New Roman" w:hAnsi="Times New Roman" w:cs="Times New Roman" w:eastAsia="Times New Roman" w:hint="default"/>
        </w:rPr>
        <w:t>0.35</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，合计派发现金红利</w:t>
      </w:r>
      <w:r>
        <w:rPr>
          <w:spacing w:val="-61"/>
        </w:rPr>
        <w:t> </w:t>
      </w:r>
      <w:r>
        <w:rPr>
          <w:rFonts w:ascii="Times New Roman" w:hAnsi="Times New Roman" w:cs="Times New Roman" w:eastAsia="Times New Roman" w:hint="default"/>
        </w:rPr>
        <w:t>36,242,118.43</w:t>
      </w:r>
      <w:r>
        <w:rPr>
          <w:rFonts w:ascii="Times New Roman" w:hAnsi="Times New Roman" w:cs="Times New Roman" w:eastAsia="Times New Roman" w:hint="default"/>
          <w:spacing w:val="-1"/>
        </w:rPr>
        <w:t> </w:t>
      </w:r>
      <w:r>
        <w:rPr/>
        <w:t>元，不送红股，不以 公积金转增股本，其余未分配利润结转以后年度进行分配。若分红派息方案实施时公司总股</w:t>
      </w:r>
      <w:r>
        <w:rPr>
          <w:spacing w:val="-89"/>
        </w:rPr>
        <w:t> </w:t>
      </w:r>
      <w:r>
        <w:rPr>
          <w:spacing w:val="-89"/>
        </w:rPr>
      </w:r>
      <w:r>
        <w:rPr/>
        <w:t>本发生变化，将按照分配总额不变的原则对分配比例进行调整。</w:t>
      </w:r>
    </w:p>
    <w:p>
      <w:pPr>
        <w:spacing w:after="0" w:line="348" w:lineRule="auto"/>
        <w:jc w:val="both"/>
        <w:sectPr>
          <w:headerReference w:type="default" r:id="rId7"/>
          <w:footerReference w:type="default" r:id="rId8"/>
          <w:pgSz w:w="11910" w:h="16840"/>
          <w:pgMar w:header="890" w:footer="1053" w:top="1420" w:bottom="1240" w:left="1020" w:right="0"/>
          <w:pgNumType w:start="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tabs>
          <w:tab w:pos="719" w:val="left" w:leader="none"/>
        </w:tabs>
        <w:spacing w:line="460" w:lineRule="exact" w:before="0"/>
        <w:ind w:left="0" w:right="1021"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2"/>
        <w:rPr>
          <w:rFonts w:ascii="宋体" w:hAnsi="宋体" w:cs="宋体" w:eastAsia="宋体" w:hint="default"/>
          <w:b/>
          <w:bCs/>
          <w:sz w:val="53"/>
          <w:szCs w:val="53"/>
        </w:rPr>
      </w:pPr>
    </w:p>
    <w:sdt>
      <w:sdtPr>
        <w:docPartObj>
          <w:docPartGallery w:val="Table of Contents"/>
          <w:docPartUnique/>
        </w:docPartObj>
      </w:sdtPr>
      <w:sdtEndPr/>
      <w:sdtContent>
        <w:p>
          <w:pPr>
            <w:pStyle w:val="TOC1"/>
            <w:tabs>
              <w:tab w:pos="9752"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w:t>
            </w:r>
            <w:r>
              <w:rPr>
                <w:spacing w:val="1"/>
              </w:rPr>
              <w:t> </w:t>
            </w:r>
            <w:r>
              <w:rPr/>
              <w:t>重要提示、目录和释义</w:t>
            </w:r>
            <w:r>
              <w:rPr>
                <w:rFonts w:ascii="Times New Roman" w:hAnsi="Times New Roman" w:cs="Times New Roman" w:eastAsia="Times New Roman" w:hint="default"/>
              </w:rPr>
              <w:tab/>
            </w:r>
            <w:r>
              <w:rPr>
                <w:rFonts w:ascii="Times New Roman" w:hAnsi="Times New Roman" w:cs="Times New Roman" w:eastAsia="Times New Roman" w:hint="default"/>
              </w:rPr>
              <w:t>1</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1">
            <w:r>
              <w:rPr/>
              <w:t>第二节</w:t>
            </w:r>
            <w:r>
              <w:rPr>
                <w:spacing w:val="1"/>
              </w:rPr>
              <w:t> </w:t>
            </w:r>
            <w:r>
              <w:rPr/>
              <w:t>公司简介和主要财务指标</w:t>
            </w:r>
            <w:r>
              <w:rPr>
                <w:rFonts w:ascii="Times New Roman" w:hAnsi="Times New Roman" w:cs="Times New Roman" w:eastAsia="Times New Roman" w:hint="default"/>
              </w:rPr>
              <w:tab/>
            </w:r>
            <w:r>
              <w:rPr>
                <w:rFonts w:ascii="Times New Roman" w:hAnsi="Times New Roman" w:cs="Times New Roman" w:eastAsia="Times New Roman" w:hint="default"/>
              </w:rPr>
              <w:t>4</w:t>
            </w:r>
          </w:hyperlink>
        </w:p>
        <w:p>
          <w:pPr>
            <w:pStyle w:val="TOC1"/>
            <w:tabs>
              <w:tab w:pos="9752" w:val="right" w:leader="dot"/>
            </w:tabs>
            <w:spacing w:line="240" w:lineRule="auto" w:before="101"/>
            <w:ind w:right="0"/>
            <w:jc w:val="left"/>
            <w:rPr>
              <w:rFonts w:ascii="Times New Roman" w:hAnsi="Times New Roman" w:cs="Times New Roman" w:eastAsia="Times New Roman" w:hint="default"/>
            </w:rPr>
          </w:pPr>
          <w:hyperlink w:history="true" w:anchor="_bookmark2">
            <w:r>
              <w:rPr/>
              <w:t>第三节</w:t>
            </w:r>
            <w:r>
              <w:rPr>
                <w:spacing w:val="1"/>
              </w:rPr>
              <w:t> </w:t>
            </w:r>
            <w:r>
              <w:rPr/>
              <w:t>公司业务概要</w:t>
            </w:r>
            <w:r>
              <w:rPr>
                <w:rFonts w:ascii="Times New Roman" w:hAnsi="Times New Roman" w:cs="Times New Roman" w:eastAsia="Times New Roman" w:hint="default"/>
              </w:rPr>
              <w:tab/>
            </w:r>
            <w:r>
              <w:rPr>
                <w:rFonts w:ascii="Times New Roman" w:hAnsi="Times New Roman" w:cs="Times New Roman" w:eastAsia="Times New Roman" w:hint="default"/>
              </w:rPr>
              <w:t>7</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3">
            <w:r>
              <w:rPr/>
              <w:t>第四节</w:t>
            </w:r>
            <w:r>
              <w:rPr>
                <w:spacing w:val="1"/>
              </w:rPr>
              <w:t> </w:t>
            </w:r>
            <w:r>
              <w:rPr/>
              <w:t>经营情况讨论与分析</w:t>
            </w:r>
            <w:r>
              <w:rPr>
                <w:rFonts w:ascii="Times New Roman" w:hAnsi="Times New Roman" w:cs="Times New Roman" w:eastAsia="Times New Roman" w:hint="default"/>
              </w:rPr>
              <w:tab/>
            </w:r>
            <w:r>
              <w:rPr>
                <w:rFonts w:ascii="Times New Roman" w:hAnsi="Times New Roman" w:cs="Times New Roman" w:eastAsia="Times New Roman" w:hint="default"/>
              </w:rPr>
              <w:t>12</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4">
            <w:r>
              <w:rPr/>
              <w:t>第五节</w:t>
            </w:r>
            <w:r>
              <w:rPr>
                <w:spacing w:val="1"/>
              </w:rPr>
              <w:t> </w:t>
            </w:r>
            <w:r>
              <w:rPr/>
              <w:t>重要事项</w:t>
            </w:r>
            <w:r>
              <w:rPr>
                <w:rFonts w:ascii="Times New Roman" w:hAnsi="Times New Roman" w:cs="Times New Roman" w:eastAsia="Times New Roman" w:hint="default"/>
              </w:rPr>
              <w:tab/>
            </w:r>
            <w:r>
              <w:rPr>
                <w:rFonts w:ascii="Times New Roman" w:hAnsi="Times New Roman" w:cs="Times New Roman" w:eastAsia="Times New Roman" w:hint="default"/>
              </w:rPr>
              <w:t>35</w:t>
            </w:r>
          </w:hyperlink>
        </w:p>
        <w:p>
          <w:pPr>
            <w:pStyle w:val="TOC1"/>
            <w:tabs>
              <w:tab w:pos="9752" w:val="right" w:leader="dot"/>
            </w:tabs>
            <w:spacing w:line="240" w:lineRule="auto" w:before="101"/>
            <w:ind w:right="0"/>
            <w:jc w:val="left"/>
            <w:rPr>
              <w:rFonts w:ascii="Times New Roman" w:hAnsi="Times New Roman" w:cs="Times New Roman" w:eastAsia="Times New Roman" w:hint="default"/>
            </w:rPr>
          </w:pPr>
          <w:hyperlink w:history="true" w:anchor="_bookmark5">
            <w:r>
              <w:rPr/>
              <w:t>第六节</w:t>
            </w:r>
            <w:r>
              <w:rPr>
                <w:spacing w:val="1"/>
              </w:rPr>
              <w:t> </w:t>
            </w:r>
            <w:r>
              <w:rPr/>
              <w:t>股份变动及股东情况</w:t>
            </w:r>
            <w:r>
              <w:rPr>
                <w:rFonts w:ascii="Times New Roman" w:hAnsi="Times New Roman" w:cs="Times New Roman" w:eastAsia="Times New Roman" w:hint="default"/>
              </w:rPr>
              <w:tab/>
            </w:r>
            <w:r>
              <w:rPr>
                <w:rFonts w:ascii="Times New Roman" w:hAnsi="Times New Roman" w:cs="Times New Roman" w:eastAsia="Times New Roman" w:hint="default"/>
              </w:rPr>
              <w:t>48</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6">
            <w:r>
              <w:rPr/>
              <w:t>第七节</w:t>
            </w:r>
            <w:r>
              <w:rPr>
                <w:spacing w:val="1"/>
              </w:rPr>
              <w:t> </w:t>
            </w:r>
            <w:r>
              <w:rPr/>
              <w:t>优先股相关情况</w:t>
            </w:r>
            <w:r>
              <w:rPr>
                <w:rFonts w:ascii="Times New Roman" w:hAnsi="Times New Roman" w:cs="Times New Roman" w:eastAsia="Times New Roman" w:hint="default"/>
              </w:rPr>
              <w:tab/>
            </w:r>
            <w:r>
              <w:rPr>
                <w:rFonts w:ascii="Times New Roman" w:hAnsi="Times New Roman" w:cs="Times New Roman" w:eastAsia="Times New Roman" w:hint="default"/>
              </w:rPr>
              <w:t>53</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7">
            <w:r>
              <w:rPr/>
              <w:t>第八节</w:t>
            </w:r>
            <w:r>
              <w:rPr>
                <w:spacing w:val="1"/>
              </w:rPr>
              <w:t> </w:t>
            </w:r>
            <w:r>
              <w:rPr/>
              <w:t>可转换公司债券相关情况</w:t>
            </w:r>
            <w:r>
              <w:rPr>
                <w:rFonts w:ascii="Times New Roman" w:hAnsi="Times New Roman" w:cs="Times New Roman" w:eastAsia="Times New Roman" w:hint="default"/>
              </w:rPr>
              <w:tab/>
            </w:r>
            <w:r>
              <w:rPr>
                <w:rFonts w:ascii="Times New Roman" w:hAnsi="Times New Roman" w:cs="Times New Roman" w:eastAsia="Times New Roman" w:hint="default"/>
              </w:rPr>
              <w:t>54</w:t>
            </w:r>
          </w:hyperlink>
        </w:p>
        <w:p>
          <w:pPr>
            <w:pStyle w:val="TOC1"/>
            <w:tabs>
              <w:tab w:pos="9752" w:val="right" w:leader="dot"/>
            </w:tabs>
            <w:spacing w:line="240" w:lineRule="auto" w:before="101"/>
            <w:ind w:right="0"/>
            <w:jc w:val="left"/>
            <w:rPr>
              <w:rFonts w:ascii="Times New Roman" w:hAnsi="Times New Roman" w:cs="Times New Roman" w:eastAsia="Times New Roman" w:hint="default"/>
            </w:rPr>
          </w:pPr>
          <w:hyperlink w:history="true" w:anchor="_bookmark8">
            <w:r>
              <w:rPr/>
              <w:t>第九节</w:t>
            </w:r>
            <w:r>
              <w:rPr>
                <w:spacing w:val="1"/>
              </w:rPr>
              <w:t> </w:t>
            </w:r>
            <w:r>
              <w:rPr/>
              <w:t>董事、监事、高级管理人员和员工情况</w:t>
            </w:r>
            <w:r>
              <w:rPr>
                <w:rFonts w:ascii="Times New Roman" w:hAnsi="Times New Roman" w:cs="Times New Roman" w:eastAsia="Times New Roman" w:hint="default"/>
              </w:rPr>
              <w:tab/>
            </w:r>
            <w:r>
              <w:rPr>
                <w:rFonts w:ascii="Times New Roman" w:hAnsi="Times New Roman" w:cs="Times New Roman" w:eastAsia="Times New Roman" w:hint="default"/>
              </w:rPr>
              <w:t>55</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9">
            <w:r>
              <w:rPr/>
              <w:t>第十节</w:t>
            </w:r>
            <w:r>
              <w:rPr>
                <w:spacing w:val="1"/>
              </w:rPr>
              <w:t> </w:t>
            </w:r>
            <w:r>
              <w:rPr/>
              <w:t>公司治理</w:t>
            </w:r>
            <w:r>
              <w:rPr>
                <w:rFonts w:ascii="Times New Roman" w:hAnsi="Times New Roman" w:cs="Times New Roman" w:eastAsia="Times New Roman" w:hint="default"/>
              </w:rPr>
              <w:tab/>
            </w:r>
            <w:r>
              <w:rPr>
                <w:rFonts w:ascii="Times New Roman" w:hAnsi="Times New Roman" w:cs="Times New Roman" w:eastAsia="Times New Roman" w:hint="default"/>
              </w:rPr>
              <w:t>63</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10">
            <w:r>
              <w:rPr/>
              <w:t>第十一节</w:t>
            </w:r>
            <w:r>
              <w:rPr>
                <w:spacing w:val="1"/>
              </w:rPr>
              <w:t> </w:t>
            </w:r>
            <w:r>
              <w:rPr/>
              <w:t>公司债券相关情况</w:t>
            </w:r>
            <w:r>
              <w:rPr>
                <w:rFonts w:ascii="Times New Roman" w:hAnsi="Times New Roman" w:cs="Times New Roman" w:eastAsia="Times New Roman" w:hint="default"/>
              </w:rPr>
              <w:tab/>
            </w:r>
            <w:r>
              <w:rPr>
                <w:rFonts w:ascii="Times New Roman" w:hAnsi="Times New Roman" w:cs="Times New Roman" w:eastAsia="Times New Roman" w:hint="default"/>
              </w:rPr>
              <w:t>69</w:t>
            </w:r>
          </w:hyperlink>
        </w:p>
        <w:p>
          <w:pPr>
            <w:pStyle w:val="TOC1"/>
            <w:tabs>
              <w:tab w:pos="9752" w:val="right" w:leader="dot"/>
            </w:tabs>
            <w:spacing w:line="240" w:lineRule="auto" w:before="101"/>
            <w:ind w:right="0"/>
            <w:jc w:val="left"/>
            <w:rPr>
              <w:rFonts w:ascii="Times New Roman" w:hAnsi="Times New Roman" w:cs="Times New Roman" w:eastAsia="Times New Roman" w:hint="default"/>
            </w:rPr>
          </w:pPr>
          <w:hyperlink w:history="true" w:anchor="_bookmark11">
            <w:r>
              <w:rPr/>
              <w:t>第十二节</w:t>
            </w:r>
            <w:r>
              <w:rPr>
                <w:spacing w:val="1"/>
              </w:rPr>
              <w:t> </w:t>
            </w:r>
            <w:r>
              <w:rPr/>
              <w:t>财务报告</w:t>
            </w:r>
            <w:r>
              <w:rPr>
                <w:rFonts w:ascii="Times New Roman" w:hAnsi="Times New Roman" w:cs="Times New Roman" w:eastAsia="Times New Roman" w:hint="default"/>
              </w:rPr>
              <w:tab/>
            </w:r>
            <w:r>
              <w:rPr>
                <w:rFonts w:ascii="Times New Roman" w:hAnsi="Times New Roman" w:cs="Times New Roman" w:eastAsia="Times New Roman" w:hint="default"/>
              </w:rPr>
              <w:t>70</w:t>
            </w:r>
          </w:hyperlink>
        </w:p>
        <w:p>
          <w:pPr>
            <w:pStyle w:val="TOC1"/>
            <w:tabs>
              <w:tab w:pos="9752" w:val="right" w:leader="dot"/>
            </w:tabs>
            <w:spacing w:line="240" w:lineRule="auto"/>
            <w:ind w:right="0"/>
            <w:jc w:val="left"/>
            <w:rPr>
              <w:rFonts w:ascii="Times New Roman" w:hAnsi="Times New Roman" w:cs="Times New Roman" w:eastAsia="Times New Roman" w:hint="default"/>
            </w:rPr>
          </w:pPr>
          <w:hyperlink w:history="true" w:anchor="_bookmark12">
            <w:r>
              <w:rPr/>
              <w:t>第十三节</w:t>
            </w:r>
            <w:r>
              <w:rPr>
                <w:spacing w:val="1"/>
              </w:rPr>
              <w:t> </w:t>
            </w:r>
            <w:r>
              <w:rPr/>
              <w:t>备查文件目录</w:t>
            </w:r>
            <w:r>
              <w:rPr>
                <w:rFonts w:ascii="Times New Roman" w:hAnsi="Times New Roman" w:cs="Times New Roman" w:eastAsia="Times New Roman" w:hint="default"/>
              </w:rPr>
              <w:tab/>
            </w:r>
            <w:r>
              <w:rPr>
                <w:rFonts w:ascii="Times New Roman" w:hAnsi="Times New Roman" w:cs="Times New Roman" w:eastAsia="Times New Roman" w:hint="default"/>
              </w:rPr>
              <w:t>180</w:t>
            </w:r>
          </w:hyperlink>
        </w:p>
        <w:p>
          <w:pPr/>
          <w:r>
            <w:fldChar w:fldCharType="end"/>
          </w:r>
        </w:p>
      </w:sdtContent>
    </w:sdt>
    <w:p>
      <w:pPr>
        <w:spacing w:after="0"/>
        <w:sectPr>
          <w:pgSz w:w="11910" w:h="16840"/>
          <w:pgMar w:header="890" w:footer="1053" w:top="1420" w:bottom="1240" w:left="1020" w:right="0"/>
        </w:sectPr>
      </w:pPr>
    </w:p>
    <w:p>
      <w:pPr>
        <w:tabs>
          <w:tab w:pos="640" w:val="left" w:leader="none"/>
        </w:tabs>
        <w:spacing w:before="270"/>
        <w:ind w:left="0" w:right="1000" w:firstLine="0"/>
        <w:jc w:val="center"/>
        <w:rPr>
          <w:rFonts w:ascii="宋体" w:hAnsi="宋体" w:cs="宋体" w:eastAsia="宋体" w:hint="default"/>
          <w:sz w:val="32"/>
          <w:szCs w:val="32"/>
        </w:rPr>
      </w:pPr>
      <w:r>
        <w:rPr>
          <w:rFonts w:ascii="宋体" w:hAnsi="宋体" w:cs="宋体" w:eastAsia="宋体" w:hint="default"/>
          <w:b/>
          <w:bCs/>
          <w:w w:val="95"/>
          <w:sz w:val="32"/>
          <w:szCs w:val="32"/>
        </w:rPr>
        <w:t>释</w:t>
        <w:tab/>
      </w:r>
      <w:r>
        <w:rPr>
          <w:rFonts w:ascii="宋体" w:hAnsi="宋体" w:cs="宋体" w:eastAsia="宋体" w:hint="default"/>
          <w:b/>
          <w:bCs/>
          <w:sz w:val="32"/>
          <w:szCs w:val="32"/>
        </w:rPr>
        <w:t>义</w:t>
      </w:r>
      <w:r>
        <w:rPr>
          <w:rFonts w:ascii="宋体" w:hAnsi="宋体" w:cs="宋体" w:eastAsia="宋体" w:hint="default"/>
          <w:sz w:val="32"/>
          <w:szCs w:val="32"/>
        </w:rPr>
      </w:r>
    </w:p>
    <w:p>
      <w:pPr>
        <w:spacing w:line="240" w:lineRule="auto" w:before="12"/>
        <w:rPr>
          <w:rFonts w:ascii="宋体" w:hAnsi="宋体" w:cs="宋体" w:eastAsia="宋体" w:hint="default"/>
          <w:b/>
          <w:bCs/>
          <w:sz w:val="26"/>
          <w:szCs w:val="26"/>
        </w:rPr>
      </w:pPr>
    </w:p>
    <w:tbl>
      <w:tblPr>
        <w:tblW w:w="0" w:type="auto"/>
        <w:jc w:val="left"/>
        <w:tblInd w:w="119" w:type="dxa"/>
        <w:tblLayout w:type="fixed"/>
        <w:tblCellMar>
          <w:top w:w="0" w:type="dxa"/>
          <w:left w:w="0" w:type="dxa"/>
          <w:bottom w:w="0" w:type="dxa"/>
          <w:right w:w="0" w:type="dxa"/>
        </w:tblCellMar>
        <w:tblLook w:val="01E0"/>
      </w:tblPr>
      <w:tblGrid>
        <w:gridCol w:w="2985"/>
        <w:gridCol w:w="510"/>
        <w:gridCol w:w="6074"/>
      </w:tblGrid>
      <w:tr>
        <w:trPr>
          <w:trHeight w:val="412" w:hRule="exact"/>
        </w:trPr>
        <w:tc>
          <w:tcPr>
            <w:tcW w:w="2985"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2"/>
              <w:ind w:right="8"/>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1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52"/>
              <w:ind w:left="8"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万马股份</w:t>
            </w:r>
            <w:r>
              <w:rPr>
                <w:rFonts w:ascii="Times New Roman" w:hAnsi="Times New Roman" w:cs="Times New Roman" w:eastAsia="Times New Roman" w:hint="default"/>
                <w:sz w:val="18"/>
                <w:szCs w:val="18"/>
              </w:rPr>
              <w:t>/</w:t>
            </w:r>
            <w:r>
              <w:rPr>
                <w:rFonts w:ascii="宋体" w:hAnsi="宋体" w:cs="宋体" w:eastAsia="宋体" w:hint="default"/>
                <w:sz w:val="18"/>
                <w:szCs w:val="18"/>
              </w:rPr>
              <w:t>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浙江万马股份有限公司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万马集团</w:t>
            </w:r>
            <w:r>
              <w:rPr>
                <w:rFonts w:ascii="Times New Roman" w:hAnsi="Times New Roman" w:cs="Times New Roman" w:eastAsia="Times New Roman" w:hint="default"/>
                <w:sz w:val="18"/>
                <w:szCs w:val="18"/>
              </w:rPr>
              <w:t>/</w:t>
            </w:r>
            <w:r>
              <w:rPr>
                <w:rFonts w:ascii="宋体" w:hAnsi="宋体" w:cs="宋体" w:eastAsia="宋体" w:hint="default"/>
                <w:sz w:val="18"/>
                <w:szCs w:val="18"/>
              </w:rPr>
              <w:t>万马联合控股集团</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万马联合控股集团有限公司</w:t>
            </w:r>
          </w:p>
        </w:tc>
      </w:tr>
      <w:tr>
        <w:trPr>
          <w:trHeight w:val="714"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300" w:lineRule="auto" w:before="50"/>
              <w:ind w:left="92" w:right="250"/>
              <w:jc w:val="left"/>
              <w:rPr>
                <w:rFonts w:ascii="宋体" w:hAnsi="宋体" w:cs="宋体" w:eastAsia="宋体" w:hint="default"/>
                <w:sz w:val="18"/>
                <w:szCs w:val="18"/>
              </w:rPr>
            </w:pPr>
            <w:r>
              <w:rPr>
                <w:rFonts w:ascii="宋体" w:hAnsi="宋体" w:cs="宋体" w:eastAsia="宋体" w:hint="default"/>
                <w:sz w:val="18"/>
                <w:szCs w:val="18"/>
              </w:rPr>
              <w:t>控股股东</w:t>
            </w:r>
            <w:r>
              <w:rPr>
                <w:rFonts w:ascii="Times New Roman" w:hAnsi="Times New Roman" w:cs="Times New Roman" w:eastAsia="Times New Roman" w:hint="default"/>
                <w:sz w:val="18"/>
                <w:szCs w:val="18"/>
              </w:rPr>
              <w:t>/</w:t>
            </w:r>
            <w:r>
              <w:rPr>
                <w:rFonts w:ascii="宋体" w:hAnsi="宋体" w:cs="宋体" w:eastAsia="宋体" w:hint="default"/>
                <w:sz w:val="18"/>
                <w:szCs w:val="18"/>
              </w:rPr>
              <w:t>电气电缆集团</w:t>
            </w:r>
            <w:r>
              <w:rPr>
                <w:rFonts w:ascii="Times New Roman" w:hAnsi="Times New Roman" w:cs="Times New Roman" w:eastAsia="Times New Roman" w:hint="default"/>
                <w:sz w:val="18"/>
                <w:szCs w:val="18"/>
              </w:rPr>
              <w:t>/</w:t>
            </w:r>
            <w:r>
              <w:rPr>
                <w:rFonts w:ascii="宋体" w:hAnsi="宋体" w:cs="宋体" w:eastAsia="宋体" w:hint="default"/>
                <w:sz w:val="18"/>
                <w:szCs w:val="18"/>
              </w:rPr>
              <w:t>万马投资 集团</w:t>
            </w:r>
            <w:r>
              <w:rPr>
                <w:rFonts w:ascii="Times New Roman" w:hAnsi="Times New Roman" w:cs="Times New Roman" w:eastAsia="Times New Roman" w:hint="default"/>
                <w:sz w:val="18"/>
                <w:szCs w:val="18"/>
              </w:rPr>
              <w:t>/</w:t>
            </w:r>
            <w:r>
              <w:rPr>
                <w:rFonts w:ascii="宋体" w:hAnsi="宋体" w:cs="宋体" w:eastAsia="宋体" w:hint="default"/>
                <w:sz w:val="18"/>
                <w:szCs w:val="18"/>
              </w:rPr>
              <w:t>智能科技集团</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50"/>
              <w:ind w:left="103" w:right="1"/>
              <w:jc w:val="left"/>
              <w:rPr>
                <w:rFonts w:ascii="宋体" w:hAnsi="宋体" w:cs="宋体" w:eastAsia="宋体" w:hint="default"/>
                <w:sz w:val="18"/>
                <w:szCs w:val="18"/>
              </w:rPr>
            </w:pPr>
            <w:r>
              <w:rPr>
                <w:rFonts w:ascii="宋体" w:hAnsi="宋体" w:cs="宋体" w:eastAsia="宋体" w:hint="default"/>
                <w:spacing w:val="-6"/>
                <w:sz w:val="18"/>
                <w:szCs w:val="18"/>
              </w:rPr>
              <w:t>浙江万马智能科技集团有限公司（曾用名：浙江万马电气电缆集团有限公司、</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浙江万马投资集团有限公司）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万马电缆</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浙江万马电缆有限公司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万马高分子</w:t>
            </w:r>
            <w:r>
              <w:rPr>
                <w:rFonts w:ascii="Times New Roman" w:hAnsi="Times New Roman" w:cs="Times New Roman" w:eastAsia="Times New Roman" w:hint="default"/>
                <w:sz w:val="18"/>
                <w:szCs w:val="18"/>
              </w:rPr>
              <w:t>/</w:t>
            </w:r>
            <w:r>
              <w:rPr>
                <w:rFonts w:ascii="宋体" w:hAnsi="宋体" w:cs="宋体" w:eastAsia="宋体" w:hint="default"/>
                <w:sz w:val="18"/>
                <w:szCs w:val="18"/>
              </w:rPr>
              <w:t>万马高分子材料集团</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浙江万马高分子材料集团有限公</w:t>
            </w:r>
            <w:r>
              <w:rPr>
                <w:rFonts w:ascii="宋体" w:hAnsi="宋体" w:cs="宋体" w:eastAsia="宋体" w:hint="default"/>
                <w:spacing w:val="-87"/>
                <w:sz w:val="18"/>
                <w:szCs w:val="18"/>
              </w:rPr>
              <w:t>司</w:t>
            </w:r>
            <w:r>
              <w:rPr>
                <w:rFonts w:ascii="宋体" w:hAnsi="宋体" w:cs="宋体" w:eastAsia="宋体" w:hint="default"/>
                <w:sz w:val="18"/>
                <w:szCs w:val="18"/>
              </w:rPr>
              <w:t>（曾用名</w:t>
            </w:r>
            <w:r>
              <w:rPr>
                <w:rFonts w:ascii="宋体" w:hAnsi="宋体" w:cs="宋体" w:eastAsia="宋体" w:hint="default"/>
                <w:spacing w:val="-87"/>
                <w:sz w:val="18"/>
                <w:szCs w:val="18"/>
              </w:rPr>
              <w:t>：</w:t>
            </w:r>
            <w:r>
              <w:rPr>
                <w:rFonts w:ascii="宋体" w:hAnsi="宋体" w:cs="宋体" w:eastAsia="宋体" w:hint="default"/>
                <w:sz w:val="18"/>
                <w:szCs w:val="18"/>
              </w:rPr>
              <w:t>浙江万马高分子材料有限公司）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万马特缆</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浙江万马集团特种电子电缆有限公司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专用线缆</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浙江万马专用线缆科技有限公司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天屹通信</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浙江万马天屹通信线缆有限公司</w:t>
            </w:r>
          </w:p>
        </w:tc>
      </w:tr>
      <w:tr>
        <w:trPr>
          <w:trHeight w:val="714"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新能源产业集团</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50"/>
              <w:ind w:left="103" w:right="90"/>
              <w:jc w:val="left"/>
              <w:rPr>
                <w:rFonts w:ascii="宋体" w:hAnsi="宋体" w:cs="宋体" w:eastAsia="宋体" w:hint="default"/>
                <w:sz w:val="18"/>
                <w:szCs w:val="18"/>
              </w:rPr>
            </w:pPr>
            <w:r>
              <w:rPr>
                <w:rFonts w:ascii="宋体" w:hAnsi="宋体" w:cs="宋体" w:eastAsia="宋体" w:hint="default"/>
                <w:spacing w:val="-3"/>
                <w:sz w:val="18"/>
                <w:szCs w:val="18"/>
              </w:rPr>
              <w:t>万马奔腾新能源产业集团有限公司（曾用名：浙江万马奔腾新能源产业有限</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新能源投资公司</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万马联合新能源投资有限公司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万马新能源</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浙江万马新能源有限公司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爱充网</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浙江爱充网络科技有限公司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海立斯</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浙江万马海立斯新能源有限公司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万马光伏</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浙江万马光伏有限公司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电腾云</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浙江电腾云光伏科技有限公司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香港骐骥</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香港骐骥国际发展有限公司(HONG</w:t>
            </w:r>
            <w:r>
              <w:rPr>
                <w:rFonts w:ascii="宋体" w:hAnsi="宋体" w:cs="宋体" w:eastAsia="宋体" w:hint="default"/>
                <w:spacing w:val="-48"/>
                <w:sz w:val="18"/>
                <w:szCs w:val="18"/>
              </w:rPr>
              <w:t> </w:t>
            </w:r>
            <w:r>
              <w:rPr>
                <w:rFonts w:ascii="宋体" w:hAnsi="宋体" w:cs="宋体" w:eastAsia="宋体" w:hint="default"/>
                <w:sz w:val="18"/>
                <w:szCs w:val="18"/>
              </w:rPr>
              <w:t>KONG</w:t>
            </w:r>
            <w:r>
              <w:rPr>
                <w:rFonts w:ascii="宋体" w:hAnsi="宋体" w:cs="宋体" w:eastAsia="宋体" w:hint="default"/>
                <w:spacing w:val="-50"/>
                <w:sz w:val="18"/>
                <w:szCs w:val="18"/>
              </w:rPr>
              <w:t> </w:t>
            </w:r>
            <w:r>
              <w:rPr>
                <w:rFonts w:ascii="宋体" w:hAnsi="宋体" w:cs="宋体" w:eastAsia="宋体" w:hint="default"/>
                <w:sz w:val="18"/>
                <w:szCs w:val="18"/>
              </w:rPr>
              <w:t>STEED</w:t>
            </w:r>
            <w:r>
              <w:rPr>
                <w:rFonts w:ascii="宋体" w:hAnsi="宋体" w:cs="宋体" w:eastAsia="宋体" w:hint="default"/>
                <w:spacing w:val="-48"/>
                <w:sz w:val="18"/>
                <w:szCs w:val="18"/>
              </w:rPr>
              <w:t> </w:t>
            </w:r>
            <w:r>
              <w:rPr>
                <w:rFonts w:ascii="宋体" w:hAnsi="宋体" w:cs="宋体" w:eastAsia="宋体" w:hint="default"/>
                <w:sz w:val="18"/>
                <w:szCs w:val="18"/>
              </w:rPr>
              <w:t>INTERNATIONAL</w:t>
            </w:r>
            <w:r>
              <w:rPr>
                <w:rFonts w:ascii="宋体" w:hAnsi="宋体" w:cs="宋体" w:eastAsia="宋体" w:hint="default"/>
                <w:spacing w:val="-45"/>
                <w:sz w:val="18"/>
                <w:szCs w:val="18"/>
              </w:rPr>
              <w:t> </w:t>
            </w:r>
            <w:r>
              <w:rPr>
                <w:rFonts w:ascii="宋体" w:hAnsi="宋体" w:cs="宋体" w:eastAsia="宋体" w:hint="default"/>
                <w:sz w:val="18"/>
                <w:szCs w:val="18"/>
              </w:rPr>
              <w:t>DEVELOPMENT)</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奥创科技</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奥创科技有限责任公司（Optrum</w:t>
            </w:r>
            <w:r>
              <w:rPr>
                <w:rFonts w:ascii="宋体" w:hAnsi="宋体" w:cs="宋体" w:eastAsia="宋体" w:hint="default"/>
                <w:spacing w:val="-48"/>
                <w:sz w:val="18"/>
                <w:szCs w:val="18"/>
              </w:rPr>
              <w:t> </w:t>
            </w:r>
            <w:r>
              <w:rPr>
                <w:rFonts w:ascii="宋体" w:hAnsi="宋体" w:cs="宋体" w:eastAsia="宋体" w:hint="default"/>
                <w:sz w:val="18"/>
                <w:szCs w:val="18"/>
              </w:rPr>
              <w:t>Technology</w:t>
            </w:r>
            <w:r>
              <w:rPr>
                <w:rFonts w:ascii="宋体" w:hAnsi="宋体" w:cs="宋体" w:eastAsia="宋体" w:hint="default"/>
                <w:spacing w:val="-45"/>
                <w:sz w:val="18"/>
                <w:szCs w:val="18"/>
              </w:rPr>
              <w:t> </w:t>
            </w:r>
            <w:r>
              <w:rPr>
                <w:rFonts w:ascii="宋体" w:hAnsi="宋体" w:cs="宋体" w:eastAsia="宋体" w:hint="default"/>
                <w:sz w:val="18"/>
                <w:szCs w:val="18"/>
              </w:rPr>
              <w:t>LLC（奥创科技有限责任公司）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越南公司</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万马线缆（越南）有限公司 WANMA CABLE (VIETNAM) COMPANY</w:t>
            </w:r>
            <w:r>
              <w:rPr>
                <w:rFonts w:ascii="宋体" w:hAnsi="宋体" w:cs="宋体" w:eastAsia="宋体" w:hint="default"/>
                <w:spacing w:val="-61"/>
                <w:sz w:val="18"/>
                <w:szCs w:val="18"/>
              </w:rPr>
              <w:t> </w:t>
            </w:r>
            <w:r>
              <w:rPr>
                <w:rFonts w:ascii="宋体" w:hAnsi="宋体" w:cs="宋体" w:eastAsia="宋体" w:hint="default"/>
                <w:sz w:val="18"/>
                <w:szCs w:val="18"/>
              </w:rPr>
              <w:t>LIMITED</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柬埔寨公司</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sz w:val="18"/>
              </w:rPr>
              <w:t>Steed Networks Technologies</w:t>
            </w:r>
            <w:r>
              <w:rPr>
                <w:rFonts w:ascii="宋体"/>
                <w:spacing w:val="-14"/>
                <w:sz w:val="18"/>
              </w:rPr>
              <w:t> </w:t>
            </w:r>
            <w:r>
              <w:rPr>
                <w:rFonts w:ascii="宋体"/>
                <w:sz w:val="18"/>
              </w:rPr>
              <w:t>Co.,Ltd</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四川万马高分子</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四川万马高分子材料有限公司</w:t>
            </w:r>
          </w:p>
        </w:tc>
      </w:tr>
      <w:tr>
        <w:trPr>
          <w:trHeight w:val="402" w:hRule="exact"/>
        </w:trPr>
        <w:tc>
          <w:tcPr>
            <w:tcW w:w="298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0"/>
              <w:ind w:left="92" w:right="0"/>
              <w:jc w:val="left"/>
              <w:rPr>
                <w:rFonts w:ascii="宋体" w:hAnsi="宋体" w:cs="宋体" w:eastAsia="宋体" w:hint="default"/>
                <w:sz w:val="18"/>
                <w:szCs w:val="18"/>
              </w:rPr>
            </w:pPr>
            <w:r>
              <w:rPr>
                <w:rFonts w:ascii="宋体" w:hAnsi="宋体" w:cs="宋体" w:eastAsia="宋体" w:hint="default"/>
                <w:sz w:val="18"/>
                <w:szCs w:val="18"/>
              </w:rPr>
              <w:t>清远万马新材料</w:t>
            </w:r>
          </w:p>
        </w:tc>
        <w:tc>
          <w:tcPr>
            <w:tcW w:w="5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清远万马新材料有限公司</w:t>
            </w:r>
          </w:p>
        </w:tc>
      </w:tr>
      <w:tr>
        <w:trPr>
          <w:trHeight w:val="412" w:hRule="exact"/>
        </w:trPr>
        <w:tc>
          <w:tcPr>
            <w:tcW w:w="2985"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10"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2"/>
              <w:ind w:right="158"/>
              <w:jc w:val="right"/>
              <w:rPr>
                <w:rFonts w:ascii="宋体" w:hAnsi="宋体" w:cs="宋体" w:eastAsia="宋体" w:hint="default"/>
                <w:sz w:val="18"/>
                <w:szCs w:val="18"/>
              </w:rPr>
            </w:pPr>
            <w:r>
              <w:rPr>
                <w:rFonts w:ascii="宋体" w:hAnsi="宋体" w:cs="宋体" w:eastAsia="宋体" w:hint="default"/>
                <w:sz w:val="18"/>
                <w:szCs w:val="18"/>
              </w:rPr>
              <w:t>指</w:t>
            </w:r>
          </w:p>
        </w:tc>
        <w:tc>
          <w:tcPr>
            <w:tcW w:w="6074"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890" w:footer="1053" w:top="1420" w:bottom="1240" w:left="1000" w:right="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1"/>
        <w:spacing w:line="240" w:lineRule="auto"/>
        <w:ind w:left="2705" w:right="1164"/>
        <w:jc w:val="left"/>
        <w:rPr>
          <w:b w:val="0"/>
          <w:bCs w:val="0"/>
        </w:rPr>
      </w:pPr>
      <w:bookmarkStart w:name="第二节公司简介和主要财务指标" w:id="3"/>
      <w:bookmarkEnd w:id="3"/>
      <w:r>
        <w:rPr>
          <w:b w:val="0"/>
          <w:bCs w:val="0"/>
        </w:rPr>
      </w:r>
      <w:bookmarkStart w:name="_bookmark1" w:id="4"/>
      <w:bookmarkEnd w:id="4"/>
      <w:r>
        <w:rPr>
          <w:b w:val="0"/>
          <w:bCs w:val="0"/>
        </w:rPr>
      </w:r>
      <w:r>
        <w:rPr/>
        <w:t>第二节公司简介和主要财务指标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1164"/>
        <w:jc w:val="left"/>
        <w:rPr>
          <w:b w:val="0"/>
          <w:bCs w:val="0"/>
        </w:rPr>
      </w:pPr>
      <w:bookmarkStart w:name="一、公司信息" w:id="5"/>
      <w:bookmarkEnd w:id="5"/>
      <w:r>
        <w:rPr>
          <w:b w:val="0"/>
          <w:bCs w:val="0"/>
        </w:rPr>
      </w:r>
      <w:r>
        <w:rPr/>
        <w:t>一、公司信息</w:t>
      </w:r>
      <w:r>
        <w:rPr>
          <w:b w:val="0"/>
          <w:bCs w:val="0"/>
        </w:rPr>
      </w:r>
    </w:p>
    <w:p>
      <w:pPr>
        <w:spacing w:line="240" w:lineRule="auto" w:before="10"/>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2529"/>
        <w:gridCol w:w="2708"/>
        <w:gridCol w:w="2156"/>
        <w:gridCol w:w="2176"/>
      </w:tblGrid>
      <w:tr>
        <w:trPr>
          <w:trHeight w:val="332" w:hRule="exact"/>
        </w:trPr>
        <w:tc>
          <w:tcPr>
            <w:tcW w:w="2529"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7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万马股份</w:t>
            </w:r>
          </w:p>
        </w:tc>
        <w:tc>
          <w:tcPr>
            <w:tcW w:w="215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13"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z w:val="18"/>
              </w:rPr>
              <w:t>002276</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left="102" w:right="0"/>
              <w:jc w:val="left"/>
              <w:rPr>
                <w:rFonts w:ascii="宋体" w:hAnsi="宋体" w:cs="宋体" w:eastAsia="宋体" w:hint="default"/>
                <w:sz w:val="18"/>
                <w:szCs w:val="18"/>
              </w:rPr>
            </w:pPr>
            <w:r>
              <w:rPr>
                <w:rFonts w:ascii="宋体" w:hAnsi="宋体" w:cs="宋体" w:eastAsia="宋体" w:hint="default"/>
                <w:sz w:val="18"/>
                <w:szCs w:val="18"/>
              </w:rPr>
              <w:t>浙江万马股份有限公司</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left="102" w:right="0"/>
              <w:jc w:val="left"/>
              <w:rPr>
                <w:rFonts w:ascii="宋体" w:hAnsi="宋体" w:cs="宋体" w:eastAsia="宋体" w:hint="default"/>
                <w:sz w:val="18"/>
                <w:szCs w:val="18"/>
              </w:rPr>
            </w:pPr>
            <w:r>
              <w:rPr>
                <w:rFonts w:ascii="宋体" w:hAnsi="宋体" w:cs="宋体" w:eastAsia="宋体" w:hint="default"/>
                <w:sz w:val="18"/>
                <w:szCs w:val="18"/>
              </w:rPr>
              <w:t>万马股份</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left="102" w:right="0"/>
              <w:jc w:val="left"/>
              <w:rPr>
                <w:rFonts w:ascii="Times New Roman" w:hAnsi="Times New Roman" w:cs="Times New Roman" w:eastAsia="Times New Roman" w:hint="default"/>
                <w:sz w:val="18"/>
                <w:szCs w:val="18"/>
              </w:rPr>
            </w:pPr>
            <w:r>
              <w:rPr>
                <w:rFonts w:ascii="Times New Roman"/>
                <w:sz w:val="18"/>
              </w:rPr>
              <w:t>Zhejiang </w:t>
            </w:r>
            <w:r>
              <w:rPr>
                <w:rFonts w:ascii="Times New Roman"/>
                <w:spacing w:val="-4"/>
                <w:sz w:val="18"/>
              </w:rPr>
              <w:t>Wanma </w:t>
            </w:r>
            <w:r>
              <w:rPr>
                <w:rFonts w:ascii="Times New Roman"/>
                <w:sz w:val="18"/>
              </w:rPr>
              <w:t>Co.,</w:t>
            </w:r>
            <w:r>
              <w:rPr>
                <w:rFonts w:ascii="Times New Roman"/>
                <w:spacing w:val="-3"/>
                <w:sz w:val="18"/>
              </w:rPr>
              <w:t> </w:t>
            </w:r>
            <w:r>
              <w:rPr>
                <w:rFonts w:ascii="Times New Roman"/>
                <w:sz w:val="18"/>
              </w:rPr>
              <w:t>Ltd.</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公司的外文名称缩写（如有）</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Times New Roman"/>
                <w:spacing w:val="-4"/>
                <w:sz w:val="18"/>
              </w:rPr>
              <w:t>Wanma </w:t>
            </w:r>
            <w:r>
              <w:rPr>
                <w:rFonts w:ascii="Times New Roman"/>
                <w:sz w:val="18"/>
              </w:rPr>
              <w:t>Co.,</w:t>
            </w:r>
            <w:r>
              <w:rPr>
                <w:rFonts w:ascii="Times New Roman"/>
                <w:spacing w:val="2"/>
                <w:sz w:val="18"/>
              </w:rPr>
              <w:t> </w:t>
            </w:r>
            <w:r>
              <w:rPr>
                <w:rFonts w:ascii="Times New Roman"/>
                <w:sz w:val="18"/>
              </w:rPr>
              <w:t>Ltd</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张珊珊</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浙江省杭州市临安区青山湖街道鹤亭街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896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2" w:right="0"/>
              <w:jc w:val="left"/>
              <w:rPr>
                <w:rFonts w:ascii="Times New Roman" w:hAnsi="Times New Roman" w:cs="Times New Roman" w:eastAsia="Times New Roman" w:hint="default"/>
                <w:sz w:val="18"/>
                <w:szCs w:val="18"/>
              </w:rPr>
            </w:pPr>
            <w:r>
              <w:rPr>
                <w:rFonts w:ascii="Times New Roman"/>
                <w:sz w:val="18"/>
              </w:rPr>
              <w:t>311305</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left="102" w:right="0"/>
              <w:jc w:val="left"/>
              <w:rPr>
                <w:rFonts w:ascii="宋体" w:hAnsi="宋体" w:cs="宋体" w:eastAsia="宋体" w:hint="default"/>
                <w:sz w:val="18"/>
                <w:szCs w:val="18"/>
              </w:rPr>
            </w:pPr>
            <w:r>
              <w:rPr>
                <w:rFonts w:ascii="宋体" w:hAnsi="宋体" w:cs="宋体" w:eastAsia="宋体" w:hint="default"/>
                <w:sz w:val="18"/>
                <w:szCs w:val="18"/>
              </w:rPr>
              <w:t>浙江省杭州市临安区青山湖街道鹤亭街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896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left="102" w:right="0"/>
              <w:jc w:val="left"/>
              <w:rPr>
                <w:rFonts w:ascii="Times New Roman" w:hAnsi="Times New Roman" w:cs="Times New Roman" w:eastAsia="Times New Roman" w:hint="default"/>
                <w:sz w:val="18"/>
                <w:szCs w:val="18"/>
              </w:rPr>
            </w:pPr>
            <w:r>
              <w:rPr>
                <w:rFonts w:ascii="Times New Roman"/>
                <w:sz w:val="18"/>
              </w:rPr>
              <w:t>311305</w:t>
            </w:r>
          </w:p>
        </w:tc>
      </w:tr>
      <w:tr>
        <w:trPr>
          <w:trHeight w:val="322" w:hRule="exact"/>
        </w:trPr>
        <w:tc>
          <w:tcPr>
            <w:tcW w:w="252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040"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hyperlink r:id="rId9">
              <w:r>
                <w:rPr>
                  <w:rFonts w:ascii="Times New Roman"/>
                  <w:sz w:val="18"/>
                </w:rPr>
                <w:t>http://www.wanma-cable.cn</w:t>
              </w:r>
            </w:hyperlink>
          </w:p>
        </w:tc>
      </w:tr>
      <w:tr>
        <w:trPr>
          <w:trHeight w:val="332" w:hRule="exact"/>
        </w:trPr>
        <w:tc>
          <w:tcPr>
            <w:tcW w:w="252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040" w:type="dxa"/>
            <w:gridSpan w:val="3"/>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hyperlink r:id="rId10">
              <w:r>
                <w:rPr>
                  <w:rFonts w:ascii="Times New Roman"/>
                  <w:sz w:val="18"/>
                </w:rPr>
                <w:t>investor@wanmagroup.com</w:t>
              </w:r>
            </w:hyperlink>
          </w:p>
        </w:tc>
      </w:tr>
    </w:tbl>
    <w:p>
      <w:pPr>
        <w:spacing w:line="240" w:lineRule="auto" w:before="0"/>
        <w:rPr>
          <w:rFonts w:ascii="宋体" w:hAnsi="宋体" w:cs="宋体" w:eastAsia="宋体" w:hint="default"/>
          <w:b/>
          <w:bCs/>
          <w:sz w:val="18"/>
          <w:szCs w:val="18"/>
        </w:rPr>
      </w:pPr>
    </w:p>
    <w:p>
      <w:pPr>
        <w:pStyle w:val="Heading2"/>
        <w:spacing w:line="240" w:lineRule="auto" w:before="26"/>
        <w:ind w:right="1164"/>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11"/>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2295"/>
        <w:gridCol w:w="3480"/>
        <w:gridCol w:w="3794"/>
      </w:tblGrid>
      <w:tr>
        <w:trPr>
          <w:trHeight w:val="332" w:hRule="exact"/>
        </w:trPr>
        <w:tc>
          <w:tcPr>
            <w:tcW w:w="2295" w:type="dxa"/>
            <w:tcBorders>
              <w:top w:val="single" w:sz="12" w:space="0" w:color="000000"/>
              <w:left w:val="single" w:sz="12" w:space="0" w:color="000000"/>
              <w:bottom w:val="single" w:sz="4" w:space="0" w:color="000000"/>
              <w:right w:val="single" w:sz="4" w:space="0" w:color="000000"/>
            </w:tcBorders>
            <w:shd w:val="clear" w:color="auto" w:fill="D2D2D2"/>
          </w:tcPr>
          <w:p>
            <w:pPr/>
          </w:p>
        </w:tc>
        <w:tc>
          <w:tcPr>
            <w:tcW w:w="34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794"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left="8"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322" w:hRule="exact"/>
        </w:trPr>
        <w:tc>
          <w:tcPr>
            <w:tcW w:w="229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赵宇恺</w:t>
            </w:r>
          </w:p>
        </w:tc>
        <w:tc>
          <w:tcPr>
            <w:tcW w:w="3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邵淑青</w:t>
            </w:r>
          </w:p>
        </w:tc>
      </w:tr>
      <w:tr>
        <w:trPr>
          <w:trHeight w:val="322" w:hRule="exact"/>
        </w:trPr>
        <w:tc>
          <w:tcPr>
            <w:tcW w:w="229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浙江省杭州市西湖区天目山路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181 </w:t>
            </w:r>
            <w:r>
              <w:rPr>
                <w:rFonts w:ascii="宋体" w:hAnsi="宋体" w:cs="宋体" w:eastAsia="宋体" w:hint="default"/>
                <w:sz w:val="18"/>
                <w:szCs w:val="18"/>
              </w:rPr>
              <w:t>号</w:t>
            </w:r>
          </w:p>
        </w:tc>
        <w:tc>
          <w:tcPr>
            <w:tcW w:w="3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浙江省杭州市临安区青山湖街道鹤亭街</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896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号</w:t>
            </w:r>
          </w:p>
        </w:tc>
      </w:tr>
      <w:tr>
        <w:trPr>
          <w:trHeight w:val="322" w:hRule="exact"/>
        </w:trPr>
        <w:tc>
          <w:tcPr>
            <w:tcW w:w="229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Times New Roman" w:hAnsi="Times New Roman" w:cs="Times New Roman" w:eastAsia="Times New Roman" w:hint="default"/>
                <w:sz w:val="18"/>
                <w:szCs w:val="18"/>
              </w:rPr>
            </w:pPr>
            <w:r>
              <w:rPr>
                <w:rFonts w:ascii="Times New Roman"/>
                <w:sz w:val="18"/>
              </w:rPr>
              <w:t>0571-63755256</w:t>
            </w:r>
          </w:p>
        </w:tc>
        <w:tc>
          <w:tcPr>
            <w:tcW w:w="3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left="103" w:right="0"/>
              <w:jc w:val="left"/>
              <w:rPr>
                <w:rFonts w:ascii="Times New Roman" w:hAnsi="Times New Roman" w:cs="Times New Roman" w:eastAsia="Times New Roman" w:hint="default"/>
                <w:sz w:val="18"/>
                <w:szCs w:val="18"/>
              </w:rPr>
            </w:pPr>
            <w:r>
              <w:rPr>
                <w:rFonts w:ascii="Times New Roman"/>
                <w:sz w:val="18"/>
              </w:rPr>
              <w:t>0571-63755192</w:t>
            </w:r>
          </w:p>
        </w:tc>
      </w:tr>
      <w:tr>
        <w:trPr>
          <w:trHeight w:val="322" w:hRule="exact"/>
        </w:trPr>
        <w:tc>
          <w:tcPr>
            <w:tcW w:w="229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0571-63755256</w:t>
            </w:r>
          </w:p>
        </w:tc>
        <w:tc>
          <w:tcPr>
            <w:tcW w:w="3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0571-63755256</w:t>
            </w:r>
          </w:p>
        </w:tc>
      </w:tr>
      <w:tr>
        <w:trPr>
          <w:trHeight w:val="332" w:hRule="exact"/>
        </w:trPr>
        <w:tc>
          <w:tcPr>
            <w:tcW w:w="2295"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4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hyperlink r:id="rId10">
              <w:r>
                <w:rPr>
                  <w:rFonts w:ascii="Times New Roman"/>
                  <w:sz w:val="18"/>
                </w:rPr>
                <w:t>investor@wanmagroup.com</w:t>
              </w:r>
            </w:hyperlink>
          </w:p>
        </w:tc>
        <w:tc>
          <w:tcPr>
            <w:tcW w:w="3794"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hyperlink r:id="rId10">
              <w:r>
                <w:rPr>
                  <w:rFonts w:ascii="Times New Roman"/>
                  <w:sz w:val="18"/>
                </w:rPr>
                <w:t>investor@wanmagroup.com</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1164"/>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10"/>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3992"/>
        <w:gridCol w:w="5576"/>
      </w:tblGrid>
      <w:tr>
        <w:trPr>
          <w:trHeight w:val="332" w:hRule="exact"/>
        </w:trPr>
        <w:tc>
          <w:tcPr>
            <w:tcW w:w="3992"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《证券时报》、《证券日报》</w:t>
            </w:r>
          </w:p>
        </w:tc>
      </w:tr>
      <w:tr>
        <w:trPr>
          <w:trHeight w:val="322" w:hRule="exact"/>
        </w:trPr>
        <w:tc>
          <w:tcPr>
            <w:tcW w:w="3992"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left="103" w:right="0"/>
              <w:jc w:val="left"/>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332" w:hRule="exact"/>
        </w:trPr>
        <w:tc>
          <w:tcPr>
            <w:tcW w:w="3992"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公司董秘办</w:t>
            </w:r>
          </w:p>
        </w:tc>
      </w:tr>
    </w:tbl>
    <w:p>
      <w:pPr>
        <w:spacing w:line="240" w:lineRule="auto" w:before="3"/>
        <w:rPr>
          <w:rFonts w:ascii="宋体" w:hAnsi="宋体" w:cs="宋体" w:eastAsia="宋体" w:hint="default"/>
          <w:b/>
          <w:bCs/>
          <w:sz w:val="18"/>
          <w:szCs w:val="18"/>
        </w:rPr>
      </w:pPr>
    </w:p>
    <w:p>
      <w:pPr>
        <w:pStyle w:val="Heading2"/>
        <w:spacing w:line="240" w:lineRule="auto" w:before="26"/>
        <w:ind w:right="1164"/>
        <w:jc w:val="left"/>
        <w:rPr>
          <w:b w:val="0"/>
          <w:bCs w:val="0"/>
        </w:rPr>
      </w:pPr>
      <w:bookmarkStart w:name="四、注册变更情况" w:id="8"/>
      <w:bookmarkEnd w:id="8"/>
      <w:r>
        <w:rPr>
          <w:b w:val="0"/>
          <w:bCs w:val="0"/>
        </w:rPr>
      </w:r>
      <w:r>
        <w:rPr/>
        <w:t>四、注册变更情况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3949"/>
        <w:gridCol w:w="5619"/>
      </w:tblGrid>
      <w:tr>
        <w:trPr>
          <w:trHeight w:val="332" w:hRule="exact"/>
        </w:trPr>
        <w:tc>
          <w:tcPr>
            <w:tcW w:w="3949"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5619"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统一社会信用代码：</w:t>
            </w:r>
            <w:r>
              <w:rPr>
                <w:rFonts w:ascii="Times New Roman" w:hAnsi="Times New Roman" w:cs="Times New Roman" w:eastAsia="Times New Roman" w:hint="default"/>
                <w:sz w:val="18"/>
                <w:szCs w:val="18"/>
              </w:rPr>
              <w:t>913300007043088475</w:t>
            </w:r>
          </w:p>
        </w:tc>
      </w:tr>
      <w:tr>
        <w:trPr>
          <w:trHeight w:val="322" w:hRule="exact"/>
        </w:trPr>
        <w:tc>
          <w:tcPr>
            <w:tcW w:w="394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公司上市以来主营业务的变化情况（如有）</w:t>
            </w:r>
          </w:p>
        </w:tc>
        <w:tc>
          <w:tcPr>
            <w:tcW w:w="561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无变更</w:t>
            </w:r>
          </w:p>
        </w:tc>
      </w:tr>
      <w:tr>
        <w:trPr>
          <w:trHeight w:val="332" w:hRule="exact"/>
        </w:trPr>
        <w:tc>
          <w:tcPr>
            <w:tcW w:w="394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561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after="0" w:line="240" w:lineRule="auto"/>
        <w:jc w:val="left"/>
        <w:rPr>
          <w:rFonts w:ascii="宋体" w:hAnsi="宋体" w:cs="宋体" w:eastAsia="宋体" w:hint="default"/>
          <w:sz w:val="18"/>
          <w:szCs w:val="18"/>
        </w:rPr>
        <w:sectPr>
          <w:pgSz w:w="11910" w:h="16840"/>
          <w:pgMar w:header="890" w:footer="1053" w:top="1420" w:bottom="1240" w:left="1000" w:right="0"/>
        </w:sectPr>
      </w:pPr>
    </w:p>
    <w:p>
      <w:pPr>
        <w:pStyle w:val="Heading2"/>
        <w:spacing w:line="240" w:lineRule="auto" w:before="20"/>
        <w:ind w:right="1164"/>
        <w:jc w:val="left"/>
        <w:rPr>
          <w:b w:val="0"/>
          <w:bCs w:val="0"/>
        </w:rPr>
      </w:pPr>
      <w:bookmarkStart w:name="五、其他有关资料" w:id="9"/>
      <w:bookmarkEnd w:id="9"/>
      <w:r>
        <w:rPr>
          <w:b w:val="0"/>
          <w:bCs w:val="0"/>
        </w:rPr>
      </w:r>
      <w:r>
        <w:rPr/>
        <w:t>五、其他有关资料</w:t>
      </w:r>
      <w:r>
        <w:rPr>
          <w:b w:val="0"/>
          <w:bCs w:val="0"/>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662"/>
        <w:gridCol w:w="6906"/>
      </w:tblGrid>
      <w:tr>
        <w:trPr>
          <w:trHeight w:val="332" w:hRule="exact"/>
        </w:trPr>
        <w:tc>
          <w:tcPr>
            <w:tcW w:w="2662"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6"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322" w:hRule="exact"/>
        </w:trPr>
        <w:tc>
          <w:tcPr>
            <w:tcW w:w="2662"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北京市东城区朝阳门北大街 </w:t>
            </w:r>
            <w:r>
              <w:rPr>
                <w:rFonts w:ascii="Times New Roman" w:hAnsi="Times New Roman" w:cs="Times New Roman" w:eastAsia="Times New Roman" w:hint="default"/>
                <w:sz w:val="18"/>
                <w:szCs w:val="18"/>
              </w:rPr>
              <w:t>8  </w:t>
            </w:r>
            <w:r>
              <w:rPr>
                <w:rFonts w:ascii="宋体" w:hAnsi="宋体" w:cs="宋体" w:eastAsia="宋体" w:hint="default"/>
                <w:sz w:val="18"/>
                <w:szCs w:val="18"/>
              </w:rPr>
              <w:t>号富华大厦 </w:t>
            </w:r>
            <w:r>
              <w:rPr>
                <w:rFonts w:ascii="Times New Roman" w:hAnsi="Times New Roman" w:cs="Times New Roman" w:eastAsia="Times New Roman" w:hint="default"/>
                <w:sz w:val="18"/>
                <w:szCs w:val="18"/>
              </w:rPr>
              <w:t>A  </w:t>
            </w:r>
            <w:r>
              <w:rPr>
                <w:rFonts w:ascii="宋体" w:hAnsi="宋体" w:cs="宋体" w:eastAsia="宋体" w:hint="default"/>
                <w:sz w:val="18"/>
                <w:szCs w:val="18"/>
              </w:rPr>
              <w:t>座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层</w:t>
            </w:r>
          </w:p>
        </w:tc>
      </w:tr>
      <w:tr>
        <w:trPr>
          <w:trHeight w:val="332" w:hRule="exact"/>
        </w:trPr>
        <w:tc>
          <w:tcPr>
            <w:tcW w:w="2662"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叶胜平、刘向荣</w:t>
            </w:r>
          </w:p>
        </w:tc>
      </w:tr>
    </w:tbl>
    <w:p>
      <w:pPr>
        <w:spacing w:before="53"/>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line="360" w:lineRule="auto" w:before="115"/>
        <w:ind w:left="132" w:right="6794" w:firstLine="0"/>
        <w:jc w:val="left"/>
        <w:rPr>
          <w:rFonts w:ascii="宋体" w:hAnsi="宋体" w:cs="宋体" w:eastAsia="宋体" w:hint="default"/>
          <w:sz w:val="18"/>
          <w:szCs w:val="18"/>
        </w:rPr>
      </w:pPr>
      <w:r>
        <w:rPr>
          <w:rFonts w:ascii="宋体" w:hAnsi="宋体" w:cs="宋体" w:eastAsia="宋体" w:hint="default"/>
          <w:sz w:val="18"/>
          <w:szCs w:val="18"/>
        </w:rPr>
        <w:t>□ 适用 √ 不适用 公司聘请的报告期内履行持续督导职责的财务顾问</w:t>
      </w:r>
    </w:p>
    <w:p>
      <w:pPr>
        <w:spacing w:before="27"/>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六、主要会计数据和财务指标" w:id="10"/>
      <w:bookmarkEnd w:id="10"/>
      <w:r>
        <w:rPr>
          <w:b w:val="0"/>
          <w:bCs w:val="0"/>
        </w:rPr>
      </w:r>
      <w:r>
        <w:rPr/>
        <w:t>六、主要会计数据和财务指标</w:t>
      </w:r>
      <w:r>
        <w:rPr>
          <w:b w:val="0"/>
          <w:bCs w:val="0"/>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7"/>
        <w:ind w:left="132" w:right="1164"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069"/>
        <w:gridCol w:w="1804"/>
        <w:gridCol w:w="1610"/>
        <w:gridCol w:w="1580"/>
        <w:gridCol w:w="1506"/>
      </w:tblGrid>
      <w:tr>
        <w:trPr>
          <w:trHeight w:val="332" w:hRule="exact"/>
        </w:trPr>
        <w:tc>
          <w:tcPr>
            <w:tcW w:w="3069" w:type="dxa"/>
            <w:tcBorders>
              <w:top w:val="single" w:sz="12" w:space="0" w:color="000000"/>
              <w:left w:val="single" w:sz="12" w:space="0" w:color="000000"/>
              <w:bottom w:val="single" w:sz="4" w:space="0" w:color="000000"/>
              <w:right w:val="single" w:sz="4" w:space="0" w:color="000000"/>
            </w:tcBorders>
            <w:shd w:val="clear" w:color="auto" w:fill="D2D2D2"/>
          </w:tcPr>
          <w:p>
            <w:pPr/>
          </w:p>
        </w:tc>
        <w:tc>
          <w:tcPr>
            <w:tcW w:w="180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54"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506"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left="4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r>
      <w:tr>
        <w:trPr>
          <w:trHeight w:val="322"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9,745,408,784.22</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8,739,834,605.92</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2"/>
                <w:sz w:val="18"/>
              </w:rPr>
              <w:t>11.51%</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7,408,734,019.51</w:t>
            </w:r>
          </w:p>
        </w:tc>
      </w:tr>
      <w:tr>
        <w:trPr>
          <w:trHeight w:val="322"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220,879,359.32</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2"/>
                <w:sz w:val="18"/>
              </w:rPr>
              <w:t>111,714,711.22</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97.72%</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114,951,714.07</w:t>
            </w:r>
          </w:p>
        </w:tc>
      </w:tr>
      <w:tr>
        <w:trPr>
          <w:trHeight w:val="634"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9"/>
              <w:ind w:left="92" w:right="2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 性损益的净利润（元）</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171,696,051.36</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100,661,508.45</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70.57%</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1"/>
              <w:jc w:val="right"/>
              <w:rPr>
                <w:rFonts w:ascii="Times New Roman" w:hAnsi="Times New Roman" w:cs="Times New Roman" w:eastAsia="Times New Roman" w:hint="default"/>
                <w:sz w:val="18"/>
                <w:szCs w:val="18"/>
              </w:rPr>
            </w:pPr>
            <w:r>
              <w:rPr>
                <w:rFonts w:ascii="Times New Roman"/>
                <w:spacing w:val="-1"/>
                <w:sz w:val="18"/>
              </w:rPr>
              <w:t>75,541,795.34</w:t>
            </w:r>
          </w:p>
        </w:tc>
      </w:tr>
      <w:tr>
        <w:trPr>
          <w:trHeight w:val="322"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872,167,673.52</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638,571,286.93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36.58%</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-940,404,275.35</w:t>
            </w:r>
          </w:p>
        </w:tc>
      </w:tr>
      <w:tr>
        <w:trPr>
          <w:trHeight w:val="322"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0.2133</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0.1079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97.68%</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91"/>
              <w:jc w:val="right"/>
              <w:rPr>
                <w:rFonts w:ascii="Times New Roman" w:hAnsi="Times New Roman" w:cs="Times New Roman" w:eastAsia="Times New Roman" w:hint="default"/>
                <w:sz w:val="18"/>
                <w:szCs w:val="18"/>
              </w:rPr>
            </w:pPr>
            <w:r>
              <w:rPr>
                <w:rFonts w:ascii="Times New Roman"/>
                <w:spacing w:val="-2"/>
                <w:sz w:val="18"/>
              </w:rPr>
              <w:t>0.1164</w:t>
            </w:r>
          </w:p>
        </w:tc>
      </w:tr>
      <w:tr>
        <w:trPr>
          <w:trHeight w:val="322"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0.2133</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0.1079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97.68%</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91"/>
              <w:jc w:val="right"/>
              <w:rPr>
                <w:rFonts w:ascii="Times New Roman" w:hAnsi="Times New Roman" w:cs="Times New Roman" w:eastAsia="Times New Roman" w:hint="default"/>
                <w:sz w:val="18"/>
                <w:szCs w:val="18"/>
              </w:rPr>
            </w:pPr>
            <w:r>
              <w:rPr>
                <w:rFonts w:ascii="Times New Roman"/>
                <w:spacing w:val="-2"/>
                <w:sz w:val="18"/>
              </w:rPr>
              <w:t>0.1164</w:t>
            </w:r>
          </w:p>
        </w:tc>
      </w:tr>
      <w:tr>
        <w:trPr>
          <w:trHeight w:val="322"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5.37%</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2.77%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2.60%</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z w:val="18"/>
              </w:rPr>
              <w:t>3.26%</w:t>
            </w:r>
          </w:p>
        </w:tc>
      </w:tr>
      <w:tr>
        <w:trPr>
          <w:trHeight w:val="634"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
        </w:tc>
        <w:tc>
          <w:tcPr>
            <w:tcW w:w="1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年末</w:t>
            </w:r>
          </w:p>
        </w:tc>
        <w:tc>
          <w:tcPr>
            <w:tcW w:w="1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9"/>
              <w:ind w:left="605" w:right="154" w:hanging="452"/>
              <w:jc w:val="left"/>
              <w:rPr>
                <w:rFonts w:ascii="宋体" w:hAnsi="宋体" w:cs="宋体" w:eastAsia="宋体" w:hint="default"/>
                <w:sz w:val="18"/>
                <w:szCs w:val="18"/>
              </w:rPr>
            </w:pPr>
            <w:r>
              <w:rPr>
                <w:rFonts w:ascii="宋体" w:hAnsi="宋体" w:cs="宋体" w:eastAsia="宋体" w:hint="default"/>
                <w:sz w:val="18"/>
                <w:szCs w:val="18"/>
              </w:rPr>
              <w:t>本年末比上年末 增减</w:t>
            </w:r>
          </w:p>
        </w:tc>
        <w:tc>
          <w:tcPr>
            <w:tcW w:w="1506"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22" w:hRule="exact"/>
        </w:trPr>
        <w:tc>
          <w:tcPr>
            <w:tcW w:w="306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7,597,902,190.35</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7,343,777,417.11</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3.46%</w:t>
            </w:r>
          </w:p>
        </w:tc>
        <w:tc>
          <w:tcPr>
            <w:tcW w:w="15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7,043,224,157.58</w:t>
            </w:r>
          </w:p>
        </w:tc>
      </w:tr>
      <w:tr>
        <w:trPr>
          <w:trHeight w:val="332" w:hRule="exact"/>
        </w:trPr>
        <w:tc>
          <w:tcPr>
            <w:tcW w:w="306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归属于上市公司股东的净资产（元）</w:t>
            </w:r>
          </w:p>
        </w:tc>
        <w:tc>
          <w:tcPr>
            <w:tcW w:w="180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4,249,377,827.93</w:t>
            </w:r>
          </w:p>
        </w:tc>
        <w:tc>
          <w:tcPr>
            <w:tcW w:w="16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4,015,421,137.23</w:t>
            </w:r>
          </w:p>
        </w:tc>
        <w:tc>
          <w:tcPr>
            <w:tcW w:w="15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5.83%</w:t>
            </w:r>
          </w:p>
        </w:tc>
        <w:tc>
          <w:tcPr>
            <w:tcW w:w="150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3,974,250,037.64</w:t>
            </w:r>
          </w:p>
        </w:tc>
      </w:tr>
    </w:tbl>
    <w:p>
      <w:pPr>
        <w:spacing w:line="240" w:lineRule="auto" w:before="1"/>
        <w:rPr>
          <w:rFonts w:ascii="宋体" w:hAnsi="宋体" w:cs="宋体" w:eastAsia="宋体" w:hint="default"/>
          <w:sz w:val="18"/>
          <w:szCs w:val="18"/>
        </w:rPr>
      </w:pPr>
    </w:p>
    <w:p>
      <w:pPr>
        <w:pStyle w:val="Heading2"/>
        <w:spacing w:line="240" w:lineRule="auto" w:before="26"/>
        <w:ind w:right="1164"/>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同时按照国际会计准则与按照中国会计准则披露的财务报告中净利润和净资产差异情况" w:id="12"/>
      <w:bookmarkEnd w:id="12"/>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、同时按照国际会计准则与按照中国会计准则披露的财务报告中净利润和净资产差异情况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60" w:lineRule="auto"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公司报告期不存在按照国际会计准则与按照中国会计准则披露的财务报告中净利润和净资产差异情况。</w:t>
      </w:r>
    </w:p>
    <w:p>
      <w:pPr>
        <w:spacing w:line="240" w:lineRule="auto" w:before="12"/>
        <w:rPr>
          <w:rFonts w:ascii="宋体" w:hAnsi="宋体" w:cs="宋体" w:eastAsia="宋体" w:hint="default"/>
          <w:sz w:val="19"/>
          <w:szCs w:val="19"/>
        </w:rPr>
      </w:pPr>
    </w:p>
    <w:p>
      <w:pPr>
        <w:spacing w:before="0"/>
        <w:ind w:left="132" w:right="1164" w:firstLine="0"/>
        <w:jc w:val="left"/>
        <w:rPr>
          <w:rFonts w:ascii="宋体" w:hAnsi="宋体" w:cs="宋体" w:eastAsia="宋体" w:hint="default"/>
          <w:sz w:val="21"/>
          <w:szCs w:val="21"/>
        </w:rPr>
      </w:pPr>
      <w:bookmarkStart w:name="2、同时按照境外会计准则与按照中国会计准则披露的财务报告中净利润和净资产差异情况" w:id="13"/>
      <w:bookmarkEnd w:id="1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、同时按照境外会计准则与按照中国会计准则披露的财务报告中净利润和净资产差异情况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60" w:lineRule="auto" w:before="0"/>
        <w:ind w:left="132" w:right="2654"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公司报告期不存在按照境外会计准则与按照中国会计准则披露的财务报告中净利润和净资产差异情况。</w:t>
      </w:r>
    </w:p>
    <w:p>
      <w:pPr>
        <w:spacing w:after="0" w:line="360" w:lineRule="auto"/>
        <w:jc w:val="left"/>
        <w:rPr>
          <w:rFonts w:ascii="宋体" w:hAnsi="宋体" w:cs="宋体" w:eastAsia="宋体" w:hint="default"/>
          <w:sz w:val="18"/>
          <w:szCs w:val="18"/>
        </w:rPr>
        <w:sectPr>
          <w:pgSz w:w="11910" w:h="16840"/>
          <w:pgMar w:header="890" w:footer="1053" w:top="1420" w:bottom="1240" w:left="1000" w:right="0"/>
        </w:sectPr>
      </w:pPr>
    </w:p>
    <w:p>
      <w:pPr>
        <w:pStyle w:val="Heading2"/>
        <w:spacing w:line="240" w:lineRule="auto" w:before="20"/>
        <w:ind w:right="1164"/>
        <w:jc w:val="left"/>
        <w:rPr>
          <w:b w:val="0"/>
          <w:bCs w:val="0"/>
        </w:rPr>
      </w:pPr>
      <w:bookmarkStart w:name="八、分季度主要财务指标" w:id="14"/>
      <w:bookmarkEnd w:id="14"/>
      <w:r>
        <w:rPr>
          <w:b w:val="0"/>
          <w:bCs w:val="0"/>
        </w:rPr>
      </w:r>
      <w:r>
        <w:rPr/>
        <w:t>八、分季度主要财务指标</w:t>
      </w:r>
      <w:r>
        <w:rPr>
          <w:b w:val="0"/>
          <w:bCs w:val="0"/>
        </w:rPr>
      </w:r>
    </w:p>
    <w:p>
      <w:pPr>
        <w:spacing w:line="240" w:lineRule="auto" w:before="1"/>
        <w:rPr>
          <w:rFonts w:ascii="宋体" w:hAnsi="宋体" w:cs="宋体" w:eastAsia="宋体" w:hint="default"/>
          <w:b/>
          <w:bCs/>
          <w:sz w:val="23"/>
          <w:szCs w:val="23"/>
        </w:rPr>
      </w:pPr>
    </w:p>
    <w:p>
      <w:pPr>
        <w:spacing w:before="44"/>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621"/>
        <w:gridCol w:w="1740"/>
        <w:gridCol w:w="1739"/>
        <w:gridCol w:w="1739"/>
        <w:gridCol w:w="1730"/>
      </w:tblGrid>
      <w:tr>
        <w:trPr>
          <w:trHeight w:val="332" w:hRule="exact"/>
        </w:trPr>
        <w:tc>
          <w:tcPr>
            <w:tcW w:w="2621" w:type="dxa"/>
            <w:tcBorders>
              <w:top w:val="single" w:sz="12" w:space="0" w:color="000000"/>
              <w:left w:val="single" w:sz="12" w:space="0" w:color="000000"/>
              <w:bottom w:val="single" w:sz="4" w:space="0" w:color="000000"/>
              <w:right w:val="single" w:sz="4" w:space="0" w:color="000000"/>
            </w:tcBorders>
            <w:shd w:val="clear" w:color="auto" w:fill="D2D2D2"/>
          </w:tcPr>
          <w:p>
            <w:pPr/>
          </w:p>
        </w:tc>
        <w:tc>
          <w:tcPr>
            <w:tcW w:w="174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0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05"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322" w:hRule="exact"/>
        </w:trPr>
        <w:tc>
          <w:tcPr>
            <w:tcW w:w="2621"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2,064,037,742.17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2,632,778,904.11</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2,481,042,805.49</w:t>
            </w:r>
          </w:p>
        </w:tc>
        <w:tc>
          <w:tcPr>
            <w:tcW w:w="173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2,567,549,332.45</w:t>
            </w:r>
          </w:p>
        </w:tc>
      </w:tr>
      <w:tr>
        <w:trPr>
          <w:trHeight w:val="322" w:hRule="exact"/>
        </w:trPr>
        <w:tc>
          <w:tcPr>
            <w:tcW w:w="2621"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-15,937,756.03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113,869,522.67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72,293,470.74</w:t>
            </w:r>
          </w:p>
        </w:tc>
        <w:tc>
          <w:tcPr>
            <w:tcW w:w="173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pacing w:val="-1"/>
                <w:sz w:val="18"/>
              </w:rPr>
              <w:t>50,654,121.94</w:t>
            </w:r>
          </w:p>
        </w:tc>
      </w:tr>
      <w:tr>
        <w:trPr>
          <w:trHeight w:val="490" w:hRule="exact"/>
        </w:trPr>
        <w:tc>
          <w:tcPr>
            <w:tcW w:w="2621"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exact" w:before="1"/>
              <w:ind w:left="92" w:right="167"/>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9"/>
              <w:jc w:val="right"/>
              <w:rPr>
                <w:rFonts w:ascii="Times New Roman" w:hAnsi="Times New Roman" w:cs="Times New Roman" w:eastAsia="Times New Roman" w:hint="default"/>
                <w:sz w:val="18"/>
                <w:szCs w:val="18"/>
              </w:rPr>
            </w:pPr>
            <w:r>
              <w:rPr>
                <w:rFonts w:ascii="Times New Roman"/>
                <w:spacing w:val="-1"/>
                <w:sz w:val="18"/>
              </w:rPr>
              <w:t>-12,400,611.73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0"/>
              <w:jc w:val="right"/>
              <w:rPr>
                <w:rFonts w:ascii="Times New Roman" w:hAnsi="Times New Roman" w:cs="Times New Roman" w:eastAsia="Times New Roman" w:hint="default"/>
                <w:sz w:val="18"/>
                <w:szCs w:val="18"/>
              </w:rPr>
            </w:pPr>
            <w:r>
              <w:rPr>
                <w:rFonts w:ascii="Times New Roman"/>
                <w:spacing w:val="-1"/>
                <w:sz w:val="18"/>
              </w:rPr>
              <w:t>92,381,769.71</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Times New Roman" w:hAnsi="Times New Roman" w:cs="Times New Roman" w:eastAsia="Times New Roman" w:hint="default"/>
                <w:sz w:val="18"/>
                <w:szCs w:val="18"/>
              </w:rPr>
            </w:pPr>
            <w:r>
              <w:rPr>
                <w:rFonts w:ascii="Times New Roman"/>
                <w:spacing w:val="-1"/>
                <w:sz w:val="18"/>
              </w:rPr>
              <w:t>66,078,850.69</w:t>
            </w:r>
          </w:p>
        </w:tc>
        <w:tc>
          <w:tcPr>
            <w:tcW w:w="173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6"/>
              <w:ind w:right="91"/>
              <w:jc w:val="right"/>
              <w:rPr>
                <w:rFonts w:ascii="Times New Roman" w:hAnsi="Times New Roman" w:cs="Times New Roman" w:eastAsia="Times New Roman" w:hint="default"/>
                <w:sz w:val="18"/>
                <w:szCs w:val="18"/>
              </w:rPr>
            </w:pPr>
            <w:r>
              <w:rPr>
                <w:rFonts w:ascii="Times New Roman"/>
                <w:spacing w:val="-1"/>
                <w:sz w:val="18"/>
              </w:rPr>
              <w:t>25,636,042.69</w:t>
            </w:r>
          </w:p>
        </w:tc>
      </w:tr>
      <w:tr>
        <w:trPr>
          <w:trHeight w:val="332" w:hRule="exact"/>
        </w:trPr>
        <w:tc>
          <w:tcPr>
            <w:tcW w:w="2621"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-194,856,887.70</w:t>
            </w:r>
          </w:p>
        </w:tc>
        <w:tc>
          <w:tcPr>
            <w:tcW w:w="173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568,600,080.53</w:t>
            </w:r>
          </w:p>
        </w:tc>
        <w:tc>
          <w:tcPr>
            <w:tcW w:w="173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83,914,546.93</w:t>
            </w:r>
          </w:p>
        </w:tc>
        <w:tc>
          <w:tcPr>
            <w:tcW w:w="173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414,509,933.76</w:t>
            </w:r>
          </w:p>
        </w:tc>
      </w:tr>
    </w:tbl>
    <w:p>
      <w:pPr>
        <w:spacing w:before="52"/>
        <w:ind w:left="132" w:right="1164"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7"/>
        <w:ind w:left="132" w:right="1164"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九、非经常性损益项目及金额" w:id="15"/>
      <w:bookmarkEnd w:id="15"/>
      <w:r>
        <w:rPr>
          <w:b w:val="0"/>
          <w:bCs w:val="0"/>
        </w:rPr>
      </w:r>
      <w:r>
        <w:rPr/>
        <w:t>九、非经常性损益项目及金额</w:t>
      </w:r>
      <w:r>
        <w:rPr>
          <w:b w:val="0"/>
          <w:bCs w:val="0"/>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899"/>
        <w:gridCol w:w="1334"/>
        <w:gridCol w:w="1360"/>
        <w:gridCol w:w="1300"/>
        <w:gridCol w:w="1675"/>
      </w:tblGrid>
      <w:tr>
        <w:trPr>
          <w:trHeight w:val="332" w:hRule="exact"/>
        </w:trPr>
        <w:tc>
          <w:tcPr>
            <w:tcW w:w="3899"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6"/>
              <w:jc w:val="center"/>
              <w:rPr>
                <w:rFonts w:ascii="宋体" w:hAnsi="宋体" w:cs="宋体" w:eastAsia="宋体" w:hint="default"/>
                <w:sz w:val="18"/>
                <w:szCs w:val="18"/>
              </w:rPr>
            </w:pPr>
            <w:r>
              <w:rPr>
                <w:rFonts w:ascii="宋体" w:hAnsi="宋体" w:cs="宋体" w:eastAsia="宋体" w:hint="default"/>
                <w:sz w:val="18"/>
                <w:szCs w:val="18"/>
              </w:rPr>
              <w:t>项目</w:t>
            </w:r>
          </w:p>
        </w:tc>
        <w:tc>
          <w:tcPr>
            <w:tcW w:w="133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8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36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30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71"/>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675"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634" w:hRule="exact"/>
        </w:trPr>
        <w:tc>
          <w:tcPr>
            <w:tcW w:w="389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0"/>
              <w:ind w:left="92" w:right="185"/>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非流动资产处置损益（包括已计提资产减值准 备的冲销部分）</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8" w:right="0"/>
              <w:jc w:val="left"/>
              <w:rPr>
                <w:rFonts w:ascii="Times New Roman" w:hAnsi="Times New Roman" w:cs="Times New Roman" w:eastAsia="Times New Roman" w:hint="default"/>
                <w:sz w:val="18"/>
                <w:szCs w:val="18"/>
              </w:rPr>
            </w:pPr>
            <w:r>
              <w:rPr>
                <w:rFonts w:ascii="Times New Roman"/>
                <w:sz w:val="18"/>
              </w:rPr>
              <w:t>-2,919,377.56</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2" w:right="0"/>
              <w:jc w:val="left"/>
              <w:rPr>
                <w:rFonts w:ascii="Times New Roman" w:hAnsi="Times New Roman" w:cs="Times New Roman" w:eastAsia="Times New Roman" w:hint="default"/>
                <w:sz w:val="18"/>
                <w:szCs w:val="18"/>
              </w:rPr>
            </w:pPr>
            <w:r>
              <w:rPr>
                <w:rFonts w:ascii="Times New Roman"/>
                <w:sz w:val="18"/>
              </w:rPr>
              <w:t>-1,042,270.13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-227,841.42</w:t>
            </w:r>
          </w:p>
        </w:tc>
        <w:tc>
          <w:tcPr>
            <w:tcW w:w="1675"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0"/>
              <w:ind w:left="102" w:right="111"/>
              <w:jc w:val="left"/>
              <w:rPr>
                <w:rFonts w:ascii="宋体" w:hAnsi="宋体" w:cs="宋体" w:eastAsia="宋体" w:hint="default"/>
                <w:sz w:val="18"/>
                <w:szCs w:val="18"/>
              </w:rPr>
            </w:pPr>
            <w:r>
              <w:rPr>
                <w:rFonts w:ascii="宋体" w:hAnsi="宋体" w:cs="宋体" w:eastAsia="宋体" w:hint="default"/>
                <w:sz w:val="18"/>
                <w:szCs w:val="18"/>
              </w:rPr>
              <w:t>系处置固定资产损 失</w:t>
            </w:r>
          </w:p>
        </w:tc>
      </w:tr>
      <w:tr>
        <w:trPr>
          <w:trHeight w:val="322" w:hRule="exact"/>
        </w:trPr>
        <w:tc>
          <w:tcPr>
            <w:tcW w:w="389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60"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14,365,848.70</w:t>
            </w:r>
          </w:p>
        </w:tc>
        <w:tc>
          <w:tcPr>
            <w:tcW w:w="1675" w:type="dxa"/>
            <w:tcBorders>
              <w:top w:val="single" w:sz="4" w:space="0" w:color="000000"/>
              <w:left w:val="single" w:sz="4" w:space="0" w:color="000000"/>
              <w:bottom w:val="single" w:sz="4" w:space="0" w:color="000000"/>
              <w:right w:val="single" w:sz="12" w:space="0" w:color="000000"/>
            </w:tcBorders>
          </w:tcPr>
          <w:p>
            <w:pPr/>
          </w:p>
        </w:tc>
      </w:tr>
      <w:tr>
        <w:trPr>
          <w:trHeight w:val="253" w:hRule="exact"/>
        </w:trPr>
        <w:tc>
          <w:tcPr>
            <w:tcW w:w="3899" w:type="dxa"/>
            <w:tcBorders>
              <w:top w:val="single" w:sz="4" w:space="0" w:color="000000"/>
              <w:left w:val="single" w:sz="12" w:space="0" w:color="000000"/>
              <w:bottom w:val="nil" w:sz="6" w:space="0" w:color="auto"/>
              <w:right w:val="single" w:sz="4" w:space="0" w:color="000000"/>
            </w:tcBorders>
            <w:shd w:val="clear" w:color="auto" w:fill="D2D2D2"/>
          </w:tcPr>
          <w:p>
            <w:pPr/>
          </w:p>
        </w:tc>
        <w:tc>
          <w:tcPr>
            <w:tcW w:w="1334" w:type="dxa"/>
            <w:tcBorders>
              <w:top w:val="single" w:sz="4" w:space="0" w:color="000000"/>
              <w:left w:val="single" w:sz="4" w:space="0" w:color="000000"/>
              <w:bottom w:val="nil" w:sz="6" w:space="0" w:color="auto"/>
              <w:right w:val="single" w:sz="4" w:space="0" w:color="000000"/>
            </w:tcBorders>
          </w:tcPr>
          <w:p>
            <w:pPr/>
          </w:p>
        </w:tc>
        <w:tc>
          <w:tcPr>
            <w:tcW w:w="1360" w:type="dxa"/>
            <w:tcBorders>
              <w:top w:val="single" w:sz="4" w:space="0" w:color="000000"/>
              <w:left w:val="single" w:sz="4" w:space="0" w:color="000000"/>
              <w:bottom w:val="nil" w:sz="6" w:space="0" w:color="auto"/>
              <w:right w:val="single" w:sz="4" w:space="0" w:color="000000"/>
            </w:tcBorders>
          </w:tcPr>
          <w:p>
            <w:pPr/>
          </w:p>
        </w:tc>
        <w:tc>
          <w:tcPr>
            <w:tcW w:w="1300" w:type="dxa"/>
            <w:tcBorders>
              <w:top w:val="single" w:sz="4" w:space="0" w:color="000000"/>
              <w:left w:val="single" w:sz="4" w:space="0" w:color="000000"/>
              <w:bottom w:val="nil" w:sz="6" w:space="0" w:color="auto"/>
              <w:right w:val="single" w:sz="4" w:space="0" w:color="000000"/>
            </w:tcBorders>
          </w:tcPr>
          <w:p>
            <w:pPr/>
          </w:p>
        </w:tc>
        <w:tc>
          <w:tcPr>
            <w:tcW w:w="1675" w:type="dxa"/>
            <w:tcBorders>
              <w:top w:val="single" w:sz="4" w:space="0" w:color="000000"/>
              <w:left w:val="single" w:sz="4" w:space="0" w:color="000000"/>
              <w:bottom w:val="nil" w:sz="6" w:space="0" w:color="auto"/>
              <w:right w:val="single" w:sz="12" w:space="0" w:color="000000"/>
            </w:tcBorders>
          </w:tcPr>
          <w:p>
            <w:pPr>
              <w:pStyle w:val="TableParagraph"/>
              <w:spacing w:line="219" w:lineRule="exact"/>
              <w:ind w:left="102" w:right="0"/>
              <w:jc w:val="left"/>
              <w:rPr>
                <w:rFonts w:ascii="宋体" w:hAnsi="宋体" w:cs="宋体" w:eastAsia="宋体" w:hint="default"/>
                <w:sz w:val="18"/>
                <w:szCs w:val="18"/>
              </w:rPr>
            </w:pPr>
            <w:r>
              <w:rPr>
                <w:rFonts w:ascii="宋体" w:hAnsi="宋体" w:cs="宋体" w:eastAsia="宋体" w:hint="default"/>
                <w:sz w:val="18"/>
                <w:szCs w:val="18"/>
              </w:rPr>
              <w:t>计入当期损益的政</w:t>
            </w:r>
          </w:p>
        </w:tc>
      </w:tr>
      <w:tr>
        <w:trPr>
          <w:trHeight w:val="240" w:hRule="exact"/>
        </w:trPr>
        <w:tc>
          <w:tcPr>
            <w:tcW w:w="3899" w:type="dxa"/>
            <w:tcBorders>
              <w:top w:val="nil" w:sz="6" w:space="0" w:color="auto"/>
              <w:left w:val="single" w:sz="12" w:space="0" w:color="000000"/>
              <w:bottom w:val="nil" w:sz="6" w:space="0" w:color="auto"/>
              <w:right w:val="single" w:sz="4" w:space="0" w:color="000000"/>
            </w:tcBorders>
            <w:shd w:val="clear" w:color="auto" w:fill="D2D2D2"/>
          </w:tcPr>
          <w:p>
            <w:pPr/>
          </w:p>
        </w:tc>
        <w:tc>
          <w:tcPr>
            <w:tcW w:w="1334"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00"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12" w:space="0" w:color="000000"/>
            </w:tcBorders>
          </w:tcPr>
          <w:p>
            <w:pPr>
              <w:pStyle w:val="TableParagraph"/>
              <w:spacing w:line="210" w:lineRule="exact"/>
              <w:ind w:left="102" w:right="0"/>
              <w:jc w:val="left"/>
              <w:rPr>
                <w:rFonts w:ascii="宋体" w:hAnsi="宋体" w:cs="宋体" w:eastAsia="宋体" w:hint="default"/>
                <w:sz w:val="18"/>
                <w:szCs w:val="18"/>
              </w:rPr>
            </w:pPr>
            <w:r>
              <w:rPr>
                <w:rFonts w:ascii="宋体" w:hAnsi="宋体" w:cs="宋体" w:eastAsia="宋体" w:hint="default"/>
                <w:sz w:val="18"/>
                <w:szCs w:val="18"/>
              </w:rPr>
              <w:t>府补助同比增长</w:t>
            </w:r>
          </w:p>
        </w:tc>
      </w:tr>
      <w:tr>
        <w:trPr>
          <w:trHeight w:val="259" w:hRule="exact"/>
        </w:trPr>
        <w:tc>
          <w:tcPr>
            <w:tcW w:w="3899"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13"/>
              <w:ind w:left="92"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w:t>
            </w:r>
          </w:p>
        </w:tc>
        <w:tc>
          <w:tcPr>
            <w:tcW w:w="1334"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00"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12" w:space="0" w:color="000000"/>
            </w:tcBorders>
          </w:tcPr>
          <w:p>
            <w:pPr>
              <w:pStyle w:val="TableParagraph"/>
              <w:spacing w:line="224" w:lineRule="exact"/>
              <w:ind w:left="102"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pacing w:val="1"/>
                <w:sz w:val="18"/>
                <w:szCs w:val="18"/>
              </w:rPr>
              <w:t>7</w:t>
            </w:r>
            <w:r>
              <w:rPr>
                <w:rFonts w:ascii="Times New Roman" w:hAnsi="Times New Roman" w:cs="Times New Roman" w:eastAsia="Times New Roman" w:hint="default"/>
                <w:spacing w:val="-2"/>
                <w:sz w:val="18"/>
                <w:szCs w:val="18"/>
              </w:rPr>
              <w:t>%</w:t>
            </w:r>
            <w:r>
              <w:rPr>
                <w:rFonts w:ascii="宋体" w:hAnsi="宋体" w:cs="宋体" w:eastAsia="宋体" w:hint="default"/>
                <w:spacing w:val="-87"/>
                <w:sz w:val="18"/>
                <w:szCs w:val="18"/>
              </w:rPr>
              <w:t>，</w:t>
            </w:r>
            <w:r>
              <w:rPr>
                <w:rFonts w:ascii="宋体" w:hAnsi="宋体" w:cs="宋体" w:eastAsia="宋体" w:hint="default"/>
                <w:sz w:val="18"/>
                <w:szCs w:val="18"/>
              </w:rPr>
              <w:t>主要系充</w:t>
            </w:r>
          </w:p>
        </w:tc>
      </w:tr>
      <w:tr>
        <w:trPr>
          <w:trHeight w:val="701" w:hRule="exact"/>
        </w:trPr>
        <w:tc>
          <w:tcPr>
            <w:tcW w:w="3899"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316" w:lineRule="auto" w:before="65"/>
              <w:ind w:left="92" w:right="185"/>
              <w:jc w:val="left"/>
              <w:rPr>
                <w:rFonts w:ascii="宋体" w:hAnsi="宋体" w:cs="宋体" w:eastAsia="宋体" w:hint="default"/>
                <w:sz w:val="18"/>
                <w:szCs w:val="18"/>
              </w:rPr>
            </w:pPr>
            <w:r>
              <w:rPr>
                <w:rFonts w:ascii="宋体" w:hAnsi="宋体" w:cs="宋体" w:eastAsia="宋体" w:hint="default"/>
                <w:sz w:val="18"/>
                <w:szCs w:val="18"/>
              </w:rPr>
              <w:t>关，按照国家统一标准定额或定量享受的政府 补助除外）</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186" w:right="0"/>
              <w:jc w:val="left"/>
              <w:rPr>
                <w:rFonts w:ascii="Times New Roman" w:hAnsi="Times New Roman" w:cs="Times New Roman" w:eastAsia="Times New Roman" w:hint="default"/>
                <w:sz w:val="18"/>
                <w:szCs w:val="18"/>
              </w:rPr>
            </w:pPr>
            <w:r>
              <w:rPr>
                <w:rFonts w:ascii="Times New Roman"/>
                <w:sz w:val="18"/>
              </w:rPr>
              <w:t>42,547,841.67</w:t>
            </w:r>
          </w:p>
        </w:tc>
        <w:tc>
          <w:tcPr>
            <w:tcW w:w="13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211" w:right="0"/>
              <w:jc w:val="left"/>
              <w:rPr>
                <w:rFonts w:ascii="Times New Roman" w:hAnsi="Times New Roman" w:cs="Times New Roman" w:eastAsia="Times New Roman" w:hint="default"/>
                <w:sz w:val="18"/>
                <w:szCs w:val="18"/>
              </w:rPr>
            </w:pPr>
            <w:r>
              <w:rPr>
                <w:rFonts w:ascii="Times New Roman"/>
                <w:sz w:val="18"/>
              </w:rPr>
              <w:t>20,788,389.25</w:t>
            </w:r>
          </w:p>
        </w:tc>
        <w:tc>
          <w:tcPr>
            <w:tcW w:w="13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17,088,498.20</w:t>
            </w:r>
          </w:p>
        </w:tc>
        <w:tc>
          <w:tcPr>
            <w:tcW w:w="1675" w:type="dxa"/>
            <w:tcBorders>
              <w:top w:val="nil" w:sz="6" w:space="0" w:color="auto"/>
              <w:left w:val="single" w:sz="4" w:space="0" w:color="000000"/>
              <w:bottom w:val="nil" w:sz="6" w:space="0" w:color="auto"/>
              <w:right w:val="single" w:sz="12" w:space="0" w:color="000000"/>
            </w:tcBorders>
          </w:tcPr>
          <w:p>
            <w:pPr>
              <w:pStyle w:val="TableParagraph"/>
              <w:spacing w:line="191" w:lineRule="exact"/>
              <w:ind w:left="102" w:right="0"/>
              <w:jc w:val="left"/>
              <w:rPr>
                <w:rFonts w:ascii="宋体" w:hAnsi="宋体" w:cs="宋体" w:eastAsia="宋体" w:hint="default"/>
                <w:sz w:val="18"/>
                <w:szCs w:val="18"/>
              </w:rPr>
            </w:pPr>
            <w:r>
              <w:rPr>
                <w:rFonts w:ascii="宋体" w:hAnsi="宋体" w:cs="宋体" w:eastAsia="宋体" w:hint="default"/>
                <w:sz w:val="18"/>
                <w:szCs w:val="18"/>
              </w:rPr>
              <w:t>电桩运营相关补贴</w:t>
            </w:r>
          </w:p>
          <w:p>
            <w:pPr>
              <w:pStyle w:val="TableParagraph"/>
              <w:spacing w:line="240" w:lineRule="exact" w:before="22"/>
              <w:ind w:left="102" w:right="111"/>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 元，制造业改造提</w:t>
            </w:r>
          </w:p>
        </w:tc>
      </w:tr>
      <w:tr>
        <w:trPr>
          <w:trHeight w:val="240" w:hRule="exact"/>
        </w:trPr>
        <w:tc>
          <w:tcPr>
            <w:tcW w:w="3899" w:type="dxa"/>
            <w:tcBorders>
              <w:top w:val="nil" w:sz="6" w:space="0" w:color="auto"/>
              <w:left w:val="single" w:sz="12" w:space="0" w:color="000000"/>
              <w:bottom w:val="nil" w:sz="6" w:space="0" w:color="auto"/>
              <w:right w:val="single" w:sz="4" w:space="0" w:color="000000"/>
            </w:tcBorders>
            <w:shd w:val="clear" w:color="auto" w:fill="D2D2D2"/>
          </w:tcPr>
          <w:p>
            <w:pPr/>
          </w:p>
        </w:tc>
        <w:tc>
          <w:tcPr>
            <w:tcW w:w="1334"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00"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12" w:space="0" w:color="000000"/>
            </w:tcBorders>
          </w:tcPr>
          <w:p>
            <w:pPr>
              <w:pStyle w:val="TableParagraph"/>
              <w:spacing w:line="210" w:lineRule="exact"/>
              <w:ind w:left="102" w:right="0"/>
              <w:jc w:val="left"/>
              <w:rPr>
                <w:rFonts w:ascii="宋体" w:hAnsi="宋体" w:cs="宋体" w:eastAsia="宋体" w:hint="default"/>
                <w:sz w:val="18"/>
                <w:szCs w:val="18"/>
              </w:rPr>
            </w:pPr>
            <w:r>
              <w:rPr>
                <w:rFonts w:ascii="宋体" w:hAnsi="宋体" w:cs="宋体" w:eastAsia="宋体" w:hint="default"/>
                <w:sz w:val="18"/>
                <w:szCs w:val="18"/>
              </w:rPr>
              <w:t>升专项补助增加</w:t>
            </w:r>
          </w:p>
        </w:tc>
      </w:tr>
      <w:tr>
        <w:trPr>
          <w:trHeight w:val="237" w:hRule="exact"/>
        </w:trPr>
        <w:tc>
          <w:tcPr>
            <w:tcW w:w="3899" w:type="dxa"/>
            <w:tcBorders>
              <w:top w:val="nil" w:sz="6" w:space="0" w:color="auto"/>
              <w:left w:val="single" w:sz="12" w:space="0" w:color="000000"/>
              <w:bottom w:val="single" w:sz="4" w:space="0" w:color="000000"/>
              <w:right w:val="single" w:sz="4" w:space="0" w:color="000000"/>
            </w:tcBorders>
            <w:shd w:val="clear" w:color="auto" w:fill="D2D2D2"/>
          </w:tcPr>
          <w:p>
            <w:pPr/>
          </w:p>
        </w:tc>
        <w:tc>
          <w:tcPr>
            <w:tcW w:w="1334" w:type="dxa"/>
            <w:tcBorders>
              <w:top w:val="nil" w:sz="6" w:space="0" w:color="auto"/>
              <w:left w:val="single" w:sz="4" w:space="0" w:color="000000"/>
              <w:bottom w:val="single" w:sz="4" w:space="0" w:color="000000"/>
              <w:right w:val="single" w:sz="4" w:space="0" w:color="000000"/>
            </w:tcBorders>
          </w:tcPr>
          <w:p>
            <w:pPr/>
          </w:p>
        </w:tc>
        <w:tc>
          <w:tcPr>
            <w:tcW w:w="1360" w:type="dxa"/>
            <w:tcBorders>
              <w:top w:val="nil" w:sz="6" w:space="0" w:color="auto"/>
              <w:left w:val="single" w:sz="4" w:space="0" w:color="000000"/>
              <w:bottom w:val="single" w:sz="4" w:space="0" w:color="000000"/>
              <w:right w:val="single" w:sz="4" w:space="0" w:color="000000"/>
            </w:tcBorders>
          </w:tcPr>
          <w:p>
            <w:pPr/>
          </w:p>
        </w:tc>
        <w:tc>
          <w:tcPr>
            <w:tcW w:w="1300" w:type="dxa"/>
            <w:tcBorders>
              <w:top w:val="nil" w:sz="6" w:space="0" w:color="auto"/>
              <w:left w:val="single" w:sz="4" w:space="0" w:color="000000"/>
              <w:bottom w:val="single" w:sz="4" w:space="0" w:color="000000"/>
              <w:right w:val="single" w:sz="4" w:space="0" w:color="000000"/>
            </w:tcBorders>
          </w:tcPr>
          <w:p>
            <w:pPr/>
          </w:p>
        </w:tc>
        <w:tc>
          <w:tcPr>
            <w:tcW w:w="1675" w:type="dxa"/>
            <w:tcBorders>
              <w:top w:val="nil" w:sz="6" w:space="0" w:color="auto"/>
              <w:left w:val="single" w:sz="4" w:space="0" w:color="000000"/>
              <w:bottom w:val="single" w:sz="4" w:space="0" w:color="000000"/>
              <w:right w:val="single" w:sz="12" w:space="0" w:color="000000"/>
            </w:tcBorders>
          </w:tcPr>
          <w:p>
            <w:pPr>
              <w:pStyle w:val="TableParagraph"/>
              <w:spacing w:line="224" w:lineRule="exact"/>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322" w:hRule="exact"/>
        </w:trPr>
        <w:tc>
          <w:tcPr>
            <w:tcW w:w="389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6" w:right="0"/>
              <w:jc w:val="left"/>
              <w:rPr>
                <w:rFonts w:ascii="Times New Roman" w:hAnsi="Times New Roman" w:cs="Times New Roman" w:eastAsia="Times New Roman" w:hint="default"/>
                <w:sz w:val="18"/>
                <w:szCs w:val="18"/>
              </w:rPr>
            </w:pPr>
            <w:r>
              <w:rPr>
                <w:rFonts w:ascii="Times New Roman"/>
                <w:sz w:val="18"/>
              </w:rPr>
              <w:t>12,680,714.96</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1" w:right="0"/>
              <w:jc w:val="left"/>
              <w:rPr>
                <w:rFonts w:ascii="Times New Roman" w:hAnsi="Times New Roman" w:cs="Times New Roman" w:eastAsia="Times New Roman" w:hint="default"/>
                <w:sz w:val="18"/>
                <w:szCs w:val="18"/>
              </w:rPr>
            </w:pPr>
            <w:r>
              <w:rPr>
                <w:rFonts w:ascii="Times New Roman"/>
                <w:sz w:val="18"/>
              </w:rPr>
              <w:t>13,766,720.37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8,976,817.79</w:t>
            </w:r>
          </w:p>
        </w:tc>
        <w:tc>
          <w:tcPr>
            <w:tcW w:w="167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2" w:right="0"/>
              <w:jc w:val="left"/>
              <w:rPr>
                <w:rFonts w:ascii="宋体" w:hAnsi="宋体" w:cs="宋体" w:eastAsia="宋体" w:hint="default"/>
                <w:sz w:val="18"/>
                <w:szCs w:val="18"/>
              </w:rPr>
            </w:pPr>
            <w:r>
              <w:rPr>
                <w:rFonts w:ascii="宋体" w:hAnsi="宋体" w:cs="宋体" w:eastAsia="宋体" w:hint="default"/>
                <w:sz w:val="18"/>
                <w:szCs w:val="18"/>
              </w:rPr>
              <w:t>系银行理财收益</w:t>
            </w:r>
          </w:p>
        </w:tc>
      </w:tr>
      <w:tr>
        <w:trPr>
          <w:trHeight w:val="349" w:hRule="exact"/>
        </w:trPr>
        <w:tc>
          <w:tcPr>
            <w:tcW w:w="3899" w:type="dxa"/>
            <w:tcBorders>
              <w:top w:val="single" w:sz="4" w:space="0" w:color="000000"/>
              <w:left w:val="single" w:sz="12" w:space="0" w:color="000000"/>
              <w:bottom w:val="nil" w:sz="6" w:space="0" w:color="auto"/>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w:t>
            </w:r>
          </w:p>
        </w:tc>
        <w:tc>
          <w:tcPr>
            <w:tcW w:w="1334" w:type="dxa"/>
            <w:tcBorders>
              <w:top w:val="single" w:sz="4" w:space="0" w:color="000000"/>
              <w:left w:val="single" w:sz="4" w:space="0" w:color="000000"/>
              <w:bottom w:val="nil" w:sz="6" w:space="0" w:color="auto"/>
              <w:right w:val="single" w:sz="4" w:space="0" w:color="000000"/>
            </w:tcBorders>
          </w:tcPr>
          <w:p>
            <w:pPr/>
          </w:p>
        </w:tc>
        <w:tc>
          <w:tcPr>
            <w:tcW w:w="1360" w:type="dxa"/>
            <w:tcBorders>
              <w:top w:val="single" w:sz="4" w:space="0" w:color="000000"/>
              <w:left w:val="single" w:sz="4" w:space="0" w:color="000000"/>
              <w:bottom w:val="nil" w:sz="6" w:space="0" w:color="auto"/>
              <w:right w:val="single" w:sz="4" w:space="0" w:color="000000"/>
            </w:tcBorders>
          </w:tcPr>
          <w:p>
            <w:pPr/>
          </w:p>
        </w:tc>
        <w:tc>
          <w:tcPr>
            <w:tcW w:w="1300" w:type="dxa"/>
            <w:tcBorders>
              <w:top w:val="single" w:sz="4" w:space="0" w:color="000000"/>
              <w:left w:val="single" w:sz="4" w:space="0" w:color="000000"/>
              <w:bottom w:val="nil" w:sz="6" w:space="0" w:color="auto"/>
              <w:right w:val="single" w:sz="4" w:space="0" w:color="000000"/>
            </w:tcBorders>
          </w:tcPr>
          <w:p>
            <w:pPr/>
          </w:p>
        </w:tc>
        <w:tc>
          <w:tcPr>
            <w:tcW w:w="1675" w:type="dxa"/>
            <w:tcBorders>
              <w:top w:val="single" w:sz="4" w:space="0" w:color="000000"/>
              <w:left w:val="single" w:sz="4" w:space="0" w:color="000000"/>
              <w:bottom w:val="nil" w:sz="6" w:space="0" w:color="auto"/>
              <w:right w:val="single" w:sz="12" w:space="0" w:color="000000"/>
            </w:tcBorders>
          </w:tcPr>
          <w:p>
            <w:pPr>
              <w:pStyle w:val="TableParagraph"/>
              <w:spacing w:line="240" w:lineRule="auto" w:before="78"/>
              <w:ind w:left="102" w:right="0"/>
              <w:jc w:val="left"/>
              <w:rPr>
                <w:rFonts w:ascii="宋体" w:hAnsi="宋体" w:cs="宋体" w:eastAsia="宋体" w:hint="default"/>
                <w:sz w:val="18"/>
                <w:szCs w:val="18"/>
              </w:rPr>
            </w:pPr>
            <w:r>
              <w:rPr>
                <w:rFonts w:ascii="宋体" w:hAnsi="宋体" w:cs="宋体" w:eastAsia="宋体" w:hint="default"/>
                <w:sz w:val="18"/>
                <w:szCs w:val="18"/>
              </w:rPr>
              <w:t>公司开展套期保值</w:t>
            </w:r>
          </w:p>
        </w:tc>
      </w:tr>
      <w:tr>
        <w:trPr>
          <w:trHeight w:val="242" w:hRule="exact"/>
        </w:trPr>
        <w:tc>
          <w:tcPr>
            <w:tcW w:w="3899"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15" w:lineRule="exact"/>
              <w:ind w:left="92" w:right="0"/>
              <w:jc w:val="left"/>
              <w:rPr>
                <w:rFonts w:ascii="宋体" w:hAnsi="宋体" w:cs="宋体" w:eastAsia="宋体" w:hint="default"/>
                <w:sz w:val="18"/>
                <w:szCs w:val="18"/>
              </w:rPr>
            </w:pPr>
            <w:r>
              <w:rPr>
                <w:rFonts w:ascii="宋体" w:hAnsi="宋体" w:cs="宋体" w:eastAsia="宋体" w:hint="default"/>
                <w:sz w:val="18"/>
                <w:szCs w:val="18"/>
              </w:rPr>
              <w:t>务外，持有交易性金融资产、衍生金融资产、</w:t>
            </w:r>
          </w:p>
        </w:tc>
        <w:tc>
          <w:tcPr>
            <w:tcW w:w="1334"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00"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12" w:space="0" w:color="000000"/>
            </w:tcBorders>
          </w:tcPr>
          <w:p>
            <w:pPr>
              <w:pStyle w:val="TableParagraph"/>
              <w:spacing w:line="210" w:lineRule="exact"/>
              <w:ind w:left="102" w:right="0"/>
              <w:jc w:val="left"/>
              <w:rPr>
                <w:rFonts w:ascii="宋体" w:hAnsi="宋体" w:cs="宋体" w:eastAsia="宋体" w:hint="default"/>
                <w:sz w:val="18"/>
                <w:szCs w:val="18"/>
              </w:rPr>
            </w:pPr>
            <w:r>
              <w:rPr>
                <w:rFonts w:ascii="宋体" w:hAnsi="宋体" w:cs="宋体" w:eastAsia="宋体" w:hint="default"/>
                <w:sz w:val="18"/>
                <w:szCs w:val="18"/>
              </w:rPr>
              <w:t>业务，期货价格波</w:t>
            </w:r>
          </w:p>
        </w:tc>
      </w:tr>
      <w:tr>
        <w:trPr>
          <w:trHeight w:val="708" w:hRule="exact"/>
        </w:trPr>
        <w:tc>
          <w:tcPr>
            <w:tcW w:w="3899"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316" w:lineRule="auto" w:before="49"/>
              <w:ind w:left="92" w:right="185"/>
              <w:jc w:val="left"/>
              <w:rPr>
                <w:rFonts w:ascii="宋体" w:hAnsi="宋体" w:cs="宋体" w:eastAsia="宋体" w:hint="default"/>
                <w:sz w:val="18"/>
                <w:szCs w:val="18"/>
              </w:rPr>
            </w:pPr>
            <w:r>
              <w:rPr>
                <w:rFonts w:ascii="宋体" w:hAnsi="宋体" w:cs="宋体" w:eastAsia="宋体" w:hint="default"/>
                <w:sz w:val="18"/>
                <w:szCs w:val="18"/>
              </w:rPr>
              <w:t>交易性金融负债、衍生金融负债产生的公允价 值变动损益，以及处置交易性金融资产、衍生</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4,449,272.69</w:t>
            </w:r>
          </w:p>
        </w:tc>
        <w:tc>
          <w:tcPr>
            <w:tcW w:w="13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-19,597,662.95</w:t>
            </w:r>
          </w:p>
        </w:tc>
        <w:tc>
          <w:tcPr>
            <w:tcW w:w="13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3,179,207.15</w:t>
            </w:r>
          </w:p>
        </w:tc>
        <w:tc>
          <w:tcPr>
            <w:tcW w:w="1675" w:type="dxa"/>
            <w:tcBorders>
              <w:top w:val="nil" w:sz="6" w:space="0" w:color="auto"/>
              <w:left w:val="single" w:sz="4" w:space="0" w:color="000000"/>
              <w:bottom w:val="nil" w:sz="6" w:space="0" w:color="auto"/>
              <w:right w:val="single" w:sz="12" w:space="0" w:color="000000"/>
            </w:tcBorders>
          </w:tcPr>
          <w:p>
            <w:pPr>
              <w:pStyle w:val="TableParagraph"/>
              <w:spacing w:line="208" w:lineRule="exact"/>
              <w:ind w:left="102" w:right="0"/>
              <w:jc w:val="left"/>
              <w:rPr>
                <w:rFonts w:ascii="宋体" w:hAnsi="宋体" w:cs="宋体" w:eastAsia="宋体" w:hint="default"/>
                <w:sz w:val="18"/>
                <w:szCs w:val="18"/>
              </w:rPr>
            </w:pPr>
            <w:r>
              <w:rPr>
                <w:rFonts w:ascii="宋体" w:hAnsi="宋体" w:cs="宋体" w:eastAsia="宋体" w:hint="default"/>
                <w:sz w:val="18"/>
                <w:szCs w:val="18"/>
              </w:rPr>
              <w:t>动超出现货价格波</w:t>
            </w:r>
          </w:p>
          <w:p>
            <w:pPr>
              <w:pStyle w:val="TableParagraph"/>
              <w:spacing w:line="244" w:lineRule="auto" w:before="4"/>
              <w:ind w:left="102" w:right="111"/>
              <w:jc w:val="left"/>
              <w:rPr>
                <w:rFonts w:ascii="宋体" w:hAnsi="宋体" w:cs="宋体" w:eastAsia="宋体" w:hint="default"/>
                <w:sz w:val="18"/>
                <w:szCs w:val="18"/>
              </w:rPr>
            </w:pPr>
            <w:r>
              <w:rPr>
                <w:rFonts w:ascii="宋体" w:hAnsi="宋体" w:cs="宋体" w:eastAsia="宋体" w:hint="default"/>
                <w:sz w:val="18"/>
                <w:szCs w:val="18"/>
              </w:rPr>
              <w:t>动列入套保无效部 分及开展远期结购</w:t>
            </w:r>
          </w:p>
        </w:tc>
      </w:tr>
      <w:tr>
        <w:trPr>
          <w:trHeight w:val="250" w:hRule="exact"/>
        </w:trPr>
        <w:tc>
          <w:tcPr>
            <w:tcW w:w="3899"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00" w:lineRule="exact"/>
              <w:ind w:left="92" w:right="0"/>
              <w:jc w:val="left"/>
              <w:rPr>
                <w:rFonts w:ascii="宋体" w:hAnsi="宋体" w:cs="宋体" w:eastAsia="宋体" w:hint="default"/>
                <w:sz w:val="18"/>
                <w:szCs w:val="18"/>
              </w:rPr>
            </w:pPr>
            <w:r>
              <w:rPr>
                <w:rFonts w:ascii="宋体" w:hAnsi="宋体" w:cs="宋体" w:eastAsia="宋体" w:hint="default"/>
                <w:sz w:val="18"/>
                <w:szCs w:val="18"/>
              </w:rPr>
              <w:t>金融资产、交易性金融负债、衍生金融负债和</w:t>
            </w:r>
          </w:p>
        </w:tc>
        <w:tc>
          <w:tcPr>
            <w:tcW w:w="1334"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00"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12" w:space="0" w:color="000000"/>
            </w:tcBorders>
          </w:tcPr>
          <w:p>
            <w:pPr>
              <w:pStyle w:val="TableParagraph"/>
              <w:spacing w:line="220" w:lineRule="exact"/>
              <w:ind w:left="102" w:right="0"/>
              <w:jc w:val="left"/>
              <w:rPr>
                <w:rFonts w:ascii="宋体" w:hAnsi="宋体" w:cs="宋体" w:eastAsia="宋体" w:hint="default"/>
                <w:sz w:val="18"/>
                <w:szCs w:val="18"/>
              </w:rPr>
            </w:pPr>
            <w:r>
              <w:rPr>
                <w:rFonts w:ascii="宋体" w:hAnsi="宋体" w:cs="宋体" w:eastAsia="宋体" w:hint="default"/>
                <w:sz w:val="18"/>
                <w:szCs w:val="18"/>
              </w:rPr>
              <w:t>汇公允价值变动和</w:t>
            </w:r>
          </w:p>
        </w:tc>
      </w:tr>
      <w:tr>
        <w:trPr>
          <w:trHeight w:val="333" w:hRule="exact"/>
        </w:trPr>
        <w:tc>
          <w:tcPr>
            <w:tcW w:w="3899" w:type="dxa"/>
            <w:tcBorders>
              <w:top w:val="nil" w:sz="6" w:space="0" w:color="auto"/>
              <w:left w:val="single" w:sz="12" w:space="0" w:color="000000"/>
              <w:bottom w:val="single" w:sz="4" w:space="0" w:color="000000"/>
              <w:right w:val="single" w:sz="4" w:space="0" w:color="000000"/>
            </w:tcBorders>
            <w:shd w:val="clear" w:color="auto" w:fill="D2D2D2"/>
          </w:tcPr>
          <w:p>
            <w:pPr>
              <w:pStyle w:val="TableParagraph"/>
              <w:spacing w:line="240" w:lineRule="auto" w:before="27"/>
              <w:ind w:left="92" w:right="0"/>
              <w:jc w:val="left"/>
              <w:rPr>
                <w:rFonts w:ascii="宋体" w:hAnsi="宋体" w:cs="宋体" w:eastAsia="宋体" w:hint="default"/>
                <w:sz w:val="18"/>
                <w:szCs w:val="18"/>
              </w:rPr>
            </w:pPr>
            <w:r>
              <w:rPr>
                <w:rFonts w:ascii="宋体" w:hAnsi="宋体" w:cs="宋体" w:eastAsia="宋体" w:hint="default"/>
                <w:sz w:val="18"/>
                <w:szCs w:val="18"/>
              </w:rPr>
              <w:t>其他债权投资取得的投资收益</w:t>
            </w:r>
          </w:p>
        </w:tc>
        <w:tc>
          <w:tcPr>
            <w:tcW w:w="1334" w:type="dxa"/>
            <w:tcBorders>
              <w:top w:val="nil" w:sz="6" w:space="0" w:color="auto"/>
              <w:left w:val="single" w:sz="4" w:space="0" w:color="000000"/>
              <w:bottom w:val="single" w:sz="4" w:space="0" w:color="000000"/>
              <w:right w:val="single" w:sz="4" w:space="0" w:color="000000"/>
            </w:tcBorders>
          </w:tcPr>
          <w:p>
            <w:pPr/>
          </w:p>
        </w:tc>
        <w:tc>
          <w:tcPr>
            <w:tcW w:w="1360" w:type="dxa"/>
            <w:tcBorders>
              <w:top w:val="nil" w:sz="6" w:space="0" w:color="auto"/>
              <w:left w:val="single" w:sz="4" w:space="0" w:color="000000"/>
              <w:bottom w:val="single" w:sz="4" w:space="0" w:color="000000"/>
              <w:right w:val="single" w:sz="4" w:space="0" w:color="000000"/>
            </w:tcBorders>
          </w:tcPr>
          <w:p>
            <w:pPr/>
          </w:p>
        </w:tc>
        <w:tc>
          <w:tcPr>
            <w:tcW w:w="1300" w:type="dxa"/>
            <w:tcBorders>
              <w:top w:val="nil" w:sz="6" w:space="0" w:color="auto"/>
              <w:left w:val="single" w:sz="4" w:space="0" w:color="000000"/>
              <w:bottom w:val="single" w:sz="4" w:space="0" w:color="000000"/>
              <w:right w:val="single" w:sz="4" w:space="0" w:color="000000"/>
            </w:tcBorders>
          </w:tcPr>
          <w:p>
            <w:pPr/>
          </w:p>
        </w:tc>
        <w:tc>
          <w:tcPr>
            <w:tcW w:w="1675" w:type="dxa"/>
            <w:tcBorders>
              <w:top w:val="nil" w:sz="6" w:space="0" w:color="auto"/>
              <w:left w:val="single" w:sz="4" w:space="0" w:color="000000"/>
              <w:bottom w:val="single" w:sz="4" w:space="0" w:color="000000"/>
              <w:right w:val="single" w:sz="12" w:space="0" w:color="000000"/>
            </w:tcBorders>
          </w:tcPr>
          <w:p>
            <w:pPr>
              <w:pStyle w:val="TableParagraph"/>
              <w:spacing w:line="210" w:lineRule="exact"/>
              <w:ind w:left="102" w:right="0"/>
              <w:jc w:val="left"/>
              <w:rPr>
                <w:rFonts w:ascii="宋体" w:hAnsi="宋体" w:cs="宋体" w:eastAsia="宋体" w:hint="default"/>
                <w:sz w:val="18"/>
                <w:szCs w:val="18"/>
              </w:rPr>
            </w:pPr>
            <w:r>
              <w:rPr>
                <w:rFonts w:ascii="宋体" w:hAnsi="宋体" w:cs="宋体" w:eastAsia="宋体" w:hint="default"/>
                <w:sz w:val="18"/>
                <w:szCs w:val="18"/>
              </w:rPr>
              <w:t>交割收益</w:t>
            </w:r>
          </w:p>
        </w:tc>
      </w:tr>
      <w:tr>
        <w:trPr>
          <w:trHeight w:val="322" w:hRule="exact"/>
        </w:trPr>
        <w:tc>
          <w:tcPr>
            <w:tcW w:w="389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18" w:right="0"/>
              <w:jc w:val="left"/>
              <w:rPr>
                <w:rFonts w:ascii="Times New Roman" w:hAnsi="Times New Roman" w:cs="Times New Roman" w:eastAsia="Times New Roman" w:hint="default"/>
                <w:sz w:val="18"/>
                <w:szCs w:val="18"/>
              </w:rPr>
            </w:pPr>
            <w:r>
              <w:rPr>
                <w:rFonts w:ascii="Times New Roman"/>
                <w:sz w:val="18"/>
              </w:rPr>
              <w:t>-1,015,961.07</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42" w:right="0"/>
              <w:jc w:val="left"/>
              <w:rPr>
                <w:rFonts w:ascii="Times New Roman" w:hAnsi="Times New Roman" w:cs="Times New Roman" w:eastAsia="Times New Roman" w:hint="default"/>
                <w:sz w:val="18"/>
                <w:szCs w:val="18"/>
              </w:rPr>
            </w:pPr>
            <w:r>
              <w:rPr>
                <w:rFonts w:ascii="Times New Roman"/>
                <w:sz w:val="18"/>
              </w:rPr>
              <w:t>-1,774,147.06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-889,957.27</w:t>
            </w:r>
          </w:p>
        </w:tc>
        <w:tc>
          <w:tcPr>
            <w:tcW w:w="1675" w:type="dxa"/>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389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4,488,528.42</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479,587.11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2,426,400.26</w:t>
            </w:r>
          </w:p>
        </w:tc>
        <w:tc>
          <w:tcPr>
            <w:tcW w:w="1675" w:type="dxa"/>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389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45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2,070,654.31</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608,239.60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656,254.16</w:t>
            </w:r>
          </w:p>
        </w:tc>
        <w:tc>
          <w:tcPr>
            <w:tcW w:w="1675" w:type="dxa"/>
            <w:tcBorders>
              <w:top w:val="single" w:sz="4" w:space="0" w:color="000000"/>
              <w:left w:val="single" w:sz="4" w:space="0" w:color="000000"/>
              <w:bottom w:val="single" w:sz="4" w:space="0" w:color="000000"/>
              <w:right w:val="single" w:sz="12" w:space="0" w:color="000000"/>
            </w:tcBorders>
          </w:tcPr>
          <w:p>
            <w:pPr/>
          </w:p>
        </w:tc>
      </w:tr>
      <w:tr>
        <w:trPr>
          <w:trHeight w:val="332" w:hRule="exact"/>
        </w:trPr>
        <w:tc>
          <w:tcPr>
            <w:tcW w:w="389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86" w:right="0"/>
              <w:jc w:val="left"/>
              <w:rPr>
                <w:rFonts w:ascii="Times New Roman" w:hAnsi="Times New Roman" w:cs="Times New Roman" w:eastAsia="Times New Roman" w:hint="default"/>
                <w:sz w:val="18"/>
                <w:szCs w:val="18"/>
              </w:rPr>
            </w:pPr>
            <w:r>
              <w:rPr>
                <w:rFonts w:ascii="Times New Roman"/>
                <w:sz w:val="18"/>
              </w:rPr>
              <w:t>49,183,307.96</w:t>
            </w:r>
          </w:p>
        </w:tc>
        <w:tc>
          <w:tcPr>
            <w:tcW w:w="13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218" w:right="0"/>
              <w:jc w:val="left"/>
              <w:rPr>
                <w:rFonts w:ascii="Times New Roman" w:hAnsi="Times New Roman" w:cs="Times New Roman" w:eastAsia="Times New Roman" w:hint="default"/>
                <w:sz w:val="18"/>
                <w:szCs w:val="18"/>
              </w:rPr>
            </w:pPr>
            <w:r>
              <w:rPr>
                <w:rFonts w:ascii="Times New Roman"/>
                <w:sz w:val="18"/>
              </w:rPr>
              <w:t>11,053,202.77</w:t>
            </w:r>
          </w:p>
        </w:tc>
        <w:tc>
          <w:tcPr>
            <w:tcW w:w="13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39,409,918.73</w:t>
            </w:r>
          </w:p>
        </w:tc>
        <w:tc>
          <w:tcPr>
            <w:tcW w:w="1675" w:type="dxa"/>
            <w:tcBorders>
              <w:top w:val="single" w:sz="4" w:space="0" w:color="000000"/>
              <w:left w:val="single" w:sz="4" w:space="0" w:color="000000"/>
              <w:bottom w:val="single" w:sz="12" w:space="0" w:color="000000"/>
              <w:right w:val="single" w:sz="12" w:space="0" w:color="000000"/>
            </w:tcBorders>
            <w:shd w:val="clear" w:color="auto" w:fill="D2D2D2"/>
          </w:tcPr>
          <w:p>
            <w:pPr>
              <w:pStyle w:val="TableParagraph"/>
              <w:spacing w:line="240" w:lineRule="auto" w:before="51"/>
              <w:ind w:left="8"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32" w:right="1034"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号——非经常性损益》定义界定的非经常性损益项目，以及把《公</w:t>
      </w:r>
    </w:p>
    <w:p>
      <w:pPr>
        <w:spacing w:line="300" w:lineRule="auto" w:before="63"/>
        <w:ind w:left="132" w:right="1120"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号——非经常性损益》中列举的非经常性损益项目界定为经常性损益的项目，应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说明原因</w:t>
      </w:r>
    </w:p>
    <w:p>
      <w:pPr>
        <w:spacing w:before="72"/>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00" w:lineRule="auto" w:before="117"/>
        <w:ind w:left="132" w:right="1117"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号——非经常性损益》定义、列举的非经常性损益</w:t>
      </w:r>
      <w:r>
        <w:rPr>
          <w:rFonts w:ascii="宋体" w:hAnsi="宋体" w:cs="宋体" w:eastAsia="宋体" w:hint="default"/>
          <w:sz w:val="18"/>
          <w:szCs w:val="18"/>
        </w:rPr>
        <w:t> 项目界定为经常性损益的项目的情形。</w:t>
      </w:r>
    </w:p>
    <w:p>
      <w:pPr>
        <w:spacing w:after="0" w:line="300" w:lineRule="auto"/>
        <w:jc w:val="left"/>
        <w:rPr>
          <w:rFonts w:ascii="宋体" w:hAnsi="宋体" w:cs="宋体" w:eastAsia="宋体" w:hint="default"/>
          <w:sz w:val="18"/>
          <w:szCs w:val="18"/>
        </w:rPr>
        <w:sectPr>
          <w:headerReference w:type="default" r:id="rId12"/>
          <w:pgSz w:w="11910" w:h="16840"/>
          <w:pgMar w:header="890" w:footer="1053" w:top="1420" w:bottom="1240" w:left="100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1020"/>
        <w:jc w:val="center"/>
        <w:rPr>
          <w:b w:val="0"/>
          <w:bCs w:val="0"/>
        </w:rPr>
      </w:pPr>
      <w:bookmarkStart w:name="第三节公司业务概要" w:id="16"/>
      <w:bookmarkEnd w:id="16"/>
      <w:r>
        <w:rPr>
          <w:b w:val="0"/>
          <w:bCs w:val="0"/>
        </w:rPr>
      </w:r>
      <w:bookmarkStart w:name="_bookmark2" w:id="17"/>
      <w:bookmarkEnd w:id="17"/>
      <w:r>
        <w:rPr>
          <w:b w:val="0"/>
          <w:bCs w:val="0"/>
        </w:rPr>
      </w:r>
      <w:r>
        <w:rPr/>
        <w:t>第三节公司业务概要</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left="112" w:right="0"/>
        <w:jc w:val="both"/>
        <w:rPr>
          <w:b w:val="0"/>
          <w:bCs w:val="0"/>
        </w:rPr>
      </w:pPr>
      <w:bookmarkStart w:name="一、报告期内公司从事的主要业务" w:id="18"/>
      <w:bookmarkEnd w:id="18"/>
      <w:r>
        <w:rPr>
          <w:b w:val="0"/>
          <w:bCs w:val="0"/>
        </w:rPr>
      </w:r>
      <w:r>
        <w:rPr/>
        <w:t>一、报告期内公司从事的主要业务</w:t>
      </w:r>
      <w:r>
        <w:rPr>
          <w:b w:val="0"/>
          <w:bCs w:val="0"/>
        </w:rPr>
      </w:r>
    </w:p>
    <w:p>
      <w:pPr>
        <w:spacing w:line="468" w:lineRule="exact" w:before="192"/>
        <w:ind w:left="532" w:right="1211"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报告期内，公司主营经营模式（包括采购模式、生产模式和销售模式）未发生重大变化。</w:t>
      </w:r>
      <w:r>
        <w:rPr>
          <w:rFonts w:ascii="宋体" w:hAnsi="宋体" w:cs="宋体" w:eastAsia="宋体" w:hint="default"/>
          <w:w w:val="99"/>
          <w:sz w:val="21"/>
          <w:szCs w:val="21"/>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电线电缆</w:t>
      </w:r>
      <w:r>
        <w:rPr>
          <w:rFonts w:ascii="宋体" w:hAnsi="宋体" w:cs="宋体" w:eastAsia="宋体" w:hint="default"/>
          <w:b/>
          <w:bCs/>
          <w:w w:val="99"/>
          <w:sz w:val="21"/>
          <w:szCs w:val="21"/>
        </w:rPr>
        <w:t> </w:t>
      </w:r>
      <w:r>
        <w:rPr>
          <w:rFonts w:ascii="宋体" w:hAnsi="宋体" w:cs="宋体" w:eastAsia="宋体" w:hint="default"/>
          <w:w w:val="95"/>
          <w:sz w:val="21"/>
          <w:szCs w:val="21"/>
        </w:rPr>
        <w:t>公司以绿色能源传输为已任，能为客户提供智能输电解决方案。产品大类主要包括电力电缆（</w:t>
      </w:r>
      <w:r>
        <w:rPr>
          <w:rFonts w:ascii="Times New Roman" w:hAnsi="Times New Roman" w:cs="Times New Roman" w:eastAsia="Times New Roman" w:hint="default"/>
          <w:w w:val="95"/>
          <w:sz w:val="21"/>
          <w:szCs w:val="21"/>
        </w:rPr>
        <w:t>500kV</w:t>
      </w:r>
      <w:r>
        <w:rPr>
          <w:rFonts w:ascii="Times New Roman" w:hAnsi="Times New Roman" w:cs="Times New Roman" w:eastAsia="Times New Roman" w:hint="default"/>
          <w:sz w:val="21"/>
          <w:szCs w:val="21"/>
        </w:rPr>
      </w:r>
    </w:p>
    <w:p>
      <w:pPr>
        <w:spacing w:line="264" w:lineRule="exact" w:before="0"/>
        <w:ind w:left="112" w:right="0" w:firstLine="0"/>
        <w:jc w:val="both"/>
        <w:rPr>
          <w:rFonts w:ascii="宋体" w:hAnsi="宋体" w:cs="宋体" w:eastAsia="宋体" w:hint="default"/>
          <w:sz w:val="21"/>
          <w:szCs w:val="21"/>
        </w:rPr>
      </w:pPr>
      <w:r>
        <w:rPr>
          <w:rFonts w:ascii="宋体" w:hAnsi="宋体" w:cs="宋体" w:eastAsia="宋体" w:hint="default"/>
          <w:sz w:val="21"/>
          <w:szCs w:val="21"/>
        </w:rPr>
        <w:t>及以下的超高压交联聚乙烯绝缘电缆、</w:t>
      </w:r>
      <w:r>
        <w:rPr>
          <w:rFonts w:ascii="Times New Roman" w:hAnsi="Times New Roman" w:cs="Times New Roman" w:eastAsia="Times New Roman" w:hint="default"/>
          <w:sz w:val="21"/>
          <w:szCs w:val="21"/>
        </w:rPr>
        <w:t>6kV</w:t>
      </w:r>
      <w:r>
        <w:rPr>
          <w:rFonts w:ascii="宋体" w:hAnsi="宋体" w:cs="宋体" w:eastAsia="宋体" w:hint="default"/>
          <w:sz w:val="21"/>
          <w:szCs w:val="21"/>
        </w:rPr>
        <w:t>～</w:t>
      </w:r>
      <w:r>
        <w:rPr>
          <w:rFonts w:ascii="Times New Roman" w:hAnsi="Times New Roman" w:cs="Times New Roman" w:eastAsia="Times New Roman" w:hint="default"/>
          <w:sz w:val="21"/>
          <w:szCs w:val="21"/>
        </w:rPr>
        <w:t>35kV</w:t>
      </w:r>
      <w:r>
        <w:rPr>
          <w:rFonts w:ascii="宋体" w:hAnsi="宋体" w:cs="宋体" w:eastAsia="宋体" w:hint="default"/>
          <w:sz w:val="21"/>
          <w:szCs w:val="21"/>
        </w:rPr>
        <w:t>的中压电缆、低压电缆）、防火耐火电缆、特种电缆、</w:t>
      </w:r>
    </w:p>
    <w:p>
      <w:pPr>
        <w:spacing w:line="273" w:lineRule="auto" w:before="21"/>
        <w:ind w:left="112" w:right="1115" w:firstLine="0"/>
        <w:jc w:val="left"/>
        <w:rPr>
          <w:rFonts w:ascii="宋体" w:hAnsi="宋体" w:cs="宋体" w:eastAsia="宋体" w:hint="default"/>
          <w:sz w:val="21"/>
          <w:szCs w:val="21"/>
        </w:rPr>
      </w:pPr>
      <w:r>
        <w:rPr>
          <w:rFonts w:ascii="宋体" w:hAnsi="宋体" w:cs="宋体" w:eastAsia="宋体" w:hint="default"/>
          <w:w w:val="95"/>
          <w:sz w:val="21"/>
          <w:szCs w:val="21"/>
        </w:rPr>
        <w:t>民用建筑线缆、光纤光缆、同轴电缆、数据通信电缆、高端智能装备线缆等系列产品，是国内拥有成熟线</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z w:val="21"/>
          <w:szCs w:val="21"/>
        </w:rPr>
        <w:t>缆产业链的</w:t>
      </w:r>
      <w:r>
        <w:rPr>
          <w:rFonts w:ascii="Times New Roman" w:hAnsi="Times New Roman" w:cs="Times New Roman" w:eastAsia="Times New Roman" w:hint="default"/>
          <w:sz w:val="21"/>
          <w:szCs w:val="21"/>
        </w:rPr>
        <w:t>“</w:t>
      </w:r>
      <w:r>
        <w:rPr>
          <w:rFonts w:ascii="宋体" w:hAnsi="宋体" w:cs="宋体" w:eastAsia="宋体" w:hint="default"/>
          <w:sz w:val="21"/>
          <w:szCs w:val="21"/>
        </w:rPr>
        <w:t>综合线缆供应商</w:t>
      </w:r>
      <w:r>
        <w:rPr>
          <w:rFonts w:ascii="Times New Roman" w:hAnsi="Times New Roman" w:cs="Times New Roman" w:eastAsia="Times New Roman" w:hint="default"/>
          <w:sz w:val="21"/>
          <w:szCs w:val="21"/>
        </w:rPr>
        <w:t>”</w:t>
      </w:r>
      <w:r>
        <w:rPr>
          <w:rFonts w:ascii="宋体" w:hAnsi="宋体" w:cs="宋体" w:eastAsia="宋体" w:hint="default"/>
          <w:sz w:val="21"/>
          <w:szCs w:val="21"/>
        </w:rPr>
        <w:t>。公司线缆产品主要应用领域：</w:t>
      </w:r>
    </w:p>
    <w:p>
      <w:pPr>
        <w:spacing w:line="240" w:lineRule="auto" w:before="2"/>
        <w:rPr>
          <w:rFonts w:ascii="宋体" w:hAnsi="宋体" w:cs="宋体" w:eastAsia="宋体" w:hint="default"/>
          <w:sz w:val="16"/>
          <w:szCs w:val="16"/>
        </w:rPr>
      </w:pPr>
    </w:p>
    <w:p>
      <w:pPr>
        <w:spacing w:line="3334" w:lineRule="exact"/>
        <w:ind w:left="115" w:right="0" w:firstLine="0"/>
        <w:rPr>
          <w:rFonts w:ascii="宋体" w:hAnsi="宋体" w:cs="宋体" w:eastAsia="宋体" w:hint="default"/>
          <w:sz w:val="20"/>
          <w:szCs w:val="20"/>
        </w:rPr>
      </w:pPr>
      <w:r>
        <w:rPr>
          <w:rFonts w:ascii="宋体" w:hAnsi="宋体" w:cs="宋体" w:eastAsia="宋体" w:hint="default"/>
          <w:position w:val="-66"/>
          <w:sz w:val="20"/>
          <w:szCs w:val="20"/>
        </w:rPr>
        <w:drawing>
          <wp:inline distT="0" distB="0" distL="0" distR="0">
            <wp:extent cx="4566739" cy="2117598"/>
            <wp:effectExtent l="0" t="0" r="0" b="0"/>
            <wp:docPr id="1" name="image3.jpeg" descr=""/>
            <wp:cNvGraphicFramePr>
              <a:graphicFrameLocks noChangeAspect="1"/>
            </wp:cNvGraphicFramePr>
            <a:graphic>
              <a:graphicData uri="http://schemas.openxmlformats.org/drawingml/2006/picture">
                <pic:pic>
                  <pic:nvPicPr>
                    <pic:cNvPr id="2" name="image3.jpeg"/>
                    <pic:cNvPicPr/>
                  </pic:nvPicPr>
                  <pic:blipFill>
                    <a:blip r:embed="rId13" cstate="print"/>
                    <a:stretch>
                      <a:fillRect/>
                    </a:stretch>
                  </pic:blipFill>
                  <pic:spPr>
                    <a:xfrm>
                      <a:off x="0" y="0"/>
                      <a:ext cx="4566739" cy="2117598"/>
                    </a:xfrm>
                    <a:prstGeom prst="rect">
                      <a:avLst/>
                    </a:prstGeom>
                  </pic:spPr>
                </pic:pic>
              </a:graphicData>
            </a:graphic>
          </wp:inline>
        </w:drawing>
      </w:r>
      <w:r>
        <w:rPr>
          <w:rFonts w:ascii="宋体" w:hAnsi="宋体" w:cs="宋体" w:eastAsia="宋体" w:hint="default"/>
          <w:position w:val="-66"/>
          <w:sz w:val="20"/>
          <w:szCs w:val="20"/>
        </w:rPr>
      </w:r>
    </w:p>
    <w:p>
      <w:pPr>
        <w:spacing w:line="266" w:lineRule="auto" w:before="187"/>
        <w:ind w:left="112" w:right="1132" w:firstLine="482"/>
        <w:jc w:val="both"/>
        <w:rPr>
          <w:rFonts w:ascii="宋体" w:hAnsi="宋体" w:cs="宋体" w:eastAsia="宋体" w:hint="default"/>
          <w:sz w:val="21"/>
          <w:szCs w:val="21"/>
        </w:rPr>
      </w:pPr>
      <w:r>
        <w:rPr>
          <w:rFonts w:ascii="宋体" w:hAnsi="宋体" w:cs="宋体" w:eastAsia="宋体" w:hint="default"/>
          <w:spacing w:val="-2"/>
          <w:sz w:val="21"/>
          <w:szCs w:val="21"/>
        </w:rPr>
        <w:t>我国电线电缆行业集中度正在提高，技术水平在快速提升。公司产品种类齐全，具备电力传输一体化</w:t>
      </w:r>
      <w:r>
        <w:rPr>
          <w:rFonts w:ascii="宋体" w:hAnsi="宋体" w:cs="宋体" w:eastAsia="宋体" w:hint="default"/>
          <w:w w:val="99"/>
          <w:sz w:val="21"/>
          <w:szCs w:val="21"/>
        </w:rPr>
        <w:t> </w:t>
      </w:r>
      <w:r>
        <w:rPr>
          <w:rFonts w:ascii="宋体" w:hAnsi="宋体" w:cs="宋体" w:eastAsia="宋体" w:hint="default"/>
          <w:w w:val="95"/>
          <w:sz w:val="21"/>
          <w:szCs w:val="21"/>
        </w:rPr>
        <w:t>解决能力，超高压电缆、防火电缆、风能电缆等线缆产品处于国内领先地位。经中国电器工业协会电线电</w:t>
      </w:r>
      <w:r>
        <w:rPr>
          <w:rFonts w:ascii="宋体" w:hAnsi="宋体" w:cs="宋体" w:eastAsia="宋体" w:hint="default"/>
          <w:spacing w:val="39"/>
          <w:w w:val="95"/>
          <w:sz w:val="21"/>
          <w:szCs w:val="21"/>
        </w:rPr>
        <w:t> </w:t>
      </w:r>
      <w:r>
        <w:rPr>
          <w:rFonts w:ascii="宋体" w:hAnsi="宋体" w:cs="宋体" w:eastAsia="宋体" w:hint="default"/>
          <w:spacing w:val="39"/>
          <w:w w:val="95"/>
          <w:sz w:val="21"/>
          <w:szCs w:val="21"/>
        </w:rPr>
      </w:r>
      <w:r>
        <w:rPr>
          <w:rFonts w:ascii="宋体" w:hAnsi="宋体" w:cs="宋体" w:eastAsia="宋体" w:hint="default"/>
          <w:w w:val="95"/>
          <w:sz w:val="21"/>
          <w:szCs w:val="21"/>
        </w:rPr>
        <w:t>缆分会和上海电缆研究所联合评比，万马股份荣获</w:t>
      </w:r>
      <w:r>
        <w:rPr>
          <w:rFonts w:ascii="Times New Roman" w:hAnsi="Times New Roman" w:cs="Times New Roman" w:eastAsia="Times New Roman" w:hint="default"/>
          <w:w w:val="95"/>
          <w:sz w:val="21"/>
          <w:szCs w:val="21"/>
        </w:rPr>
        <w:t>“2019</w:t>
      </w:r>
      <w:r>
        <w:rPr>
          <w:rFonts w:ascii="宋体" w:hAnsi="宋体" w:cs="宋体" w:eastAsia="宋体" w:hint="default"/>
          <w:w w:val="95"/>
          <w:sz w:val="21"/>
          <w:szCs w:val="21"/>
        </w:rPr>
        <w:t>中国线缆行业最具竞争力企业</w:t>
      </w:r>
      <w:r>
        <w:rPr>
          <w:rFonts w:ascii="Times New Roman" w:hAnsi="Times New Roman" w:cs="Times New Roman" w:eastAsia="Times New Roman" w:hint="default"/>
          <w:w w:val="95"/>
          <w:sz w:val="21"/>
          <w:szCs w:val="21"/>
        </w:rPr>
        <w:t>10</w:t>
      </w:r>
      <w:r>
        <w:rPr>
          <w:rFonts w:ascii="宋体" w:hAnsi="宋体" w:cs="宋体" w:eastAsia="宋体" w:hint="default"/>
          <w:w w:val="95"/>
          <w:sz w:val="21"/>
          <w:szCs w:val="21"/>
        </w:rPr>
        <w:t>强</w:t>
      </w:r>
      <w:r>
        <w:rPr>
          <w:rFonts w:ascii="Times New Roman" w:hAnsi="Times New Roman" w:cs="Times New Roman" w:eastAsia="Times New Roman" w:hint="default"/>
          <w:w w:val="95"/>
          <w:sz w:val="21"/>
          <w:szCs w:val="21"/>
        </w:rPr>
        <w:t>”</w:t>
      </w:r>
      <w:r>
        <w:rPr>
          <w:rFonts w:ascii="宋体" w:hAnsi="宋体" w:cs="宋体" w:eastAsia="宋体" w:hint="default"/>
          <w:w w:val="95"/>
          <w:sz w:val="21"/>
          <w:szCs w:val="21"/>
        </w:rPr>
        <w:t>；经《中国能</w:t>
      </w:r>
      <w:r>
        <w:rPr>
          <w:rFonts w:ascii="宋体" w:hAnsi="宋体" w:cs="宋体" w:eastAsia="宋体" w:hint="default"/>
          <w:spacing w:val="57"/>
          <w:w w:val="95"/>
          <w:sz w:val="21"/>
          <w:szCs w:val="21"/>
        </w:rPr>
        <w:t> </w:t>
      </w:r>
      <w:r>
        <w:rPr>
          <w:rFonts w:ascii="宋体" w:hAnsi="宋体" w:cs="宋体" w:eastAsia="宋体" w:hint="default"/>
          <w:spacing w:val="57"/>
          <w:w w:val="95"/>
          <w:sz w:val="21"/>
          <w:szCs w:val="21"/>
        </w:rPr>
      </w:r>
      <w:r>
        <w:rPr>
          <w:rFonts w:ascii="宋体" w:hAnsi="宋体" w:cs="宋体" w:eastAsia="宋体" w:hint="default"/>
          <w:sz w:val="21"/>
          <w:szCs w:val="21"/>
        </w:rPr>
        <w:t>源报》与中国能源经济研究院联合评比，公司荣登</w:t>
      </w:r>
      <w:r>
        <w:rPr>
          <w:rFonts w:ascii="Times New Roman" w:hAnsi="Times New Roman" w:cs="Times New Roman" w:eastAsia="Times New Roman" w:hint="default"/>
          <w:sz w:val="21"/>
          <w:szCs w:val="21"/>
        </w:rPr>
        <w:t>“2019</w:t>
      </w:r>
      <w:r>
        <w:rPr>
          <w:rFonts w:ascii="宋体" w:hAnsi="宋体" w:cs="宋体" w:eastAsia="宋体" w:hint="default"/>
          <w:sz w:val="21"/>
          <w:szCs w:val="21"/>
        </w:rPr>
        <w:t>全球新能源企业</w:t>
      </w:r>
      <w:r>
        <w:rPr>
          <w:rFonts w:ascii="Times New Roman" w:hAnsi="Times New Roman" w:cs="Times New Roman" w:eastAsia="Times New Roman" w:hint="default"/>
          <w:sz w:val="21"/>
          <w:szCs w:val="21"/>
        </w:rPr>
        <w:t>500</w:t>
      </w:r>
      <w:r>
        <w:rPr>
          <w:rFonts w:ascii="宋体" w:hAnsi="宋体" w:cs="宋体" w:eastAsia="宋体" w:hint="default"/>
          <w:sz w:val="21"/>
          <w:szCs w:val="21"/>
        </w:rPr>
        <w:t>强</w:t>
      </w:r>
      <w:r>
        <w:rPr>
          <w:rFonts w:ascii="Times New Roman" w:hAnsi="Times New Roman" w:cs="Times New Roman" w:eastAsia="Times New Roman" w:hint="default"/>
          <w:sz w:val="21"/>
          <w:szCs w:val="21"/>
        </w:rPr>
        <w:t>”</w:t>
      </w:r>
      <w:r>
        <w:rPr>
          <w:rFonts w:ascii="宋体" w:hAnsi="宋体" w:cs="宋体" w:eastAsia="宋体" w:hint="default"/>
          <w:sz w:val="21"/>
          <w:szCs w:val="21"/>
        </w:rPr>
        <w:t>榜单。</w:t>
      </w:r>
    </w:p>
    <w:p>
      <w:pPr>
        <w:spacing w:line="273" w:lineRule="auto" w:before="151"/>
        <w:ind w:left="112" w:right="1028" w:firstLine="420"/>
        <w:jc w:val="left"/>
        <w:rPr>
          <w:rFonts w:ascii="宋体" w:hAnsi="宋体" w:cs="宋体" w:eastAsia="宋体" w:hint="default"/>
          <w:sz w:val="21"/>
          <w:szCs w:val="21"/>
        </w:rPr>
      </w:pPr>
      <w:r>
        <w:rPr>
          <w:rFonts w:ascii="宋体" w:hAnsi="宋体" w:cs="宋体" w:eastAsia="宋体" w:hint="default"/>
          <w:sz w:val="21"/>
          <w:szCs w:val="21"/>
        </w:rPr>
        <w:t>公司是国内规模较大的通信线缆制造企业，拥有广泛的销售渠道和良好的客户关系；拥有世界上最先</w:t>
      </w:r>
      <w:r>
        <w:rPr>
          <w:rFonts w:ascii="宋体" w:hAnsi="宋体" w:cs="宋体" w:eastAsia="宋体" w:hint="default"/>
          <w:w w:val="99"/>
          <w:sz w:val="21"/>
          <w:szCs w:val="21"/>
        </w:rPr>
        <w:t> </w:t>
      </w:r>
      <w:r>
        <w:rPr>
          <w:rFonts w:ascii="宋体" w:hAnsi="宋体" w:cs="宋体" w:eastAsia="宋体" w:hint="default"/>
          <w:sz w:val="21"/>
          <w:szCs w:val="21"/>
        </w:rPr>
        <w:t>进的物理发泡串联生产线（奥地利罗森泰生产线）和德国莱茵认证的电缆实验室及电缆材料检测中心，建</w:t>
      </w:r>
      <w:r>
        <w:rPr>
          <w:rFonts w:ascii="宋体" w:hAnsi="宋体" w:cs="宋体" w:eastAsia="宋体" w:hint="default"/>
          <w:w w:val="99"/>
          <w:sz w:val="21"/>
          <w:szCs w:val="21"/>
        </w:rPr>
        <w:t> </w:t>
      </w:r>
      <w:r>
        <w:rPr>
          <w:rFonts w:ascii="宋体" w:hAnsi="宋体" w:cs="宋体" w:eastAsia="宋体" w:hint="default"/>
          <w:sz w:val="21"/>
          <w:szCs w:val="21"/>
        </w:rPr>
        <w:t>立了完善的同轴电缆生产在线实时监控系统，确保产品质量得到有效保障。公司未来将紧紧抓住电子信息</w:t>
      </w:r>
      <w:r>
        <w:rPr>
          <w:rFonts w:ascii="宋体" w:hAnsi="宋体" w:cs="宋体" w:eastAsia="宋体" w:hint="default"/>
          <w:w w:val="99"/>
          <w:sz w:val="21"/>
          <w:szCs w:val="21"/>
        </w:rPr>
        <w:t> </w:t>
      </w:r>
      <w:r>
        <w:rPr>
          <w:rFonts w:ascii="宋体" w:hAnsi="宋体" w:cs="宋体" w:eastAsia="宋体" w:hint="default"/>
          <w:spacing w:val="-3"/>
          <w:sz w:val="21"/>
          <w:szCs w:val="21"/>
        </w:rPr>
        <w:t>与通信行业的快速发展期，不断做大做强高端工业装备控制线缆及线束、5G用室内布线光电缆等业务领域，</w:t>
      </w:r>
      <w:r>
        <w:rPr>
          <w:rFonts w:ascii="宋体" w:hAnsi="宋体" w:cs="宋体" w:eastAsia="宋体" w:hint="default"/>
          <w:w w:val="99"/>
          <w:sz w:val="21"/>
          <w:szCs w:val="21"/>
        </w:rPr>
        <w:t> </w:t>
      </w:r>
      <w:r>
        <w:rPr>
          <w:rFonts w:ascii="宋体" w:hAnsi="宋体" w:cs="宋体" w:eastAsia="宋体" w:hint="default"/>
          <w:spacing w:val="2"/>
          <w:sz w:val="21"/>
          <w:szCs w:val="21"/>
        </w:rPr>
        <w:t>开拓新的业务空间，逐步实现新的增长点。公司通信线缆产品系列包括：同轴电缆（包括SYWV（Y）系列</w:t>
      </w:r>
    </w:p>
    <w:p>
      <w:pPr>
        <w:spacing w:line="273" w:lineRule="auto" w:before="7"/>
        <w:ind w:left="112" w:right="1007" w:firstLine="0"/>
        <w:jc w:val="both"/>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17"/>
          <w:sz w:val="21"/>
          <w:szCs w:val="21"/>
        </w:rPr>
        <w:t> </w:t>
      </w:r>
      <w:r>
        <w:rPr>
          <w:rFonts w:ascii="宋体" w:hAnsi="宋体" w:cs="宋体" w:eastAsia="宋体" w:hint="default"/>
          <w:sz w:val="21"/>
          <w:szCs w:val="21"/>
        </w:rPr>
        <w:t>-7</w:t>
      </w:r>
      <w:r>
        <w:rPr>
          <w:rFonts w:ascii="宋体" w:hAnsi="宋体" w:cs="宋体" w:eastAsia="宋体" w:hint="default"/>
          <w:spacing w:val="14"/>
          <w:sz w:val="21"/>
          <w:szCs w:val="21"/>
        </w:rPr>
        <w:t> </w:t>
      </w:r>
      <w:r>
        <w:rPr>
          <w:rFonts w:ascii="宋体" w:hAnsi="宋体" w:cs="宋体" w:eastAsia="宋体" w:hint="default"/>
          <w:sz w:val="21"/>
          <w:szCs w:val="21"/>
        </w:rPr>
        <w:t>-9</w:t>
      </w:r>
      <w:r>
        <w:rPr>
          <w:rFonts w:ascii="宋体" w:hAnsi="宋体" w:cs="宋体" w:eastAsia="宋体" w:hint="default"/>
          <w:spacing w:val="14"/>
          <w:sz w:val="21"/>
          <w:szCs w:val="21"/>
        </w:rPr>
        <w:t> </w:t>
      </w:r>
      <w:r>
        <w:rPr>
          <w:rFonts w:ascii="宋体" w:hAnsi="宋体" w:cs="宋体" w:eastAsia="宋体" w:hint="default"/>
          <w:sz w:val="21"/>
          <w:szCs w:val="21"/>
        </w:rPr>
        <w:t>-12等、LMR低损耗系列、RG系列：RG6、RG11、RG59、RG176等、50欧姆集束线缆等）、室内外</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光缆（包括ADSS、FTTH、层绞式、自承式、中心束管、光电复合缆、蝶形、圆形引入缆、拉远光缆、单双</w:t>
      </w:r>
      <w:r>
        <w:rPr>
          <w:rFonts w:ascii="宋体" w:hAnsi="宋体" w:cs="宋体" w:eastAsia="宋体" w:hint="default"/>
          <w:w w:val="99"/>
          <w:sz w:val="21"/>
          <w:szCs w:val="21"/>
        </w:rPr>
        <w:t> </w:t>
      </w:r>
      <w:r>
        <w:rPr>
          <w:rFonts w:ascii="宋体" w:hAnsi="宋体" w:cs="宋体" w:eastAsia="宋体" w:hint="default"/>
          <w:sz w:val="21"/>
          <w:szCs w:val="21"/>
        </w:rPr>
        <w:t>芯、Module光缆子缆等）、安防数据缆（包括CAT5e+、CAT6、CAT6A、CAT7、CMP级数据缆、喇叭线、火警</w:t>
      </w:r>
      <w:r>
        <w:rPr>
          <w:rFonts w:ascii="宋体" w:hAnsi="宋体" w:cs="宋体" w:eastAsia="宋体" w:hint="default"/>
          <w:w w:val="99"/>
          <w:sz w:val="21"/>
          <w:szCs w:val="21"/>
        </w:rPr>
        <w:t> </w:t>
      </w:r>
      <w:r>
        <w:rPr>
          <w:rFonts w:ascii="宋体" w:hAnsi="宋体" w:cs="宋体" w:eastAsia="宋体" w:hint="default"/>
          <w:spacing w:val="-2"/>
          <w:w w:val="95"/>
          <w:sz w:val="21"/>
          <w:szCs w:val="21"/>
        </w:rPr>
        <w:t>线、监控线、信号控制电源线等）、组件连接线（包括有线电视连接线、网线跳线、光跳线、充电枪等）。</w:t>
      </w:r>
      <w:r>
        <w:rPr>
          <w:rFonts w:ascii="宋体" w:hAnsi="宋体" w:cs="宋体" w:eastAsia="宋体" w:hint="default"/>
          <w:spacing w:val="-2"/>
          <w:sz w:val="21"/>
          <w:szCs w:val="21"/>
        </w:rPr>
      </w:r>
    </w:p>
    <w:p>
      <w:pPr>
        <w:spacing w:line="450" w:lineRule="atLeast" w:before="4"/>
        <w:ind w:left="595" w:right="1119" w:firstLine="2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新材料</w:t>
      </w:r>
      <w:r>
        <w:rPr>
          <w:rFonts w:ascii="宋体" w:hAnsi="宋体" w:cs="宋体" w:eastAsia="宋体" w:hint="default"/>
          <w:b/>
          <w:bCs/>
          <w:w w:val="99"/>
          <w:sz w:val="21"/>
          <w:szCs w:val="21"/>
        </w:rPr>
        <w:t> </w:t>
      </w:r>
      <w:r>
        <w:rPr>
          <w:rFonts w:ascii="宋体" w:hAnsi="宋体" w:cs="宋体" w:eastAsia="宋体" w:hint="default"/>
          <w:spacing w:val="-2"/>
          <w:sz w:val="21"/>
          <w:szCs w:val="21"/>
        </w:rPr>
        <w:t>万马高分子专业从事化学交联电力电缆绝缘、屏蔽材料、电缆用阻燃性材料以及环保型高分子新材料</w:t>
      </w:r>
    </w:p>
    <w:p>
      <w:pPr>
        <w:spacing w:before="37"/>
        <w:ind w:left="112" w:right="0" w:firstLine="0"/>
        <w:jc w:val="both"/>
        <w:rPr>
          <w:rFonts w:ascii="宋体" w:hAnsi="宋体" w:cs="宋体" w:eastAsia="宋体" w:hint="default"/>
          <w:sz w:val="21"/>
          <w:szCs w:val="21"/>
        </w:rPr>
      </w:pPr>
      <w:r>
        <w:rPr>
          <w:rFonts w:ascii="宋体" w:hAnsi="宋体" w:cs="宋体" w:eastAsia="宋体" w:hint="default"/>
          <w:sz w:val="21"/>
          <w:szCs w:val="21"/>
        </w:rPr>
        <w:t>的研发、生产与销售，是国内从事化学交联电缆绝缘材料生产历史悠久的企业，公司主要产品包括：</w:t>
      </w:r>
    </w:p>
    <w:p>
      <w:pPr>
        <w:spacing w:line="240" w:lineRule="auto" w:before="10"/>
        <w:rPr>
          <w:rFonts w:ascii="宋体" w:hAnsi="宋体" w:cs="宋体" w:eastAsia="宋体" w:hint="default"/>
          <w:sz w:val="14"/>
          <w:szCs w:val="14"/>
        </w:rPr>
      </w:pPr>
    </w:p>
    <w:p>
      <w:pPr>
        <w:spacing w:before="0"/>
        <w:ind w:left="59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110kV</w:t>
      </w:r>
      <w:r>
        <w:rPr>
          <w:rFonts w:ascii="宋体" w:hAnsi="宋体" w:cs="宋体" w:eastAsia="宋体" w:hint="default"/>
          <w:sz w:val="21"/>
          <w:szCs w:val="21"/>
        </w:rPr>
        <w:t>及以上化学交联聚乙烯高压电缆用绝缘料、35kV及以下化学交联聚乙烯电缆用绝缘料、35kV及</w:t>
      </w:r>
    </w:p>
    <w:p>
      <w:pPr>
        <w:spacing w:after="0"/>
        <w:jc w:val="left"/>
        <w:rPr>
          <w:rFonts w:ascii="宋体" w:hAnsi="宋体" w:cs="宋体" w:eastAsia="宋体" w:hint="default"/>
          <w:sz w:val="21"/>
          <w:szCs w:val="21"/>
        </w:rPr>
        <w:sectPr>
          <w:pgSz w:w="11910" w:h="16840"/>
          <w:pgMar w:header="890" w:footer="1053" w:top="1420" w:bottom="1240" w:left="1020" w:right="0"/>
        </w:sectPr>
      </w:pPr>
    </w:p>
    <w:p>
      <w:pPr>
        <w:spacing w:line="273" w:lineRule="auto" w:before="43"/>
        <w:ind w:left="112" w:right="0" w:firstLine="0"/>
        <w:jc w:val="left"/>
        <w:rPr>
          <w:rFonts w:ascii="宋体" w:hAnsi="宋体" w:cs="宋体" w:eastAsia="宋体" w:hint="default"/>
          <w:sz w:val="21"/>
          <w:szCs w:val="21"/>
        </w:rPr>
      </w:pPr>
      <w:r>
        <w:rPr>
          <w:rFonts w:ascii="宋体" w:hAnsi="宋体" w:cs="宋体" w:eastAsia="宋体" w:hint="default"/>
          <w:spacing w:val="-3"/>
          <w:sz w:val="21"/>
          <w:szCs w:val="21"/>
        </w:rPr>
        <w:t>以下化学交联黑色聚乙烯架空电缆用绝缘料、35kV及以下抗水树电缆用绝缘料；中高压电缆用内外屏蔽料；</w:t>
      </w:r>
      <w:r>
        <w:rPr>
          <w:rFonts w:ascii="宋体" w:hAnsi="宋体" w:cs="宋体" w:eastAsia="宋体" w:hint="default"/>
          <w:w w:val="99"/>
          <w:sz w:val="21"/>
          <w:szCs w:val="21"/>
        </w:rPr>
        <w:t> </w:t>
      </w:r>
      <w:r>
        <w:rPr>
          <w:rFonts w:ascii="宋体" w:hAnsi="宋体" w:cs="宋体" w:eastAsia="宋体" w:hint="default"/>
          <w:sz w:val="21"/>
          <w:szCs w:val="21"/>
        </w:rPr>
        <w:t>特种PVC料；一步法、两步法及特种硅烷交联聚乙烯绝缘料、自然交联聚乙烯电缆料；热塑性、辐照型低</w:t>
      </w:r>
      <w:r>
        <w:rPr>
          <w:rFonts w:ascii="宋体" w:hAnsi="宋体" w:cs="宋体" w:eastAsia="宋体" w:hint="default"/>
          <w:w w:val="99"/>
          <w:sz w:val="21"/>
          <w:szCs w:val="21"/>
        </w:rPr>
        <w:t> </w:t>
      </w:r>
      <w:r>
        <w:rPr>
          <w:rFonts w:ascii="宋体" w:hAnsi="宋体" w:cs="宋体" w:eastAsia="宋体" w:hint="default"/>
          <w:sz w:val="21"/>
          <w:szCs w:val="21"/>
        </w:rPr>
        <w:t>烟无卤系列电缆料；弹性体TPE、TPU等。主要产品品类图：</w:t>
      </w:r>
    </w:p>
    <w:p>
      <w:pPr>
        <w:spacing w:line="240" w:lineRule="auto" w:before="9"/>
        <w:rPr>
          <w:rFonts w:ascii="宋体" w:hAnsi="宋体" w:cs="宋体" w:eastAsia="宋体" w:hint="default"/>
          <w:sz w:val="16"/>
          <w:szCs w:val="16"/>
        </w:rPr>
      </w:pPr>
    </w:p>
    <w:p>
      <w:pPr>
        <w:spacing w:line="3645" w:lineRule="exact"/>
        <w:ind w:left="115" w:right="0" w:firstLine="0"/>
        <w:rPr>
          <w:rFonts w:ascii="宋体" w:hAnsi="宋体" w:cs="宋体" w:eastAsia="宋体" w:hint="default"/>
          <w:sz w:val="20"/>
          <w:szCs w:val="20"/>
        </w:rPr>
      </w:pPr>
      <w:r>
        <w:rPr>
          <w:rFonts w:ascii="宋体" w:hAnsi="宋体" w:cs="宋体" w:eastAsia="宋体" w:hint="default"/>
          <w:position w:val="-72"/>
          <w:sz w:val="20"/>
          <w:szCs w:val="20"/>
        </w:rPr>
        <w:drawing>
          <wp:inline distT="0" distB="0" distL="0" distR="0">
            <wp:extent cx="5079922" cy="2314575"/>
            <wp:effectExtent l="0" t="0" r="0" b="0"/>
            <wp:docPr id="3" name="image4.jpeg" descr=""/>
            <wp:cNvGraphicFramePr>
              <a:graphicFrameLocks noChangeAspect="1"/>
            </wp:cNvGraphicFramePr>
            <a:graphic>
              <a:graphicData uri="http://schemas.openxmlformats.org/drawingml/2006/picture">
                <pic:pic>
                  <pic:nvPicPr>
                    <pic:cNvPr id="4" name="image4.jpeg"/>
                    <pic:cNvPicPr/>
                  </pic:nvPicPr>
                  <pic:blipFill>
                    <a:blip r:embed="rId14" cstate="print"/>
                    <a:stretch>
                      <a:fillRect/>
                    </a:stretch>
                  </pic:blipFill>
                  <pic:spPr>
                    <a:xfrm>
                      <a:off x="0" y="0"/>
                      <a:ext cx="5079922" cy="2314575"/>
                    </a:xfrm>
                    <a:prstGeom prst="rect">
                      <a:avLst/>
                    </a:prstGeom>
                  </pic:spPr>
                </pic:pic>
              </a:graphicData>
            </a:graphic>
          </wp:inline>
        </w:drawing>
      </w:r>
      <w:r>
        <w:rPr>
          <w:rFonts w:ascii="宋体" w:hAnsi="宋体" w:cs="宋体" w:eastAsia="宋体" w:hint="default"/>
          <w:position w:val="-72"/>
          <w:sz w:val="20"/>
          <w:szCs w:val="20"/>
        </w:rPr>
      </w:r>
    </w:p>
    <w:p>
      <w:pPr>
        <w:spacing w:line="240" w:lineRule="auto" w:before="4"/>
        <w:rPr>
          <w:rFonts w:ascii="宋体" w:hAnsi="宋体" w:cs="宋体" w:eastAsia="宋体" w:hint="default"/>
          <w:sz w:val="15"/>
          <w:szCs w:val="15"/>
        </w:rPr>
      </w:pPr>
    </w:p>
    <w:p>
      <w:pPr>
        <w:spacing w:line="268" w:lineRule="auto" w:before="0"/>
        <w:ind w:left="112" w:right="1115" w:firstLine="482"/>
        <w:jc w:val="left"/>
        <w:rPr>
          <w:rFonts w:ascii="宋体" w:hAnsi="宋体" w:cs="宋体" w:eastAsia="宋体" w:hint="default"/>
          <w:sz w:val="21"/>
          <w:szCs w:val="21"/>
        </w:rPr>
      </w:pPr>
      <w:r>
        <w:rPr>
          <w:rFonts w:ascii="宋体" w:hAnsi="宋体" w:cs="宋体" w:eastAsia="宋体" w:hint="default"/>
          <w:w w:val="95"/>
          <w:sz w:val="21"/>
          <w:szCs w:val="21"/>
        </w:rPr>
        <w:t>万马高分子是国内领先的新材料企业。公司以电缆材料为主导作产业延伸，其中35kV及以下中低压电</w:t>
      </w:r>
      <w:r>
        <w:rPr>
          <w:rFonts w:ascii="宋体" w:hAnsi="宋体" w:cs="宋体" w:eastAsia="宋体" w:hint="default"/>
          <w:w w:val="99"/>
          <w:sz w:val="21"/>
          <w:szCs w:val="21"/>
        </w:rPr>
        <w:t> </w:t>
      </w:r>
      <w:r>
        <w:rPr>
          <w:rFonts w:ascii="宋体" w:hAnsi="宋体" w:cs="宋体" w:eastAsia="宋体" w:hint="default"/>
          <w:sz w:val="21"/>
          <w:szCs w:val="21"/>
        </w:rPr>
        <w:t>缆绝缘料已连续多年位居行业龙头地位；公司开发的“高压电缆（110kV）超净XLPE绝缘料”打破国际垄</w:t>
      </w:r>
      <w:r>
        <w:rPr>
          <w:rFonts w:ascii="宋体" w:hAnsi="宋体" w:cs="宋体" w:eastAsia="宋体" w:hint="default"/>
          <w:w w:val="99"/>
          <w:sz w:val="21"/>
          <w:szCs w:val="21"/>
        </w:rPr>
        <w:t> </w:t>
      </w:r>
      <w:r>
        <w:rPr>
          <w:rFonts w:ascii="宋体" w:hAnsi="宋体" w:cs="宋体" w:eastAsia="宋体" w:hint="default"/>
          <w:sz w:val="21"/>
          <w:szCs w:val="21"/>
        </w:rPr>
        <w:t>断，曾被国家科技部列为重点新产品计划立项项目，并取得了不错的市场认可，公司开发的</w:t>
      </w:r>
      <w:r>
        <w:rPr>
          <w:rFonts w:ascii="Times New Roman" w:hAnsi="Times New Roman" w:cs="Times New Roman" w:eastAsia="Times New Roman" w:hint="default"/>
          <w:sz w:val="21"/>
          <w:szCs w:val="21"/>
        </w:rPr>
        <w:t>220kV</w:t>
      </w:r>
      <w:r>
        <w:rPr>
          <w:rFonts w:ascii="宋体" w:hAnsi="宋体" w:cs="宋体" w:eastAsia="宋体" w:hint="default"/>
          <w:sz w:val="21"/>
          <w:szCs w:val="21"/>
        </w:rPr>
        <w:t>高压电</w:t>
      </w:r>
      <w:r>
        <w:rPr>
          <w:rFonts w:ascii="宋体" w:hAnsi="宋体" w:cs="宋体" w:eastAsia="宋体" w:hint="default"/>
          <w:w w:val="99"/>
          <w:sz w:val="21"/>
          <w:szCs w:val="21"/>
        </w:rPr>
        <w:t> </w:t>
      </w:r>
      <w:r>
        <w:rPr>
          <w:rFonts w:ascii="宋体" w:hAnsi="宋体" w:cs="宋体" w:eastAsia="宋体" w:hint="default"/>
          <w:w w:val="95"/>
          <w:sz w:val="21"/>
          <w:szCs w:val="21"/>
        </w:rPr>
        <w:t>缆绝缘料，通过了由中国电力企业联合会组织的国家级新产品鉴定。公司近年研发的低烟无卤、特种PVC、</w:t>
      </w:r>
      <w:r>
        <w:rPr>
          <w:rFonts w:ascii="宋体" w:hAnsi="宋体" w:cs="宋体" w:eastAsia="宋体" w:hint="default"/>
          <w:spacing w:val="46"/>
          <w:w w:val="95"/>
          <w:sz w:val="21"/>
          <w:szCs w:val="21"/>
        </w:rPr>
        <w:t> </w:t>
      </w:r>
      <w:r>
        <w:rPr>
          <w:rFonts w:ascii="宋体" w:hAnsi="宋体" w:cs="宋体" w:eastAsia="宋体" w:hint="default"/>
          <w:spacing w:val="46"/>
          <w:w w:val="95"/>
          <w:sz w:val="21"/>
          <w:szCs w:val="21"/>
        </w:rPr>
      </w:r>
      <w:r>
        <w:rPr>
          <w:rFonts w:ascii="宋体" w:hAnsi="宋体" w:cs="宋体" w:eastAsia="宋体" w:hint="default"/>
          <w:sz w:val="21"/>
          <w:szCs w:val="21"/>
        </w:rPr>
        <w:t>TPE等材料，成功进入通讯、新能源、消费电子、海洋、航天航空等高端装备市场，公司已发展成为行业</w:t>
      </w:r>
      <w:r>
        <w:rPr>
          <w:rFonts w:ascii="宋体" w:hAnsi="宋体" w:cs="宋体" w:eastAsia="宋体" w:hint="default"/>
          <w:w w:val="99"/>
          <w:sz w:val="21"/>
          <w:szCs w:val="21"/>
        </w:rPr>
        <w:t> </w:t>
      </w:r>
      <w:r>
        <w:rPr>
          <w:rFonts w:ascii="宋体" w:hAnsi="宋体" w:cs="宋体" w:eastAsia="宋体" w:hint="default"/>
          <w:sz w:val="21"/>
          <w:szCs w:val="21"/>
        </w:rPr>
        <w:t>内规模大、品类全的综合材料服务商，竞争优势明显。</w:t>
      </w:r>
    </w:p>
    <w:p>
      <w:pPr>
        <w:spacing w:line="450" w:lineRule="atLeast" w:before="8"/>
        <w:ind w:left="595" w:right="1115" w:firstLine="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新能源</w:t>
      </w:r>
      <w:r>
        <w:rPr>
          <w:rFonts w:ascii="宋体" w:hAnsi="宋体" w:cs="宋体" w:eastAsia="宋体" w:hint="default"/>
          <w:b/>
          <w:bCs/>
          <w:w w:val="99"/>
          <w:sz w:val="21"/>
          <w:szCs w:val="21"/>
        </w:rPr>
        <w:t> </w:t>
      </w:r>
      <w:r>
        <w:rPr>
          <w:rFonts w:ascii="宋体" w:hAnsi="宋体" w:cs="宋体" w:eastAsia="宋体" w:hint="default"/>
          <w:spacing w:val="-2"/>
          <w:w w:val="95"/>
          <w:sz w:val="21"/>
          <w:szCs w:val="21"/>
        </w:rPr>
        <w:t>公司在新能源领域已具备完善的产业基础，从充电设备制造与销售、全国主要城市充电设施投资与合</w:t>
      </w:r>
      <w:r>
        <w:rPr>
          <w:rFonts w:ascii="宋体" w:hAnsi="宋体" w:cs="宋体" w:eastAsia="宋体" w:hint="default"/>
          <w:spacing w:val="-2"/>
          <w:sz w:val="21"/>
          <w:szCs w:val="21"/>
        </w:rPr>
      </w:r>
    </w:p>
    <w:p>
      <w:pPr>
        <w:spacing w:before="37"/>
        <w:ind w:left="112" w:right="1115" w:firstLine="0"/>
        <w:jc w:val="left"/>
        <w:rPr>
          <w:rFonts w:ascii="宋体" w:hAnsi="宋体" w:cs="宋体" w:eastAsia="宋体" w:hint="default"/>
          <w:sz w:val="21"/>
          <w:szCs w:val="21"/>
        </w:rPr>
      </w:pPr>
      <w:r>
        <w:rPr>
          <w:rFonts w:ascii="宋体" w:hAnsi="宋体" w:cs="宋体" w:eastAsia="宋体" w:hint="default"/>
          <w:sz w:val="21"/>
          <w:szCs w:val="21"/>
        </w:rPr>
        <w:t>作到充电网络建设运营，能为用户提供整体解决方案及一站式服务。</w:t>
      </w:r>
    </w:p>
    <w:p>
      <w:pPr>
        <w:spacing w:line="240" w:lineRule="auto" w:before="10"/>
        <w:rPr>
          <w:rFonts w:ascii="宋体" w:hAnsi="宋体" w:cs="宋体" w:eastAsia="宋体" w:hint="default"/>
          <w:sz w:val="14"/>
          <w:szCs w:val="14"/>
        </w:rPr>
      </w:pPr>
    </w:p>
    <w:p>
      <w:pPr>
        <w:spacing w:line="273" w:lineRule="auto" w:before="0"/>
        <w:ind w:left="112" w:right="1025" w:firstLine="482"/>
        <w:jc w:val="left"/>
        <w:rPr>
          <w:rFonts w:ascii="宋体" w:hAnsi="宋体" w:cs="宋体" w:eastAsia="宋体" w:hint="default"/>
          <w:sz w:val="21"/>
          <w:szCs w:val="21"/>
        </w:rPr>
      </w:pPr>
      <w:r>
        <w:rPr>
          <w:rFonts w:ascii="宋体" w:hAnsi="宋体" w:cs="宋体" w:eastAsia="宋体" w:hint="default"/>
          <w:sz w:val="21"/>
          <w:szCs w:val="21"/>
        </w:rPr>
        <w:t>公司充电设备产品齐全，拥有从7kW到360kW功率的产品线，包括大功率一体式/分体式直流充电桩、</w:t>
      </w:r>
      <w:r>
        <w:rPr>
          <w:rFonts w:ascii="宋体" w:hAnsi="宋体" w:cs="宋体" w:eastAsia="宋体" w:hint="default"/>
          <w:w w:val="99"/>
          <w:sz w:val="21"/>
          <w:szCs w:val="21"/>
        </w:rPr>
        <w:t> </w:t>
      </w:r>
      <w:r>
        <w:rPr>
          <w:rFonts w:ascii="宋体" w:hAnsi="宋体" w:cs="宋体" w:eastAsia="宋体" w:hint="default"/>
          <w:sz w:val="21"/>
          <w:szCs w:val="21"/>
        </w:rPr>
        <w:t>壁挂式交流充电桩、智能交流充电桩等，公司研发生产的480kW的智能柔性分配充电堆，可以搭载12个单</w:t>
      </w:r>
      <w:r>
        <w:rPr>
          <w:rFonts w:ascii="宋体" w:hAnsi="宋体" w:cs="宋体" w:eastAsia="宋体" w:hint="default"/>
          <w:w w:val="99"/>
          <w:sz w:val="21"/>
          <w:szCs w:val="21"/>
        </w:rPr>
        <w:t> </w:t>
      </w:r>
      <w:r>
        <w:rPr>
          <w:rFonts w:ascii="宋体" w:hAnsi="宋体" w:cs="宋体" w:eastAsia="宋体" w:hint="default"/>
          <w:sz w:val="21"/>
          <w:szCs w:val="21"/>
        </w:rPr>
        <w:t>双枪的充电终端，同时为12台车进行充电，能够实现单枪200kW的超大功率快充。万马新能源投资公司确</w:t>
      </w:r>
      <w:r>
        <w:rPr>
          <w:rFonts w:ascii="宋体" w:hAnsi="宋体" w:cs="宋体" w:eastAsia="宋体" w:hint="default"/>
          <w:w w:val="99"/>
          <w:sz w:val="21"/>
          <w:szCs w:val="21"/>
        </w:rPr>
        <w:t> </w:t>
      </w:r>
      <w:r>
        <w:rPr>
          <w:rFonts w:ascii="宋体" w:hAnsi="宋体" w:cs="宋体" w:eastAsia="宋体" w:hint="default"/>
          <w:sz w:val="21"/>
          <w:szCs w:val="21"/>
        </w:rPr>
        <w:t>立“迎着需求建站”的思路，构建“智能化城市快充网”。万马爱充主营桩联网的运营及衍生业务，公司</w:t>
      </w:r>
      <w:r>
        <w:rPr>
          <w:rFonts w:ascii="宋体" w:hAnsi="宋体" w:cs="宋体" w:eastAsia="宋体" w:hint="default"/>
          <w:w w:val="99"/>
          <w:sz w:val="21"/>
          <w:szCs w:val="21"/>
        </w:rPr>
        <w:t> </w:t>
      </w:r>
      <w:r>
        <w:rPr>
          <w:rFonts w:ascii="宋体" w:hAnsi="宋体" w:cs="宋体" w:eastAsia="宋体" w:hint="default"/>
          <w:spacing w:val="-3"/>
          <w:sz w:val="21"/>
          <w:szCs w:val="21"/>
        </w:rPr>
        <w:t>拥有芯片级别的充电桩智能化接入的技术储备及完整解决方案，并提供个性化开发支持，提供全流程响应。</w:t>
      </w:r>
      <w:r>
        <w:rPr>
          <w:rFonts w:ascii="宋体" w:hAnsi="宋体" w:cs="宋体" w:eastAsia="宋体" w:hint="default"/>
          <w:w w:val="99"/>
          <w:sz w:val="21"/>
          <w:szCs w:val="21"/>
        </w:rPr>
        <w:t> </w:t>
      </w:r>
      <w:r>
        <w:rPr>
          <w:rFonts w:ascii="宋体" w:hAnsi="宋体" w:cs="宋体" w:eastAsia="宋体" w:hint="default"/>
          <w:sz w:val="21"/>
          <w:szCs w:val="21"/>
        </w:rPr>
        <w:t>桩联网运营方面，万马新能源实现自有桩体及第三方企业桩的接入、托管、运营，并成功为多地第三方客</w:t>
      </w:r>
      <w:r>
        <w:rPr>
          <w:rFonts w:ascii="宋体" w:hAnsi="宋体" w:cs="宋体" w:eastAsia="宋体" w:hint="default"/>
          <w:w w:val="99"/>
          <w:sz w:val="21"/>
          <w:szCs w:val="21"/>
        </w:rPr>
        <w:t> </w:t>
      </w:r>
      <w:r>
        <w:rPr>
          <w:rFonts w:ascii="宋体" w:hAnsi="宋体" w:cs="宋体" w:eastAsia="宋体" w:hint="default"/>
          <w:sz w:val="21"/>
          <w:szCs w:val="21"/>
        </w:rPr>
        <w:t>户开发、代运营桩联网。代表性充电设备产品展示：</w:t>
      </w:r>
    </w:p>
    <w:p>
      <w:pPr>
        <w:spacing w:before="163"/>
        <w:ind w:left="595" w:right="1115" w:firstLine="0"/>
        <w:jc w:val="left"/>
        <w:rPr>
          <w:rFonts w:ascii="宋体" w:hAnsi="宋体" w:cs="宋体" w:eastAsia="宋体" w:hint="default"/>
          <w:sz w:val="21"/>
          <w:szCs w:val="21"/>
        </w:rPr>
      </w:pPr>
      <w:r>
        <w:rPr>
          <w:rFonts w:ascii="宋体" w:hAnsi="宋体" w:cs="宋体" w:eastAsia="宋体" w:hint="default"/>
          <w:sz w:val="21"/>
          <w:szCs w:val="21"/>
        </w:rPr>
        <w:t>产品系列一：一体式快充系列（性能特点：大小车兼容、双枪并充、应用场景广泛灵活）</w:t>
      </w:r>
    </w:p>
    <w:p>
      <w:pPr>
        <w:spacing w:after="0"/>
        <w:jc w:val="left"/>
        <w:rPr>
          <w:rFonts w:ascii="宋体" w:hAnsi="宋体" w:cs="宋体" w:eastAsia="宋体" w:hint="default"/>
          <w:sz w:val="21"/>
          <w:szCs w:val="21"/>
        </w:rPr>
        <w:sectPr>
          <w:pgSz w:w="11910" w:h="16840"/>
          <w:pgMar w:header="890" w:footer="1053" w:top="1420" w:bottom="1240" w:left="1020" w:right="0"/>
        </w:sectPr>
      </w:pPr>
    </w:p>
    <w:p>
      <w:pPr>
        <w:spacing w:line="240" w:lineRule="auto" w:before="1"/>
        <w:rPr>
          <w:rFonts w:ascii="宋体" w:hAnsi="宋体" w:cs="宋体" w:eastAsia="宋体" w:hint="default"/>
          <w:sz w:val="14"/>
          <w:szCs w:val="14"/>
        </w:rPr>
      </w:pPr>
    </w:p>
    <w:p>
      <w:pPr>
        <w:spacing w:line="4080" w:lineRule="exact"/>
        <w:ind w:left="47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6050742" cy="2590800"/>
            <wp:effectExtent l="0" t="0" r="0" b="0"/>
            <wp:docPr id="5" name="image5.jpeg" descr=""/>
            <wp:cNvGraphicFramePr>
              <a:graphicFrameLocks noChangeAspect="1"/>
            </wp:cNvGraphicFramePr>
            <a:graphic>
              <a:graphicData uri="http://schemas.openxmlformats.org/drawingml/2006/picture">
                <pic:pic>
                  <pic:nvPicPr>
                    <pic:cNvPr id="6" name="image5.jpeg"/>
                    <pic:cNvPicPr/>
                  </pic:nvPicPr>
                  <pic:blipFill>
                    <a:blip r:embed="rId15" cstate="print"/>
                    <a:stretch>
                      <a:fillRect/>
                    </a:stretch>
                  </pic:blipFill>
                  <pic:spPr>
                    <a:xfrm>
                      <a:off x="0" y="0"/>
                      <a:ext cx="6050742" cy="2590800"/>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7"/>
        <w:rPr>
          <w:rFonts w:ascii="宋体" w:hAnsi="宋体" w:cs="宋体" w:eastAsia="宋体" w:hint="default"/>
          <w:sz w:val="20"/>
          <w:szCs w:val="20"/>
        </w:rPr>
      </w:pPr>
    </w:p>
    <w:p>
      <w:pPr>
        <w:spacing w:line="273" w:lineRule="auto" w:before="34"/>
        <w:ind w:left="112" w:right="1120" w:firstLine="482"/>
        <w:jc w:val="left"/>
        <w:rPr>
          <w:rFonts w:ascii="宋体" w:hAnsi="宋体" w:cs="宋体" w:eastAsia="宋体" w:hint="default"/>
          <w:sz w:val="21"/>
          <w:szCs w:val="21"/>
        </w:rPr>
      </w:pPr>
      <w:r>
        <w:rPr>
          <w:rFonts w:ascii="宋体" w:hAnsi="宋体" w:cs="宋体" w:eastAsia="宋体" w:hint="default"/>
          <w:spacing w:val="-2"/>
          <w:sz w:val="21"/>
          <w:szCs w:val="21"/>
        </w:rPr>
        <w:t>产品系列二：分体式快充（性能特点：单位投建成本低，桩柜分离，节省空间，专为高速服务站、大</w:t>
      </w:r>
      <w:r>
        <w:rPr>
          <w:rFonts w:ascii="宋体" w:hAnsi="宋体" w:cs="宋体" w:eastAsia="宋体" w:hint="default"/>
          <w:w w:val="99"/>
          <w:sz w:val="21"/>
          <w:szCs w:val="21"/>
        </w:rPr>
        <w:t> </w:t>
      </w:r>
      <w:r>
        <w:rPr>
          <w:rFonts w:ascii="宋体" w:hAnsi="宋体" w:cs="宋体" w:eastAsia="宋体" w:hint="default"/>
          <w:sz w:val="21"/>
          <w:szCs w:val="21"/>
        </w:rPr>
        <w:t>型公交站等大功率规模站设计）</w:t>
      </w:r>
    </w:p>
    <w:p>
      <w:pPr>
        <w:spacing w:line="240" w:lineRule="auto" w:before="5"/>
        <w:rPr>
          <w:rFonts w:ascii="宋体" w:hAnsi="宋体" w:cs="宋体" w:eastAsia="宋体" w:hint="default"/>
          <w:sz w:val="11"/>
          <w:szCs w:val="11"/>
        </w:rPr>
      </w:pPr>
    </w:p>
    <w:p>
      <w:pPr>
        <w:spacing w:line="4080" w:lineRule="exact"/>
        <w:ind w:left="11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6050742" cy="2590800"/>
            <wp:effectExtent l="0" t="0" r="0" b="0"/>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6" cstate="print"/>
                    <a:stretch>
                      <a:fillRect/>
                    </a:stretch>
                  </pic:blipFill>
                  <pic:spPr>
                    <a:xfrm>
                      <a:off x="0" y="0"/>
                      <a:ext cx="6050742" cy="2590800"/>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2"/>
        <w:rPr>
          <w:rFonts w:ascii="宋体" w:hAnsi="宋体" w:cs="宋体" w:eastAsia="宋体" w:hint="default"/>
          <w:sz w:val="23"/>
          <w:szCs w:val="23"/>
        </w:rPr>
      </w:pPr>
    </w:p>
    <w:p>
      <w:pPr>
        <w:spacing w:before="0"/>
        <w:ind w:left="595" w:right="1115" w:firstLine="0"/>
        <w:jc w:val="left"/>
        <w:rPr>
          <w:rFonts w:ascii="宋体" w:hAnsi="宋体" w:cs="宋体" w:eastAsia="宋体" w:hint="default"/>
          <w:sz w:val="21"/>
          <w:szCs w:val="21"/>
        </w:rPr>
      </w:pPr>
      <w:r>
        <w:rPr>
          <w:rFonts w:ascii="宋体" w:hAnsi="宋体" w:cs="宋体" w:eastAsia="宋体" w:hint="default"/>
          <w:sz w:val="21"/>
          <w:szCs w:val="21"/>
        </w:rPr>
        <w:t>产品系列三：经典交流慢充(特点：单价低、体积小、安全防盗、操作方便）</w:t>
      </w:r>
    </w:p>
    <w:p>
      <w:pPr>
        <w:spacing w:line="240" w:lineRule="auto" w:before="5"/>
        <w:rPr>
          <w:rFonts w:ascii="宋体" w:hAnsi="宋体" w:cs="宋体" w:eastAsia="宋体" w:hint="default"/>
          <w:sz w:val="5"/>
          <w:szCs w:val="5"/>
        </w:rPr>
      </w:pPr>
    </w:p>
    <w:p>
      <w:pPr>
        <w:spacing w:line="3697" w:lineRule="exact"/>
        <w:ind w:left="115"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5482520" cy="2347912"/>
            <wp:effectExtent l="0" t="0" r="0" b="0"/>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7" cstate="print"/>
                    <a:stretch>
                      <a:fillRect/>
                    </a:stretch>
                  </pic:blipFill>
                  <pic:spPr>
                    <a:xfrm>
                      <a:off x="0" y="0"/>
                      <a:ext cx="5482520" cy="2347912"/>
                    </a:xfrm>
                    <a:prstGeom prst="rect">
                      <a:avLst/>
                    </a:prstGeom>
                  </pic:spPr>
                </pic:pic>
              </a:graphicData>
            </a:graphic>
          </wp:inline>
        </w:drawing>
      </w:r>
      <w:r>
        <w:rPr>
          <w:rFonts w:ascii="宋体" w:hAnsi="宋体" w:cs="宋体" w:eastAsia="宋体" w:hint="default"/>
          <w:position w:val="-73"/>
          <w:sz w:val="20"/>
          <w:szCs w:val="20"/>
        </w:rPr>
      </w:r>
    </w:p>
    <w:p>
      <w:pPr>
        <w:spacing w:after="0" w:line="3697" w:lineRule="exact"/>
        <w:rPr>
          <w:rFonts w:ascii="宋体" w:hAnsi="宋体" w:cs="宋体" w:eastAsia="宋体" w:hint="default"/>
          <w:sz w:val="20"/>
          <w:szCs w:val="20"/>
        </w:rPr>
        <w:sectPr>
          <w:pgSz w:w="11910" w:h="16840"/>
          <w:pgMar w:header="890" w:footer="1053" w:top="1420" w:bottom="1240" w:left="1020" w:right="0"/>
        </w:sectPr>
      </w:pPr>
    </w:p>
    <w:p>
      <w:pPr>
        <w:spacing w:line="273" w:lineRule="auto" w:before="43"/>
        <w:ind w:left="112" w:right="1131" w:firstLine="482"/>
        <w:jc w:val="left"/>
        <w:rPr>
          <w:rFonts w:ascii="宋体" w:hAnsi="宋体" w:cs="宋体" w:eastAsia="宋体" w:hint="default"/>
          <w:sz w:val="21"/>
          <w:szCs w:val="21"/>
        </w:rPr>
      </w:pPr>
      <w:r>
        <w:rPr>
          <w:rFonts w:ascii="宋体" w:hAnsi="宋体" w:cs="宋体" w:eastAsia="宋体" w:hint="default"/>
          <w:spacing w:val="-4"/>
          <w:sz w:val="21"/>
          <w:szCs w:val="21"/>
        </w:rPr>
        <w:t>根据国务院2012年6月印发的《节能与新能源汽车产业发展规划（2012—2020年）》，我国计划到2020</w:t>
      </w:r>
      <w:r>
        <w:rPr>
          <w:rFonts w:ascii="宋体" w:hAnsi="宋体" w:cs="宋体" w:eastAsia="宋体" w:hint="default"/>
          <w:w w:val="99"/>
          <w:sz w:val="21"/>
          <w:szCs w:val="21"/>
        </w:rPr>
        <w:t> </w:t>
      </w:r>
      <w:r>
        <w:rPr>
          <w:rFonts w:ascii="宋体" w:hAnsi="宋体" w:cs="宋体" w:eastAsia="宋体" w:hint="default"/>
          <w:sz w:val="21"/>
          <w:szCs w:val="21"/>
        </w:rPr>
        <w:t>年，纯电动汽车和插电式混合动力汽车生产能力达200万辆、累计产销量超过500万辆。《2019-2020年度</w:t>
      </w:r>
      <w:r>
        <w:rPr>
          <w:rFonts w:ascii="宋体" w:hAnsi="宋体" w:cs="宋体" w:eastAsia="宋体" w:hint="default"/>
          <w:w w:val="99"/>
          <w:sz w:val="21"/>
          <w:szCs w:val="21"/>
        </w:rPr>
        <w:t> </w:t>
      </w:r>
      <w:r>
        <w:rPr>
          <w:rFonts w:ascii="宋体" w:hAnsi="宋体" w:cs="宋体" w:eastAsia="宋体" w:hint="default"/>
          <w:w w:val="95"/>
          <w:sz w:val="21"/>
          <w:szCs w:val="21"/>
        </w:rPr>
        <w:t>中国充电基础设施发展年度报告》发布的统计数据显示，截至2019年底，我国新能源汽车累计产销量分别</w:t>
      </w:r>
      <w:r>
        <w:rPr>
          <w:rFonts w:ascii="宋体" w:hAnsi="宋体" w:cs="宋体" w:eastAsia="宋体" w:hint="default"/>
          <w:spacing w:val="37"/>
          <w:w w:val="95"/>
          <w:sz w:val="21"/>
          <w:szCs w:val="21"/>
        </w:rPr>
        <w:t> </w:t>
      </w:r>
      <w:r>
        <w:rPr>
          <w:rFonts w:ascii="宋体" w:hAnsi="宋体" w:cs="宋体" w:eastAsia="宋体" w:hint="default"/>
          <w:spacing w:val="37"/>
          <w:w w:val="95"/>
          <w:sz w:val="21"/>
          <w:szCs w:val="21"/>
        </w:rPr>
      </w:r>
      <w:r>
        <w:rPr>
          <w:rFonts w:ascii="宋体" w:hAnsi="宋体" w:cs="宋体" w:eastAsia="宋体" w:hint="default"/>
          <w:sz w:val="21"/>
          <w:szCs w:val="21"/>
        </w:rPr>
        <w:t>为124.2万辆和120.6万辆；新能源汽车与充电桩保有量配比3.50：1；我国已建成公共充电桩51万余台。</w:t>
      </w:r>
      <w:r>
        <w:rPr>
          <w:rFonts w:ascii="宋体" w:hAnsi="宋体" w:cs="宋体" w:eastAsia="宋体" w:hint="default"/>
          <w:w w:val="99"/>
          <w:sz w:val="21"/>
          <w:szCs w:val="21"/>
        </w:rPr>
        <w:t> </w:t>
      </w:r>
      <w:r>
        <w:rPr>
          <w:rFonts w:ascii="宋体" w:hAnsi="宋体" w:cs="宋体" w:eastAsia="宋体" w:hint="default"/>
          <w:sz w:val="21"/>
          <w:szCs w:val="21"/>
        </w:rPr>
        <w:t>新能源充电设备投建及运营服务市场空间较大。</w:t>
      </w:r>
    </w:p>
    <w:p>
      <w:pPr>
        <w:spacing w:line="273" w:lineRule="auto" w:before="163"/>
        <w:ind w:left="112" w:right="1130" w:firstLine="482"/>
        <w:jc w:val="left"/>
        <w:rPr>
          <w:rFonts w:ascii="宋体" w:hAnsi="宋体" w:cs="宋体" w:eastAsia="宋体" w:hint="default"/>
          <w:sz w:val="21"/>
          <w:szCs w:val="21"/>
        </w:rPr>
      </w:pPr>
      <w:r>
        <w:rPr>
          <w:rFonts w:ascii="宋体" w:hAnsi="宋体" w:cs="宋体" w:eastAsia="宋体" w:hint="default"/>
          <w:sz w:val="21"/>
          <w:szCs w:val="21"/>
        </w:rPr>
        <w:t>4.公司主要境外资产情况。公司境外资产较少，主要包括越南公司（WANMA</w:t>
      </w:r>
      <w:r>
        <w:rPr>
          <w:rFonts w:ascii="宋体" w:hAnsi="宋体" w:cs="宋体" w:eastAsia="宋体" w:hint="default"/>
          <w:spacing w:val="-67"/>
          <w:sz w:val="21"/>
          <w:szCs w:val="21"/>
        </w:rPr>
        <w:t> </w:t>
      </w:r>
      <w:r>
        <w:rPr>
          <w:rFonts w:ascii="宋体" w:hAnsi="宋体" w:cs="宋体" w:eastAsia="宋体" w:hint="default"/>
          <w:sz w:val="21"/>
          <w:szCs w:val="21"/>
        </w:rPr>
        <w:t>CABLE</w:t>
      </w:r>
      <w:r>
        <w:rPr>
          <w:rFonts w:ascii="宋体" w:hAnsi="宋体" w:cs="宋体" w:eastAsia="宋体" w:hint="default"/>
          <w:spacing w:val="-69"/>
          <w:sz w:val="21"/>
          <w:szCs w:val="21"/>
        </w:rPr>
        <w:t> </w:t>
      </w:r>
      <w:r>
        <w:rPr>
          <w:rFonts w:ascii="宋体" w:hAnsi="宋体" w:cs="宋体" w:eastAsia="宋体" w:hint="default"/>
          <w:sz w:val="21"/>
          <w:szCs w:val="21"/>
        </w:rPr>
        <w:t>(VIETNAM)</w:t>
      </w:r>
      <w:r>
        <w:rPr>
          <w:rFonts w:ascii="宋体" w:hAnsi="宋体" w:cs="宋体" w:eastAsia="宋体" w:hint="default"/>
          <w:spacing w:val="-67"/>
          <w:sz w:val="21"/>
          <w:szCs w:val="21"/>
        </w:rPr>
        <w:t> </w:t>
      </w:r>
      <w:r>
        <w:rPr>
          <w:rFonts w:ascii="宋体" w:hAnsi="宋体" w:cs="宋体" w:eastAsia="宋体" w:hint="default"/>
          <w:sz w:val="21"/>
          <w:szCs w:val="21"/>
        </w:rPr>
        <w:t>COMPANY</w:t>
      </w:r>
      <w:r>
        <w:rPr>
          <w:rFonts w:ascii="宋体" w:hAnsi="宋体" w:cs="宋体" w:eastAsia="宋体" w:hint="default"/>
          <w:w w:val="99"/>
          <w:sz w:val="21"/>
          <w:szCs w:val="21"/>
        </w:rPr>
        <w:t> </w:t>
      </w:r>
      <w:r>
        <w:rPr>
          <w:rFonts w:ascii="宋体" w:hAnsi="宋体" w:cs="宋体" w:eastAsia="宋体" w:hint="default"/>
          <w:sz w:val="21"/>
          <w:szCs w:val="21"/>
        </w:rPr>
        <w:t>LIMITED）经营性资产1770万人民币，以及存放在境外的款项4033万元人民币。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Heading2"/>
        <w:spacing w:line="240" w:lineRule="auto"/>
        <w:ind w:left="112" w:right="1115"/>
        <w:jc w:val="left"/>
        <w:rPr>
          <w:b w:val="0"/>
          <w:bCs w:val="0"/>
        </w:rPr>
      </w:pPr>
      <w:bookmarkStart w:name="二、主要资产重大变化情况" w:id="19"/>
      <w:bookmarkEnd w:id="19"/>
      <w:r>
        <w:rPr>
          <w:b w:val="0"/>
          <w:bCs w:val="0"/>
        </w:rPr>
      </w:r>
      <w:r>
        <w:rPr/>
        <w:t>二、主要资产重大变化情况</w:t>
      </w:r>
      <w:r>
        <w:rPr>
          <w:b w:val="0"/>
          <w:bCs w:val="0"/>
        </w:rPr>
      </w:r>
    </w:p>
    <w:p>
      <w:pPr>
        <w:spacing w:line="240" w:lineRule="auto" w:before="7"/>
        <w:rPr>
          <w:rFonts w:ascii="宋体" w:hAnsi="宋体" w:cs="宋体" w:eastAsia="宋体" w:hint="default"/>
          <w:b/>
          <w:bCs/>
          <w:sz w:val="24"/>
          <w:szCs w:val="24"/>
        </w:rPr>
      </w:pPr>
    </w:p>
    <w:p>
      <w:pPr>
        <w:spacing w:before="0"/>
        <w:ind w:left="112" w:right="1115" w:firstLine="0"/>
        <w:jc w:val="left"/>
        <w:rPr>
          <w:rFonts w:ascii="宋体" w:hAnsi="宋体" w:cs="宋体" w:eastAsia="宋体" w:hint="default"/>
          <w:sz w:val="21"/>
          <w:szCs w:val="21"/>
        </w:rPr>
      </w:pPr>
      <w:bookmarkStart w:name="1、主要资产重大变化情况" w:id="20"/>
      <w:bookmarkEnd w:id="20"/>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、主要资产重大变化情况</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tbl>
      <w:tblPr>
        <w:tblW w:w="0" w:type="auto"/>
        <w:jc w:val="left"/>
        <w:tblInd w:w="104" w:type="dxa"/>
        <w:tblLayout w:type="fixed"/>
        <w:tblCellMar>
          <w:top w:w="0" w:type="dxa"/>
          <w:left w:w="0" w:type="dxa"/>
          <w:bottom w:w="0" w:type="dxa"/>
          <w:right w:w="0" w:type="dxa"/>
        </w:tblCellMar>
        <w:tblLook w:val="01E0"/>
      </w:tblPr>
      <w:tblGrid>
        <w:gridCol w:w="1325"/>
        <w:gridCol w:w="8243"/>
      </w:tblGrid>
      <w:tr>
        <w:trPr>
          <w:trHeight w:val="327" w:hRule="exact"/>
        </w:trPr>
        <w:tc>
          <w:tcPr>
            <w:tcW w:w="1325" w:type="dxa"/>
            <w:tcBorders>
              <w:top w:val="single" w:sz="8" w:space="0" w:color="000000"/>
              <w:left w:val="single" w:sz="8" w:space="0" w:color="000000"/>
              <w:bottom w:val="single" w:sz="4" w:space="0" w:color="000000"/>
              <w:right w:val="single" w:sz="4" w:space="0" w:color="000000"/>
            </w:tcBorders>
            <w:shd w:val="clear" w:color="auto" w:fill="D2D2D2"/>
          </w:tcPr>
          <w:p>
            <w:pPr>
              <w:pStyle w:val="TableParagraph"/>
              <w:spacing w:line="240" w:lineRule="auto" w:before="11"/>
              <w:ind w:left="291" w:right="0"/>
              <w:jc w:val="left"/>
              <w:rPr>
                <w:rFonts w:ascii="宋体" w:hAnsi="宋体" w:cs="宋体" w:eastAsia="宋体" w:hint="default"/>
                <w:sz w:val="18"/>
                <w:szCs w:val="18"/>
              </w:rPr>
            </w:pPr>
            <w:r>
              <w:rPr>
                <w:rFonts w:ascii="宋体" w:hAnsi="宋体" w:cs="宋体" w:eastAsia="宋体" w:hint="default"/>
                <w:sz w:val="18"/>
                <w:szCs w:val="18"/>
              </w:rPr>
              <w:t>主要资产</w:t>
            </w:r>
          </w:p>
        </w:tc>
        <w:tc>
          <w:tcPr>
            <w:tcW w:w="8243" w:type="dxa"/>
            <w:tcBorders>
              <w:top w:val="single" w:sz="8" w:space="0" w:color="000000"/>
              <w:left w:val="single" w:sz="4" w:space="0" w:color="000000"/>
              <w:bottom w:val="single" w:sz="4" w:space="0" w:color="000000"/>
              <w:right w:val="single" w:sz="8" w:space="0" w:color="000000"/>
            </w:tcBorders>
            <w:shd w:val="clear" w:color="auto" w:fill="D2D2D2"/>
          </w:tcPr>
          <w:p>
            <w:pPr>
              <w:pStyle w:val="TableParagraph"/>
              <w:spacing w:line="240" w:lineRule="auto" w:before="11"/>
              <w:ind w:left="5"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322" w:hRule="exact"/>
        </w:trPr>
        <w:tc>
          <w:tcPr>
            <w:tcW w:w="1325" w:type="dxa"/>
            <w:tcBorders>
              <w:top w:val="single" w:sz="4" w:space="0" w:color="000000"/>
              <w:left w:val="single" w:sz="8" w:space="0" w:color="000000"/>
              <w:bottom w:val="single" w:sz="4" w:space="0" w:color="000000"/>
              <w:right w:val="single" w:sz="4" w:space="0" w:color="000000"/>
            </w:tcBorders>
            <w:shd w:val="clear" w:color="auto" w:fill="D2D2D2"/>
          </w:tcPr>
          <w:p>
            <w:pPr>
              <w:pStyle w:val="TableParagraph"/>
              <w:spacing w:line="240" w:lineRule="auto" w:before="10"/>
              <w:ind w:left="97"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较期初减少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217.86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万元，主要系本期合营企业海立斯亏损所致</w:t>
            </w:r>
          </w:p>
        </w:tc>
      </w:tr>
      <w:tr>
        <w:trPr>
          <w:trHeight w:val="322" w:hRule="exact"/>
        </w:trPr>
        <w:tc>
          <w:tcPr>
            <w:tcW w:w="1325" w:type="dxa"/>
            <w:tcBorders>
              <w:top w:val="single" w:sz="4" w:space="0" w:color="000000"/>
              <w:left w:val="single" w:sz="8" w:space="0" w:color="000000"/>
              <w:bottom w:val="single" w:sz="4" w:space="0" w:color="000000"/>
              <w:right w:val="single" w:sz="4" w:space="0" w:color="000000"/>
            </w:tcBorders>
            <w:shd w:val="clear" w:color="auto" w:fill="D2D2D2"/>
          </w:tcPr>
          <w:p>
            <w:pPr>
              <w:pStyle w:val="TableParagraph"/>
              <w:spacing w:line="240" w:lineRule="auto" w:before="10"/>
              <w:ind w:left="9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较期初增加</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8,644.47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万元，主要系万马智慧创新基地及充电桩项目建设转入固定资产所致</w:t>
            </w:r>
          </w:p>
        </w:tc>
      </w:tr>
      <w:tr>
        <w:trPr>
          <w:trHeight w:val="634" w:hRule="exact"/>
        </w:trPr>
        <w:tc>
          <w:tcPr>
            <w:tcW w:w="1325" w:type="dxa"/>
            <w:tcBorders>
              <w:top w:val="single" w:sz="4" w:space="0" w:color="000000"/>
              <w:left w:val="single" w:sz="8"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97"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300" w:lineRule="auto" w:before="9"/>
              <w:ind w:left="104" w:right="159"/>
              <w:jc w:val="left"/>
              <w:rPr>
                <w:rFonts w:ascii="宋体" w:hAnsi="宋体" w:cs="宋体" w:eastAsia="宋体" w:hint="default"/>
                <w:sz w:val="18"/>
                <w:szCs w:val="18"/>
              </w:rPr>
            </w:pPr>
            <w:r>
              <w:rPr>
                <w:rFonts w:ascii="宋体" w:hAnsi="宋体" w:cs="宋体" w:eastAsia="宋体" w:hint="default"/>
                <w:sz w:val="18"/>
                <w:szCs w:val="18"/>
              </w:rPr>
              <w:t>较期初增加 </w:t>
            </w:r>
            <w:r>
              <w:rPr>
                <w:rFonts w:ascii="Times New Roman" w:hAnsi="Times New Roman" w:cs="Times New Roman" w:eastAsia="Times New Roman" w:hint="default"/>
                <w:sz w:val="18"/>
                <w:szCs w:val="18"/>
              </w:rPr>
              <w:t>1,944.73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万元，主要系（</w:t>
            </w:r>
            <w:r>
              <w:rPr>
                <w:rFonts w:ascii="Times New Roman" w:hAnsi="Times New Roman" w:cs="Times New Roman" w:eastAsia="Times New Roman" w:hint="default"/>
                <w:sz w:val="18"/>
                <w:szCs w:val="18"/>
              </w:rPr>
              <w:t>1</w:t>
            </w:r>
            <w:r>
              <w:rPr>
                <w:rFonts w:ascii="宋体" w:hAnsi="宋体" w:cs="宋体" w:eastAsia="宋体" w:hint="default"/>
                <w:sz w:val="18"/>
                <w:szCs w:val="18"/>
              </w:rPr>
              <w:t>）新能源开发支出转入无形资产；（</w:t>
            </w:r>
            <w:r>
              <w:rPr>
                <w:rFonts w:ascii="Times New Roman" w:hAnsi="Times New Roman" w:cs="Times New Roman" w:eastAsia="Times New Roman" w:hint="default"/>
                <w:sz w:val="18"/>
                <w:szCs w:val="18"/>
              </w:rPr>
              <w:t>2</w:t>
            </w:r>
            <w:r>
              <w:rPr>
                <w:rFonts w:ascii="宋体" w:hAnsi="宋体" w:cs="宋体" w:eastAsia="宋体" w:hint="default"/>
                <w:sz w:val="18"/>
                <w:szCs w:val="18"/>
              </w:rPr>
              <w:t>）本期清远万马新材料新 建厂房购入土地增加</w:t>
            </w:r>
          </w:p>
        </w:tc>
      </w:tr>
      <w:tr>
        <w:trPr>
          <w:trHeight w:val="322" w:hRule="exact"/>
        </w:trPr>
        <w:tc>
          <w:tcPr>
            <w:tcW w:w="1325" w:type="dxa"/>
            <w:tcBorders>
              <w:top w:val="single" w:sz="4" w:space="0" w:color="000000"/>
              <w:left w:val="single" w:sz="8" w:space="0" w:color="000000"/>
              <w:bottom w:val="single" w:sz="4" w:space="0" w:color="000000"/>
              <w:right w:val="single" w:sz="4" w:space="0" w:color="000000"/>
            </w:tcBorders>
            <w:shd w:val="clear" w:color="auto" w:fill="D2D2D2"/>
          </w:tcPr>
          <w:p>
            <w:pPr>
              <w:pStyle w:val="TableParagraph"/>
              <w:spacing w:line="240" w:lineRule="auto" w:before="9"/>
              <w:ind w:left="9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4" w:right="0"/>
              <w:jc w:val="left"/>
              <w:rPr>
                <w:rFonts w:ascii="宋体" w:hAnsi="宋体" w:cs="宋体" w:eastAsia="宋体" w:hint="default"/>
                <w:sz w:val="18"/>
                <w:szCs w:val="18"/>
              </w:rPr>
            </w:pPr>
            <w:r>
              <w:rPr>
                <w:rFonts w:ascii="宋体" w:hAnsi="宋体" w:cs="宋体" w:eastAsia="宋体" w:hint="default"/>
                <w:sz w:val="18"/>
                <w:szCs w:val="18"/>
              </w:rPr>
              <w:t>较期初增加</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1,371.57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万元，主要系万马智慧创新基地、全国充电桩及年产</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7.5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万吨电缆料项目增加所致</w:t>
            </w:r>
          </w:p>
        </w:tc>
      </w:tr>
      <w:tr>
        <w:trPr>
          <w:trHeight w:val="322" w:hRule="exact"/>
        </w:trPr>
        <w:tc>
          <w:tcPr>
            <w:tcW w:w="13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9"/>
              <w:ind w:left="9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4" w:right="0"/>
              <w:jc w:val="left"/>
              <w:rPr>
                <w:rFonts w:ascii="宋体" w:hAnsi="宋体" w:cs="宋体" w:eastAsia="宋体" w:hint="default"/>
                <w:sz w:val="18"/>
                <w:szCs w:val="18"/>
              </w:rPr>
            </w:pPr>
            <w:r>
              <w:rPr>
                <w:rFonts w:ascii="宋体" w:hAnsi="宋体" w:cs="宋体" w:eastAsia="宋体" w:hint="default"/>
                <w:sz w:val="18"/>
                <w:szCs w:val="18"/>
              </w:rPr>
              <w:t>较期初增加 </w:t>
            </w:r>
            <w:r>
              <w:rPr>
                <w:rFonts w:ascii="Times New Roman" w:hAnsi="Times New Roman" w:cs="Times New Roman" w:eastAsia="Times New Roman" w:hint="default"/>
                <w:sz w:val="18"/>
                <w:szCs w:val="18"/>
              </w:rPr>
              <w:t>2.56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亿元，主要系公司强化应收款管理，应收账款收回增加，银行留存增加所致</w:t>
            </w:r>
          </w:p>
        </w:tc>
      </w:tr>
      <w:tr>
        <w:trPr>
          <w:trHeight w:val="634" w:hRule="exact"/>
        </w:trPr>
        <w:tc>
          <w:tcPr>
            <w:tcW w:w="13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300" w:lineRule="auto" w:before="11"/>
              <w:ind w:left="104" w:right="96"/>
              <w:jc w:val="left"/>
              <w:rPr>
                <w:rFonts w:ascii="宋体" w:hAnsi="宋体" w:cs="宋体" w:eastAsia="宋体" w:hint="default"/>
                <w:sz w:val="18"/>
                <w:szCs w:val="18"/>
              </w:rPr>
            </w:pPr>
            <w:r>
              <w:rPr>
                <w:rFonts w:ascii="宋体" w:hAnsi="宋体" w:cs="宋体" w:eastAsia="宋体" w:hint="default"/>
                <w:sz w:val="18"/>
                <w:szCs w:val="18"/>
              </w:rPr>
              <w:t>较期初增加</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1.71</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亿元，主要系（</w:t>
            </w:r>
            <w:r>
              <w:rPr>
                <w:rFonts w:ascii="Times New Roman" w:hAnsi="Times New Roman" w:cs="Times New Roman" w:eastAsia="Times New Roman" w:hint="default"/>
                <w:sz w:val="18"/>
                <w:szCs w:val="18"/>
              </w:rPr>
              <w:t>1</w:t>
            </w:r>
            <w:r>
              <w:rPr>
                <w:rFonts w:ascii="宋体" w:hAnsi="宋体" w:cs="宋体" w:eastAsia="宋体" w:hint="default"/>
                <w:sz w:val="18"/>
                <w:szCs w:val="18"/>
              </w:rPr>
              <w:t>）执行新金融准则信用级别较低的期末尚未到期但已经背书或贴现的 承兑票据不终止确认；（</w:t>
            </w:r>
            <w:r>
              <w:rPr>
                <w:rFonts w:ascii="Times New Roman" w:hAnsi="Times New Roman" w:cs="Times New Roman" w:eastAsia="Times New Roman" w:hint="default"/>
                <w:sz w:val="18"/>
                <w:szCs w:val="18"/>
              </w:rPr>
              <w:t>2</w:t>
            </w:r>
            <w:r>
              <w:rPr>
                <w:rFonts w:ascii="宋体" w:hAnsi="宋体" w:cs="宋体" w:eastAsia="宋体" w:hint="default"/>
                <w:sz w:val="18"/>
                <w:szCs w:val="18"/>
              </w:rPr>
              <w:t>）本期销售收入增加，银行承兑相应增加</w:t>
            </w:r>
          </w:p>
        </w:tc>
      </w:tr>
      <w:tr>
        <w:trPr>
          <w:trHeight w:val="322" w:hRule="exact"/>
        </w:trPr>
        <w:tc>
          <w:tcPr>
            <w:tcW w:w="13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0"/>
              <w:ind w:left="97"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较期初增加</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6,366.69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万元，主要系本期销售收入增加，信用级别较高的银行承兑相应增加</w:t>
            </w:r>
          </w:p>
        </w:tc>
      </w:tr>
      <w:tr>
        <w:trPr>
          <w:trHeight w:val="322" w:hRule="exact"/>
        </w:trPr>
        <w:tc>
          <w:tcPr>
            <w:tcW w:w="13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0"/>
              <w:ind w:left="9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322" w:hRule="exact"/>
        </w:trPr>
        <w:tc>
          <w:tcPr>
            <w:tcW w:w="13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9"/>
              <w:ind w:left="9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8243"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left="104" w:right="0"/>
              <w:jc w:val="left"/>
              <w:rPr>
                <w:rFonts w:ascii="宋体" w:hAnsi="宋体" w:cs="宋体" w:eastAsia="宋体" w:hint="default"/>
                <w:sz w:val="18"/>
                <w:szCs w:val="18"/>
              </w:rPr>
            </w:pPr>
            <w:r>
              <w:rPr>
                <w:rFonts w:ascii="宋体" w:hAnsi="宋体" w:cs="宋体" w:eastAsia="宋体" w:hint="default"/>
                <w:sz w:val="18"/>
                <w:szCs w:val="18"/>
              </w:rPr>
              <w:t>较期初减少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亿元，主要系公司优化存货管理，加快存货周转速度所致</w:t>
            </w:r>
          </w:p>
        </w:tc>
      </w:tr>
      <w:tr>
        <w:trPr>
          <w:trHeight w:val="327" w:hRule="exact"/>
        </w:trPr>
        <w:tc>
          <w:tcPr>
            <w:tcW w:w="1325"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9"/>
              <w:ind w:left="97"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8243"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9"/>
              <w:ind w:left="104" w:right="0"/>
              <w:jc w:val="left"/>
              <w:rPr>
                <w:rFonts w:ascii="宋体" w:hAnsi="宋体" w:cs="宋体" w:eastAsia="宋体" w:hint="default"/>
                <w:sz w:val="18"/>
                <w:szCs w:val="18"/>
              </w:rPr>
            </w:pPr>
            <w:r>
              <w:rPr>
                <w:rFonts w:ascii="宋体" w:hAnsi="宋体" w:cs="宋体" w:eastAsia="宋体" w:hint="default"/>
                <w:sz w:val="18"/>
                <w:szCs w:val="18"/>
              </w:rPr>
              <w:t>较期初减少</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1,562.95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万元，主要系新能源开发支出转入无形资产所致</w:t>
            </w:r>
          </w:p>
        </w:tc>
      </w:tr>
    </w:tbl>
    <w:p>
      <w:pPr>
        <w:spacing w:line="240" w:lineRule="auto" w:before="3"/>
        <w:rPr>
          <w:rFonts w:ascii="宋体" w:hAnsi="宋体" w:cs="宋体" w:eastAsia="宋体" w:hint="default"/>
          <w:b/>
          <w:bCs/>
          <w:sz w:val="19"/>
          <w:szCs w:val="19"/>
        </w:rPr>
      </w:pPr>
    </w:p>
    <w:p>
      <w:pPr>
        <w:spacing w:before="34"/>
        <w:ind w:left="112" w:right="1115" w:firstLine="0"/>
        <w:jc w:val="left"/>
        <w:rPr>
          <w:rFonts w:ascii="宋体" w:hAnsi="宋体" w:cs="宋体" w:eastAsia="宋体" w:hint="default"/>
          <w:sz w:val="21"/>
          <w:szCs w:val="21"/>
        </w:rPr>
      </w:pPr>
      <w:bookmarkStart w:name="2、主要境外资产情况" w:id="21"/>
      <w:bookmarkEnd w:id="2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、主要境外资产情况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left="112" w:right="1115"/>
        <w:jc w:val="left"/>
        <w:rPr>
          <w:b w:val="0"/>
          <w:bCs w:val="0"/>
        </w:rPr>
      </w:pPr>
      <w:bookmarkStart w:name="三、核心竞争力分析" w:id="22"/>
      <w:bookmarkEnd w:id="22"/>
      <w:r>
        <w:rPr>
          <w:b w:val="0"/>
          <w:bCs w:val="0"/>
        </w:rPr>
      </w:r>
      <w:r>
        <w:rPr/>
        <w:t>三、核心竞争力分析</w:t>
      </w:r>
      <w:r>
        <w:rPr>
          <w:b w:val="0"/>
          <w:bCs w:val="0"/>
        </w:rPr>
      </w:r>
    </w:p>
    <w:p>
      <w:pPr>
        <w:spacing w:line="240" w:lineRule="auto" w:before="9"/>
        <w:rPr>
          <w:rFonts w:ascii="宋体" w:hAnsi="宋体" w:cs="宋体" w:eastAsia="宋体" w:hint="default"/>
          <w:b/>
          <w:bCs/>
          <w:sz w:val="24"/>
          <w:szCs w:val="24"/>
        </w:rPr>
      </w:pPr>
    </w:p>
    <w:p>
      <w:pPr>
        <w:spacing w:line="290" w:lineRule="auto" w:before="0"/>
        <w:ind w:left="532" w:right="111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行业地位突出</w:t>
      </w:r>
      <w:r>
        <w:rPr>
          <w:rFonts w:ascii="宋体" w:hAnsi="宋体" w:cs="宋体" w:eastAsia="宋体" w:hint="default"/>
          <w:b/>
          <w:bCs/>
          <w:w w:val="99"/>
          <w:sz w:val="21"/>
          <w:szCs w:val="21"/>
        </w:rPr>
        <w:t> </w:t>
      </w:r>
      <w:r>
        <w:rPr>
          <w:rFonts w:ascii="宋体" w:hAnsi="宋体" w:cs="宋体" w:eastAsia="宋体" w:hint="default"/>
          <w:w w:val="95"/>
          <w:sz w:val="21"/>
          <w:szCs w:val="21"/>
        </w:rPr>
        <w:t>历经三十余年的行业深耕积淀，公司在线缆及材料等中高端产品市场竞争中已具有稳固的行业地位，</w:t>
      </w:r>
      <w:r>
        <w:rPr>
          <w:rFonts w:ascii="宋体" w:hAnsi="宋体" w:cs="宋体" w:eastAsia="宋体" w:hint="default"/>
          <w:sz w:val="21"/>
          <w:szCs w:val="21"/>
        </w:rPr>
      </w:r>
    </w:p>
    <w:p>
      <w:pPr>
        <w:spacing w:line="273" w:lineRule="auto" w:before="0"/>
        <w:ind w:left="112" w:right="0" w:firstLine="0"/>
        <w:jc w:val="left"/>
        <w:rPr>
          <w:rFonts w:ascii="宋体" w:hAnsi="宋体" w:cs="宋体" w:eastAsia="宋体" w:hint="default"/>
          <w:sz w:val="21"/>
          <w:szCs w:val="21"/>
        </w:rPr>
      </w:pPr>
      <w:r>
        <w:rPr>
          <w:rFonts w:ascii="宋体" w:hAnsi="宋体" w:cs="宋体" w:eastAsia="宋体" w:hint="default"/>
          <w:spacing w:val="-3"/>
          <w:sz w:val="21"/>
          <w:szCs w:val="21"/>
        </w:rPr>
        <w:t>超高压电缆、高压电缆材料等产品技术成熟。公司稳定占据国内电缆绝缘料行业龙头地位，并且通过努力，</w:t>
      </w:r>
      <w:r>
        <w:rPr>
          <w:rFonts w:ascii="宋体" w:hAnsi="宋体" w:cs="宋体" w:eastAsia="宋体" w:hint="default"/>
          <w:w w:val="99"/>
          <w:sz w:val="21"/>
          <w:szCs w:val="21"/>
        </w:rPr>
        <w:t> </w:t>
      </w:r>
      <w:r>
        <w:rPr>
          <w:rFonts w:ascii="宋体" w:hAnsi="宋体" w:cs="宋体" w:eastAsia="宋体" w:hint="default"/>
          <w:sz w:val="21"/>
          <w:szCs w:val="21"/>
        </w:rPr>
        <w:t>逐步拉大了与身后同业公司的间距。公司通过不断优化产业布局、调整产业结构，发挥各业务板块间的协</w:t>
      </w:r>
      <w:r>
        <w:rPr>
          <w:rFonts w:ascii="宋体" w:hAnsi="宋体" w:cs="宋体" w:eastAsia="宋体" w:hint="default"/>
          <w:w w:val="99"/>
          <w:sz w:val="21"/>
          <w:szCs w:val="21"/>
        </w:rPr>
        <w:t> </w:t>
      </w:r>
      <w:r>
        <w:rPr>
          <w:rFonts w:ascii="宋体" w:hAnsi="宋体" w:cs="宋体" w:eastAsia="宋体" w:hint="default"/>
          <w:spacing w:val="-3"/>
          <w:sz w:val="21"/>
          <w:szCs w:val="21"/>
        </w:rPr>
        <w:t>同效应，在客户管理、销售网络、原材料采购、产品研发、技术共享、业务完整性等方面形成互补性促进，</w:t>
      </w:r>
      <w:r>
        <w:rPr>
          <w:rFonts w:ascii="宋体" w:hAnsi="宋体" w:cs="宋体" w:eastAsia="宋体" w:hint="default"/>
          <w:w w:val="99"/>
          <w:sz w:val="21"/>
          <w:szCs w:val="21"/>
        </w:rPr>
        <w:t> </w:t>
      </w:r>
      <w:r>
        <w:rPr>
          <w:rFonts w:ascii="宋体" w:hAnsi="宋体" w:cs="宋体" w:eastAsia="宋体" w:hint="default"/>
          <w:sz w:val="21"/>
          <w:szCs w:val="21"/>
        </w:rPr>
        <w:t>能为客户提供优质的产品和高附加值的服务。充分发挥了规模效益，降低了原材料的采购成本，增强了上</w:t>
      </w:r>
      <w:r>
        <w:rPr>
          <w:rFonts w:ascii="宋体" w:hAnsi="宋体" w:cs="宋体" w:eastAsia="宋体" w:hint="default"/>
          <w:w w:val="99"/>
          <w:sz w:val="21"/>
          <w:szCs w:val="21"/>
        </w:rPr>
        <w:t> </w:t>
      </w:r>
      <w:r>
        <w:rPr>
          <w:rFonts w:ascii="宋体" w:hAnsi="宋体" w:cs="宋体" w:eastAsia="宋体" w:hint="default"/>
          <w:sz w:val="21"/>
          <w:szCs w:val="21"/>
        </w:rPr>
        <w:t>市公司的核心竞争力、盈利能力以及可持续发展能力。公司还通过智能工厂、精益生产、管理信息化等手</w:t>
      </w:r>
      <w:r>
        <w:rPr>
          <w:rFonts w:ascii="宋体" w:hAnsi="宋体" w:cs="宋体" w:eastAsia="宋体" w:hint="default"/>
          <w:w w:val="99"/>
          <w:sz w:val="21"/>
          <w:szCs w:val="21"/>
        </w:rPr>
        <w:t> </w:t>
      </w:r>
      <w:r>
        <w:rPr>
          <w:rFonts w:ascii="宋体" w:hAnsi="宋体" w:cs="宋体" w:eastAsia="宋体" w:hint="default"/>
          <w:sz w:val="21"/>
          <w:szCs w:val="21"/>
        </w:rPr>
        <w:t>段不断提升现代管理水平。</w:t>
      </w:r>
    </w:p>
    <w:p>
      <w:pPr>
        <w:spacing w:line="307" w:lineRule="auto" w:before="46"/>
        <w:ind w:left="532" w:right="1115" w:firstLine="2"/>
        <w:jc w:val="left"/>
        <w:rPr>
          <w:rFonts w:ascii="宋体" w:hAnsi="宋体" w:cs="宋体" w:eastAsia="宋体" w:hint="default"/>
          <w:sz w:val="21"/>
          <w:szCs w:val="21"/>
        </w:rPr>
      </w:pPr>
      <w:r>
        <w:rPr>
          <w:rFonts w:ascii="宋体" w:hAnsi="宋体" w:cs="宋体" w:eastAsia="宋体" w:hint="default"/>
          <w:b/>
          <w:bCs/>
          <w:sz w:val="21"/>
          <w:szCs w:val="21"/>
        </w:rPr>
        <w:t>2.技术研发实力</w:t>
      </w:r>
      <w:r>
        <w:rPr>
          <w:rFonts w:ascii="宋体" w:hAnsi="宋体" w:cs="宋体" w:eastAsia="宋体" w:hint="default"/>
          <w:b/>
          <w:bCs/>
          <w:w w:val="99"/>
          <w:sz w:val="21"/>
          <w:szCs w:val="21"/>
        </w:rPr>
        <w:t> </w:t>
      </w:r>
      <w:r>
        <w:rPr>
          <w:rFonts w:ascii="宋体" w:hAnsi="宋体" w:cs="宋体" w:eastAsia="宋体" w:hint="default"/>
          <w:w w:val="95"/>
          <w:sz w:val="21"/>
          <w:szCs w:val="21"/>
        </w:rPr>
        <w:t>公司重视自主创新，在中高压电缆、专用电缆、线缆材料、充电设备等产品领域拥有行业领先技术实</w:t>
      </w:r>
      <w:r>
        <w:rPr>
          <w:rFonts w:ascii="宋体" w:hAnsi="宋体" w:cs="宋体" w:eastAsia="宋体" w:hint="default"/>
          <w:sz w:val="21"/>
          <w:szCs w:val="21"/>
        </w:rPr>
      </w:r>
    </w:p>
    <w:p>
      <w:pPr>
        <w:spacing w:after="0" w:line="307" w:lineRule="auto"/>
        <w:jc w:val="left"/>
        <w:rPr>
          <w:rFonts w:ascii="宋体" w:hAnsi="宋体" w:cs="宋体" w:eastAsia="宋体" w:hint="default"/>
          <w:sz w:val="21"/>
          <w:szCs w:val="21"/>
        </w:rPr>
        <w:sectPr>
          <w:pgSz w:w="11910" w:h="16840"/>
          <w:pgMar w:header="890" w:footer="1053" w:top="1420" w:bottom="1240" w:left="1020" w:right="0"/>
        </w:sectPr>
      </w:pPr>
    </w:p>
    <w:p>
      <w:pPr>
        <w:spacing w:line="273" w:lineRule="auto" w:before="43"/>
        <w:ind w:left="112" w:right="1132" w:firstLine="0"/>
        <w:jc w:val="both"/>
        <w:rPr>
          <w:rFonts w:ascii="宋体" w:hAnsi="宋体" w:cs="宋体" w:eastAsia="宋体" w:hint="default"/>
          <w:sz w:val="21"/>
          <w:szCs w:val="21"/>
        </w:rPr>
      </w:pPr>
      <w:r>
        <w:rPr>
          <w:rFonts w:ascii="宋体" w:hAnsi="宋体" w:cs="宋体" w:eastAsia="宋体" w:hint="default"/>
          <w:spacing w:val="2"/>
          <w:w w:val="95"/>
          <w:sz w:val="21"/>
          <w:szCs w:val="21"/>
        </w:rPr>
        <w:t>力。公司拥有3个省级工程技术研究中心、5家高新技术企业，公司控股股东拥有1个国家级博士后科研工</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spacing w:val="2"/>
          <w:sz w:val="21"/>
          <w:szCs w:val="21"/>
        </w:rPr>
        <w:t>作站、1个院士工作站。报告期，公司研发投入 </w:t>
      </w:r>
      <w:r>
        <w:rPr>
          <w:rFonts w:ascii="宋体" w:hAnsi="宋体" w:cs="宋体" w:eastAsia="宋体" w:hint="default"/>
          <w:sz w:val="21"/>
          <w:szCs w:val="21"/>
        </w:rPr>
        <w:t>36,414.35 </w:t>
      </w:r>
      <w:r>
        <w:rPr>
          <w:rFonts w:ascii="宋体" w:hAnsi="宋体" w:cs="宋体" w:eastAsia="宋体" w:hint="default"/>
          <w:spacing w:val="2"/>
          <w:sz w:val="21"/>
          <w:szCs w:val="21"/>
        </w:rPr>
        <w:t>万元，较上年同期增长</w:t>
      </w:r>
      <w:r>
        <w:rPr>
          <w:rFonts w:ascii="宋体" w:hAnsi="宋体" w:cs="宋体" w:eastAsia="宋体" w:hint="default"/>
          <w:spacing w:val="3"/>
          <w:sz w:val="21"/>
          <w:szCs w:val="21"/>
        </w:rPr>
        <w:t> </w:t>
      </w:r>
      <w:r>
        <w:rPr>
          <w:rFonts w:ascii="宋体" w:hAnsi="宋体" w:cs="宋体" w:eastAsia="宋体" w:hint="default"/>
          <w:sz w:val="21"/>
          <w:szCs w:val="21"/>
        </w:rPr>
        <w:t>11.12%，研发投入居</w:t>
      </w:r>
      <w:r>
        <w:rPr>
          <w:rFonts w:ascii="宋体" w:hAnsi="宋体" w:cs="宋体" w:eastAsia="宋体" w:hint="default"/>
          <w:w w:val="99"/>
          <w:sz w:val="21"/>
          <w:szCs w:val="21"/>
        </w:rPr>
        <w:t> </w:t>
      </w:r>
      <w:r>
        <w:rPr>
          <w:rFonts w:ascii="宋体" w:hAnsi="宋体" w:cs="宋体" w:eastAsia="宋体" w:hint="default"/>
          <w:sz w:val="21"/>
          <w:szCs w:val="21"/>
        </w:rPr>
        <w:t>行业前列。报告期，万马高分子荣获“2019年度杭州市政府质量提名奖”。</w:t>
      </w:r>
    </w:p>
    <w:p>
      <w:pPr>
        <w:spacing w:line="273" w:lineRule="auto" w:before="46"/>
        <w:ind w:left="112" w:right="1130" w:firstLine="420"/>
        <w:jc w:val="both"/>
        <w:rPr>
          <w:rFonts w:ascii="宋体" w:hAnsi="宋体" w:cs="宋体" w:eastAsia="宋体" w:hint="default"/>
          <w:sz w:val="21"/>
          <w:szCs w:val="21"/>
        </w:rPr>
      </w:pPr>
      <w:r>
        <w:rPr>
          <w:rFonts w:ascii="宋体" w:hAnsi="宋体" w:cs="宋体" w:eastAsia="宋体" w:hint="default"/>
          <w:spacing w:val="2"/>
          <w:w w:val="95"/>
          <w:sz w:val="21"/>
          <w:szCs w:val="21"/>
        </w:rPr>
        <w:t>报告期，公司“35kV及以下石油石化防爆超级耐火电力电缆”、“额定电压110kV交联聚乙烯绝缘平</w:t>
      </w:r>
      <w:r>
        <w:rPr>
          <w:rFonts w:ascii="宋体" w:hAnsi="宋体" w:cs="宋体" w:eastAsia="宋体" w:hint="default"/>
          <w:spacing w:val="-91"/>
          <w:w w:val="95"/>
          <w:sz w:val="21"/>
          <w:szCs w:val="21"/>
        </w:rPr>
        <w:t> </w:t>
      </w:r>
      <w:r>
        <w:rPr>
          <w:rFonts w:ascii="宋体" w:hAnsi="宋体" w:cs="宋体" w:eastAsia="宋体" w:hint="default"/>
          <w:spacing w:val="-91"/>
          <w:w w:val="95"/>
          <w:sz w:val="21"/>
          <w:szCs w:val="21"/>
        </w:rPr>
      </w:r>
      <w:r>
        <w:rPr>
          <w:rFonts w:ascii="宋体" w:hAnsi="宋体" w:cs="宋体" w:eastAsia="宋体" w:hint="default"/>
          <w:spacing w:val="2"/>
          <w:w w:val="95"/>
          <w:sz w:val="21"/>
          <w:szCs w:val="21"/>
        </w:rPr>
        <w:t>滑铝护套智能监视型电力电缆”、“耐酸碱盐耐海候风能电缆”等7项新产品通过省级新产品鉴定。“万</w:t>
      </w:r>
      <w:r>
        <w:rPr>
          <w:rFonts w:ascii="宋体" w:hAnsi="宋体" w:cs="宋体" w:eastAsia="宋体" w:hint="default"/>
          <w:spacing w:val="48"/>
          <w:w w:val="95"/>
          <w:sz w:val="21"/>
          <w:szCs w:val="21"/>
        </w:rPr>
        <w:t> </w:t>
      </w:r>
      <w:r>
        <w:rPr>
          <w:rFonts w:ascii="宋体" w:hAnsi="宋体" w:cs="宋体" w:eastAsia="宋体" w:hint="default"/>
          <w:spacing w:val="48"/>
          <w:w w:val="95"/>
          <w:sz w:val="21"/>
          <w:szCs w:val="21"/>
        </w:rPr>
      </w:r>
      <w:r>
        <w:rPr>
          <w:rFonts w:ascii="宋体" w:hAnsi="宋体" w:cs="宋体" w:eastAsia="宋体" w:hint="default"/>
          <w:w w:val="95"/>
          <w:sz w:val="21"/>
          <w:szCs w:val="21"/>
        </w:rPr>
        <w:t>马高分子省级企业技术中心”、“万马专用线缆杭州市级企业高新技术研发中心”、“万马新能源浙江省</w:t>
      </w:r>
      <w:r>
        <w:rPr>
          <w:rFonts w:ascii="宋体" w:hAnsi="宋体" w:cs="宋体" w:eastAsia="宋体" w:hint="default"/>
          <w:spacing w:val="43"/>
          <w:w w:val="95"/>
          <w:sz w:val="21"/>
          <w:szCs w:val="21"/>
        </w:rPr>
        <w:t> </w:t>
      </w:r>
      <w:r>
        <w:rPr>
          <w:rFonts w:ascii="宋体" w:hAnsi="宋体" w:cs="宋体" w:eastAsia="宋体" w:hint="default"/>
          <w:spacing w:val="43"/>
          <w:w w:val="95"/>
          <w:sz w:val="21"/>
          <w:szCs w:val="21"/>
        </w:rPr>
      </w:r>
      <w:r>
        <w:rPr>
          <w:rFonts w:ascii="宋体" w:hAnsi="宋体" w:cs="宋体" w:eastAsia="宋体" w:hint="default"/>
          <w:w w:val="95"/>
          <w:sz w:val="21"/>
          <w:szCs w:val="21"/>
        </w:rPr>
        <w:t>高新技术企业研究开发中心”通过认定，万马新能源通过“国家高新技术企业”认定。此外，公司还与浙</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z w:val="21"/>
          <w:szCs w:val="21"/>
        </w:rPr>
        <w:t>江大学等高校增进科研合作。</w:t>
      </w:r>
    </w:p>
    <w:p>
      <w:pPr>
        <w:spacing w:line="273" w:lineRule="auto" w:before="48"/>
        <w:ind w:left="112" w:right="1112" w:firstLine="420"/>
        <w:jc w:val="both"/>
        <w:rPr>
          <w:rFonts w:ascii="宋体" w:hAnsi="宋体" w:cs="宋体" w:eastAsia="宋体" w:hint="default"/>
          <w:sz w:val="21"/>
          <w:szCs w:val="21"/>
        </w:rPr>
      </w:pPr>
      <w:r>
        <w:rPr>
          <w:rFonts w:ascii="宋体" w:hAnsi="宋体" w:cs="宋体" w:eastAsia="宋体" w:hint="default"/>
          <w:w w:val="95"/>
          <w:sz w:val="21"/>
          <w:szCs w:val="21"/>
        </w:rPr>
        <w:t>报告期，公司取得“用于超净高压电力电缆绝缘料直接法生产工艺及装置、利用大数据监控动力电池</w:t>
      </w:r>
      <w:r>
        <w:rPr>
          <w:rFonts w:ascii="宋体" w:hAnsi="宋体" w:cs="宋体" w:eastAsia="宋体" w:hint="default"/>
          <w:w w:val="99"/>
          <w:sz w:val="21"/>
          <w:szCs w:val="21"/>
        </w:rPr>
        <w:t> </w:t>
      </w:r>
      <w:r>
        <w:rPr>
          <w:rFonts w:ascii="宋体" w:hAnsi="宋体" w:cs="宋体" w:eastAsia="宋体" w:hint="default"/>
          <w:w w:val="95"/>
          <w:sz w:val="21"/>
          <w:szCs w:val="21"/>
        </w:rPr>
        <w:t>技术、基于区块链的充电桩充电交易通讯方法及装置、绞线机绞线张力自动监控系统”等15项发明专利。</w:t>
      </w:r>
      <w:r>
        <w:rPr>
          <w:rFonts w:ascii="宋体" w:hAnsi="宋体" w:cs="宋体" w:eastAsia="宋体" w:hint="default"/>
          <w:spacing w:val="61"/>
          <w:w w:val="95"/>
          <w:sz w:val="21"/>
          <w:szCs w:val="21"/>
        </w:rPr>
        <w:t> </w:t>
      </w:r>
      <w:r>
        <w:rPr>
          <w:rFonts w:ascii="宋体" w:hAnsi="宋体" w:cs="宋体" w:eastAsia="宋体" w:hint="default"/>
          <w:spacing w:val="61"/>
          <w:w w:val="95"/>
          <w:sz w:val="21"/>
          <w:szCs w:val="21"/>
        </w:rPr>
      </w:r>
      <w:r>
        <w:rPr>
          <w:rFonts w:ascii="宋体" w:hAnsi="宋体" w:cs="宋体" w:eastAsia="宋体" w:hint="default"/>
          <w:w w:val="95"/>
          <w:sz w:val="21"/>
          <w:szCs w:val="21"/>
        </w:rPr>
        <w:t>截至报告期末，公司拥有有效知识产权337项，其中发明专利49项、实用新型专利215项、外观设计专利47</w:t>
      </w:r>
      <w:r>
        <w:rPr>
          <w:rFonts w:ascii="宋体" w:hAnsi="宋体" w:cs="宋体" w:eastAsia="宋体" w:hint="default"/>
          <w:spacing w:val="46"/>
          <w:w w:val="95"/>
          <w:sz w:val="21"/>
          <w:szCs w:val="21"/>
        </w:rPr>
        <w:t> </w:t>
      </w:r>
      <w:r>
        <w:rPr>
          <w:rFonts w:ascii="宋体" w:hAnsi="宋体" w:cs="宋体" w:eastAsia="宋体" w:hint="default"/>
          <w:spacing w:val="46"/>
          <w:w w:val="95"/>
          <w:sz w:val="21"/>
          <w:szCs w:val="21"/>
        </w:rPr>
      </w:r>
      <w:r>
        <w:rPr>
          <w:rFonts w:ascii="宋体" w:hAnsi="宋体" w:cs="宋体" w:eastAsia="宋体" w:hint="default"/>
          <w:sz w:val="21"/>
          <w:szCs w:val="21"/>
        </w:rPr>
        <w:t>项、软件著作权26项。</w:t>
      </w:r>
    </w:p>
    <w:p>
      <w:pPr>
        <w:spacing w:line="307" w:lineRule="auto" w:before="48"/>
        <w:ind w:left="532" w:right="1115" w:firstLine="2"/>
        <w:jc w:val="left"/>
        <w:rPr>
          <w:rFonts w:ascii="宋体" w:hAnsi="宋体" w:cs="宋体" w:eastAsia="宋体" w:hint="default"/>
          <w:sz w:val="21"/>
          <w:szCs w:val="21"/>
        </w:rPr>
      </w:pPr>
      <w:r>
        <w:rPr>
          <w:rFonts w:ascii="宋体" w:hAnsi="宋体" w:cs="宋体" w:eastAsia="宋体" w:hint="default"/>
          <w:b/>
          <w:bCs/>
          <w:sz w:val="21"/>
          <w:szCs w:val="21"/>
        </w:rPr>
        <w:t>3.产品品类齐全</w:t>
      </w:r>
      <w:r>
        <w:rPr>
          <w:rFonts w:ascii="宋体" w:hAnsi="宋体" w:cs="宋体" w:eastAsia="宋体" w:hint="default"/>
          <w:b/>
          <w:bCs/>
          <w:w w:val="99"/>
          <w:sz w:val="21"/>
          <w:szCs w:val="21"/>
        </w:rPr>
        <w:t> </w:t>
      </w:r>
      <w:r>
        <w:rPr>
          <w:rFonts w:ascii="宋体" w:hAnsi="宋体" w:cs="宋体" w:eastAsia="宋体" w:hint="default"/>
          <w:spacing w:val="2"/>
          <w:w w:val="95"/>
          <w:sz w:val="21"/>
          <w:szCs w:val="21"/>
        </w:rPr>
        <w:t>公司开发的110kV及以上高压电缆绝缘料、高压直流电缆料、抗水树电缆绝缘材料等产品，填补国内</w:t>
      </w:r>
      <w:r>
        <w:rPr>
          <w:rFonts w:ascii="宋体" w:hAnsi="宋体" w:cs="宋体" w:eastAsia="宋体" w:hint="default"/>
          <w:spacing w:val="2"/>
          <w:sz w:val="21"/>
          <w:szCs w:val="21"/>
        </w:rPr>
      </w:r>
    </w:p>
    <w:p>
      <w:pPr>
        <w:spacing w:line="253" w:lineRule="exact" w:before="0"/>
        <w:ind w:left="112" w:right="0" w:firstLine="0"/>
        <w:jc w:val="both"/>
        <w:rPr>
          <w:rFonts w:ascii="宋体" w:hAnsi="宋体" w:cs="宋体" w:eastAsia="宋体" w:hint="default"/>
          <w:sz w:val="21"/>
          <w:szCs w:val="21"/>
        </w:rPr>
      </w:pPr>
      <w:r>
        <w:rPr>
          <w:rFonts w:ascii="宋体" w:hAnsi="宋体" w:cs="宋体" w:eastAsia="宋体" w:hint="default"/>
          <w:spacing w:val="2"/>
          <w:sz w:val="21"/>
          <w:szCs w:val="21"/>
        </w:rPr>
        <w:t>空白，打破国际垄断，获得发明专利；高压电缆(110kV)超净XLPE绝缘料被列入科技部国家重点新产品计</w:t>
      </w:r>
    </w:p>
    <w:p>
      <w:pPr>
        <w:spacing w:line="273" w:lineRule="auto" w:before="37"/>
        <w:ind w:left="112" w:right="1132" w:firstLine="0"/>
        <w:jc w:val="both"/>
        <w:rPr>
          <w:rFonts w:ascii="宋体" w:hAnsi="宋体" w:cs="宋体" w:eastAsia="宋体" w:hint="default"/>
          <w:sz w:val="21"/>
          <w:szCs w:val="21"/>
        </w:rPr>
      </w:pPr>
      <w:r>
        <w:rPr>
          <w:rFonts w:ascii="宋体" w:hAnsi="宋体" w:cs="宋体" w:eastAsia="宋体" w:hint="default"/>
          <w:w w:val="95"/>
          <w:sz w:val="21"/>
          <w:szCs w:val="21"/>
        </w:rPr>
        <w:t>划立项项目；公司研发的抗水树电缆绝缘材料，是目前国内唯一通过中国电力科学研究院武汉检测中心检</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pacing w:val="2"/>
          <w:w w:val="95"/>
          <w:sz w:val="21"/>
          <w:szCs w:val="21"/>
        </w:rPr>
        <w:t>测的电缆材料。特种PVC电缆料通过UL认证，进入美洲市场，应用于5G数据缆和光电混合缆，并成功进入</w:t>
      </w:r>
      <w:r>
        <w:rPr>
          <w:rFonts w:ascii="宋体" w:hAnsi="宋体" w:cs="宋体" w:eastAsia="宋体" w:hint="default"/>
          <w:spacing w:val="43"/>
          <w:w w:val="95"/>
          <w:sz w:val="21"/>
          <w:szCs w:val="21"/>
        </w:rPr>
        <w:t> </w:t>
      </w:r>
      <w:r>
        <w:rPr>
          <w:rFonts w:ascii="宋体" w:hAnsi="宋体" w:cs="宋体" w:eastAsia="宋体" w:hint="default"/>
          <w:spacing w:val="43"/>
          <w:w w:val="95"/>
          <w:sz w:val="21"/>
          <w:szCs w:val="21"/>
        </w:rPr>
      </w:r>
      <w:r>
        <w:rPr>
          <w:rFonts w:ascii="宋体" w:hAnsi="宋体" w:cs="宋体" w:eastAsia="宋体" w:hint="default"/>
          <w:sz w:val="21"/>
          <w:szCs w:val="21"/>
        </w:rPr>
        <w:t>了汽车线行业。</w:t>
      </w:r>
    </w:p>
    <w:p>
      <w:pPr>
        <w:spacing w:line="273" w:lineRule="auto" w:before="48"/>
        <w:ind w:left="112" w:right="1112" w:firstLine="420"/>
        <w:jc w:val="both"/>
        <w:rPr>
          <w:rFonts w:ascii="宋体" w:hAnsi="宋体" w:cs="宋体" w:eastAsia="宋体" w:hint="default"/>
          <w:sz w:val="21"/>
          <w:szCs w:val="21"/>
        </w:rPr>
      </w:pPr>
      <w:r>
        <w:rPr>
          <w:rFonts w:ascii="宋体" w:hAnsi="宋体" w:cs="宋体" w:eastAsia="宋体" w:hint="default"/>
          <w:w w:val="95"/>
          <w:sz w:val="21"/>
          <w:szCs w:val="21"/>
        </w:rPr>
        <w:t>公司能为客户提供全面、多样化的产品选择与增值服务，已形成了从线缆料到电线电缆、通信线缆、</w:t>
      </w:r>
      <w:r>
        <w:rPr>
          <w:rFonts w:ascii="宋体" w:hAnsi="宋体" w:cs="宋体" w:eastAsia="宋体" w:hint="default"/>
          <w:spacing w:val="-79"/>
          <w:w w:val="95"/>
          <w:sz w:val="21"/>
          <w:szCs w:val="21"/>
        </w:rPr>
        <w:t> </w:t>
      </w:r>
      <w:r>
        <w:rPr>
          <w:rFonts w:ascii="宋体" w:hAnsi="宋体" w:cs="宋体" w:eastAsia="宋体" w:hint="default"/>
          <w:spacing w:val="-79"/>
          <w:w w:val="95"/>
          <w:sz w:val="21"/>
          <w:szCs w:val="21"/>
        </w:rPr>
      </w:r>
      <w:r>
        <w:rPr>
          <w:rFonts w:ascii="宋体" w:hAnsi="宋体" w:cs="宋体" w:eastAsia="宋体" w:hint="default"/>
          <w:sz w:val="21"/>
          <w:szCs w:val="21"/>
        </w:rPr>
        <w:t>充电设备等的全产业链布局。</w:t>
      </w:r>
    </w:p>
    <w:p>
      <w:pPr>
        <w:spacing w:line="307" w:lineRule="auto" w:before="48"/>
        <w:ind w:left="532" w:right="1115" w:firstLine="2"/>
        <w:jc w:val="left"/>
        <w:rPr>
          <w:rFonts w:ascii="宋体" w:hAnsi="宋体" w:cs="宋体" w:eastAsia="宋体" w:hint="default"/>
          <w:sz w:val="21"/>
          <w:szCs w:val="21"/>
        </w:rPr>
      </w:pPr>
      <w:r>
        <w:rPr>
          <w:rFonts w:ascii="宋体" w:hAnsi="宋体" w:cs="宋体" w:eastAsia="宋体" w:hint="default"/>
          <w:b/>
          <w:bCs/>
          <w:sz w:val="21"/>
          <w:szCs w:val="21"/>
        </w:rPr>
        <w:t>4.职业化团队</w:t>
      </w:r>
      <w:r>
        <w:rPr>
          <w:rFonts w:ascii="宋体" w:hAnsi="宋体" w:cs="宋体" w:eastAsia="宋体" w:hint="default"/>
          <w:b/>
          <w:bCs/>
          <w:w w:val="99"/>
          <w:sz w:val="21"/>
          <w:szCs w:val="21"/>
        </w:rPr>
        <w:t> </w:t>
      </w:r>
      <w:r>
        <w:rPr>
          <w:rFonts w:ascii="宋体" w:hAnsi="宋体" w:cs="宋体" w:eastAsia="宋体" w:hint="default"/>
          <w:w w:val="95"/>
          <w:sz w:val="21"/>
          <w:szCs w:val="21"/>
        </w:rPr>
        <w:t>公司用现代企业制度打造高效灵活的组织架构，重视战略人才队伍规划，建设职业经理人团队，吸引</w:t>
      </w:r>
      <w:r>
        <w:rPr>
          <w:rFonts w:ascii="宋体" w:hAnsi="宋体" w:cs="宋体" w:eastAsia="宋体" w:hint="default"/>
          <w:sz w:val="21"/>
          <w:szCs w:val="21"/>
        </w:rPr>
      </w:r>
    </w:p>
    <w:p>
      <w:pPr>
        <w:spacing w:line="253" w:lineRule="exact" w:before="0"/>
        <w:ind w:left="112" w:right="0" w:firstLine="0"/>
        <w:jc w:val="both"/>
        <w:rPr>
          <w:rFonts w:ascii="宋体" w:hAnsi="宋体" w:cs="宋体" w:eastAsia="宋体" w:hint="default"/>
          <w:sz w:val="21"/>
          <w:szCs w:val="21"/>
        </w:rPr>
      </w:pPr>
      <w:r>
        <w:rPr>
          <w:rFonts w:ascii="宋体" w:hAnsi="宋体" w:cs="宋体" w:eastAsia="宋体" w:hint="default"/>
          <w:sz w:val="21"/>
          <w:szCs w:val="21"/>
        </w:rPr>
        <w:t>保留各方人才，追求个人与公司共谋发展，共同进步。公司已建立职业化的管理、技术、营销团队，结构</w:t>
      </w:r>
    </w:p>
    <w:p>
      <w:pPr>
        <w:spacing w:line="273" w:lineRule="auto" w:before="37"/>
        <w:ind w:left="112" w:right="0" w:firstLine="0"/>
        <w:jc w:val="left"/>
        <w:rPr>
          <w:rFonts w:ascii="宋体" w:hAnsi="宋体" w:cs="宋体" w:eastAsia="宋体" w:hint="default"/>
          <w:sz w:val="21"/>
          <w:szCs w:val="21"/>
        </w:rPr>
      </w:pPr>
      <w:r>
        <w:rPr>
          <w:rFonts w:ascii="宋体" w:hAnsi="宋体" w:cs="宋体" w:eastAsia="宋体" w:hint="default"/>
          <w:spacing w:val="-3"/>
          <w:sz w:val="21"/>
          <w:szCs w:val="21"/>
        </w:rPr>
        <w:t>合理，优势互补，执行力强。公司通过利益共享机制，激发团队创业创新的能动性。公司通过智能化工厂、</w:t>
      </w:r>
      <w:r>
        <w:rPr>
          <w:rFonts w:ascii="宋体" w:hAnsi="宋体" w:cs="宋体" w:eastAsia="宋体" w:hint="default"/>
          <w:w w:val="99"/>
          <w:sz w:val="21"/>
          <w:szCs w:val="21"/>
        </w:rPr>
        <w:t> </w:t>
      </w:r>
      <w:r>
        <w:rPr>
          <w:rFonts w:ascii="宋体" w:hAnsi="宋体" w:cs="宋体" w:eastAsia="宋体" w:hint="default"/>
          <w:sz w:val="21"/>
          <w:szCs w:val="21"/>
        </w:rPr>
        <w:t>精益生产、信息化管理等方式不断提高管理水平，以适应企业发展的要求。</w:t>
      </w:r>
    </w:p>
    <w:p>
      <w:pPr>
        <w:spacing w:after="0" w:line="273" w:lineRule="auto"/>
        <w:jc w:val="left"/>
        <w:rPr>
          <w:rFonts w:ascii="宋体" w:hAnsi="宋体" w:cs="宋体" w:eastAsia="宋体" w:hint="default"/>
          <w:sz w:val="21"/>
          <w:szCs w:val="21"/>
        </w:rPr>
        <w:sectPr>
          <w:pgSz w:w="11910" w:h="16840"/>
          <w:pgMar w:header="890" w:footer="1053" w:top="1420" w:bottom="1240" w:left="102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Heading1"/>
        <w:spacing w:line="240" w:lineRule="auto"/>
        <w:ind w:left="3007" w:right="1115"/>
        <w:jc w:val="left"/>
        <w:rPr>
          <w:b w:val="0"/>
          <w:bCs w:val="0"/>
        </w:rPr>
      </w:pPr>
      <w:bookmarkStart w:name="第四节经营情况讨论与分析" w:id="23"/>
      <w:bookmarkEnd w:id="23"/>
      <w:r>
        <w:rPr>
          <w:b w:val="0"/>
          <w:bCs w:val="0"/>
        </w:rPr>
      </w:r>
      <w:bookmarkStart w:name="_bookmark3" w:id="24"/>
      <w:bookmarkEnd w:id="24"/>
      <w:r>
        <w:rPr>
          <w:b w:val="0"/>
          <w:bCs w:val="0"/>
        </w:rPr>
      </w:r>
      <w:r>
        <w:rPr/>
        <w:t>第四节经营情况讨论与分析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left="112" w:right="1115"/>
        <w:jc w:val="left"/>
        <w:rPr>
          <w:b w:val="0"/>
          <w:bCs w:val="0"/>
        </w:rPr>
      </w:pPr>
      <w:bookmarkStart w:name="一、概述" w:id="25"/>
      <w:bookmarkEnd w:id="25"/>
      <w:r>
        <w:rPr>
          <w:b w:val="0"/>
          <w:bCs w:val="0"/>
        </w:rPr>
      </w:r>
      <w:r>
        <w:rPr/>
        <w:t>一、概述</w:t>
      </w:r>
      <w:r>
        <w:rPr>
          <w:b w:val="0"/>
          <w:bCs w:val="0"/>
        </w:rPr>
      </w:r>
    </w:p>
    <w:p>
      <w:pPr>
        <w:spacing w:line="240" w:lineRule="auto" w:before="11"/>
        <w:rPr>
          <w:rFonts w:ascii="宋体" w:hAnsi="宋体" w:cs="宋体" w:eastAsia="宋体" w:hint="default"/>
          <w:b/>
          <w:bCs/>
          <w:sz w:val="28"/>
          <w:szCs w:val="28"/>
        </w:rPr>
      </w:pPr>
    </w:p>
    <w:p>
      <w:pPr>
        <w:pStyle w:val="Heading3"/>
        <w:spacing w:line="357" w:lineRule="auto"/>
        <w:ind w:right="0" w:firstLine="422"/>
        <w:jc w:val="left"/>
      </w:pPr>
      <w:r>
        <w:rPr>
          <w:spacing w:val="-1"/>
        </w:rPr>
        <w:t>2019年，公司稳健经营，精细管理，优化业务结构，提高产品质量，实现业绩稳步增长，</w:t>
      </w:r>
      <w:r>
        <w:rPr/>
        <w:t> 盈利能力持续提高。</w:t>
      </w:r>
    </w:p>
    <w:p>
      <w:pPr>
        <w:pStyle w:val="Heading3"/>
        <w:spacing w:line="357" w:lineRule="auto" w:before="192"/>
        <w:ind w:right="1118" w:firstLine="480"/>
        <w:jc w:val="left"/>
      </w:pPr>
      <w:r>
        <w:rPr/>
        <w:t>报告期，公司实现营业收入</w:t>
      </w:r>
      <w:r>
        <w:rPr>
          <w:spacing w:val="-68"/>
        </w:rPr>
        <w:t> </w:t>
      </w:r>
      <w:r>
        <w:rPr/>
        <w:t>97.45</w:t>
      </w:r>
      <w:r>
        <w:rPr>
          <w:spacing w:val="-68"/>
        </w:rPr>
        <w:t> </w:t>
      </w:r>
      <w:r>
        <w:rPr/>
        <w:t>亿元，同比增长</w:t>
      </w:r>
      <w:r>
        <w:rPr>
          <w:spacing w:val="-68"/>
        </w:rPr>
        <w:t> </w:t>
      </w:r>
      <w:r>
        <w:rPr/>
        <w:t>11.51%；实现归属于上市公司母公司</w:t>
      </w:r>
      <w:r>
        <w:rPr/>
        <w:t> 利润</w:t>
      </w:r>
      <w:r>
        <w:rPr>
          <w:spacing w:val="-63"/>
        </w:rPr>
        <w:t> </w:t>
      </w:r>
      <w:r>
        <w:rPr/>
        <w:t>2.21</w:t>
      </w:r>
      <w:r>
        <w:rPr>
          <w:spacing w:val="-63"/>
        </w:rPr>
        <w:t> </w:t>
      </w:r>
      <w:r>
        <w:rPr/>
        <w:t>亿元，同比增长</w:t>
      </w:r>
      <w:r>
        <w:rPr>
          <w:spacing w:val="-63"/>
        </w:rPr>
        <w:t> </w:t>
      </w:r>
      <w:r>
        <w:rPr/>
        <w:t>97.72%；截止</w:t>
      </w:r>
      <w:r>
        <w:rPr>
          <w:spacing w:val="-63"/>
        </w:rPr>
        <w:t> </w:t>
      </w:r>
      <w:r>
        <w:rPr/>
        <w:t>2019</w:t>
      </w:r>
      <w:r>
        <w:rPr>
          <w:spacing w:val="-63"/>
        </w:rPr>
        <w:t> </w:t>
      </w:r>
      <w:r>
        <w:rPr/>
        <w:t>年</w:t>
      </w:r>
      <w:r>
        <w:rPr>
          <w:spacing w:val="-63"/>
        </w:rPr>
        <w:t> </w:t>
      </w:r>
      <w:r>
        <w:rPr/>
        <w:t>12</w:t>
      </w:r>
      <w:r>
        <w:rPr>
          <w:spacing w:val="-63"/>
        </w:rPr>
        <w:t> </w:t>
      </w:r>
      <w:r>
        <w:rPr/>
        <w:t>月</w:t>
      </w:r>
      <w:r>
        <w:rPr>
          <w:spacing w:val="-63"/>
        </w:rPr>
        <w:t> </w:t>
      </w:r>
      <w:r>
        <w:rPr/>
        <w:t>31</w:t>
      </w:r>
      <w:r>
        <w:rPr>
          <w:spacing w:val="-63"/>
        </w:rPr>
        <w:t> </w:t>
      </w:r>
      <w:r>
        <w:rPr/>
        <w:t>日，公司总资产</w:t>
      </w:r>
      <w:r>
        <w:rPr>
          <w:spacing w:val="-63"/>
        </w:rPr>
        <w:t> </w:t>
      </w:r>
      <w:r>
        <w:rPr/>
        <w:t>75.98</w:t>
      </w:r>
      <w:r>
        <w:rPr>
          <w:spacing w:val="-63"/>
        </w:rPr>
        <w:t> </w:t>
      </w:r>
      <w:r>
        <w:rPr/>
        <w:t>亿元，归属</w:t>
      </w:r>
    </w:p>
    <w:p>
      <w:pPr>
        <w:spacing w:line="477" w:lineRule="auto" w:before="36"/>
        <w:ind w:left="535" w:right="1115" w:hanging="423"/>
        <w:jc w:val="left"/>
        <w:rPr>
          <w:rFonts w:ascii="宋体" w:hAnsi="宋体" w:cs="宋体" w:eastAsia="宋体" w:hint="default"/>
          <w:sz w:val="24"/>
          <w:szCs w:val="24"/>
        </w:rPr>
      </w:pPr>
      <w:r>
        <w:rPr>
          <w:rFonts w:ascii="宋体" w:hAnsi="宋体" w:cs="宋体" w:eastAsia="宋体" w:hint="default"/>
          <w:sz w:val="24"/>
          <w:szCs w:val="24"/>
        </w:rPr>
        <w:t>于上市公司股东净资产</w:t>
      </w:r>
      <w:r>
        <w:rPr>
          <w:rFonts w:ascii="宋体" w:hAnsi="宋体" w:cs="宋体" w:eastAsia="宋体" w:hint="default"/>
          <w:spacing w:val="-60"/>
          <w:sz w:val="24"/>
          <w:szCs w:val="24"/>
        </w:rPr>
        <w:t> </w:t>
      </w:r>
      <w:r>
        <w:rPr>
          <w:rFonts w:ascii="宋体" w:hAnsi="宋体" w:cs="宋体" w:eastAsia="宋体" w:hint="default"/>
          <w:sz w:val="24"/>
          <w:szCs w:val="24"/>
        </w:rPr>
        <w:t>42.49</w:t>
      </w:r>
      <w:r>
        <w:rPr>
          <w:rFonts w:ascii="宋体" w:hAnsi="宋体" w:cs="宋体" w:eastAsia="宋体" w:hint="default"/>
          <w:spacing w:val="-60"/>
          <w:sz w:val="24"/>
          <w:szCs w:val="24"/>
        </w:rPr>
        <w:t> </w:t>
      </w:r>
      <w:r>
        <w:rPr>
          <w:rFonts w:ascii="宋体" w:hAnsi="宋体" w:cs="宋体" w:eastAsia="宋体" w:hint="default"/>
          <w:sz w:val="24"/>
          <w:szCs w:val="24"/>
        </w:rPr>
        <w:t>亿元。报告期，公司各业务板块的主要经营情况如下：</w:t>
      </w:r>
      <w:r>
        <w:rPr>
          <w:rFonts w:ascii="宋体" w:hAnsi="宋体" w:cs="宋体" w:eastAsia="宋体" w:hint="default"/>
          <w:sz w:val="24"/>
          <w:szCs w:val="24"/>
        </w:rPr>
        <w:t> </w:t>
      </w:r>
      <w:r>
        <w:rPr>
          <w:rFonts w:ascii="宋体" w:hAnsi="宋体" w:cs="宋体" w:eastAsia="宋体" w:hint="default"/>
          <w:b/>
          <w:bCs/>
          <w:sz w:val="24"/>
          <w:szCs w:val="24"/>
        </w:rPr>
        <w:t>1.新材料板块：实现新飞跃。</w:t>
      </w:r>
      <w:r>
        <w:rPr>
          <w:rFonts w:ascii="宋体" w:hAnsi="宋体" w:cs="宋体" w:eastAsia="宋体" w:hint="default"/>
          <w:sz w:val="24"/>
          <w:szCs w:val="24"/>
        </w:rPr>
      </w:r>
    </w:p>
    <w:p>
      <w:pPr>
        <w:pStyle w:val="Heading3"/>
        <w:spacing w:line="348" w:lineRule="auto" w:before="72"/>
        <w:ind w:right="1115" w:firstLine="422"/>
        <w:jc w:val="left"/>
      </w:pPr>
      <w:r>
        <w:rPr>
          <w:spacing w:val="-1"/>
        </w:rPr>
        <w:t>报告期，新材料板块抓住市场机遇，实现高质量发展。全年实现销售收入27.73亿元，同</w:t>
      </w:r>
      <w:r>
        <w:rPr/>
        <w:t> 比增长12.77</w:t>
      </w:r>
      <w:r>
        <w:rPr>
          <w:rFonts w:ascii="Times New Roman" w:hAnsi="Times New Roman" w:cs="Times New Roman" w:eastAsia="Times New Roman" w:hint="default"/>
        </w:rPr>
        <w:t>%</w:t>
      </w:r>
      <w:r>
        <w:rPr/>
        <w:t>，发出实物量同比增长17.34</w:t>
      </w:r>
      <w:r>
        <w:rPr>
          <w:rFonts w:ascii="Times New Roman" w:hAnsi="Times New Roman" w:cs="Times New Roman" w:eastAsia="Times New Roman" w:hint="default"/>
        </w:rPr>
        <w:t>%</w:t>
      </w:r>
      <w:r>
        <w:rPr/>
        <w:t>，超额完成</w:t>
      </w:r>
      <w:r>
        <w:rPr>
          <w:rFonts w:ascii="Times New Roman" w:hAnsi="Times New Roman" w:cs="Times New Roman" w:eastAsia="Times New Roman" w:hint="default"/>
        </w:rPr>
        <w:t>201</w:t>
      </w:r>
      <w:r>
        <w:rPr/>
        <w:t>9年度各项预算指标。主要经营 举措：</w:t>
      </w:r>
    </w:p>
    <w:p>
      <w:pPr>
        <w:pStyle w:val="Heading2"/>
        <w:spacing w:line="240" w:lineRule="auto" w:before="202"/>
        <w:ind w:left="554" w:right="1115"/>
        <w:jc w:val="left"/>
        <w:rPr>
          <w:b w:val="0"/>
          <w:bCs w:val="0"/>
        </w:rPr>
      </w:pPr>
      <w:r>
        <w:rPr/>
        <w:t>（1）深入开发优质客户，市场占有率进一步提升。</w:t>
      </w:r>
      <w:r>
        <w:rPr>
          <w:b w:val="0"/>
          <w:bCs w:val="0"/>
        </w:rPr>
      </w:r>
    </w:p>
    <w:p>
      <w:pPr>
        <w:spacing w:line="240" w:lineRule="auto" w:before="9"/>
        <w:rPr>
          <w:rFonts w:ascii="宋体" w:hAnsi="宋体" w:cs="宋体" w:eastAsia="宋体" w:hint="default"/>
          <w:b/>
          <w:bCs/>
          <w:sz w:val="23"/>
          <w:szCs w:val="23"/>
        </w:rPr>
      </w:pPr>
    </w:p>
    <w:p>
      <w:pPr>
        <w:pStyle w:val="Heading3"/>
        <w:spacing w:line="357" w:lineRule="auto"/>
        <w:ind w:right="996" w:firstLine="422"/>
        <w:jc w:val="left"/>
      </w:pPr>
      <w:r>
        <w:rPr/>
        <w:t>报告期，新材料板块抓住市场机遇，发挥品质优势，实现销售收入同比持续增长。公司 </w:t>
      </w:r>
      <w:r>
        <w:rPr>
          <w:spacing w:val="-2"/>
        </w:rPr>
        <w:t>始终将及时获取并响应客户需求，为客户提供一体化优质服务作为市场工作的出发点。近年，</w:t>
      </w:r>
      <w:r>
        <w:rPr/>
        <w:t> 新材料板块通过异地设厂，实施本地化战略，建立了具备较强竞争力的营销网络渠道，形成 了完整的市场开发和服务网络，市场响应速度快。其中，四川万马高分子为巩固西南、西北 市场地位奠定基础；清远万马新材料为华南市场服务扎根，该项目从打桩施工、封顶装修， </w:t>
      </w:r>
      <w:r>
        <w:rPr>
          <w:spacing w:val="-3"/>
        </w:rPr>
        <w:t>到设备安装、产品投产，仅用了半年时间，实现了报告期“当年拿地、当年筹建、当年生产”</w:t>
      </w:r>
      <w:r>
        <w:rPr>
          <w:spacing w:val="-81"/>
        </w:rPr>
        <w:t> </w:t>
      </w:r>
      <w:r>
        <w:rPr>
          <w:spacing w:val="-81"/>
        </w:rPr>
      </w:r>
      <w:r>
        <w:rPr/>
        <w:t>的高效率。新材料连续5年实现销售量增长（如下图）：</w:t>
      </w:r>
    </w:p>
    <w:p>
      <w:pPr>
        <w:spacing w:line="240" w:lineRule="auto" w:before="10"/>
        <w:rPr>
          <w:rFonts w:ascii="宋体" w:hAnsi="宋体" w:cs="宋体" w:eastAsia="宋体" w:hint="default"/>
          <w:sz w:val="14"/>
          <w:szCs w:val="14"/>
        </w:rPr>
      </w:pPr>
    </w:p>
    <w:p>
      <w:pPr>
        <w:spacing w:line="2677" w:lineRule="exact"/>
        <w:ind w:left="535" w:right="0" w:firstLine="0"/>
        <w:rPr>
          <w:rFonts w:ascii="宋体" w:hAnsi="宋体" w:cs="宋体" w:eastAsia="宋体" w:hint="default"/>
          <w:sz w:val="20"/>
          <w:szCs w:val="20"/>
        </w:rPr>
      </w:pPr>
      <w:r>
        <w:rPr>
          <w:rFonts w:ascii="宋体" w:hAnsi="宋体" w:cs="宋体" w:eastAsia="宋体" w:hint="default"/>
          <w:position w:val="-53"/>
          <w:sz w:val="20"/>
          <w:szCs w:val="20"/>
        </w:rPr>
        <w:drawing>
          <wp:inline distT="0" distB="0" distL="0" distR="0">
            <wp:extent cx="4049624" cy="1700212"/>
            <wp:effectExtent l="0" t="0" r="0" b="0"/>
            <wp:docPr id="11" name="image8.png" descr=""/>
            <wp:cNvGraphicFramePr>
              <a:graphicFrameLocks noChangeAspect="1"/>
            </wp:cNvGraphicFramePr>
            <a:graphic>
              <a:graphicData uri="http://schemas.openxmlformats.org/drawingml/2006/picture">
                <pic:pic>
                  <pic:nvPicPr>
                    <pic:cNvPr id="12" name="image8.png"/>
                    <pic:cNvPicPr/>
                  </pic:nvPicPr>
                  <pic:blipFill>
                    <a:blip r:embed="rId18" cstate="print"/>
                    <a:stretch>
                      <a:fillRect/>
                    </a:stretch>
                  </pic:blipFill>
                  <pic:spPr>
                    <a:xfrm>
                      <a:off x="0" y="0"/>
                      <a:ext cx="4049624" cy="1700212"/>
                    </a:xfrm>
                    <a:prstGeom prst="rect">
                      <a:avLst/>
                    </a:prstGeom>
                  </pic:spPr>
                </pic:pic>
              </a:graphicData>
            </a:graphic>
          </wp:inline>
        </w:drawing>
      </w:r>
      <w:r>
        <w:rPr>
          <w:rFonts w:ascii="宋体" w:hAnsi="宋体" w:cs="宋体" w:eastAsia="宋体" w:hint="default"/>
          <w:position w:val="-53"/>
          <w:sz w:val="20"/>
          <w:szCs w:val="20"/>
        </w:rPr>
      </w:r>
    </w:p>
    <w:p>
      <w:pPr>
        <w:spacing w:after="0" w:line="2677" w:lineRule="exact"/>
        <w:rPr>
          <w:rFonts w:ascii="宋体" w:hAnsi="宋体" w:cs="宋体" w:eastAsia="宋体" w:hint="default"/>
          <w:sz w:val="20"/>
          <w:szCs w:val="20"/>
        </w:rPr>
        <w:sectPr>
          <w:pgSz w:w="11910" w:h="16840"/>
          <w:pgMar w:header="890" w:footer="1053" w:top="1420" w:bottom="1240" w:left="1020" w:right="0"/>
        </w:sectPr>
      </w:pPr>
    </w:p>
    <w:p>
      <w:pPr>
        <w:pStyle w:val="Heading2"/>
        <w:spacing w:line="240" w:lineRule="auto" w:before="97"/>
        <w:ind w:left="554" w:right="1115"/>
        <w:jc w:val="left"/>
        <w:rPr>
          <w:b w:val="0"/>
          <w:bCs w:val="0"/>
        </w:rPr>
      </w:pPr>
      <w:r>
        <w:rPr>
          <w:color w:val="444444"/>
        </w:rPr>
        <w:t>（2）积极拓展境外市场，外销收入增长明显。</w:t>
      </w:r>
      <w:r>
        <w:rPr>
          <w:b w:val="0"/>
          <w:bCs w:val="0"/>
        </w:rPr>
      </w:r>
    </w:p>
    <w:p>
      <w:pPr>
        <w:spacing w:line="240" w:lineRule="auto" w:before="9"/>
        <w:rPr>
          <w:rFonts w:ascii="宋体" w:hAnsi="宋体" w:cs="宋体" w:eastAsia="宋体" w:hint="default"/>
          <w:b/>
          <w:bCs/>
          <w:sz w:val="23"/>
          <w:szCs w:val="23"/>
        </w:rPr>
      </w:pPr>
    </w:p>
    <w:p>
      <w:pPr>
        <w:pStyle w:val="Heading3"/>
        <w:spacing w:line="352" w:lineRule="auto"/>
        <w:ind w:right="1171" w:firstLine="480"/>
        <w:jc w:val="both"/>
      </w:pPr>
      <w:r>
        <w:rPr/>
        <w:t>公司新材料系列产品远销全球</w:t>
      </w:r>
      <w:r>
        <w:rPr>
          <w:rFonts w:ascii="Times New Roman" w:hAnsi="Times New Roman" w:cs="Times New Roman" w:eastAsia="Times New Roman" w:hint="default"/>
        </w:rPr>
        <w:t>50</w:t>
      </w:r>
      <w:r>
        <w:rPr/>
        <w:t>多个国家和地区，并与普睿司曼、耐克森、通用电气等 全球电缆集团达成长期稳定合作。报告期，在多变的国际经济环境下，公司新材料板块国际 业务规模逆势提升。其中马来西亚等东南亚国家销量增长明显。报告期，新材料板块海外销 售占板块销售收入五个百分点。未来，新材料板块将继续加强与“一带一路”沿线国家的合 作，拓展海外市场，提升产品国际竞争力。</w:t>
      </w:r>
    </w:p>
    <w:p>
      <w:pPr>
        <w:pStyle w:val="Heading3"/>
        <w:spacing w:line="240" w:lineRule="auto" w:before="197"/>
        <w:ind w:left="3148" w:right="1115"/>
        <w:jc w:val="left"/>
      </w:pPr>
      <w:r>
        <w:rPr/>
        <w:pict>
          <v:shape style="position:absolute;margin-left:80.760002pt;margin-top:41.215622pt;width:392.16pt;height:167.28pt;mso-position-horizontal-relative:page;mso-position-vertical-relative:paragraph;z-index:-1170472" type="#_x0000_t75" stroked="false">
            <v:imagedata r:id="rId19" o:title=""/>
          </v:shape>
        </w:pict>
      </w:r>
      <w:r>
        <w:rPr/>
        <w:t>新材料板块境外销售客户图</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spacing w:line="620" w:lineRule="atLeast" w:before="0"/>
        <w:ind w:left="535" w:right="1211" w:hanging="183"/>
        <w:jc w:val="left"/>
        <w:rPr>
          <w:rFonts w:ascii="宋体" w:hAnsi="宋体" w:cs="宋体" w:eastAsia="宋体" w:hint="default"/>
          <w:sz w:val="24"/>
          <w:szCs w:val="24"/>
        </w:rPr>
      </w:pPr>
      <w:r>
        <w:rPr>
          <w:rFonts w:ascii="宋体" w:hAnsi="宋体" w:cs="宋体" w:eastAsia="宋体" w:hint="default"/>
          <w:b/>
          <w:bCs/>
          <w:sz w:val="24"/>
          <w:szCs w:val="24"/>
        </w:rPr>
        <w:t>（3）重技术研发，综合竞争实力增强。</w:t>
      </w:r>
      <w:r>
        <w:rPr>
          <w:rFonts w:ascii="宋体" w:hAnsi="宋体" w:cs="宋体" w:eastAsia="宋体" w:hint="default"/>
          <w:b/>
          <w:bCs/>
          <w:w w:val="99"/>
          <w:sz w:val="24"/>
          <w:szCs w:val="24"/>
        </w:rPr>
        <w:t> </w:t>
      </w:r>
      <w:r>
        <w:rPr>
          <w:rFonts w:ascii="宋体" w:hAnsi="宋体" w:cs="宋体" w:eastAsia="宋体" w:hint="default"/>
          <w:sz w:val="24"/>
          <w:szCs w:val="24"/>
        </w:rPr>
        <w:t>公司重视技术研发，不断实现产品升级换代，满足客户需求。公司产品品类全覆盖，能</w:t>
      </w:r>
    </w:p>
    <w:p>
      <w:pPr>
        <w:pStyle w:val="Heading3"/>
        <w:spacing w:line="352" w:lineRule="auto" w:before="154"/>
        <w:ind w:right="0"/>
        <w:jc w:val="left"/>
      </w:pPr>
      <w:r>
        <w:rPr/>
        <w:t>为客户提供一体化解决方案。报告期，公司超高压、低烟无卤、特种</w:t>
      </w:r>
      <w:r>
        <w:rPr>
          <w:rFonts w:ascii="Times New Roman" w:hAnsi="Times New Roman" w:cs="Times New Roman" w:eastAsia="Times New Roman" w:hint="default"/>
        </w:rPr>
        <w:t>PVC</w:t>
      </w:r>
      <w:r>
        <w:rPr/>
        <w:t>等产品的销量持续 增长，品牌优势突出。公司推进业务单元以事业部、子公司模式运作，独立核算，既提升了 业务单元工作积极性，又使产品研发、生产更专注、更专业，更好地为客户服务，进而提升 </w:t>
      </w:r>
      <w:r>
        <w:rPr>
          <w:spacing w:val="-3"/>
        </w:rPr>
        <w:t>新材料板块的整体盈利能力。报告期，新材料产品毛利率大幅提升。经过三十余年行业耕耘，</w:t>
      </w:r>
      <w:r>
        <w:rPr>
          <w:spacing w:val="-80"/>
        </w:rPr>
        <w:t> </w:t>
      </w:r>
      <w:r>
        <w:rPr>
          <w:spacing w:val="-80"/>
        </w:rPr>
      </w:r>
      <w:r>
        <w:rPr/>
        <w:t>公司已发展成为行业内规模大、品类全的综合材料服务商，综合竞争优势明显增强。</w:t>
      </w:r>
    </w:p>
    <w:p>
      <w:pPr>
        <w:pStyle w:val="Heading2"/>
        <w:spacing w:line="240" w:lineRule="auto" w:before="197"/>
        <w:ind w:left="595" w:right="1115"/>
        <w:jc w:val="left"/>
        <w:rPr>
          <w:b w:val="0"/>
          <w:bCs w:val="0"/>
        </w:rPr>
      </w:pPr>
      <w:r>
        <w:rPr/>
        <w:t>2.线缆板块：积蓄新动能。</w:t>
      </w:r>
      <w:r>
        <w:rPr>
          <w:b w:val="0"/>
          <w:bCs w:val="0"/>
        </w:rPr>
      </w:r>
    </w:p>
    <w:p>
      <w:pPr>
        <w:spacing w:line="240" w:lineRule="auto" w:before="9"/>
        <w:rPr>
          <w:rFonts w:ascii="宋体" w:hAnsi="宋体" w:cs="宋体" w:eastAsia="宋体" w:hint="default"/>
          <w:b/>
          <w:bCs/>
          <w:sz w:val="23"/>
          <w:szCs w:val="23"/>
        </w:rPr>
      </w:pPr>
    </w:p>
    <w:p>
      <w:pPr>
        <w:pStyle w:val="Heading3"/>
        <w:spacing w:line="357" w:lineRule="auto"/>
        <w:ind w:right="1572" w:firstLine="422"/>
        <w:jc w:val="left"/>
      </w:pPr>
      <w:r>
        <w:rPr/>
        <w:t>报告期，电力电缆板块发展质量有所提升，全年实现销售收入61.08亿元，同比增长 16.49%，发出实物量同比增长16.25%，经营绩效稳步提升。主要经营举措：</w:t>
      </w:r>
    </w:p>
    <w:p>
      <w:pPr>
        <w:spacing w:line="477" w:lineRule="auto" w:before="192"/>
        <w:ind w:left="535" w:right="1211" w:firstLine="0"/>
        <w:jc w:val="left"/>
        <w:rPr>
          <w:rFonts w:ascii="宋体" w:hAnsi="宋体" w:cs="宋体" w:eastAsia="宋体" w:hint="default"/>
          <w:sz w:val="24"/>
          <w:szCs w:val="24"/>
        </w:rPr>
      </w:pPr>
      <w:r>
        <w:rPr>
          <w:rFonts w:ascii="宋体" w:hAnsi="宋体" w:cs="宋体" w:eastAsia="宋体" w:hint="default"/>
          <w:b/>
          <w:bCs/>
          <w:sz w:val="24"/>
          <w:szCs w:val="24"/>
        </w:rPr>
        <w:t>（1）开发优质客户，拓展分销业务。</w:t>
      </w:r>
      <w:r>
        <w:rPr>
          <w:rFonts w:ascii="宋体" w:hAnsi="宋体" w:cs="宋体" w:eastAsia="宋体" w:hint="default"/>
          <w:b/>
          <w:bCs/>
          <w:w w:val="99"/>
          <w:sz w:val="24"/>
          <w:szCs w:val="24"/>
        </w:rPr>
        <w:t> </w:t>
      </w:r>
      <w:r>
        <w:rPr>
          <w:rFonts w:ascii="宋体" w:hAnsi="宋体" w:cs="宋体" w:eastAsia="宋体" w:hint="default"/>
          <w:sz w:val="24"/>
          <w:szCs w:val="24"/>
        </w:rPr>
        <w:t>公司深度挖掘优质客户，建立战略合作伙伴关系，提高订单质量；公司成功入围万科采</w:t>
      </w:r>
    </w:p>
    <w:p>
      <w:pPr>
        <w:spacing w:after="0" w:line="477" w:lineRule="auto"/>
        <w:jc w:val="left"/>
        <w:rPr>
          <w:rFonts w:ascii="宋体" w:hAnsi="宋体" w:cs="宋体" w:eastAsia="宋体" w:hint="default"/>
          <w:sz w:val="24"/>
          <w:szCs w:val="24"/>
        </w:rPr>
        <w:sectPr>
          <w:pgSz w:w="11910" w:h="16840"/>
          <w:pgMar w:header="890" w:footer="1053" w:top="1420" w:bottom="1240" w:left="1020" w:right="0"/>
        </w:sectPr>
      </w:pPr>
    </w:p>
    <w:p>
      <w:pPr>
        <w:pStyle w:val="Heading3"/>
        <w:spacing w:line="357" w:lineRule="auto" w:before="97"/>
        <w:ind w:right="1171"/>
        <w:jc w:val="both"/>
      </w:pPr>
      <w:r>
        <w:rPr/>
        <w:t>筑合格供应商名录，入围阿里巴巴蚂蚁金服中心的合格供应商名录，与陕建集团建立优质合 作伙伴，成功参与多条重点铁路、道路、地铁的建设。报告期，公司持续优化销售模式，直 销和分销齐头并进。公司选择优质经销商，通过与其共建专卖店等方式，建立长期合作，报 告期分销销售量同比增长</w:t>
      </w:r>
      <w:r>
        <w:rPr>
          <w:spacing w:val="-61"/>
        </w:rPr>
        <w:t> </w:t>
      </w:r>
      <w:r>
        <w:rPr>
          <w:rFonts w:ascii="Times New Roman" w:hAnsi="Times New Roman" w:cs="Times New Roman" w:eastAsia="Times New Roman" w:hint="default"/>
        </w:rPr>
        <w:t>47%</w:t>
      </w:r>
      <w:r>
        <w:rPr/>
        <w:t>。</w:t>
      </w:r>
    </w:p>
    <w:p>
      <w:pPr>
        <w:pStyle w:val="Heading2"/>
        <w:spacing w:line="240" w:lineRule="auto" w:before="161"/>
        <w:ind w:left="535" w:right="1115"/>
        <w:jc w:val="left"/>
        <w:rPr>
          <w:b w:val="0"/>
          <w:bCs w:val="0"/>
        </w:rPr>
      </w:pPr>
      <w:r>
        <w:rPr/>
        <w:t>（2）改善经营绩效，提升盈利能力。</w:t>
      </w:r>
      <w:r>
        <w:rPr>
          <w:b w:val="0"/>
          <w:bCs w:val="0"/>
        </w:rPr>
      </w:r>
    </w:p>
    <w:p>
      <w:pPr>
        <w:spacing w:line="240" w:lineRule="auto" w:before="9"/>
        <w:rPr>
          <w:rFonts w:ascii="宋体" w:hAnsi="宋体" w:cs="宋体" w:eastAsia="宋体" w:hint="default"/>
          <w:b/>
          <w:bCs/>
          <w:sz w:val="23"/>
          <w:szCs w:val="23"/>
        </w:rPr>
      </w:pPr>
    </w:p>
    <w:p>
      <w:pPr>
        <w:pStyle w:val="Heading3"/>
        <w:spacing w:line="352" w:lineRule="auto"/>
        <w:ind w:right="1171" w:firstLine="422"/>
        <w:jc w:val="both"/>
      </w:pPr>
      <w:r>
        <w:rPr/>
        <w:t>报告期，公司通过供应链变革，改变瓶颈材料的采购方式，精细库存管理；试点精益生 产项目，持续构建（订单、采购、生产、物流等环节）快速响应机制；强化合同管理，增加 库存、货款预警机制，降低库存，保证回笼，改善现金流，加快资金周转；公司引入S</w:t>
      </w:r>
      <w:r>
        <w:rPr>
          <w:rFonts w:ascii="Times New Roman" w:hAnsi="Times New Roman" w:cs="Times New Roman" w:eastAsia="Times New Roman" w:hint="default"/>
        </w:rPr>
        <w:t>AP</w:t>
      </w:r>
      <w:r>
        <w:rPr/>
        <w:t>， 全面升级信息化系统，对公司的数据采集、分析、分发提供了全面的支持，为公司端到端的 管理提供有效的数据支持和流程优化。报告期，线缆板块的经营绩效整体改善，盈利能力提 升。</w:t>
      </w:r>
    </w:p>
    <w:p>
      <w:pPr>
        <w:pStyle w:val="Heading2"/>
        <w:spacing w:line="240" w:lineRule="auto" w:before="197"/>
        <w:ind w:left="595" w:right="1115"/>
        <w:jc w:val="left"/>
        <w:rPr>
          <w:b w:val="0"/>
          <w:bCs w:val="0"/>
        </w:rPr>
      </w:pPr>
      <w:r>
        <w:rPr/>
        <w:t>（3）加强科研合作，提高产品附加值。</w:t>
      </w:r>
      <w:r>
        <w:rPr>
          <w:b w:val="0"/>
          <w:bCs w:val="0"/>
        </w:rPr>
      </w:r>
    </w:p>
    <w:p>
      <w:pPr>
        <w:spacing w:line="240" w:lineRule="auto" w:before="9"/>
        <w:rPr>
          <w:rFonts w:ascii="宋体" w:hAnsi="宋体" w:cs="宋体" w:eastAsia="宋体" w:hint="default"/>
          <w:b/>
          <w:bCs/>
          <w:sz w:val="23"/>
          <w:szCs w:val="23"/>
        </w:rPr>
      </w:pPr>
    </w:p>
    <w:p>
      <w:pPr>
        <w:pStyle w:val="Heading3"/>
        <w:spacing w:line="357" w:lineRule="auto"/>
        <w:ind w:right="1171" w:firstLine="480"/>
        <w:jc w:val="both"/>
      </w:pPr>
      <w:r>
        <w:rPr/>
        <w:t>报告期，线缆板块积极加强与外部科研院校等的合作，与浙江大学电气工程学院共建研 究生教育实践基地，设立河南工学院建设教学实训基地。还积极参与《GB/T19666-2019》等 国家、行业标准制定。</w:t>
      </w:r>
    </w:p>
    <w:p>
      <w:pPr>
        <w:pStyle w:val="Heading3"/>
        <w:spacing w:line="340" w:lineRule="auto" w:before="192"/>
        <w:ind w:right="1132" w:firstLine="480"/>
        <w:jc w:val="both"/>
      </w:pPr>
      <w:r>
        <w:rPr/>
        <w:t>受中美贸易摩擦及行业周期性等因素影响，报告期，万马通信线缆整体营收规模同比收 </w:t>
      </w:r>
      <w:r>
        <w:rPr>
          <w:spacing w:val="-7"/>
        </w:rPr>
        <w:t>窄。面对外部环境变化，公司筹建万马线缆（越南）有限公司（</w:t>
      </w:r>
      <w:r>
        <w:rPr>
          <w:rFonts w:ascii="Times New Roman" w:hAnsi="Times New Roman" w:cs="Times New Roman" w:eastAsia="Times New Roman" w:hint="default"/>
          <w:spacing w:val="-7"/>
        </w:rPr>
        <w:t>WANMA</w:t>
      </w:r>
      <w:r>
        <w:rPr>
          <w:rFonts w:ascii="Times New Roman" w:hAnsi="Times New Roman" w:cs="Times New Roman" w:eastAsia="Times New Roman" w:hint="default"/>
          <w:spacing w:val="-11"/>
        </w:rPr>
        <w:t> </w:t>
      </w:r>
      <w:r>
        <w:rPr>
          <w:rFonts w:ascii="Times New Roman" w:hAnsi="Times New Roman" w:cs="Times New Roman" w:eastAsia="Times New Roman" w:hint="default"/>
        </w:rPr>
        <w:t>CABLE</w:t>
      </w:r>
      <w:r>
        <w:rPr>
          <w:rFonts w:ascii="Times New Roman" w:hAnsi="Times New Roman" w:cs="Times New Roman" w:eastAsia="Times New Roman" w:hint="default"/>
          <w:spacing w:val="11"/>
        </w:rPr>
        <w:t> </w:t>
      </w:r>
      <w:r>
        <w:rPr>
          <w:rFonts w:ascii="Times New Roman" w:hAnsi="Times New Roman" w:cs="Times New Roman" w:eastAsia="Times New Roman" w:hint="default"/>
        </w:rPr>
        <w:t>(VIETNAM)</w:t>
      </w:r>
      <w:r>
        <w:rPr>
          <w:rFonts w:ascii="Times New Roman" w:hAnsi="Times New Roman" w:cs="Times New Roman" w:eastAsia="Times New Roman" w:hint="default"/>
          <w:spacing w:val="-58"/>
        </w:rPr>
        <w:t> </w:t>
      </w:r>
      <w:r>
        <w:rPr>
          <w:rFonts w:ascii="Times New Roman" w:hAnsi="Times New Roman" w:cs="Times New Roman" w:eastAsia="Times New Roman" w:hint="default"/>
          <w:spacing w:val="-58"/>
        </w:rPr>
      </w:r>
      <w:r>
        <w:rPr>
          <w:rFonts w:ascii="Times New Roman" w:hAnsi="Times New Roman" w:cs="Times New Roman" w:eastAsia="Times New Roman" w:hint="default"/>
          <w:spacing w:val="-4"/>
        </w:rPr>
        <w:t>COMPANY</w:t>
      </w:r>
      <w:r>
        <w:rPr>
          <w:rFonts w:ascii="Times New Roman" w:hAnsi="Times New Roman" w:cs="Times New Roman" w:eastAsia="Times New Roman" w:hint="default"/>
          <w:spacing w:val="-24"/>
        </w:rPr>
        <w:t> </w:t>
      </w:r>
      <w:r>
        <w:rPr>
          <w:rFonts w:ascii="Times New Roman" w:hAnsi="Times New Roman" w:cs="Times New Roman" w:eastAsia="Times New Roman" w:hint="default"/>
        </w:rPr>
        <w:t>LIMITED</w:t>
      </w:r>
      <w:r>
        <w:rPr/>
        <w:t>，积极拓展国际业务，调整产品结构，大力开拓新客户，全年新增客户 </w:t>
      </w:r>
      <w:r>
        <w:rPr>
          <w:rFonts w:ascii="Times New Roman" w:hAnsi="Times New Roman" w:cs="Times New Roman" w:eastAsia="Times New Roman" w:hint="default"/>
        </w:rPr>
        <w:t>20</w:t>
      </w:r>
      <w:r>
        <w:rPr/>
        <w:t>余家；加快国内市场结构调整，持续培育综合布线分销业务。在通信线缆领域，公司将继 </w:t>
      </w:r>
      <w:r>
        <w:rPr>
          <w:spacing w:val="-1"/>
        </w:rPr>
        <w:t>续深耕机器人线缆、</w:t>
      </w:r>
      <w:r>
        <w:rPr>
          <w:rFonts w:ascii="Times New Roman" w:hAnsi="Times New Roman" w:cs="Times New Roman" w:eastAsia="Times New Roman" w:hint="default"/>
          <w:spacing w:val="-1"/>
        </w:rPr>
        <w:t>5G</w:t>
      </w:r>
      <w:r>
        <w:rPr>
          <w:spacing w:val="-1"/>
        </w:rPr>
        <w:t>通信线缆等细分市场，做精做专，争做部分特种线缆细分市场的隐形</w:t>
      </w:r>
      <w:r>
        <w:rPr>
          <w:spacing w:val="-96"/>
        </w:rPr>
        <w:t> </w:t>
      </w:r>
      <w:r>
        <w:rPr>
          <w:spacing w:val="-96"/>
        </w:rPr>
      </w:r>
      <w:r>
        <w:rPr/>
        <w:t>冠军。</w:t>
      </w:r>
    </w:p>
    <w:p>
      <w:pPr>
        <w:pStyle w:val="Heading2"/>
        <w:spacing w:line="240" w:lineRule="auto" w:before="209"/>
        <w:ind w:left="595" w:right="1115"/>
        <w:jc w:val="left"/>
        <w:rPr>
          <w:b w:val="0"/>
          <w:bCs w:val="0"/>
        </w:rPr>
      </w:pPr>
      <w:r>
        <w:rPr/>
        <w:t>3.新能源板块：翻开新篇章。</w:t>
      </w:r>
      <w:r>
        <w:rPr>
          <w:b w:val="0"/>
          <w:bCs w:val="0"/>
        </w:rPr>
      </w:r>
    </w:p>
    <w:p>
      <w:pPr>
        <w:spacing w:line="240" w:lineRule="auto" w:before="9"/>
        <w:rPr>
          <w:rFonts w:ascii="宋体" w:hAnsi="宋体" w:cs="宋体" w:eastAsia="宋体" w:hint="default"/>
          <w:b/>
          <w:bCs/>
          <w:sz w:val="23"/>
          <w:szCs w:val="23"/>
        </w:rPr>
      </w:pPr>
    </w:p>
    <w:p>
      <w:pPr>
        <w:pStyle w:val="Heading3"/>
        <w:spacing w:line="357" w:lineRule="auto"/>
        <w:ind w:right="1132" w:firstLine="480"/>
        <w:jc w:val="both"/>
      </w:pPr>
      <w:r>
        <w:rPr/>
        <w:t>报告期，新能源充电服务行业在变化中发展，机遇与挑战并存。特斯拉在国内建厂，推 动私家车电动化发展趋势；部分城市，如上海、西安、成都等，启动出租车纯电化，增加了 市场需求；充电桩采购需求明显放量，主要集中在省网、中小运营商、房地产行业等。城市 内中小运营商开始出现，运营市场格局发生变化，平台企业进入运营市场，服务费价格竞争 </w:t>
      </w:r>
      <w:r>
        <w:rPr>
          <w:spacing w:val="-3"/>
        </w:rPr>
        <w:t>加剧；政府补贴政策更加科学，普遍转向建设</w:t>
      </w:r>
      <w:r>
        <w:rPr>
          <w:rFonts w:ascii="Times New Roman" w:hAnsi="Times New Roman" w:cs="Times New Roman" w:eastAsia="Times New Roman" w:hint="default"/>
          <w:spacing w:val="-3"/>
        </w:rPr>
        <w:t>+</w:t>
      </w:r>
      <w:r>
        <w:rPr>
          <w:spacing w:val="-3"/>
        </w:rPr>
        <w:t>运营。报告期，公司新能源板块审时度势，投</w:t>
      </w:r>
    </w:p>
    <w:p>
      <w:pPr>
        <w:spacing w:after="0" w:line="357" w:lineRule="auto"/>
        <w:jc w:val="both"/>
        <w:sectPr>
          <w:pgSz w:w="11910" w:h="16840"/>
          <w:pgMar w:header="890" w:footer="1053" w:top="1420" w:bottom="1240" w:left="1020" w:right="0"/>
        </w:sectPr>
      </w:pPr>
    </w:p>
    <w:p>
      <w:pPr>
        <w:pStyle w:val="Heading3"/>
        <w:spacing w:line="240" w:lineRule="auto" w:before="97"/>
        <w:ind w:right="0"/>
        <w:jc w:val="both"/>
      </w:pPr>
      <w:r>
        <w:rPr/>
        <w:pict>
          <v:shape style="position:absolute;margin-left:80.760002pt;margin-top:34.29562pt;width:233.76pt;height:217.8pt;mso-position-horizontal-relative:page;mso-position-vertical-relative:paragraph;z-index:-1170448" type="#_x0000_t75" stroked="false">
            <v:imagedata r:id="rId21" o:title=""/>
          </v:shape>
        </w:pict>
      </w:r>
      <w:r>
        <w:rPr/>
        <w:t>资运营节奏合理。</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2"/>
          <w:szCs w:val="32"/>
        </w:rPr>
      </w:pPr>
    </w:p>
    <w:p>
      <w:pPr>
        <w:spacing w:line="640" w:lineRule="atLeast" w:before="0"/>
        <w:ind w:left="592" w:right="1118" w:firstLine="2"/>
        <w:jc w:val="left"/>
        <w:rPr>
          <w:rFonts w:ascii="Times New Roman" w:hAnsi="Times New Roman" w:cs="Times New Roman" w:eastAsia="Times New Roman" w:hint="default"/>
          <w:sz w:val="24"/>
          <w:szCs w:val="24"/>
        </w:rPr>
      </w:pPr>
      <w:r>
        <w:rPr>
          <w:rFonts w:ascii="宋体" w:hAnsi="宋体" w:cs="宋体" w:eastAsia="宋体" w:hint="default"/>
          <w:b/>
          <w:bCs/>
          <w:sz w:val="24"/>
          <w:szCs w:val="24"/>
        </w:rPr>
        <w:t>（1）精准投资，精细运营。</w:t>
      </w:r>
      <w:r>
        <w:rPr>
          <w:rFonts w:ascii="宋体" w:hAnsi="宋体" w:cs="宋体" w:eastAsia="宋体" w:hint="default"/>
          <w:b/>
          <w:bCs/>
          <w:w w:val="99"/>
          <w:sz w:val="24"/>
          <w:szCs w:val="24"/>
        </w:rPr>
        <w:t> </w:t>
      </w:r>
      <w:r>
        <w:rPr>
          <w:rFonts w:ascii="宋体" w:hAnsi="宋体" w:cs="宋体" w:eastAsia="宋体" w:hint="default"/>
          <w:spacing w:val="-6"/>
          <w:sz w:val="24"/>
          <w:szCs w:val="24"/>
        </w:rPr>
        <w:t>报告期，公司新能源板块持续深入投建充电站的同时，充电效率进一步提升，售电量</w:t>
      </w:r>
      <w:r>
        <w:rPr>
          <w:rFonts w:ascii="宋体" w:hAnsi="宋体" w:cs="宋体" w:eastAsia="宋体" w:hint="default"/>
          <w:spacing w:val="-42"/>
          <w:sz w:val="24"/>
          <w:szCs w:val="24"/>
        </w:rPr>
        <w:t> </w:t>
      </w:r>
      <w:r>
        <w:rPr>
          <w:rFonts w:ascii="Times New Roman" w:hAnsi="Times New Roman" w:cs="Times New Roman" w:eastAsia="Times New Roman" w:hint="default"/>
          <w:sz w:val="24"/>
          <w:szCs w:val="24"/>
        </w:rPr>
        <w:t>2.57</w:t>
      </w:r>
    </w:p>
    <w:p>
      <w:pPr>
        <w:pStyle w:val="Heading3"/>
        <w:spacing w:line="352" w:lineRule="auto" w:before="135"/>
        <w:ind w:right="1132"/>
        <w:jc w:val="both"/>
      </w:pPr>
      <w:r>
        <w:rPr/>
        <w:t>亿度，同比翻番。整体投建有序进行，投资形式多样，自投自建、代运营、售桩相辅相成。 精细化运营，提升充电场站现场服务水平，优化客户体验。为满足客户充电需求，提升客户 体验，公司在北京海淀区，紧邻中国互联网总部中心的区位，投资建成北京充电功率最大的 </w:t>
      </w:r>
      <w:r>
        <w:rPr>
          <w:spacing w:val="-11"/>
        </w:rPr>
        <w:t>“北京东大停车场充电站”，单桩功率最高达</w:t>
      </w:r>
      <w:r>
        <w:rPr>
          <w:spacing w:val="-59"/>
        </w:rPr>
        <w:t> </w:t>
      </w:r>
      <w:r>
        <w:rPr>
          <w:rFonts w:ascii="Times New Roman" w:hAnsi="Times New Roman" w:cs="Times New Roman" w:eastAsia="Times New Roman" w:hint="default"/>
        </w:rPr>
        <w:t>300</w:t>
      </w:r>
      <w:r>
        <w:rPr>
          <w:rFonts w:ascii="Times New Roman" w:hAnsi="Times New Roman" w:cs="Times New Roman" w:eastAsia="Times New Roman" w:hint="default"/>
          <w:spacing w:val="1"/>
        </w:rPr>
        <w:t> </w:t>
      </w:r>
      <w:r>
        <w:rPr>
          <w:spacing w:val="-18"/>
        </w:rPr>
        <w:t>千瓦，站内有</w:t>
      </w:r>
      <w:r>
        <w:rPr>
          <w:spacing w:val="-59"/>
        </w:rPr>
        <w:t> </w:t>
      </w:r>
      <w:r>
        <w:rPr>
          <w:rFonts w:ascii="Times New Roman" w:hAnsi="Times New Roman" w:cs="Times New Roman" w:eastAsia="Times New Roman" w:hint="default"/>
          <w:spacing w:val="-3"/>
        </w:rPr>
        <w:t>118 </w:t>
      </w:r>
      <w:r>
        <w:rPr>
          <w:spacing w:val="-12"/>
        </w:rPr>
        <w:t>个充电位，总功率约</w:t>
      </w:r>
      <w:r>
        <w:rPr>
          <w:spacing w:val="-59"/>
        </w:rPr>
        <w:t> </w:t>
      </w:r>
      <w:r>
        <w:rPr>
          <w:rFonts w:ascii="Times New Roman" w:hAnsi="Times New Roman" w:cs="Times New Roman" w:eastAsia="Times New Roman" w:hint="default"/>
        </w:rPr>
        <w:t>10,000 </w:t>
      </w:r>
      <w:r>
        <w:rPr/>
        <w:t>千瓦。</w:t>
      </w:r>
    </w:p>
    <w:p>
      <w:pPr>
        <w:pStyle w:val="Heading3"/>
        <w:spacing w:line="240" w:lineRule="auto" w:before="197"/>
        <w:ind w:left="3012" w:right="1115"/>
        <w:jc w:val="left"/>
      </w:pPr>
      <w:r>
        <w:rPr/>
        <w:t>近四年公司新能源板块充电量增长趋势图</w:t>
      </w:r>
    </w:p>
    <w:p>
      <w:pPr>
        <w:spacing w:line="240" w:lineRule="auto" w:before="10"/>
        <w:rPr>
          <w:rFonts w:ascii="宋体" w:hAnsi="宋体" w:cs="宋体" w:eastAsia="宋体" w:hint="default"/>
          <w:sz w:val="27"/>
          <w:szCs w:val="27"/>
        </w:rPr>
      </w:pPr>
    </w:p>
    <w:p>
      <w:pPr>
        <w:spacing w:line="3235" w:lineRule="exact"/>
        <w:ind w:left="2042"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3961973" cy="2054637"/>
            <wp:effectExtent l="0" t="0" r="0" b="0"/>
            <wp:docPr id="13" name="image11.jpeg" descr=""/>
            <wp:cNvGraphicFramePr>
              <a:graphicFrameLocks noChangeAspect="1"/>
            </wp:cNvGraphicFramePr>
            <a:graphic>
              <a:graphicData uri="http://schemas.openxmlformats.org/drawingml/2006/picture">
                <pic:pic>
                  <pic:nvPicPr>
                    <pic:cNvPr id="14" name="image11.jpeg"/>
                    <pic:cNvPicPr/>
                  </pic:nvPicPr>
                  <pic:blipFill>
                    <a:blip r:embed="rId22" cstate="print"/>
                    <a:stretch>
                      <a:fillRect/>
                    </a:stretch>
                  </pic:blipFill>
                  <pic:spPr>
                    <a:xfrm>
                      <a:off x="0" y="0"/>
                      <a:ext cx="3961973" cy="2054637"/>
                    </a:xfrm>
                    <a:prstGeom prst="rect">
                      <a:avLst/>
                    </a:prstGeom>
                  </pic:spPr>
                </pic:pic>
              </a:graphicData>
            </a:graphic>
          </wp:inline>
        </w:drawing>
      </w:r>
      <w:r>
        <w:rPr>
          <w:rFonts w:ascii="宋体" w:hAnsi="宋体" w:cs="宋体" w:eastAsia="宋体" w:hint="default"/>
          <w:position w:val="-64"/>
          <w:sz w:val="20"/>
          <w:szCs w:val="20"/>
        </w:rPr>
      </w:r>
    </w:p>
    <w:p>
      <w:pPr>
        <w:spacing w:line="240" w:lineRule="auto" w:before="11"/>
        <w:rPr>
          <w:rFonts w:ascii="宋体" w:hAnsi="宋体" w:cs="宋体" w:eastAsia="宋体" w:hint="default"/>
          <w:sz w:val="22"/>
          <w:szCs w:val="22"/>
        </w:rPr>
      </w:pPr>
    </w:p>
    <w:p>
      <w:pPr>
        <w:pStyle w:val="Heading2"/>
        <w:spacing w:line="240" w:lineRule="auto"/>
        <w:ind w:left="595" w:right="1115"/>
        <w:jc w:val="left"/>
        <w:rPr>
          <w:b w:val="0"/>
          <w:bCs w:val="0"/>
        </w:rPr>
      </w:pPr>
      <w:r>
        <w:rPr/>
        <w:t>（2）新品研发、电桩销售，均获突破。</w:t>
      </w:r>
      <w:r>
        <w:rPr>
          <w:b w:val="0"/>
          <w:bCs w:val="0"/>
        </w:rPr>
      </w:r>
    </w:p>
    <w:p>
      <w:pPr>
        <w:spacing w:after="0" w:line="240" w:lineRule="auto"/>
        <w:jc w:val="left"/>
        <w:sectPr>
          <w:headerReference w:type="default" r:id="rId20"/>
          <w:pgSz w:w="11910" w:h="16840"/>
          <w:pgMar w:header="890" w:footer="1053" w:top="1420" w:bottom="1240" w:left="1020" w:right="0"/>
        </w:sectPr>
      </w:pPr>
    </w:p>
    <w:p>
      <w:pPr>
        <w:pStyle w:val="Heading3"/>
        <w:spacing w:line="357" w:lineRule="auto" w:before="97"/>
        <w:ind w:left="132" w:right="1034" w:firstLine="480"/>
        <w:jc w:val="left"/>
      </w:pPr>
      <w:r>
        <w:rPr>
          <w:spacing w:val="-3"/>
        </w:rPr>
        <w:t>报告期，公司研制成功480kW功率的智能柔性分配充电堆，并投入自建站使用。该款充电</w:t>
      </w:r>
      <w:r>
        <w:rPr/>
        <w:t> 桩可以搭载12个充电终端，同时为12台车进行充电，能实现单枪最高200kW的超大功率快充， 在较大程度上提高了充电桩的使用效率，降低了运营成本。公司完成超大功率液冷充电系统 的开发，形成技术突破，已为未来的超级快充做好准备。报告期，公司充电设备销售同比实 现大幅增长。</w:t>
      </w:r>
    </w:p>
    <w:p>
      <w:pPr>
        <w:pStyle w:val="Heading2"/>
        <w:spacing w:line="240" w:lineRule="auto" w:before="192"/>
        <w:ind w:left="615" w:right="1164"/>
        <w:jc w:val="left"/>
        <w:rPr>
          <w:b w:val="0"/>
          <w:bCs w:val="0"/>
        </w:rPr>
      </w:pPr>
      <w:r>
        <w:rPr/>
        <w:t>（3）搭建合作共赢生态圈。</w:t>
      </w:r>
      <w:r>
        <w:rPr>
          <w:b w:val="0"/>
          <w:bCs w:val="0"/>
        </w:rPr>
      </w:r>
    </w:p>
    <w:p>
      <w:pPr>
        <w:spacing w:line="240" w:lineRule="auto" w:before="9"/>
        <w:rPr>
          <w:rFonts w:ascii="宋体" w:hAnsi="宋体" w:cs="宋体" w:eastAsia="宋体" w:hint="default"/>
          <w:b/>
          <w:bCs/>
          <w:sz w:val="23"/>
          <w:szCs w:val="23"/>
        </w:rPr>
      </w:pPr>
    </w:p>
    <w:p>
      <w:pPr>
        <w:pStyle w:val="Heading3"/>
        <w:spacing w:line="350" w:lineRule="auto"/>
        <w:ind w:left="132" w:right="0" w:firstLine="480"/>
        <w:jc w:val="left"/>
      </w:pPr>
      <w:r>
        <w:rPr/>
        <w:t>报告期，万马新能源与</w:t>
      </w:r>
      <w:r>
        <w:rPr>
          <w:spacing w:val="-61"/>
        </w:rPr>
        <w:t> </w:t>
      </w:r>
      <w:r>
        <w:rPr>
          <w:rFonts w:ascii="Times New Roman" w:hAnsi="Times New Roman" w:cs="Times New Roman" w:eastAsia="Times New Roman" w:hint="default"/>
        </w:rPr>
        <w:t>T3</w:t>
      </w:r>
      <w:r>
        <w:rPr>
          <w:rFonts w:ascii="Times New Roman" w:hAnsi="Times New Roman" w:cs="Times New Roman" w:eastAsia="Times New Roman" w:hint="default"/>
          <w:spacing w:val="-1"/>
        </w:rPr>
        <w:t> </w:t>
      </w:r>
      <w:r>
        <w:rPr/>
        <w:t>出行建立合作，为</w:t>
      </w:r>
      <w:r>
        <w:rPr>
          <w:spacing w:val="-61"/>
        </w:rPr>
        <w:t> </w:t>
      </w:r>
      <w:r>
        <w:rPr>
          <w:rFonts w:ascii="Times New Roman" w:hAnsi="Times New Roman" w:cs="Times New Roman" w:eastAsia="Times New Roman" w:hint="default"/>
        </w:rPr>
        <w:t>T3</w:t>
      </w:r>
      <w:r>
        <w:rPr>
          <w:rFonts w:ascii="Times New Roman" w:hAnsi="Times New Roman" w:cs="Times New Roman" w:eastAsia="Times New Roman" w:hint="default"/>
          <w:spacing w:val="1"/>
        </w:rPr>
        <w:t> </w:t>
      </w:r>
      <w:r>
        <w:rPr/>
        <w:t>出行充电护航；在与主机厂合作方面， </w:t>
      </w:r>
      <w:r>
        <w:rPr>
          <w:spacing w:val="-3"/>
        </w:rPr>
        <w:t>万马新能源与一汽奥迪、广汽新能源、东风出行、小鹏汽车、威马汽车等车企建立平台合作，</w:t>
      </w:r>
      <w:r>
        <w:rPr>
          <w:spacing w:val="-81"/>
        </w:rPr>
        <w:t> </w:t>
      </w:r>
      <w:r>
        <w:rPr>
          <w:spacing w:val="-81"/>
        </w:rPr>
      </w:r>
      <w:r>
        <w:rPr/>
        <w:t>为司机端用户解决充电焦虑；万马新能源与支付宝蚂蚁充电共同开展联合营销活动，信用付 落地，先充电后付费，为车主提供良好的充电体验。</w:t>
      </w:r>
    </w:p>
    <w:p>
      <w:pPr>
        <w:spacing w:line="240" w:lineRule="auto" w:before="5"/>
        <w:rPr>
          <w:rFonts w:ascii="宋体" w:hAnsi="宋体" w:cs="宋体" w:eastAsia="宋体" w:hint="default"/>
          <w:sz w:val="20"/>
          <w:szCs w:val="20"/>
        </w:rPr>
      </w:pPr>
    </w:p>
    <w:p>
      <w:pPr>
        <w:pStyle w:val="Heading2"/>
        <w:spacing w:line="240" w:lineRule="auto"/>
        <w:ind w:right="1164"/>
        <w:jc w:val="left"/>
        <w:rPr>
          <w:b w:val="0"/>
          <w:bCs w:val="0"/>
        </w:rPr>
      </w:pPr>
      <w:bookmarkStart w:name="二、主营业务分析" w:id="26"/>
      <w:bookmarkEnd w:id="26"/>
      <w:r>
        <w:rPr>
          <w:b w:val="0"/>
          <w:bCs w:val="0"/>
        </w:rPr>
      </w:r>
      <w:r>
        <w:rPr/>
        <w:t>二、主营业务分析</w:t>
      </w:r>
      <w:r>
        <w:rPr>
          <w:b w:val="0"/>
          <w:bCs w:val="0"/>
        </w:rPr>
      </w:r>
    </w:p>
    <w:p>
      <w:pPr>
        <w:spacing w:line="240" w:lineRule="auto" w:before="7"/>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概述" w:id="27"/>
      <w:bookmarkEnd w:id="27"/>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参见“经营情况讨论与分析”中的“一、概述”相关内容。</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2、收入与成本" w:id="28"/>
      <w:bookmarkEnd w:id="28"/>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营业收入构成" w:id="29"/>
      <w:bookmarkEnd w:id="2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）营业收入构成</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332" w:hRule="exact"/>
        </w:trPr>
        <w:tc>
          <w:tcPr>
            <w:tcW w:w="1596" w:type="dxa"/>
            <w:vMerge w:val="restart"/>
            <w:tcBorders>
              <w:top w:val="single" w:sz="12" w:space="0" w:color="000000"/>
              <w:left w:val="single" w:sz="12" w:space="0" w:color="000000"/>
              <w:right w:val="single" w:sz="4" w:space="0" w:color="000000"/>
            </w:tcBorders>
            <w:shd w:val="clear" w:color="auto" w:fill="D2D2D2"/>
          </w:tcPr>
          <w:p>
            <w:pPr/>
          </w:p>
        </w:tc>
        <w:tc>
          <w:tcPr>
            <w:tcW w:w="3188" w:type="dxa"/>
            <w:gridSpan w:val="2"/>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3188" w:type="dxa"/>
            <w:gridSpan w:val="2"/>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vMerge w:val="restart"/>
            <w:tcBorders>
              <w:top w:val="single" w:sz="12" w:space="0" w:color="000000"/>
              <w:left w:val="single" w:sz="4" w:space="0" w:color="000000"/>
              <w:right w:val="single" w:sz="12" w:space="0" w:color="000000"/>
            </w:tcBorders>
            <w:shd w:val="clear" w:color="auto" w:fill="D2D2D2"/>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22" w:hRule="exact"/>
        </w:trPr>
        <w:tc>
          <w:tcPr>
            <w:tcW w:w="1596" w:type="dxa"/>
            <w:vMerge/>
            <w:tcBorders>
              <w:left w:val="single" w:sz="12"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61"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59"/>
              <w:jc w:val="righ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vMerge/>
            <w:tcBorders>
              <w:left w:val="single" w:sz="4" w:space="0" w:color="000000"/>
              <w:bottom w:val="single" w:sz="4" w:space="0" w:color="000000"/>
              <w:right w:val="single" w:sz="12" w:space="0" w:color="000000"/>
            </w:tcBorders>
            <w:shd w:val="clear" w:color="auto" w:fill="D2D2D2"/>
          </w:tcPr>
          <w:p>
            <w:pP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9,745,408,784.22</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8,739,834,605.92</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z w:val="18"/>
              </w:rPr>
              <w:t>100%</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pacing w:val="-2"/>
                <w:sz w:val="18"/>
              </w:rPr>
              <w:t>11.51%</w:t>
            </w:r>
          </w:p>
        </w:tc>
      </w:tr>
      <w:tr>
        <w:trPr>
          <w:trHeight w:val="322" w:hRule="exact"/>
        </w:trPr>
        <w:tc>
          <w:tcPr>
            <w:tcW w:w="9566" w:type="dxa"/>
            <w:gridSpan w:val="6"/>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9,628,749,392.88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98.80%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8,516,936,572.60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97.44%</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pacing w:val="-1"/>
                <w:sz w:val="18"/>
              </w:rPr>
              <w:t>13.05%</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1,347,849.32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0.01%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162,134,558.35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1.86%</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pacing w:val="-1"/>
                <w:sz w:val="18"/>
              </w:rPr>
              <w:t>-99.17%</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2"/>
                <w:sz w:val="18"/>
              </w:rPr>
              <w:t>115,311,542.02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60,763,474.97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0.70%</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8"/>
                <w:szCs w:val="18"/>
              </w:rPr>
            </w:pPr>
            <w:r>
              <w:rPr>
                <w:rFonts w:ascii="Times New Roman"/>
                <w:spacing w:val="-1"/>
                <w:sz w:val="18"/>
              </w:rPr>
              <w:t>89.77%</w:t>
            </w:r>
          </w:p>
        </w:tc>
      </w:tr>
      <w:tr>
        <w:trPr>
          <w:trHeight w:val="322" w:hRule="exact"/>
        </w:trPr>
        <w:tc>
          <w:tcPr>
            <w:tcW w:w="9566" w:type="dxa"/>
            <w:gridSpan w:val="6"/>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电力产品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6,108,010,099.45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62.67%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5,243,153,980.59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59.99%</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pacing w:val="-1"/>
                <w:sz w:val="18"/>
              </w:rPr>
              <w:t>16.49%</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通信产品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503,445,853.11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5.17%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692,036,186.47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7.92%</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pacing w:val="-1"/>
                <w:sz w:val="18"/>
              </w:rPr>
              <w:t>-27.25%</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高分子材料</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2,772,553,600.48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28.45%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2,458,547,965.76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28.13%</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pacing w:val="-1"/>
                <w:sz w:val="18"/>
              </w:rPr>
              <w:t>12.77%</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pacing w:val="-8"/>
                <w:sz w:val="18"/>
                <w:szCs w:val="18"/>
              </w:rPr>
              <w:t>贸易、服务及其他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361,399,231.18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3.71%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346,096,473.10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3.96%</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4.42%</w:t>
            </w:r>
          </w:p>
        </w:tc>
      </w:tr>
      <w:tr>
        <w:trPr>
          <w:trHeight w:val="322" w:hRule="exact"/>
        </w:trPr>
        <w:tc>
          <w:tcPr>
            <w:tcW w:w="9566" w:type="dxa"/>
            <w:gridSpan w:val="6"/>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4,294,588,952.85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44.07%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4,219,703,986.08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48.29%</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z w:val="18"/>
              </w:rPr>
              <w:t>1.77%</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1,569,925,453.71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7"/>
              <w:jc w:val="right"/>
              <w:rPr>
                <w:rFonts w:ascii="Times New Roman" w:hAnsi="Times New Roman" w:cs="Times New Roman" w:eastAsia="Times New Roman" w:hint="default"/>
                <w:sz w:val="18"/>
                <w:szCs w:val="18"/>
              </w:rPr>
            </w:pPr>
            <w:r>
              <w:rPr>
                <w:rFonts w:ascii="Times New Roman"/>
                <w:spacing w:val="-2"/>
                <w:sz w:val="18"/>
              </w:rPr>
              <w:t>16.11%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1,097,237,409.69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12.55%</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pacing w:val="-1"/>
                <w:sz w:val="18"/>
              </w:rPr>
              <w:t>43.08%</w:t>
            </w:r>
          </w:p>
        </w:tc>
      </w:tr>
      <w:tr>
        <w:trPr>
          <w:trHeight w:val="320"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1,227,196,038.98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12.59%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1,152,208,397.65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13.18%</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6.51%</w:t>
            </w:r>
          </w:p>
        </w:tc>
      </w:tr>
    </w:tbl>
    <w:p>
      <w:pPr>
        <w:spacing w:after="0" w:line="240" w:lineRule="auto"/>
        <w:jc w:val="right"/>
        <w:rPr>
          <w:rFonts w:ascii="Times New Roman" w:hAnsi="Times New Roman" w:cs="Times New Roman" w:eastAsia="Times New Roman" w:hint="default"/>
          <w:sz w:val="18"/>
          <w:szCs w:val="18"/>
        </w:rPr>
        <w:sectPr>
          <w:pgSz w:w="11910" w:h="16840"/>
          <w:pgMar w:header="890" w:footer="1053" w:top="1420" w:bottom="1240" w:left="1000" w:right="0"/>
        </w:sectPr>
      </w:pP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1,024,755,393.54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10.52%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841,423,641.45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9.63%</w:t>
            </w:r>
          </w:p>
        </w:tc>
        <w:tc>
          <w:tcPr>
            <w:tcW w:w="15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8"/>
                <w:szCs w:val="18"/>
              </w:rPr>
            </w:pPr>
            <w:r>
              <w:rPr>
                <w:rFonts w:ascii="Times New Roman"/>
                <w:spacing w:val="-1"/>
                <w:sz w:val="18"/>
              </w:rPr>
              <w:t>21.79%</w:t>
            </w:r>
          </w:p>
        </w:tc>
      </w:tr>
      <w:tr>
        <w:trPr>
          <w:trHeight w:val="332" w:hRule="exact"/>
        </w:trPr>
        <w:tc>
          <w:tcPr>
            <w:tcW w:w="159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其他地区</w:t>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1,628,942,945.14</w:t>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16.71%</w:t>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1,429,261,171.05</w:t>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16.35%</w:t>
            </w:r>
          </w:p>
        </w:tc>
        <w:tc>
          <w:tcPr>
            <w:tcW w:w="1594"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8"/>
                <w:szCs w:val="18"/>
              </w:rPr>
            </w:pPr>
            <w:r>
              <w:rPr>
                <w:rFonts w:ascii="Times New Roman"/>
                <w:spacing w:val="-1"/>
                <w:sz w:val="18"/>
              </w:rPr>
              <w:t>13.97%</w:t>
            </w:r>
          </w:p>
        </w:tc>
      </w:tr>
    </w:tbl>
    <w:p>
      <w:pPr>
        <w:spacing w:line="240" w:lineRule="auto" w:before="5"/>
        <w:rPr>
          <w:rFonts w:ascii="宋体" w:hAnsi="宋体" w:cs="宋体" w:eastAsia="宋体" w:hint="default"/>
          <w:sz w:val="19"/>
          <w:szCs w:val="19"/>
        </w:rPr>
      </w:pPr>
    </w:p>
    <w:p>
      <w:pPr>
        <w:spacing w:before="34"/>
        <w:ind w:left="132" w:right="1164" w:firstLine="0"/>
        <w:jc w:val="left"/>
        <w:rPr>
          <w:rFonts w:ascii="宋体" w:hAnsi="宋体" w:cs="宋体" w:eastAsia="宋体" w:hint="default"/>
          <w:sz w:val="21"/>
          <w:szCs w:val="21"/>
        </w:rPr>
      </w:pPr>
      <w:bookmarkStart w:name="（2）占公司营业收入或营业利润10%以上的行业、产品或地区情况" w:id="30"/>
      <w:bookmarkEnd w:id="3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）占公司营业收入或营业利润</w:t>
      </w:r>
      <w:r>
        <w:rPr>
          <w:rFonts w:ascii="宋体" w:hAnsi="宋体" w:cs="宋体" w:eastAsia="宋体" w:hint="default"/>
          <w:b/>
          <w:bCs/>
          <w:spacing w:val="-66"/>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以上的行业、产品或地区情况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239"/>
        <w:gridCol w:w="1494"/>
        <w:gridCol w:w="1646"/>
        <w:gridCol w:w="1087"/>
        <w:gridCol w:w="1367"/>
        <w:gridCol w:w="1367"/>
        <w:gridCol w:w="1371"/>
      </w:tblGrid>
      <w:tr>
        <w:trPr>
          <w:trHeight w:val="644" w:hRule="exact"/>
        </w:trPr>
        <w:tc>
          <w:tcPr>
            <w:tcW w:w="1239" w:type="dxa"/>
            <w:tcBorders>
              <w:top w:val="single" w:sz="12" w:space="0" w:color="000000"/>
              <w:left w:val="single" w:sz="12" w:space="0" w:color="000000"/>
              <w:bottom w:val="single" w:sz="4" w:space="0" w:color="000000"/>
              <w:right w:val="single" w:sz="4" w:space="0" w:color="000000"/>
            </w:tcBorders>
            <w:shd w:val="clear" w:color="auto" w:fill="D2D2D2"/>
          </w:tcPr>
          <w:p>
            <w:pPr/>
          </w:p>
        </w:tc>
        <w:tc>
          <w:tcPr>
            <w:tcW w:w="149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8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4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5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08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3"/>
              <w:ind w:left="227" w:right="136" w:hanging="89"/>
              <w:jc w:val="left"/>
              <w:rPr>
                <w:rFonts w:ascii="宋体" w:hAnsi="宋体" w:cs="宋体" w:eastAsia="宋体" w:hint="default"/>
                <w:sz w:val="18"/>
                <w:szCs w:val="18"/>
              </w:rPr>
            </w:pPr>
            <w:r>
              <w:rPr>
                <w:rFonts w:ascii="宋体" w:hAnsi="宋体" w:cs="宋体" w:eastAsia="宋体" w:hint="default"/>
                <w:sz w:val="18"/>
                <w:szCs w:val="18"/>
              </w:rPr>
              <w:t>营业收入比上 年同期增减</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3"/>
              <w:ind w:left="228" w:right="137" w:hanging="92"/>
              <w:jc w:val="left"/>
              <w:rPr>
                <w:rFonts w:ascii="宋体" w:hAnsi="宋体" w:cs="宋体" w:eastAsia="宋体" w:hint="default"/>
                <w:sz w:val="18"/>
                <w:szCs w:val="18"/>
              </w:rPr>
            </w:pPr>
            <w:r>
              <w:rPr>
                <w:rFonts w:ascii="宋体" w:hAnsi="宋体" w:cs="宋体" w:eastAsia="宋体" w:hint="default"/>
                <w:sz w:val="18"/>
                <w:szCs w:val="18"/>
              </w:rPr>
              <w:t>营业成本比上 年同期增减</w:t>
            </w:r>
          </w:p>
        </w:tc>
        <w:tc>
          <w:tcPr>
            <w:tcW w:w="1371"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316" w:lineRule="auto" w:before="13"/>
              <w:ind w:left="321" w:right="128"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322" w:hRule="exact"/>
        </w:trPr>
        <w:tc>
          <w:tcPr>
            <w:tcW w:w="9571" w:type="dxa"/>
            <w:gridSpan w:val="7"/>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9,628,949,392.88</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8,016,504,863.24</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16.75%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10.83%</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8"/>
                <w:szCs w:val="18"/>
              </w:rPr>
            </w:pPr>
            <w:r>
              <w:rPr>
                <w:rFonts w:ascii="Times New Roman"/>
                <w:spacing w:val="-1"/>
                <w:sz w:val="18"/>
              </w:rPr>
              <w:t>1.68%</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贸易及其他</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1,347,849.32</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943,470.61</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30.00%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-99.17%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-99.43%</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18"/>
                <w:szCs w:val="18"/>
              </w:rPr>
            </w:pPr>
            <w:r>
              <w:rPr>
                <w:rFonts w:ascii="Times New Roman"/>
                <w:spacing w:val="-1"/>
                <w:sz w:val="18"/>
              </w:rPr>
              <w:t>31.74%</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9,630,097,242.20</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8,017,448,333.85</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16.75%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10.96%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8.37%</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z w:val="18"/>
              </w:rPr>
              <w:t>1.99%</w:t>
            </w:r>
          </w:p>
        </w:tc>
      </w:tr>
      <w:tr>
        <w:trPr>
          <w:trHeight w:val="322" w:hRule="exact"/>
        </w:trPr>
        <w:tc>
          <w:tcPr>
            <w:tcW w:w="9571" w:type="dxa"/>
            <w:gridSpan w:val="7"/>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电力产品</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6,108,010,099.45</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5,158,121,908.83</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15.55%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16.49%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15.00%</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z w:val="18"/>
              </w:rPr>
              <w:t>1.10%</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通信产品</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503,445,853.11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397,234,766.08</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-27.25%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-27.65%</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0.43%</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高分子材料</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2,772,553,600.48</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2,262,290,134.47</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18.40%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12.77%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7.48%</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4.01%</w:t>
            </w:r>
          </w:p>
        </w:tc>
      </w:tr>
      <w:tr>
        <w:trPr>
          <w:trHeight w:val="634"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1"/>
              <w:ind w:left="92" w:right="100"/>
              <w:jc w:val="left"/>
              <w:rPr>
                <w:rFonts w:ascii="宋体" w:hAnsi="宋体" w:cs="宋体" w:eastAsia="宋体" w:hint="default"/>
                <w:sz w:val="18"/>
                <w:szCs w:val="18"/>
              </w:rPr>
            </w:pPr>
            <w:r>
              <w:rPr>
                <w:rFonts w:ascii="宋体" w:hAnsi="宋体" w:cs="宋体" w:eastAsia="宋体" w:hint="default"/>
                <w:spacing w:val="-10"/>
                <w:sz w:val="18"/>
                <w:szCs w:val="18"/>
              </w:rPr>
              <w:t>贸易、服务及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其他</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246,087,689.16</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199,801,524.47</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-22.83%</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89"/>
              <w:jc w:val="right"/>
              <w:rPr>
                <w:rFonts w:ascii="Times New Roman" w:hAnsi="Times New Roman" w:cs="Times New Roman" w:eastAsia="Times New Roman" w:hint="default"/>
                <w:sz w:val="18"/>
                <w:szCs w:val="18"/>
              </w:rPr>
            </w:pPr>
            <w:r>
              <w:rPr>
                <w:rFonts w:ascii="Times New Roman"/>
                <w:sz w:val="18"/>
              </w:rPr>
              <w:t>9.55%</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9,630,097,242.20</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8,017,448,333.85</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16.75%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10.96%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8.37%</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z w:val="18"/>
              </w:rPr>
              <w:t>1.99%</w:t>
            </w:r>
          </w:p>
        </w:tc>
      </w:tr>
      <w:tr>
        <w:trPr>
          <w:trHeight w:val="322" w:hRule="exact"/>
        </w:trPr>
        <w:tc>
          <w:tcPr>
            <w:tcW w:w="9571" w:type="dxa"/>
            <w:gridSpan w:val="7"/>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4,294,588,952.85</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3,495,550,274.58</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18.61%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1.77%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-1.96%</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2"/>
                <w:sz w:val="18"/>
              </w:rPr>
              <w:t>3.11%</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1,569,925,453.71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1,344,539,991.60</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14.36%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43.08%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40.91%</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1.32%</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1,227,196,038.98</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1,014,631,994.93</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17.32%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6.51%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4.27%</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1.77%</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1,024,755,393.54</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875,262,749.10</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14.59%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21.79%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20.79%</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18"/>
                <w:szCs w:val="18"/>
              </w:rPr>
            </w:pPr>
            <w:r>
              <w:rPr>
                <w:rFonts w:ascii="Times New Roman"/>
                <w:sz w:val="18"/>
              </w:rPr>
              <w:t>0.71%</w:t>
            </w:r>
          </w:p>
        </w:tc>
      </w:tr>
      <w:tr>
        <w:trPr>
          <w:trHeight w:val="322" w:hRule="exact"/>
        </w:trPr>
        <w:tc>
          <w:tcPr>
            <w:tcW w:w="123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其他地区</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1,513,631,403.12</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1,287,463,323.64</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14.94%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10.61%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9.04%</w:t>
            </w:r>
          </w:p>
        </w:tc>
        <w:tc>
          <w:tcPr>
            <w:tcW w:w="137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z w:val="18"/>
              </w:rPr>
              <w:t>1.22%</w:t>
            </w:r>
          </w:p>
        </w:tc>
      </w:tr>
      <w:tr>
        <w:trPr>
          <w:trHeight w:val="332" w:hRule="exact"/>
        </w:trPr>
        <w:tc>
          <w:tcPr>
            <w:tcW w:w="1239"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9,630,097,242.20</w:t>
            </w:r>
          </w:p>
        </w:tc>
        <w:tc>
          <w:tcPr>
            <w:tcW w:w="16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8,017,448,333.85</w:t>
            </w:r>
          </w:p>
        </w:tc>
        <w:tc>
          <w:tcPr>
            <w:tcW w:w="10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16.75%</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10.96%</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8.37%</w:t>
            </w:r>
          </w:p>
        </w:tc>
        <w:tc>
          <w:tcPr>
            <w:tcW w:w="137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z w:val="18"/>
              </w:rPr>
              <w:t>1.99%</w:t>
            </w:r>
          </w:p>
        </w:tc>
      </w:tr>
    </w:tbl>
    <w:p>
      <w:pPr>
        <w:spacing w:line="300" w:lineRule="auto" w:before="53"/>
        <w:ind w:left="132" w:right="1118" w:firstLine="0"/>
        <w:jc w:val="left"/>
        <w:rPr>
          <w:rFonts w:ascii="宋体" w:hAnsi="宋体" w:cs="宋体" w:eastAsia="宋体" w:hint="default"/>
          <w:sz w:val="18"/>
          <w:szCs w:val="18"/>
        </w:rPr>
      </w:pPr>
      <w:r>
        <w:rPr>
          <w:rFonts w:ascii="宋体" w:hAnsi="宋体" w:cs="宋体" w:eastAsia="宋体" w:hint="default"/>
          <w:sz w:val="18"/>
          <w:szCs w:val="18"/>
        </w:rPr>
        <w:t>说明：报告期，分行业中贸易及其他毛利率同比增加</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31.74%</w:t>
      </w:r>
      <w:r>
        <w:rPr>
          <w:rFonts w:ascii="宋体" w:hAnsi="宋体" w:cs="宋体" w:eastAsia="宋体" w:hint="default"/>
          <w:sz w:val="18"/>
          <w:szCs w:val="18"/>
        </w:rPr>
        <w:t>，主要系</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年公司及时对亏损业务进行了调整，毛利率得到 大幅改善。</w:t>
      </w:r>
    </w:p>
    <w:p>
      <w:pPr>
        <w:spacing w:before="70"/>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年按报告期末口径调整后的主营业务数据</w:t>
      </w:r>
    </w:p>
    <w:p>
      <w:pPr>
        <w:spacing w:before="103"/>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32" w:right="1164" w:firstLine="0"/>
        <w:jc w:val="left"/>
        <w:rPr>
          <w:rFonts w:ascii="宋体" w:hAnsi="宋体" w:cs="宋体" w:eastAsia="宋体" w:hint="default"/>
          <w:sz w:val="21"/>
          <w:szCs w:val="21"/>
        </w:rPr>
      </w:pPr>
      <w:bookmarkStart w:name="（3）公司实物销售收入是否大于劳务收入" w:id="31"/>
      <w:bookmarkEnd w:id="3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）公司实物销售收入是否大于劳务收入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1"/>
          <w:szCs w:val="11"/>
        </w:rPr>
      </w:pPr>
    </w:p>
    <w:tbl>
      <w:tblPr>
        <w:tblW w:w="0" w:type="auto"/>
        <w:jc w:val="left"/>
        <w:tblInd w:w="110" w:type="dxa"/>
        <w:tblLayout w:type="fixed"/>
        <w:tblCellMar>
          <w:top w:w="0" w:type="dxa"/>
          <w:left w:w="0" w:type="dxa"/>
          <w:bottom w:w="0" w:type="dxa"/>
          <w:right w:w="0" w:type="dxa"/>
        </w:tblCellMar>
        <w:tblLook w:val="01E0"/>
      </w:tblPr>
      <w:tblGrid>
        <w:gridCol w:w="1552"/>
        <w:gridCol w:w="1549"/>
        <w:gridCol w:w="1550"/>
        <w:gridCol w:w="1550"/>
        <w:gridCol w:w="1549"/>
        <w:gridCol w:w="1550"/>
      </w:tblGrid>
      <w:tr>
        <w:trPr>
          <w:trHeight w:val="332" w:hRule="exact"/>
        </w:trPr>
        <w:tc>
          <w:tcPr>
            <w:tcW w:w="1552"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401"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4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5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5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4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50"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left="410"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22" w:hRule="exact"/>
        </w:trPr>
        <w:tc>
          <w:tcPr>
            <w:tcW w:w="1552" w:type="dxa"/>
            <w:vMerge w:val="restart"/>
            <w:tcBorders>
              <w:top w:val="single" w:sz="4" w:space="0" w:color="000000"/>
              <w:left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94" w:right="0"/>
              <w:jc w:val="left"/>
              <w:rPr>
                <w:rFonts w:ascii="宋体" w:hAnsi="宋体" w:cs="宋体" w:eastAsia="宋体" w:hint="default"/>
                <w:sz w:val="18"/>
                <w:szCs w:val="18"/>
              </w:rPr>
            </w:pPr>
            <w:r>
              <w:rPr>
                <w:rFonts w:ascii="宋体" w:hAnsi="宋体" w:cs="宋体" w:eastAsia="宋体" w:hint="default"/>
                <w:sz w:val="18"/>
                <w:szCs w:val="18"/>
              </w:rPr>
              <w:t>电力产品</w:t>
            </w: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吨</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94,345.8</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81,158.8</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16.25%</w:t>
            </w:r>
          </w:p>
        </w:tc>
      </w:tr>
      <w:tr>
        <w:trPr>
          <w:trHeight w:val="322" w:hRule="exact"/>
        </w:trPr>
        <w:tc>
          <w:tcPr>
            <w:tcW w:w="1552" w:type="dxa"/>
            <w:vMerge/>
            <w:tcBorders>
              <w:left w:val="single" w:sz="12"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吨</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92,540.22</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80,015.72</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18"/>
                <w:szCs w:val="18"/>
              </w:rPr>
            </w:pPr>
            <w:r>
              <w:rPr>
                <w:rFonts w:ascii="Times New Roman"/>
                <w:spacing w:val="-1"/>
                <w:sz w:val="18"/>
              </w:rPr>
              <w:t>15.65%</w:t>
            </w:r>
          </w:p>
        </w:tc>
      </w:tr>
      <w:tr>
        <w:trPr>
          <w:trHeight w:val="322" w:hRule="exact"/>
        </w:trPr>
        <w:tc>
          <w:tcPr>
            <w:tcW w:w="1552" w:type="dxa"/>
            <w:vMerge/>
            <w:tcBorders>
              <w:left w:val="single" w:sz="12"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吨</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3,148.72</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5,461.1</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18"/>
                <w:szCs w:val="18"/>
              </w:rPr>
            </w:pPr>
            <w:r>
              <w:rPr>
                <w:rFonts w:ascii="Times New Roman"/>
                <w:spacing w:val="-1"/>
                <w:sz w:val="18"/>
              </w:rPr>
              <w:t>-42.34%</w:t>
            </w:r>
          </w:p>
        </w:tc>
      </w:tr>
      <w:tr>
        <w:trPr>
          <w:trHeight w:val="322" w:hRule="exact"/>
        </w:trPr>
        <w:tc>
          <w:tcPr>
            <w:tcW w:w="1552" w:type="dxa"/>
            <w:vMerge w:val="restart"/>
            <w:tcBorders>
              <w:top w:val="single" w:sz="4" w:space="0" w:color="000000"/>
              <w:left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94" w:right="0"/>
              <w:jc w:val="left"/>
              <w:rPr>
                <w:rFonts w:ascii="宋体" w:hAnsi="宋体" w:cs="宋体" w:eastAsia="宋体" w:hint="default"/>
                <w:sz w:val="18"/>
                <w:szCs w:val="18"/>
              </w:rPr>
            </w:pPr>
            <w:r>
              <w:rPr>
                <w:rFonts w:ascii="宋体" w:hAnsi="宋体" w:cs="宋体" w:eastAsia="宋体" w:hint="default"/>
                <w:sz w:val="18"/>
                <w:szCs w:val="18"/>
              </w:rPr>
              <w:t>通信产品</w:t>
            </w: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公里</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491,272.62</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570,199.03</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-13.84%</w:t>
            </w:r>
          </w:p>
        </w:tc>
      </w:tr>
      <w:tr>
        <w:trPr>
          <w:trHeight w:val="322" w:hRule="exact"/>
        </w:trPr>
        <w:tc>
          <w:tcPr>
            <w:tcW w:w="1552" w:type="dxa"/>
            <w:vMerge/>
            <w:tcBorders>
              <w:left w:val="single" w:sz="12"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公里</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516,223.39</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614,394.76</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-15.98%</w:t>
            </w:r>
          </w:p>
        </w:tc>
      </w:tr>
      <w:tr>
        <w:trPr>
          <w:trHeight w:val="322" w:hRule="exact"/>
        </w:trPr>
        <w:tc>
          <w:tcPr>
            <w:tcW w:w="1552" w:type="dxa"/>
            <w:vMerge/>
            <w:tcBorders>
              <w:left w:val="single" w:sz="12"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公里</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33,310.42</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32,105.21</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3.75%</w:t>
            </w:r>
          </w:p>
        </w:tc>
      </w:tr>
      <w:tr>
        <w:trPr>
          <w:trHeight w:val="320" w:hRule="exact"/>
        </w:trPr>
        <w:tc>
          <w:tcPr>
            <w:tcW w:w="155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4" w:right="0"/>
              <w:jc w:val="left"/>
              <w:rPr>
                <w:rFonts w:ascii="宋体" w:hAnsi="宋体" w:cs="宋体" w:eastAsia="宋体" w:hint="default"/>
                <w:sz w:val="18"/>
                <w:szCs w:val="18"/>
              </w:rPr>
            </w:pPr>
            <w:r>
              <w:rPr>
                <w:rFonts w:ascii="宋体" w:hAnsi="宋体" w:cs="宋体" w:eastAsia="宋体" w:hint="default"/>
                <w:sz w:val="18"/>
                <w:szCs w:val="18"/>
              </w:rPr>
              <w:t>高分子材料</w:t>
            </w: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吨</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307,325.42</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261,912.55</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17.34%</w:t>
            </w:r>
          </w:p>
        </w:tc>
      </w:tr>
    </w:tbl>
    <w:p>
      <w:pPr>
        <w:spacing w:after="0" w:line="240" w:lineRule="auto"/>
        <w:jc w:val="right"/>
        <w:rPr>
          <w:rFonts w:ascii="Times New Roman" w:hAnsi="Times New Roman" w:cs="Times New Roman" w:eastAsia="Times New Roman" w:hint="default"/>
          <w:sz w:val="18"/>
          <w:szCs w:val="18"/>
        </w:rPr>
        <w:sectPr>
          <w:pgSz w:w="11910" w:h="16840"/>
          <w:pgMar w:header="890" w:footer="1053" w:top="1420" w:bottom="1240" w:left="1000" w:right="0"/>
        </w:sectPr>
      </w:pPr>
    </w:p>
    <w:p>
      <w:pPr>
        <w:spacing w:line="240" w:lineRule="auto" w:before="5"/>
        <w:rPr>
          <w:rFonts w:ascii="宋体" w:hAnsi="宋体" w:cs="宋体" w:eastAsia="宋体" w:hint="default"/>
          <w:b/>
          <w:bCs/>
          <w:sz w:val="4"/>
          <w:szCs w:val="4"/>
        </w:rPr>
      </w:pPr>
    </w:p>
    <w:tbl>
      <w:tblPr>
        <w:tblW w:w="0" w:type="auto"/>
        <w:jc w:val="left"/>
        <w:tblInd w:w="110" w:type="dxa"/>
        <w:tblLayout w:type="fixed"/>
        <w:tblCellMar>
          <w:top w:w="0" w:type="dxa"/>
          <w:left w:w="0" w:type="dxa"/>
          <w:bottom w:w="0" w:type="dxa"/>
          <w:right w:w="0" w:type="dxa"/>
        </w:tblCellMar>
        <w:tblLook w:val="01E0"/>
      </w:tblPr>
      <w:tblGrid>
        <w:gridCol w:w="1552"/>
        <w:gridCol w:w="1549"/>
        <w:gridCol w:w="1550"/>
        <w:gridCol w:w="1550"/>
        <w:gridCol w:w="1549"/>
        <w:gridCol w:w="1550"/>
      </w:tblGrid>
      <w:tr>
        <w:trPr>
          <w:trHeight w:val="322" w:hRule="exact"/>
        </w:trPr>
        <w:tc>
          <w:tcPr>
            <w:tcW w:w="1552" w:type="dxa"/>
            <w:vMerge w:val="restart"/>
            <w:tcBorders>
              <w:top w:val="single" w:sz="4" w:space="0" w:color="000000"/>
              <w:left w:val="single" w:sz="12"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吨</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320,828.44</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277,731.55</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15.52%</w:t>
            </w:r>
          </w:p>
        </w:tc>
      </w:tr>
      <w:tr>
        <w:trPr>
          <w:trHeight w:val="322" w:hRule="exact"/>
        </w:trPr>
        <w:tc>
          <w:tcPr>
            <w:tcW w:w="1552" w:type="dxa"/>
            <w:vMerge/>
            <w:tcBorders>
              <w:left w:val="single" w:sz="12"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吨</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4,631.15</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4,462.74</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3.77%</w:t>
            </w:r>
          </w:p>
        </w:tc>
      </w:tr>
      <w:tr>
        <w:trPr>
          <w:trHeight w:val="402" w:hRule="exact"/>
        </w:trPr>
        <w:tc>
          <w:tcPr>
            <w:tcW w:w="1552" w:type="dxa"/>
            <w:vMerge w:val="restart"/>
            <w:tcBorders>
              <w:top w:val="single" w:sz="4" w:space="0" w:color="000000"/>
              <w:left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2"/>
                <w:szCs w:val="22"/>
              </w:rPr>
            </w:pPr>
          </w:p>
          <w:p>
            <w:pPr>
              <w:pStyle w:val="TableParagraph"/>
              <w:spacing w:line="316" w:lineRule="auto"/>
              <w:ind w:left="94" w:right="176"/>
              <w:jc w:val="left"/>
              <w:rPr>
                <w:rFonts w:ascii="宋体" w:hAnsi="宋体" w:cs="宋体" w:eastAsia="宋体" w:hint="default"/>
                <w:sz w:val="18"/>
                <w:szCs w:val="18"/>
              </w:rPr>
            </w:pPr>
            <w:r>
              <w:rPr>
                <w:rFonts w:ascii="宋体" w:hAnsi="宋体" w:cs="宋体" w:eastAsia="宋体" w:hint="default"/>
                <w:sz w:val="18"/>
                <w:szCs w:val="18"/>
              </w:rPr>
              <w:t>贸易、服务及其 他</w:t>
            </w: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万度</w:t>
            </w:r>
            <w:r>
              <w:rPr>
                <w:rFonts w:ascii="Times New Roman" w:hAnsi="Times New Roman" w:cs="Times New Roman" w:eastAsia="Times New Roman" w:hint="default"/>
                <w:sz w:val="18"/>
                <w:szCs w:val="18"/>
              </w:rPr>
              <w:t>/</w:t>
            </w:r>
            <w:r>
              <w:rPr>
                <w:rFonts w:ascii="宋体" w:hAnsi="宋体" w:cs="宋体" w:eastAsia="宋体" w:hint="default"/>
                <w:sz w:val="18"/>
                <w:szCs w:val="18"/>
              </w:rPr>
              <w:t>吨</w:t>
            </w:r>
            <w:r>
              <w:rPr>
                <w:rFonts w:ascii="Times New Roman" w:hAnsi="Times New Roman" w:cs="Times New Roman" w:eastAsia="Times New Roman" w:hint="default"/>
                <w:sz w:val="18"/>
                <w:szCs w:val="18"/>
              </w:rPr>
              <w:t>/</w:t>
            </w:r>
            <w:r>
              <w:rPr>
                <w:rFonts w:ascii="宋体" w:hAnsi="宋体" w:cs="宋体" w:eastAsia="宋体" w:hint="default"/>
                <w:sz w:val="18"/>
                <w:szCs w:val="18"/>
              </w:rPr>
              <w:t>公里</w:t>
            </w:r>
            <w:r>
              <w:rPr>
                <w:rFonts w:ascii="Times New Roman" w:hAnsi="Times New Roman" w:cs="Times New Roman" w:eastAsia="Times New Roman" w:hint="default"/>
                <w:sz w:val="18"/>
                <w:szCs w:val="18"/>
              </w:rPr>
              <w:t>/</w:t>
            </w:r>
            <w:r>
              <w:rPr>
                <w:rFonts w:ascii="宋体" w:hAnsi="宋体" w:cs="宋体" w:eastAsia="宋体" w:hint="default"/>
                <w:sz w:val="18"/>
                <w:szCs w:val="18"/>
              </w:rPr>
              <w:t>件</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52,705.14</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41,422.17</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1"/>
              <w:ind w:right="89"/>
              <w:jc w:val="right"/>
              <w:rPr>
                <w:rFonts w:ascii="Times New Roman" w:hAnsi="Times New Roman" w:cs="Times New Roman" w:eastAsia="Times New Roman" w:hint="default"/>
                <w:sz w:val="18"/>
                <w:szCs w:val="18"/>
              </w:rPr>
            </w:pPr>
            <w:r>
              <w:rPr>
                <w:rFonts w:ascii="Times New Roman"/>
                <w:spacing w:val="-1"/>
                <w:sz w:val="18"/>
              </w:rPr>
              <w:t>27.24%</w:t>
            </w:r>
          </w:p>
        </w:tc>
      </w:tr>
      <w:tr>
        <w:trPr>
          <w:trHeight w:val="402" w:hRule="exact"/>
        </w:trPr>
        <w:tc>
          <w:tcPr>
            <w:tcW w:w="1552" w:type="dxa"/>
            <w:vMerge/>
            <w:tcBorders>
              <w:left w:val="single" w:sz="12"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万度</w:t>
            </w:r>
            <w:r>
              <w:rPr>
                <w:rFonts w:ascii="Times New Roman" w:hAnsi="Times New Roman" w:cs="Times New Roman" w:eastAsia="Times New Roman" w:hint="default"/>
                <w:sz w:val="18"/>
                <w:szCs w:val="18"/>
              </w:rPr>
              <w:t>/</w:t>
            </w:r>
            <w:r>
              <w:rPr>
                <w:rFonts w:ascii="宋体" w:hAnsi="宋体" w:cs="宋体" w:eastAsia="宋体" w:hint="default"/>
                <w:sz w:val="18"/>
                <w:szCs w:val="18"/>
              </w:rPr>
              <w:t>吨</w:t>
            </w:r>
            <w:r>
              <w:rPr>
                <w:rFonts w:ascii="Times New Roman" w:hAnsi="Times New Roman" w:cs="Times New Roman" w:eastAsia="Times New Roman" w:hint="default"/>
                <w:sz w:val="18"/>
                <w:szCs w:val="18"/>
              </w:rPr>
              <w:t>/</w:t>
            </w:r>
            <w:r>
              <w:rPr>
                <w:rFonts w:ascii="宋体" w:hAnsi="宋体" w:cs="宋体" w:eastAsia="宋体" w:hint="default"/>
                <w:sz w:val="18"/>
                <w:szCs w:val="18"/>
              </w:rPr>
              <w:t>公里</w:t>
            </w:r>
            <w:r>
              <w:rPr>
                <w:rFonts w:ascii="Times New Roman" w:hAnsi="Times New Roman" w:cs="Times New Roman" w:eastAsia="Times New Roman" w:hint="default"/>
                <w:sz w:val="18"/>
                <w:szCs w:val="18"/>
              </w:rPr>
              <w:t>/</w:t>
            </w:r>
            <w:r>
              <w:rPr>
                <w:rFonts w:ascii="宋体" w:hAnsi="宋体" w:cs="宋体" w:eastAsia="宋体" w:hint="default"/>
                <w:sz w:val="18"/>
                <w:szCs w:val="18"/>
              </w:rPr>
              <w:t>件</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52,585.14</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41,364.00</w:t>
            </w:r>
          </w:p>
        </w:tc>
        <w:tc>
          <w:tcPr>
            <w:tcW w:w="155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3"/>
              <w:ind w:right="89"/>
              <w:jc w:val="right"/>
              <w:rPr>
                <w:rFonts w:ascii="Times New Roman" w:hAnsi="Times New Roman" w:cs="Times New Roman" w:eastAsia="Times New Roman" w:hint="default"/>
                <w:sz w:val="18"/>
                <w:szCs w:val="18"/>
              </w:rPr>
            </w:pPr>
            <w:r>
              <w:rPr>
                <w:rFonts w:ascii="Times New Roman"/>
                <w:spacing w:val="-1"/>
                <w:sz w:val="18"/>
              </w:rPr>
              <w:t>27.13%</w:t>
            </w:r>
          </w:p>
        </w:tc>
      </w:tr>
      <w:tr>
        <w:trPr>
          <w:trHeight w:val="412" w:hRule="exact"/>
        </w:trPr>
        <w:tc>
          <w:tcPr>
            <w:tcW w:w="1552" w:type="dxa"/>
            <w:vMerge/>
            <w:tcBorders>
              <w:left w:val="single" w:sz="12" w:space="0" w:color="000000"/>
              <w:bottom w:val="single" w:sz="12" w:space="0" w:color="000000"/>
              <w:right w:val="single" w:sz="4" w:space="0" w:color="000000"/>
            </w:tcBorders>
          </w:tcPr>
          <w:p>
            <w:pPr/>
          </w:p>
        </w:tc>
        <w:tc>
          <w:tcPr>
            <w:tcW w:w="1549"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万度</w:t>
            </w:r>
            <w:r>
              <w:rPr>
                <w:rFonts w:ascii="Times New Roman" w:hAnsi="Times New Roman" w:cs="Times New Roman" w:eastAsia="Times New Roman" w:hint="default"/>
                <w:sz w:val="18"/>
                <w:szCs w:val="18"/>
              </w:rPr>
              <w:t>/</w:t>
            </w:r>
            <w:r>
              <w:rPr>
                <w:rFonts w:ascii="宋体" w:hAnsi="宋体" w:cs="宋体" w:eastAsia="宋体" w:hint="default"/>
                <w:sz w:val="18"/>
                <w:szCs w:val="18"/>
              </w:rPr>
              <w:t>吨</w:t>
            </w:r>
            <w:r>
              <w:rPr>
                <w:rFonts w:ascii="Times New Roman" w:hAnsi="Times New Roman" w:cs="Times New Roman" w:eastAsia="Times New Roman" w:hint="default"/>
                <w:sz w:val="18"/>
                <w:szCs w:val="18"/>
              </w:rPr>
              <w:t>/</w:t>
            </w:r>
            <w:r>
              <w:rPr>
                <w:rFonts w:ascii="宋体" w:hAnsi="宋体" w:cs="宋体" w:eastAsia="宋体" w:hint="default"/>
                <w:sz w:val="18"/>
                <w:szCs w:val="18"/>
              </w:rPr>
              <w:t>公里</w:t>
            </w:r>
            <w:r>
              <w:rPr>
                <w:rFonts w:ascii="Times New Roman" w:hAnsi="Times New Roman" w:cs="Times New Roman" w:eastAsia="Times New Roman" w:hint="default"/>
                <w:sz w:val="18"/>
                <w:szCs w:val="18"/>
              </w:rPr>
              <w:t>/</w:t>
            </w:r>
            <w:r>
              <w:rPr>
                <w:rFonts w:ascii="宋体" w:hAnsi="宋体" w:cs="宋体" w:eastAsia="宋体" w:hint="default"/>
                <w:sz w:val="18"/>
                <w:szCs w:val="18"/>
              </w:rPr>
              <w:t>件</w:t>
            </w:r>
          </w:p>
        </w:tc>
        <w:tc>
          <w:tcPr>
            <w:tcW w:w="15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216</w:t>
            </w:r>
          </w:p>
        </w:tc>
        <w:tc>
          <w:tcPr>
            <w:tcW w:w="15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336</w:t>
            </w:r>
          </w:p>
        </w:tc>
        <w:tc>
          <w:tcPr>
            <w:tcW w:w="155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91"/>
              <w:ind w:right="89"/>
              <w:jc w:val="right"/>
              <w:rPr>
                <w:rFonts w:ascii="Times New Roman" w:hAnsi="Times New Roman" w:cs="Times New Roman" w:eastAsia="Times New Roman" w:hint="default"/>
                <w:sz w:val="18"/>
                <w:szCs w:val="18"/>
              </w:rPr>
            </w:pPr>
            <w:r>
              <w:rPr>
                <w:rFonts w:ascii="Times New Roman"/>
                <w:spacing w:val="-1"/>
                <w:sz w:val="18"/>
              </w:rPr>
              <w:t>-35.71%</w:t>
            </w:r>
          </w:p>
        </w:tc>
      </w:tr>
    </w:tbl>
    <w:p>
      <w:pPr>
        <w:spacing w:before="53"/>
        <w:ind w:left="132" w:right="1164"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before="117"/>
        <w:ind w:left="132" w:right="1164" w:firstLine="0"/>
        <w:jc w:val="left"/>
        <w:rPr>
          <w:rFonts w:ascii="宋体" w:hAnsi="宋体" w:cs="宋体" w:eastAsia="宋体" w:hint="default"/>
          <w:sz w:val="18"/>
          <w:szCs w:val="18"/>
        </w:rPr>
      </w:pPr>
      <w:r>
        <w:rPr>
          <w:rFonts w:ascii="宋体" w:hAnsi="宋体" w:cs="宋体" w:eastAsia="宋体" w:hint="default"/>
          <w:sz w:val="18"/>
          <w:szCs w:val="18"/>
        </w:rPr>
        <w:t>相关数据同比发生变动</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以上的原因说明</w:t>
      </w:r>
    </w:p>
    <w:p>
      <w:pPr>
        <w:spacing w:before="101"/>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07" w:lineRule="auto" w:before="117"/>
        <w:ind w:left="132" w:right="1132" w:firstLine="360"/>
        <w:jc w:val="both"/>
        <w:rPr>
          <w:rFonts w:ascii="宋体" w:hAnsi="宋体" w:cs="宋体" w:eastAsia="宋体" w:hint="default"/>
          <w:sz w:val="18"/>
          <w:szCs w:val="18"/>
        </w:rPr>
      </w:pPr>
      <w:r>
        <w:rPr>
          <w:rFonts w:ascii="宋体" w:hAnsi="宋体" w:cs="宋体" w:eastAsia="宋体" w:hint="default"/>
          <w:sz w:val="18"/>
          <w:szCs w:val="18"/>
        </w:rPr>
        <w:t>注：通常在计算产品产销量时，存在以下公式：期末库存数量</w:t>
      </w:r>
      <w:r>
        <w:rPr>
          <w:rFonts w:ascii="Times New Roman" w:hAnsi="Times New Roman" w:cs="Times New Roman" w:eastAsia="Times New Roman" w:hint="default"/>
          <w:sz w:val="18"/>
          <w:szCs w:val="18"/>
        </w:rPr>
        <w:t>=</w:t>
      </w:r>
      <w:r>
        <w:rPr>
          <w:rFonts w:ascii="宋体" w:hAnsi="宋体" w:cs="宋体" w:eastAsia="宋体" w:hint="default"/>
          <w:sz w:val="18"/>
          <w:szCs w:val="18"/>
        </w:rPr>
        <w:t>期初库存数量</w:t>
      </w:r>
      <w:r>
        <w:rPr>
          <w:rFonts w:ascii="Times New Roman" w:hAnsi="Times New Roman" w:cs="Times New Roman" w:eastAsia="Times New Roman" w:hint="default"/>
          <w:sz w:val="18"/>
          <w:szCs w:val="18"/>
        </w:rPr>
        <w:t>+</w:t>
      </w:r>
      <w:r>
        <w:rPr>
          <w:rFonts w:ascii="宋体" w:hAnsi="宋体" w:cs="宋体" w:eastAsia="宋体" w:hint="default"/>
          <w:sz w:val="18"/>
          <w:szCs w:val="18"/>
        </w:rPr>
        <w:t>当期入库数量</w:t>
      </w:r>
      <w:r>
        <w:rPr>
          <w:rFonts w:ascii="Times New Roman" w:hAnsi="Times New Roman" w:cs="Times New Roman" w:eastAsia="Times New Roman" w:hint="default"/>
          <w:sz w:val="18"/>
          <w:szCs w:val="18"/>
        </w:rPr>
        <w:t>-</w:t>
      </w:r>
      <w:r>
        <w:rPr>
          <w:rFonts w:ascii="宋体" w:hAnsi="宋体" w:cs="宋体" w:eastAsia="宋体" w:hint="default"/>
          <w:sz w:val="18"/>
          <w:szCs w:val="18"/>
        </w:rPr>
        <w:t>当期出库数量。其中，当 </w:t>
      </w:r>
      <w:r>
        <w:rPr>
          <w:rFonts w:ascii="宋体" w:hAnsi="宋体" w:cs="宋体" w:eastAsia="宋体" w:hint="default"/>
          <w:spacing w:val="-2"/>
          <w:sz w:val="18"/>
          <w:szCs w:val="18"/>
        </w:rPr>
        <w:t>期出库数量包括销售出库、自用出库（包括再加工领用、深加工领用和非生产领用）、报废出库等多种因素；上表当期出库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仅包含销售出库，所以直接用“期末库存数量</w:t>
      </w:r>
      <w:r>
        <w:rPr>
          <w:rFonts w:ascii="Times New Roman" w:hAnsi="Times New Roman" w:cs="Times New Roman" w:eastAsia="Times New Roman" w:hint="default"/>
          <w:sz w:val="18"/>
          <w:szCs w:val="18"/>
        </w:rPr>
        <w:t>=</w:t>
      </w:r>
      <w:r>
        <w:rPr>
          <w:rFonts w:ascii="宋体" w:hAnsi="宋体" w:cs="宋体" w:eastAsia="宋体" w:hint="default"/>
          <w:sz w:val="18"/>
          <w:szCs w:val="18"/>
        </w:rPr>
        <w:t>期初库存数量</w:t>
      </w:r>
      <w:r>
        <w:rPr>
          <w:rFonts w:ascii="Times New Roman" w:hAnsi="Times New Roman" w:cs="Times New Roman" w:eastAsia="Times New Roman" w:hint="default"/>
          <w:sz w:val="18"/>
          <w:szCs w:val="18"/>
        </w:rPr>
        <w:t>+</w:t>
      </w:r>
      <w:r>
        <w:rPr>
          <w:rFonts w:ascii="宋体" w:hAnsi="宋体" w:cs="宋体" w:eastAsia="宋体" w:hint="default"/>
          <w:sz w:val="18"/>
          <w:szCs w:val="18"/>
        </w:rPr>
        <w:t>本期生产数量</w:t>
      </w:r>
      <w:r>
        <w:rPr>
          <w:rFonts w:ascii="Times New Roman" w:hAnsi="Times New Roman" w:cs="Times New Roman" w:eastAsia="Times New Roman" w:hint="default"/>
          <w:sz w:val="18"/>
          <w:szCs w:val="18"/>
        </w:rPr>
        <w:t>-</w:t>
      </w:r>
      <w:r>
        <w:rPr>
          <w:rFonts w:ascii="宋体" w:hAnsi="宋体" w:cs="宋体" w:eastAsia="宋体" w:hint="default"/>
          <w:sz w:val="18"/>
          <w:szCs w:val="18"/>
        </w:rPr>
        <w:t>本期销售数量”作为计算的基础，会存在计算 结果与实际不符的情况。具体到公司的各类产品，存在的自用出库情况：</w:t>
      </w:r>
    </w:p>
    <w:p>
      <w:pPr>
        <w:spacing w:before="26"/>
        <w:ind w:left="492" w:right="116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电力产品中自用及返工出库 </w:t>
      </w:r>
      <w:r>
        <w:rPr>
          <w:rFonts w:ascii="Times New Roman" w:hAnsi="Times New Roman" w:cs="Times New Roman" w:eastAsia="Times New Roman" w:hint="default"/>
          <w:sz w:val="18"/>
          <w:szCs w:val="18"/>
        </w:rPr>
        <w:t>506.80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吨；</w:t>
      </w:r>
    </w:p>
    <w:p>
      <w:pPr>
        <w:spacing w:before="63"/>
        <w:ind w:left="492" w:right="116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高分子材料产品中自用及返工出库</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13,334.61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吨；</w:t>
      </w:r>
    </w:p>
    <w:p>
      <w:pPr>
        <w:spacing w:before="63"/>
        <w:ind w:left="492" w:right="116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通信产品中自用 </w:t>
      </w:r>
      <w:r>
        <w:rPr>
          <w:rFonts w:ascii="Times New Roman" w:hAnsi="Times New Roman" w:cs="Times New Roman" w:eastAsia="Times New Roman" w:hint="default"/>
          <w:sz w:val="18"/>
          <w:szCs w:val="18"/>
        </w:rPr>
        <w:t>23,745.56</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公里。</w:t>
      </w:r>
    </w:p>
    <w:p>
      <w:pPr>
        <w:spacing w:line="240" w:lineRule="auto" w:before="10"/>
        <w:rPr>
          <w:rFonts w:ascii="宋体" w:hAnsi="宋体" w:cs="宋体" w:eastAsia="宋体" w:hint="default"/>
          <w:sz w:val="25"/>
          <w:szCs w:val="25"/>
        </w:rPr>
      </w:pPr>
    </w:p>
    <w:p>
      <w:pPr>
        <w:spacing w:before="0"/>
        <w:ind w:left="132" w:right="1164" w:firstLine="0"/>
        <w:jc w:val="left"/>
        <w:rPr>
          <w:rFonts w:ascii="宋体" w:hAnsi="宋体" w:cs="宋体" w:eastAsia="宋体" w:hint="default"/>
          <w:sz w:val="21"/>
          <w:szCs w:val="21"/>
        </w:rPr>
      </w:pPr>
      <w:bookmarkStart w:name="（4）公司已签订的重大销售合同截至本报告期的履行情况" w:id="32"/>
      <w:bookmarkEnd w:id="3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）公司已签订的重大销售合同截至本报告期的履行情况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5）营业成本构成" w:id="33"/>
      <w:bookmarkEnd w:id="3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）营业成本构成</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行业和产品分类</w:t>
      </w:r>
    </w:p>
    <w:p>
      <w:pPr>
        <w:spacing w:before="11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369"/>
        <w:gridCol w:w="1160"/>
        <w:gridCol w:w="1574"/>
        <w:gridCol w:w="1523"/>
        <w:gridCol w:w="1603"/>
        <w:gridCol w:w="1270"/>
        <w:gridCol w:w="1072"/>
      </w:tblGrid>
      <w:tr>
        <w:trPr>
          <w:trHeight w:val="332" w:hRule="exact"/>
        </w:trPr>
        <w:tc>
          <w:tcPr>
            <w:tcW w:w="1369" w:type="dxa"/>
            <w:vMerge w:val="restart"/>
            <w:tcBorders>
              <w:top w:val="single" w:sz="12" w:space="0" w:color="000000"/>
              <w:left w:val="single" w:sz="12"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160" w:type="dxa"/>
            <w:vMerge w:val="restart"/>
            <w:tcBorders>
              <w:top w:val="single" w:sz="12"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97" w:type="dxa"/>
            <w:gridSpan w:val="2"/>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2873" w:type="dxa"/>
            <w:gridSpan w:val="2"/>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72" w:type="dxa"/>
            <w:vMerge w:val="restart"/>
            <w:tcBorders>
              <w:top w:val="single" w:sz="12" w:space="0" w:color="000000"/>
              <w:left w:val="single" w:sz="4" w:space="0" w:color="000000"/>
              <w:right w:val="single" w:sz="12" w:space="0" w:color="000000"/>
            </w:tcBorders>
            <w:shd w:val="clear" w:color="auto" w:fill="D2D2D2"/>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634" w:hRule="exact"/>
        </w:trPr>
        <w:tc>
          <w:tcPr>
            <w:tcW w:w="1369" w:type="dxa"/>
            <w:vMerge/>
            <w:tcBorders>
              <w:left w:val="single" w:sz="12" w:space="0" w:color="000000"/>
              <w:bottom w:val="single" w:sz="4" w:space="0" w:color="000000"/>
              <w:right w:val="single" w:sz="4" w:space="0" w:color="000000"/>
            </w:tcBorders>
            <w:shd w:val="clear" w:color="auto" w:fill="D2D2D2"/>
          </w:tcPr>
          <w:p>
            <w:pPr/>
          </w:p>
        </w:tc>
        <w:tc>
          <w:tcPr>
            <w:tcW w:w="1160" w:type="dxa"/>
            <w:vMerge/>
            <w:tcBorders>
              <w:left w:val="single" w:sz="4" w:space="0" w:color="000000"/>
              <w:bottom w:val="single" w:sz="4" w:space="0" w:color="000000"/>
              <w:right w:val="single" w:sz="4" w:space="0" w:color="000000"/>
            </w:tcBorders>
            <w:shd w:val="clear" w:color="auto" w:fill="D2D2D2"/>
          </w:tcPr>
          <w:p>
            <w:pPr/>
          </w:p>
        </w:tc>
        <w:tc>
          <w:tcPr>
            <w:tcW w:w="15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24"/>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6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449" w:right="177" w:hanging="269"/>
              <w:jc w:val="left"/>
              <w:rPr>
                <w:rFonts w:ascii="宋体" w:hAnsi="宋体" w:cs="宋体" w:eastAsia="宋体" w:hint="default"/>
                <w:sz w:val="18"/>
                <w:szCs w:val="18"/>
              </w:rPr>
            </w:pPr>
            <w:r>
              <w:rPr>
                <w:rFonts w:ascii="宋体" w:hAnsi="宋体" w:cs="宋体" w:eastAsia="宋体" w:hint="default"/>
                <w:sz w:val="18"/>
                <w:szCs w:val="18"/>
              </w:rPr>
              <w:t>占营业成本 比重</w:t>
            </w:r>
          </w:p>
        </w:tc>
        <w:tc>
          <w:tcPr>
            <w:tcW w:w="1072" w:type="dxa"/>
            <w:vMerge/>
            <w:tcBorders>
              <w:left w:val="single" w:sz="4" w:space="0" w:color="000000"/>
              <w:bottom w:val="single" w:sz="4" w:space="0" w:color="000000"/>
              <w:right w:val="single" w:sz="12" w:space="0" w:color="000000"/>
            </w:tcBorders>
            <w:shd w:val="clear" w:color="auto" w:fill="D2D2D2"/>
          </w:tcPr>
          <w:p>
            <w:pPr/>
          </w:p>
        </w:tc>
      </w:tr>
      <w:tr>
        <w:trPr>
          <w:trHeight w:val="322"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1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8,016,504,863.24</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98.82%</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7,233,176,582.81</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97.15%</w:t>
            </w:r>
          </w:p>
        </w:tc>
        <w:tc>
          <w:tcPr>
            <w:tcW w:w="10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89"/>
              <w:jc w:val="right"/>
              <w:rPr>
                <w:rFonts w:ascii="Times New Roman" w:hAnsi="Times New Roman" w:cs="Times New Roman" w:eastAsia="Times New Roman" w:hint="default"/>
                <w:sz w:val="18"/>
                <w:szCs w:val="18"/>
              </w:rPr>
            </w:pPr>
            <w:r>
              <w:rPr>
                <w:rFonts w:ascii="Times New Roman"/>
                <w:spacing w:val="-1"/>
                <w:sz w:val="18"/>
              </w:rPr>
              <w:t>10.83%</w:t>
            </w:r>
          </w:p>
        </w:tc>
      </w:tr>
      <w:tr>
        <w:trPr>
          <w:trHeight w:val="322"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1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943,470.61</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0.01%</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164,948,797.40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2.22%</w:t>
            </w:r>
          </w:p>
        </w:tc>
        <w:tc>
          <w:tcPr>
            <w:tcW w:w="10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-99.43%</w:t>
            </w:r>
          </w:p>
        </w:tc>
      </w:tr>
      <w:tr>
        <w:trPr>
          <w:trHeight w:val="322"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94,825,669.64</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1.17%</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47,023,479.98</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0.63%</w:t>
            </w:r>
          </w:p>
        </w:tc>
        <w:tc>
          <w:tcPr>
            <w:tcW w:w="107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101.66%</w:t>
            </w:r>
          </w:p>
        </w:tc>
      </w:tr>
      <w:tr>
        <w:trPr>
          <w:trHeight w:val="332" w:hRule="exact"/>
        </w:trPr>
        <w:tc>
          <w:tcPr>
            <w:tcW w:w="1369"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0" w:type="dxa"/>
            <w:tcBorders>
              <w:top w:val="single" w:sz="4" w:space="0" w:color="000000"/>
              <w:left w:val="single" w:sz="4" w:space="0" w:color="000000"/>
              <w:bottom w:val="single" w:sz="12" w:space="0" w:color="000000"/>
              <w:right w:val="single" w:sz="4" w:space="0" w:color="000000"/>
            </w:tcBorders>
          </w:tcPr>
          <w:p>
            <w:pPr/>
          </w:p>
        </w:tc>
        <w:tc>
          <w:tcPr>
            <w:tcW w:w="15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8,112,274,003.49</w:t>
            </w:r>
          </w:p>
        </w:tc>
        <w:tc>
          <w:tcPr>
            <w:tcW w:w="15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100.00%</w:t>
            </w:r>
          </w:p>
        </w:tc>
        <w:tc>
          <w:tcPr>
            <w:tcW w:w="160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7,445,148,860.19</w:t>
            </w:r>
          </w:p>
        </w:tc>
        <w:tc>
          <w:tcPr>
            <w:tcW w:w="12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100.00%</w:t>
            </w:r>
          </w:p>
        </w:tc>
        <w:tc>
          <w:tcPr>
            <w:tcW w:w="1072"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8.96%</w:t>
            </w:r>
          </w:p>
        </w:tc>
      </w:tr>
    </w:tbl>
    <w:p>
      <w:pPr>
        <w:spacing w:before="52"/>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709"/>
        <w:gridCol w:w="580"/>
        <w:gridCol w:w="1698"/>
        <w:gridCol w:w="1483"/>
        <w:gridCol w:w="1639"/>
        <w:gridCol w:w="1508"/>
        <w:gridCol w:w="954"/>
      </w:tblGrid>
      <w:tr>
        <w:trPr>
          <w:trHeight w:val="332" w:hRule="exact"/>
        </w:trPr>
        <w:tc>
          <w:tcPr>
            <w:tcW w:w="1709" w:type="dxa"/>
            <w:vMerge w:val="restart"/>
            <w:tcBorders>
              <w:top w:val="single" w:sz="12" w:space="0" w:color="000000"/>
              <w:left w:val="single" w:sz="12"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78"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580" w:type="dxa"/>
            <w:vMerge w:val="restart"/>
            <w:tcBorders>
              <w:top w:val="single" w:sz="12"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181" w:type="dxa"/>
            <w:gridSpan w:val="2"/>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47" w:type="dxa"/>
            <w:gridSpan w:val="2"/>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54" w:type="dxa"/>
            <w:vMerge w:val="restart"/>
            <w:tcBorders>
              <w:top w:val="single" w:sz="12" w:space="0" w:color="000000"/>
              <w:left w:val="single" w:sz="4" w:space="0" w:color="000000"/>
              <w:right w:val="single" w:sz="12" w:space="0" w:color="000000"/>
            </w:tcBorders>
            <w:shd w:val="clear" w:color="auto" w:fill="D2D2D2"/>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22" w:hRule="exact"/>
        </w:trPr>
        <w:tc>
          <w:tcPr>
            <w:tcW w:w="1709" w:type="dxa"/>
            <w:vMerge/>
            <w:tcBorders>
              <w:left w:val="single" w:sz="12" w:space="0" w:color="000000"/>
              <w:bottom w:val="single" w:sz="4" w:space="0" w:color="000000"/>
              <w:right w:val="single" w:sz="4" w:space="0" w:color="000000"/>
            </w:tcBorders>
            <w:shd w:val="clear" w:color="auto" w:fill="D2D2D2"/>
          </w:tcPr>
          <w:p>
            <w:pPr/>
          </w:p>
        </w:tc>
        <w:tc>
          <w:tcPr>
            <w:tcW w:w="580" w:type="dxa"/>
            <w:vMerge/>
            <w:tcBorders>
              <w:left w:val="single" w:sz="4" w:space="0" w:color="000000"/>
              <w:bottom w:val="single" w:sz="4" w:space="0" w:color="000000"/>
              <w:right w:val="single" w:sz="4" w:space="0" w:color="000000"/>
            </w:tcBorders>
            <w:shd w:val="clear" w:color="auto" w:fill="D2D2D2"/>
          </w:tcPr>
          <w:p>
            <w:pPr/>
          </w:p>
        </w:tc>
        <w:tc>
          <w:tcPr>
            <w:tcW w:w="16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05"/>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1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954" w:type="dxa"/>
            <w:vMerge/>
            <w:tcBorders>
              <w:left w:val="single" w:sz="4" w:space="0" w:color="000000"/>
              <w:bottom w:val="single" w:sz="4" w:space="0" w:color="000000"/>
              <w:right w:val="single" w:sz="12" w:space="0" w:color="000000"/>
            </w:tcBorders>
            <w:shd w:val="clear" w:color="auto" w:fill="D2D2D2"/>
          </w:tcPr>
          <w:p>
            <w:pPr/>
          </w:p>
        </w:tc>
      </w:tr>
      <w:tr>
        <w:trPr>
          <w:trHeight w:val="322" w:hRule="exact"/>
        </w:trPr>
        <w:tc>
          <w:tcPr>
            <w:tcW w:w="170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电力产品</w:t>
            </w:r>
          </w:p>
        </w:tc>
        <w:tc>
          <w:tcPr>
            <w:tcW w:w="58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5,158,121,908.83</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63.58%</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4,485,361,609.12</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60.25%</w:t>
            </w:r>
          </w:p>
        </w:tc>
        <w:tc>
          <w:tcPr>
            <w:tcW w:w="95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9"/>
              <w:jc w:val="right"/>
              <w:rPr>
                <w:rFonts w:ascii="Times New Roman" w:hAnsi="Times New Roman" w:cs="Times New Roman" w:eastAsia="Times New Roman" w:hint="default"/>
                <w:sz w:val="18"/>
                <w:szCs w:val="18"/>
              </w:rPr>
            </w:pPr>
            <w:r>
              <w:rPr>
                <w:rFonts w:ascii="Times New Roman"/>
                <w:spacing w:val="-1"/>
                <w:sz w:val="18"/>
              </w:rPr>
              <w:t>15.00%</w:t>
            </w:r>
          </w:p>
        </w:tc>
      </w:tr>
      <w:tr>
        <w:trPr>
          <w:trHeight w:val="322" w:hRule="exact"/>
        </w:trPr>
        <w:tc>
          <w:tcPr>
            <w:tcW w:w="170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通信产品</w:t>
            </w:r>
          </w:p>
        </w:tc>
        <w:tc>
          <w:tcPr>
            <w:tcW w:w="58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397,234,766.08</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4.90%</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549,024,830.18</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7.37%</w:t>
            </w:r>
          </w:p>
        </w:tc>
        <w:tc>
          <w:tcPr>
            <w:tcW w:w="95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-27.65%</w:t>
            </w:r>
          </w:p>
        </w:tc>
      </w:tr>
      <w:tr>
        <w:trPr>
          <w:trHeight w:val="322" w:hRule="exact"/>
        </w:trPr>
        <w:tc>
          <w:tcPr>
            <w:tcW w:w="170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高分子材料</w:t>
            </w:r>
          </w:p>
        </w:tc>
        <w:tc>
          <w:tcPr>
            <w:tcW w:w="58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2,262,290,134.47</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27.89%</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2,104,822,569.49</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28.27%</w:t>
            </w:r>
          </w:p>
        </w:tc>
        <w:tc>
          <w:tcPr>
            <w:tcW w:w="95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7.48%</w:t>
            </w:r>
          </w:p>
        </w:tc>
      </w:tr>
      <w:tr>
        <w:trPr>
          <w:trHeight w:val="322" w:hRule="exact"/>
        </w:trPr>
        <w:tc>
          <w:tcPr>
            <w:tcW w:w="170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贸易、服务及其他</w:t>
            </w:r>
          </w:p>
        </w:tc>
        <w:tc>
          <w:tcPr>
            <w:tcW w:w="58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294,627,194.11</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3.63%</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305,939,851.40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2"/>
                <w:sz w:val="18"/>
              </w:rPr>
              <w:t>4.11%</w:t>
            </w:r>
          </w:p>
        </w:tc>
        <w:tc>
          <w:tcPr>
            <w:tcW w:w="95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-3.70%</w:t>
            </w:r>
          </w:p>
        </w:tc>
      </w:tr>
      <w:tr>
        <w:trPr>
          <w:trHeight w:val="332" w:hRule="exact"/>
        </w:trPr>
        <w:tc>
          <w:tcPr>
            <w:tcW w:w="1709"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80" w:type="dxa"/>
            <w:tcBorders>
              <w:top w:val="single" w:sz="4" w:space="0" w:color="000000"/>
              <w:left w:val="single" w:sz="4" w:space="0" w:color="000000"/>
              <w:bottom w:val="single" w:sz="12" w:space="0" w:color="000000"/>
              <w:right w:val="single" w:sz="4" w:space="0" w:color="000000"/>
            </w:tcBorders>
          </w:tcPr>
          <w:p>
            <w:pPr/>
          </w:p>
        </w:tc>
        <w:tc>
          <w:tcPr>
            <w:tcW w:w="16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8,112,274,003.49</w:t>
            </w:r>
          </w:p>
        </w:tc>
        <w:tc>
          <w:tcPr>
            <w:tcW w:w="148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100.00%</w:t>
            </w:r>
          </w:p>
        </w:tc>
        <w:tc>
          <w:tcPr>
            <w:tcW w:w="163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7,445,148,860.19</w:t>
            </w:r>
          </w:p>
        </w:tc>
        <w:tc>
          <w:tcPr>
            <w:tcW w:w="15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100.00%</w:t>
            </w:r>
          </w:p>
        </w:tc>
        <w:tc>
          <w:tcPr>
            <w:tcW w:w="954"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0"/>
              <w:ind w:right="89"/>
              <w:jc w:val="right"/>
              <w:rPr>
                <w:rFonts w:ascii="Times New Roman" w:hAnsi="Times New Roman" w:cs="Times New Roman" w:eastAsia="Times New Roman" w:hint="default"/>
                <w:sz w:val="18"/>
                <w:szCs w:val="18"/>
              </w:rPr>
            </w:pPr>
            <w:r>
              <w:rPr>
                <w:rFonts w:ascii="Times New Roman"/>
                <w:sz w:val="18"/>
              </w:rPr>
              <w:t>8.96%</w:t>
            </w:r>
          </w:p>
        </w:tc>
      </w:tr>
    </w:tbl>
    <w:p>
      <w:pPr>
        <w:spacing w:before="51"/>
        <w:ind w:left="132" w:right="1164"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240" w:lineRule="auto" w:before="1"/>
        <w:rPr>
          <w:rFonts w:ascii="宋体" w:hAnsi="宋体" w:cs="宋体" w:eastAsia="宋体" w:hint="default"/>
          <w:sz w:val="7"/>
          <w:szCs w:val="7"/>
        </w:rPr>
      </w:pPr>
    </w:p>
    <w:p>
      <w:pPr>
        <w:spacing w:line="500" w:lineRule="exact"/>
        <w:ind w:left="105"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61.9pt;height:25.05pt;mso-position-horizontal-relative:char;mso-position-vertical-relative:line" coordorigin="0,0" coordsize="9238,501">
            <v:group style="position:absolute;left:42;top:41;width:1469;height:439" coordorigin="42,41" coordsize="1469,439">
              <v:shape style="position:absolute;left:42;top:41;width:1469;height:439" coordorigin="42,41" coordsize="1469,439" path="m42,41l1511,41,1511,480,42,480,42,41xe" filled="true" fillcolor="#dbdbdb" stroked="false">
                <v:path arrowok="t"/>
                <v:fill type="solid"/>
              </v:shape>
            </v:group>
            <v:group style="position:absolute;left:1516;top:41;width:7681;height:439" coordorigin="1516,41" coordsize="7681,439">
              <v:shape style="position:absolute;left:1516;top:41;width:7681;height:439" coordorigin="1516,41" coordsize="7681,439" path="m1516,41l9197,41,9197,480,1516,480,1516,41xe" filled="true" fillcolor="#dbdbdb" stroked="false">
                <v:path arrowok="t"/>
                <v:fill type="solid"/>
              </v:shape>
            </v:group>
            <v:group style="position:absolute;left:14;top:29;width:9209;height:2" coordorigin="14,29" coordsize="9209,2">
              <v:shape style="position:absolute;left:14;top:29;width:9209;height:2" coordorigin="14,29" coordsize="9209,0" path="m14,29l9223,29e" filled="false" stroked="true" strokeweight="1.44pt" strokecolor="#000000">
                <v:path arrowok="t"/>
              </v:shape>
            </v:group>
            <v:group style="position:absolute;left:43;top:481;width:9152;height:2" coordorigin="43,481" coordsize="9152,2">
              <v:shape style="position:absolute;left:43;top:481;width:9152;height:2" coordorigin="43,481" coordsize="9152,0" path="m43,481l9194,481e" filled="false" stroked="true" strokeweight=".48pt" strokecolor="#000000">
                <v:path arrowok="t"/>
              </v:shape>
            </v:group>
            <v:group style="position:absolute;left:29;top:14;width:2;height:472" coordorigin="29,14" coordsize="2,472">
              <v:shape style="position:absolute;left:29;top:14;width:2;height:472" coordorigin="29,14" coordsize="0,472" path="m29,14l29,486e" filled="false" stroked="true" strokeweight="1.44pt" strokecolor="#000000">
                <v:path arrowok="t"/>
              </v:shape>
            </v:group>
            <v:group style="position:absolute;left:9209;top:43;width:2;height:443" coordorigin="9209,43" coordsize="2,443">
              <v:shape style="position:absolute;left:9209;top:43;width:2;height:443" coordorigin="9209,43" coordsize="0,443" path="m9209,43l9209,486e" filled="false" stroked="true" strokeweight="1.44pt" strokecolor="#000000">
                <v:path arrowok="t"/>
              </v:shape>
            </v:group>
            <v:group style="position:absolute;left:1513;top:43;width:2;height:434" coordorigin="1513,43" coordsize="2,434">
              <v:shape style="position:absolute;left:1513;top:43;width:2;height:434" coordorigin="1513,43" coordsize="0,434" path="m1513,43l1513,476e" filled="false" stroked="true" strokeweight=".48pt" strokecolor="#000000">
                <v:path arrowok="t"/>
              </v:shape>
              <v:shape style="position:absolute;left:29;top:29;width:1484;height:453" type="#_x0000_t202" filled="false" stroked="false">
                <v:textbox inset="0,0,0,0">
                  <w:txbxContent>
                    <w:p>
                      <w:pPr>
                        <w:spacing w:before="85"/>
                        <w:ind w:left="382" w:right="0" w:firstLine="0"/>
                        <w:jc w:val="left"/>
                        <w:rPr>
                          <w:rFonts w:ascii="宋体" w:hAnsi="宋体" w:cs="宋体" w:eastAsia="宋体" w:hint="default"/>
                          <w:sz w:val="18"/>
                          <w:szCs w:val="18"/>
                        </w:rPr>
                      </w:pPr>
                      <w:r>
                        <w:rPr>
                          <w:rFonts w:ascii="宋体" w:hAnsi="宋体" w:cs="宋体" w:eastAsia="宋体" w:hint="default"/>
                          <w:sz w:val="18"/>
                          <w:szCs w:val="18"/>
                        </w:rPr>
                        <w:t>成本项目</w:t>
                      </w:r>
                    </w:p>
                  </w:txbxContent>
                </v:textbox>
                <w10:wrap type="none"/>
              </v:shape>
              <v:shape style="position:absolute;left:4998;top:1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电力产品</w:t>
                      </w:r>
                    </w:p>
                  </w:txbxContent>
                </v:textbox>
                <w10:wrap type="none"/>
              </v:shape>
            </v:group>
          </v:group>
        </w:pict>
      </w:r>
      <w:r>
        <w:rPr>
          <w:rFonts w:ascii="宋体" w:hAnsi="宋体" w:cs="宋体" w:eastAsia="宋体" w:hint="default"/>
          <w:position w:val="-9"/>
          <w:sz w:val="20"/>
          <w:szCs w:val="20"/>
        </w:rPr>
      </w:r>
    </w:p>
    <w:p>
      <w:pPr>
        <w:spacing w:after="0" w:line="500" w:lineRule="exact"/>
        <w:rPr>
          <w:rFonts w:ascii="宋体" w:hAnsi="宋体" w:cs="宋体" w:eastAsia="宋体" w:hint="default"/>
          <w:sz w:val="20"/>
          <w:szCs w:val="20"/>
        </w:rPr>
        <w:sectPr>
          <w:pgSz w:w="11910" w:h="16840"/>
          <w:pgMar w:header="890" w:footer="1053" w:top="1420" w:bottom="1240" w:left="1000" w:right="0"/>
        </w:sectPr>
      </w:pPr>
    </w:p>
    <w:tbl>
      <w:tblPr>
        <w:tblW w:w="0" w:type="auto"/>
        <w:jc w:val="left"/>
        <w:tblInd w:w="119" w:type="dxa"/>
        <w:tblLayout w:type="fixed"/>
        <w:tblCellMar>
          <w:top w:w="0" w:type="dxa"/>
          <w:left w:w="0" w:type="dxa"/>
          <w:bottom w:w="0" w:type="dxa"/>
          <w:right w:w="0" w:type="dxa"/>
        </w:tblCellMar>
        <w:tblLook w:val="01E0"/>
      </w:tblPr>
      <w:tblGrid>
        <w:gridCol w:w="1484"/>
        <w:gridCol w:w="2098"/>
        <w:gridCol w:w="1177"/>
        <w:gridCol w:w="2101"/>
        <w:gridCol w:w="1187"/>
        <w:gridCol w:w="1133"/>
      </w:tblGrid>
      <w:tr>
        <w:trPr>
          <w:trHeight w:val="393" w:hRule="exact"/>
        </w:trPr>
        <w:tc>
          <w:tcPr>
            <w:tcW w:w="1484" w:type="dxa"/>
            <w:vMerge w:val="restart"/>
            <w:tcBorders>
              <w:top w:val="single" w:sz="4" w:space="0" w:color="000000"/>
              <w:left w:val="single" w:sz="12" w:space="0" w:color="000000"/>
              <w:right w:val="single" w:sz="4" w:space="0" w:color="000000"/>
            </w:tcBorders>
            <w:shd w:val="clear" w:color="auto" w:fill="DBDBDB"/>
          </w:tcPr>
          <w:p>
            <w:pPr/>
          </w:p>
        </w:tc>
        <w:tc>
          <w:tcPr>
            <w:tcW w:w="3275"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p>
        </w:tc>
        <w:tc>
          <w:tcPr>
            <w:tcW w:w="3288"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c>
          <w:tcPr>
            <w:tcW w:w="1133" w:type="dxa"/>
            <w:vMerge w:val="restart"/>
            <w:tcBorders>
              <w:top w:val="single" w:sz="4" w:space="0" w:color="000000"/>
              <w:left w:val="single" w:sz="4" w:space="0" w:color="000000"/>
              <w:right w:val="single" w:sz="12" w:space="0" w:color="000000"/>
            </w:tcBorders>
            <w:shd w:val="clear" w:color="auto" w:fill="DBDBDB"/>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3" w:hRule="exact"/>
        </w:trPr>
        <w:tc>
          <w:tcPr>
            <w:tcW w:w="1484" w:type="dxa"/>
            <w:vMerge/>
            <w:tcBorders>
              <w:left w:val="single" w:sz="12" w:space="0" w:color="000000"/>
              <w:bottom w:val="single" w:sz="4" w:space="0" w:color="000000"/>
              <w:right w:val="single" w:sz="4" w:space="0" w:color="000000"/>
            </w:tcBorders>
            <w:shd w:val="clear" w:color="auto" w:fill="DBDBDB"/>
          </w:tcPr>
          <w:p>
            <w:pPr/>
          </w:p>
        </w:tc>
        <w:tc>
          <w:tcPr>
            <w:tcW w:w="2098"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7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4"/>
              <w:ind w:right="147"/>
              <w:jc w:val="right"/>
              <w:rPr>
                <w:rFonts w:ascii="宋体" w:hAnsi="宋体" w:cs="宋体" w:eastAsia="宋体" w:hint="default"/>
                <w:sz w:val="18"/>
                <w:szCs w:val="18"/>
              </w:rPr>
            </w:pPr>
            <w:r>
              <w:rPr>
                <w:rFonts w:ascii="宋体" w:hAnsi="宋体" w:cs="宋体" w:eastAsia="宋体" w:hint="default"/>
                <w:spacing w:val="-1"/>
                <w:sz w:val="18"/>
                <w:szCs w:val="18"/>
              </w:rPr>
              <w:t>占比（</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2101"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8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4"/>
              <w:ind w:left="153"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33" w:type="dxa"/>
            <w:vMerge/>
            <w:tcBorders>
              <w:left w:val="single" w:sz="4" w:space="0" w:color="000000"/>
              <w:bottom w:val="single" w:sz="4" w:space="0" w:color="000000"/>
              <w:right w:val="single" w:sz="12" w:space="0" w:color="000000"/>
            </w:tcBorders>
            <w:shd w:val="clear" w:color="auto" w:fill="DBDBDB"/>
          </w:tcPr>
          <w:p>
            <w:pP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0"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4,880,220,315.80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pacing w:val="-1"/>
                <w:sz w:val="18"/>
              </w:rPr>
              <w:t>94.61%</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4,224,053,587.90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pacing w:val="-1"/>
                <w:sz w:val="18"/>
              </w:rPr>
              <w:t>94.17%</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86"/>
              <w:jc w:val="right"/>
              <w:rPr>
                <w:rFonts w:ascii="Times New Roman" w:hAnsi="Times New Roman" w:cs="Times New Roman" w:eastAsia="Times New Roman" w:hint="default"/>
                <w:sz w:val="18"/>
                <w:szCs w:val="18"/>
              </w:rPr>
            </w:pPr>
            <w:r>
              <w:rPr>
                <w:rFonts w:ascii="Times New Roman"/>
                <w:spacing w:val="-1"/>
                <w:sz w:val="18"/>
              </w:rPr>
              <w:t>15.53%</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2"/>
              <w:jc w:val="right"/>
              <w:rPr>
                <w:rFonts w:ascii="Times New Roman" w:hAnsi="Times New Roman" w:cs="Times New Roman" w:eastAsia="Times New Roman" w:hint="default"/>
                <w:sz w:val="18"/>
                <w:szCs w:val="18"/>
              </w:rPr>
            </w:pPr>
            <w:r>
              <w:rPr>
                <w:rFonts w:ascii="Times New Roman"/>
                <w:spacing w:val="-1"/>
                <w:sz w:val="18"/>
              </w:rPr>
              <w:t>71,607,558.46</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1"/>
              <w:jc w:val="right"/>
              <w:rPr>
                <w:rFonts w:ascii="Times New Roman" w:hAnsi="Times New Roman" w:cs="Times New Roman" w:eastAsia="Times New Roman" w:hint="default"/>
                <w:sz w:val="18"/>
                <w:szCs w:val="18"/>
              </w:rPr>
            </w:pPr>
            <w:r>
              <w:rPr>
                <w:rFonts w:ascii="Times New Roman"/>
                <w:sz w:val="18"/>
              </w:rPr>
              <w:t>1.39%</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2"/>
              <w:jc w:val="right"/>
              <w:rPr>
                <w:rFonts w:ascii="Times New Roman" w:hAnsi="Times New Roman" w:cs="Times New Roman" w:eastAsia="Times New Roman" w:hint="default"/>
                <w:sz w:val="18"/>
                <w:szCs w:val="18"/>
              </w:rPr>
            </w:pPr>
            <w:r>
              <w:rPr>
                <w:rFonts w:ascii="Times New Roman"/>
                <w:spacing w:val="-1"/>
                <w:sz w:val="18"/>
              </w:rPr>
              <w:t>70,370,580.86</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1"/>
              <w:jc w:val="right"/>
              <w:rPr>
                <w:rFonts w:ascii="Times New Roman" w:hAnsi="Times New Roman" w:cs="Times New Roman" w:eastAsia="Times New Roman" w:hint="default"/>
                <w:sz w:val="18"/>
                <w:szCs w:val="18"/>
              </w:rPr>
            </w:pPr>
            <w:r>
              <w:rPr>
                <w:rFonts w:ascii="Times New Roman"/>
                <w:sz w:val="18"/>
              </w:rPr>
              <w:t>1.57%</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5"/>
              <w:ind w:right="86"/>
              <w:jc w:val="right"/>
              <w:rPr>
                <w:rFonts w:ascii="Times New Roman" w:hAnsi="Times New Roman" w:cs="Times New Roman" w:eastAsia="Times New Roman" w:hint="default"/>
                <w:sz w:val="18"/>
                <w:szCs w:val="18"/>
              </w:rPr>
            </w:pPr>
            <w:r>
              <w:rPr>
                <w:rFonts w:ascii="Times New Roman"/>
                <w:sz w:val="18"/>
              </w:rPr>
              <w:t>1.76%</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能源</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2"/>
              <w:jc w:val="right"/>
              <w:rPr>
                <w:rFonts w:ascii="Times New Roman" w:hAnsi="Times New Roman" w:cs="Times New Roman" w:eastAsia="Times New Roman" w:hint="default"/>
                <w:sz w:val="18"/>
                <w:szCs w:val="18"/>
              </w:rPr>
            </w:pPr>
            <w:r>
              <w:rPr>
                <w:rFonts w:ascii="Times New Roman"/>
                <w:spacing w:val="-1"/>
                <w:sz w:val="18"/>
              </w:rPr>
              <w:t>38,634,972.97</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z w:val="18"/>
              </w:rPr>
              <w:t>0.75%</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2"/>
              <w:jc w:val="right"/>
              <w:rPr>
                <w:rFonts w:ascii="Times New Roman" w:hAnsi="Times New Roman" w:cs="Times New Roman" w:eastAsia="Times New Roman" w:hint="default"/>
                <w:sz w:val="18"/>
                <w:szCs w:val="18"/>
              </w:rPr>
            </w:pPr>
            <w:r>
              <w:rPr>
                <w:rFonts w:ascii="Times New Roman"/>
                <w:spacing w:val="-1"/>
                <w:sz w:val="18"/>
              </w:rPr>
              <w:t>32,752,889.08</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z w:val="18"/>
              </w:rPr>
              <w:t>0.73%</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6"/>
              <w:jc w:val="right"/>
              <w:rPr>
                <w:rFonts w:ascii="Times New Roman" w:hAnsi="Times New Roman" w:cs="Times New Roman" w:eastAsia="Times New Roman" w:hint="default"/>
                <w:sz w:val="18"/>
                <w:szCs w:val="18"/>
              </w:rPr>
            </w:pPr>
            <w:r>
              <w:rPr>
                <w:rFonts w:ascii="Times New Roman"/>
                <w:spacing w:val="-1"/>
                <w:sz w:val="18"/>
              </w:rPr>
              <w:t>17.96%</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4"/>
              <w:ind w:left="90"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57,789,456.32</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1.12%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57,000,483.42</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1.27%</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86"/>
              <w:jc w:val="right"/>
              <w:rPr>
                <w:rFonts w:ascii="Times New Roman" w:hAnsi="Times New Roman" w:cs="Times New Roman" w:eastAsia="Times New Roman" w:hint="default"/>
                <w:sz w:val="18"/>
                <w:szCs w:val="18"/>
              </w:rPr>
            </w:pPr>
            <w:r>
              <w:rPr>
                <w:rFonts w:ascii="Times New Roman"/>
                <w:sz w:val="18"/>
              </w:rPr>
              <w:t>1.38%</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0" w:right="0"/>
              <w:jc w:val="left"/>
              <w:rPr>
                <w:rFonts w:ascii="宋体" w:hAnsi="宋体" w:cs="宋体" w:eastAsia="宋体" w:hint="default"/>
                <w:sz w:val="18"/>
                <w:szCs w:val="18"/>
              </w:rPr>
            </w:pPr>
            <w:r>
              <w:rPr>
                <w:rFonts w:ascii="宋体" w:hAnsi="宋体" w:cs="宋体" w:eastAsia="宋体" w:hint="default"/>
                <w:sz w:val="18"/>
                <w:szCs w:val="18"/>
              </w:rPr>
              <w:t>其他制造费用</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109,869,606.28</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2.13%</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101,184,067.86</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2.26%</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86"/>
              <w:jc w:val="right"/>
              <w:rPr>
                <w:rFonts w:ascii="Times New Roman" w:hAnsi="Times New Roman" w:cs="Times New Roman" w:eastAsia="Times New Roman" w:hint="default"/>
                <w:sz w:val="18"/>
                <w:szCs w:val="18"/>
              </w:rPr>
            </w:pPr>
            <w:r>
              <w:rPr>
                <w:rFonts w:ascii="Times New Roman"/>
                <w:sz w:val="18"/>
              </w:rPr>
              <w:t>8.58%</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2"/>
              <w:jc w:val="right"/>
              <w:rPr>
                <w:rFonts w:ascii="Times New Roman" w:hAnsi="Times New Roman" w:cs="Times New Roman" w:eastAsia="Times New Roman" w:hint="default"/>
                <w:sz w:val="18"/>
                <w:szCs w:val="18"/>
              </w:rPr>
            </w:pPr>
            <w:r>
              <w:rPr>
                <w:rFonts w:ascii="Times New Roman"/>
                <w:spacing w:val="-1"/>
                <w:sz w:val="18"/>
              </w:rPr>
              <w:t>5,158,121,909.83</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1"/>
              <w:jc w:val="right"/>
              <w:rPr>
                <w:rFonts w:ascii="Times New Roman" w:hAnsi="Times New Roman" w:cs="Times New Roman" w:eastAsia="Times New Roman" w:hint="default"/>
                <w:sz w:val="18"/>
                <w:szCs w:val="18"/>
              </w:rPr>
            </w:pPr>
            <w:r>
              <w:rPr>
                <w:rFonts w:ascii="Times New Roman"/>
                <w:spacing w:val="-1"/>
                <w:sz w:val="18"/>
              </w:rPr>
              <w:t>100.00%</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2"/>
              <w:jc w:val="right"/>
              <w:rPr>
                <w:rFonts w:ascii="Times New Roman" w:hAnsi="Times New Roman" w:cs="Times New Roman" w:eastAsia="Times New Roman" w:hint="default"/>
                <w:sz w:val="18"/>
                <w:szCs w:val="18"/>
              </w:rPr>
            </w:pPr>
            <w:r>
              <w:rPr>
                <w:rFonts w:ascii="Times New Roman"/>
                <w:spacing w:val="-1"/>
                <w:sz w:val="18"/>
              </w:rPr>
              <w:t>4,485,361,609.12</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1"/>
              <w:jc w:val="right"/>
              <w:rPr>
                <w:rFonts w:ascii="Times New Roman" w:hAnsi="Times New Roman" w:cs="Times New Roman" w:eastAsia="Times New Roman" w:hint="default"/>
                <w:sz w:val="18"/>
                <w:szCs w:val="18"/>
              </w:rPr>
            </w:pPr>
            <w:r>
              <w:rPr>
                <w:rFonts w:ascii="Times New Roman"/>
                <w:spacing w:val="-1"/>
                <w:sz w:val="18"/>
              </w:rPr>
              <w:t>100.00%</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5"/>
              <w:ind w:right="86"/>
              <w:jc w:val="right"/>
              <w:rPr>
                <w:rFonts w:ascii="Times New Roman" w:hAnsi="Times New Roman" w:cs="Times New Roman" w:eastAsia="Times New Roman" w:hint="default"/>
                <w:sz w:val="18"/>
                <w:szCs w:val="18"/>
              </w:rPr>
            </w:pPr>
            <w:r>
              <w:rPr>
                <w:rFonts w:ascii="Times New Roman"/>
                <w:spacing w:val="-1"/>
                <w:sz w:val="18"/>
              </w:rPr>
              <w:t>15.00%</w:t>
            </w:r>
          </w:p>
        </w:tc>
      </w:tr>
      <w:tr>
        <w:trPr>
          <w:trHeight w:val="393" w:hRule="exact"/>
        </w:trPr>
        <w:tc>
          <w:tcPr>
            <w:tcW w:w="1484" w:type="dxa"/>
            <w:vMerge w:val="restart"/>
            <w:tcBorders>
              <w:top w:val="single" w:sz="4" w:space="0" w:color="000000"/>
              <w:left w:val="single" w:sz="12" w:space="0" w:color="000000"/>
              <w:right w:val="single" w:sz="4" w:space="0" w:color="000000"/>
            </w:tcBorders>
            <w:shd w:val="clear" w:color="auto" w:fill="DBDBDB"/>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成本项目</w:t>
            </w:r>
          </w:p>
        </w:tc>
        <w:tc>
          <w:tcPr>
            <w:tcW w:w="7696" w:type="dxa"/>
            <w:gridSpan w:val="5"/>
            <w:tcBorders>
              <w:top w:val="single" w:sz="4" w:space="0" w:color="000000"/>
              <w:left w:val="single" w:sz="4" w:space="0" w:color="000000"/>
              <w:bottom w:val="single" w:sz="4" w:space="0" w:color="000000"/>
              <w:right w:val="single" w:sz="12" w:space="0" w:color="000000"/>
            </w:tcBorders>
            <w:shd w:val="clear" w:color="auto" w:fill="DBDBDB"/>
          </w:tcPr>
          <w:p>
            <w:pPr>
              <w:pStyle w:val="TableParagraph"/>
              <w:spacing w:line="240" w:lineRule="auto" w:before="37"/>
              <w:ind w:left="3" w:right="0"/>
              <w:jc w:val="center"/>
              <w:rPr>
                <w:rFonts w:ascii="宋体" w:hAnsi="宋体" w:cs="宋体" w:eastAsia="宋体" w:hint="default"/>
                <w:sz w:val="18"/>
                <w:szCs w:val="18"/>
              </w:rPr>
            </w:pPr>
            <w:r>
              <w:rPr>
                <w:rFonts w:ascii="宋体" w:hAnsi="宋体" w:cs="宋体" w:eastAsia="宋体" w:hint="default"/>
                <w:sz w:val="18"/>
                <w:szCs w:val="18"/>
              </w:rPr>
              <w:t>通信产品</w:t>
            </w:r>
          </w:p>
        </w:tc>
      </w:tr>
      <w:tr>
        <w:trPr>
          <w:trHeight w:val="393" w:hRule="exact"/>
        </w:trPr>
        <w:tc>
          <w:tcPr>
            <w:tcW w:w="1484" w:type="dxa"/>
            <w:vMerge/>
            <w:tcBorders>
              <w:left w:val="single" w:sz="12" w:space="0" w:color="000000"/>
              <w:right w:val="single" w:sz="4" w:space="0" w:color="000000"/>
            </w:tcBorders>
            <w:shd w:val="clear" w:color="auto" w:fill="DBDBDB"/>
          </w:tcPr>
          <w:p>
            <w:pPr/>
          </w:p>
        </w:tc>
        <w:tc>
          <w:tcPr>
            <w:tcW w:w="3275"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8"/>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p>
        </w:tc>
        <w:tc>
          <w:tcPr>
            <w:tcW w:w="3288"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c>
          <w:tcPr>
            <w:tcW w:w="1133" w:type="dxa"/>
            <w:vMerge w:val="restart"/>
            <w:tcBorders>
              <w:top w:val="single" w:sz="4" w:space="0" w:color="000000"/>
              <w:left w:val="single" w:sz="4" w:space="0" w:color="000000"/>
              <w:right w:val="single" w:sz="12" w:space="0" w:color="000000"/>
            </w:tcBorders>
            <w:shd w:val="clear" w:color="auto" w:fill="DBDBDB"/>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3" w:hRule="exact"/>
        </w:trPr>
        <w:tc>
          <w:tcPr>
            <w:tcW w:w="1484" w:type="dxa"/>
            <w:vMerge/>
            <w:tcBorders>
              <w:left w:val="single" w:sz="12" w:space="0" w:color="000000"/>
              <w:bottom w:val="single" w:sz="4" w:space="0" w:color="000000"/>
              <w:right w:val="single" w:sz="4" w:space="0" w:color="000000"/>
            </w:tcBorders>
            <w:shd w:val="clear" w:color="auto" w:fill="DBDBDB"/>
          </w:tcPr>
          <w:p>
            <w:pPr/>
          </w:p>
        </w:tc>
        <w:tc>
          <w:tcPr>
            <w:tcW w:w="2098"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7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2"/>
              <w:ind w:right="147"/>
              <w:jc w:val="right"/>
              <w:rPr>
                <w:rFonts w:ascii="宋体" w:hAnsi="宋体" w:cs="宋体" w:eastAsia="宋体" w:hint="default"/>
                <w:sz w:val="18"/>
                <w:szCs w:val="18"/>
              </w:rPr>
            </w:pPr>
            <w:r>
              <w:rPr>
                <w:rFonts w:ascii="宋体" w:hAnsi="宋体" w:cs="宋体" w:eastAsia="宋体" w:hint="default"/>
                <w:spacing w:val="-1"/>
                <w:sz w:val="18"/>
                <w:szCs w:val="18"/>
              </w:rPr>
              <w:t>占比（</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2101"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8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2"/>
              <w:ind w:left="153"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33" w:type="dxa"/>
            <w:vMerge/>
            <w:tcBorders>
              <w:left w:val="single" w:sz="4" w:space="0" w:color="000000"/>
              <w:bottom w:val="single" w:sz="4" w:space="0" w:color="000000"/>
              <w:right w:val="single" w:sz="12" w:space="0" w:color="000000"/>
            </w:tcBorders>
            <w:shd w:val="clear" w:color="auto" w:fill="DBDBDB"/>
          </w:tcPr>
          <w:p>
            <w:pP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343,119,352.30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pacing w:val="-1"/>
                <w:sz w:val="18"/>
              </w:rPr>
              <w:t>86.38%</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474,584,215.17</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pacing w:val="-1"/>
                <w:sz w:val="18"/>
              </w:rPr>
              <w:t>86.44%</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9"/>
              <w:ind w:right="86"/>
              <w:jc w:val="right"/>
              <w:rPr>
                <w:rFonts w:ascii="Times New Roman" w:hAnsi="Times New Roman" w:cs="Times New Roman" w:eastAsia="Times New Roman" w:hint="default"/>
                <w:sz w:val="18"/>
                <w:szCs w:val="18"/>
              </w:rPr>
            </w:pPr>
            <w:r>
              <w:rPr>
                <w:rFonts w:ascii="Times New Roman"/>
                <w:spacing w:val="-1"/>
                <w:sz w:val="18"/>
              </w:rPr>
              <w:t>-27.70%</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22,722,116.95</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z w:val="18"/>
              </w:rPr>
              <w:t>5.72%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28,318,960.28</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z w:val="18"/>
              </w:rPr>
              <w:t>5.16%</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9"/>
              <w:ind w:right="86"/>
              <w:jc w:val="right"/>
              <w:rPr>
                <w:rFonts w:ascii="Times New Roman" w:hAnsi="Times New Roman" w:cs="Times New Roman" w:eastAsia="Times New Roman" w:hint="default"/>
                <w:sz w:val="18"/>
                <w:szCs w:val="18"/>
              </w:rPr>
            </w:pPr>
            <w:r>
              <w:rPr>
                <w:rFonts w:ascii="Times New Roman"/>
                <w:spacing w:val="-1"/>
                <w:sz w:val="18"/>
              </w:rPr>
              <w:t>-19.76%</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4"/>
              <w:ind w:left="90" w:right="0"/>
              <w:jc w:val="left"/>
              <w:rPr>
                <w:rFonts w:ascii="宋体" w:hAnsi="宋体" w:cs="宋体" w:eastAsia="宋体" w:hint="default"/>
                <w:sz w:val="18"/>
                <w:szCs w:val="18"/>
              </w:rPr>
            </w:pPr>
            <w:r>
              <w:rPr>
                <w:rFonts w:ascii="宋体" w:hAnsi="宋体" w:cs="宋体" w:eastAsia="宋体" w:hint="default"/>
                <w:sz w:val="18"/>
                <w:szCs w:val="18"/>
              </w:rPr>
              <w:t>能源</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92"/>
              <w:jc w:val="right"/>
              <w:rPr>
                <w:rFonts w:ascii="Times New Roman" w:hAnsi="Times New Roman" w:cs="Times New Roman" w:eastAsia="Times New Roman" w:hint="default"/>
                <w:sz w:val="18"/>
                <w:szCs w:val="18"/>
              </w:rPr>
            </w:pPr>
            <w:r>
              <w:rPr>
                <w:rFonts w:ascii="Times New Roman"/>
                <w:spacing w:val="-1"/>
                <w:sz w:val="18"/>
              </w:rPr>
              <w:t>8,472,952.15</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91"/>
              <w:jc w:val="right"/>
              <w:rPr>
                <w:rFonts w:ascii="Times New Roman" w:hAnsi="Times New Roman" w:cs="Times New Roman" w:eastAsia="Times New Roman" w:hint="default"/>
                <w:sz w:val="18"/>
                <w:szCs w:val="18"/>
              </w:rPr>
            </w:pPr>
            <w:r>
              <w:rPr>
                <w:rFonts w:ascii="Times New Roman"/>
                <w:sz w:val="18"/>
              </w:rPr>
              <w:t>2.13%</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92"/>
              <w:jc w:val="right"/>
              <w:rPr>
                <w:rFonts w:ascii="Times New Roman" w:hAnsi="Times New Roman" w:cs="Times New Roman" w:eastAsia="Times New Roman" w:hint="default"/>
                <w:sz w:val="18"/>
                <w:szCs w:val="18"/>
              </w:rPr>
            </w:pPr>
            <w:r>
              <w:rPr>
                <w:rFonts w:ascii="Times New Roman"/>
                <w:spacing w:val="-1"/>
                <w:sz w:val="18"/>
              </w:rPr>
              <w:t>10,314,806.56</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91"/>
              <w:jc w:val="right"/>
              <w:rPr>
                <w:rFonts w:ascii="Times New Roman" w:hAnsi="Times New Roman" w:cs="Times New Roman" w:eastAsia="Times New Roman" w:hint="default"/>
                <w:sz w:val="18"/>
                <w:szCs w:val="18"/>
              </w:rPr>
            </w:pPr>
            <w:r>
              <w:rPr>
                <w:rFonts w:ascii="Times New Roman"/>
                <w:sz w:val="18"/>
              </w:rPr>
              <w:t>1.88%</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0"/>
              <w:ind w:right="86"/>
              <w:jc w:val="right"/>
              <w:rPr>
                <w:rFonts w:ascii="Times New Roman" w:hAnsi="Times New Roman" w:cs="Times New Roman" w:eastAsia="Times New Roman" w:hint="default"/>
                <w:sz w:val="18"/>
                <w:szCs w:val="18"/>
              </w:rPr>
            </w:pPr>
            <w:r>
              <w:rPr>
                <w:rFonts w:ascii="Times New Roman"/>
                <w:spacing w:val="-1"/>
                <w:sz w:val="18"/>
              </w:rPr>
              <w:t>-17.86%</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0"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2"/>
              <w:jc w:val="right"/>
              <w:rPr>
                <w:rFonts w:ascii="Times New Roman" w:hAnsi="Times New Roman" w:cs="Times New Roman" w:eastAsia="Times New Roman" w:hint="default"/>
                <w:sz w:val="18"/>
                <w:szCs w:val="18"/>
              </w:rPr>
            </w:pPr>
            <w:r>
              <w:rPr>
                <w:rFonts w:ascii="Times New Roman"/>
                <w:spacing w:val="-1"/>
                <w:sz w:val="18"/>
              </w:rPr>
              <w:t>4,895,208.50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1"/>
              <w:jc w:val="right"/>
              <w:rPr>
                <w:rFonts w:ascii="Times New Roman" w:hAnsi="Times New Roman" w:cs="Times New Roman" w:eastAsia="Times New Roman" w:hint="default"/>
                <w:sz w:val="18"/>
                <w:szCs w:val="18"/>
              </w:rPr>
            </w:pPr>
            <w:r>
              <w:rPr>
                <w:rFonts w:ascii="Times New Roman"/>
                <w:sz w:val="18"/>
              </w:rPr>
              <w:t>1.23%</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2"/>
              <w:jc w:val="right"/>
              <w:rPr>
                <w:rFonts w:ascii="Times New Roman" w:hAnsi="Times New Roman" w:cs="Times New Roman" w:eastAsia="Times New Roman" w:hint="default"/>
                <w:sz w:val="18"/>
                <w:szCs w:val="18"/>
              </w:rPr>
            </w:pPr>
            <w:r>
              <w:rPr>
                <w:rFonts w:ascii="Times New Roman"/>
                <w:spacing w:val="-1"/>
                <w:sz w:val="18"/>
              </w:rPr>
              <w:t>4,882,714.32</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91"/>
              <w:jc w:val="right"/>
              <w:rPr>
                <w:rFonts w:ascii="Times New Roman" w:hAnsi="Times New Roman" w:cs="Times New Roman" w:eastAsia="Times New Roman" w:hint="default"/>
                <w:sz w:val="18"/>
                <w:szCs w:val="18"/>
              </w:rPr>
            </w:pPr>
            <w:r>
              <w:rPr>
                <w:rFonts w:ascii="Times New Roman"/>
                <w:sz w:val="18"/>
              </w:rPr>
              <w:t>0.89%</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8"/>
              <w:ind w:right="86"/>
              <w:jc w:val="right"/>
              <w:rPr>
                <w:rFonts w:ascii="Times New Roman" w:hAnsi="Times New Roman" w:cs="Times New Roman" w:eastAsia="Times New Roman" w:hint="default"/>
                <w:sz w:val="18"/>
                <w:szCs w:val="18"/>
              </w:rPr>
            </w:pPr>
            <w:r>
              <w:rPr>
                <w:rFonts w:ascii="Times New Roman"/>
                <w:sz w:val="18"/>
              </w:rPr>
              <w:t>0.26%</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其他制造费用</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18,025,136.18</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z w:val="18"/>
              </w:rPr>
              <w:t>4.54%</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30,924,133.85</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z w:val="18"/>
              </w:rPr>
              <w:t>5.63%</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9"/>
              <w:ind w:right="86"/>
              <w:jc w:val="right"/>
              <w:rPr>
                <w:rFonts w:ascii="Times New Roman" w:hAnsi="Times New Roman" w:cs="Times New Roman" w:eastAsia="Times New Roman" w:hint="default"/>
                <w:sz w:val="18"/>
                <w:szCs w:val="18"/>
              </w:rPr>
            </w:pPr>
            <w:r>
              <w:rPr>
                <w:rFonts w:ascii="Times New Roman"/>
                <w:spacing w:val="-1"/>
                <w:sz w:val="18"/>
              </w:rPr>
              <w:t>-41.71%</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397,234,766.08</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pacing w:val="-1"/>
                <w:sz w:val="18"/>
              </w:rPr>
              <w:t>100.00%</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2"/>
              <w:jc w:val="right"/>
              <w:rPr>
                <w:rFonts w:ascii="Times New Roman" w:hAnsi="Times New Roman" w:cs="Times New Roman" w:eastAsia="Times New Roman" w:hint="default"/>
                <w:sz w:val="18"/>
                <w:szCs w:val="18"/>
              </w:rPr>
            </w:pPr>
            <w:r>
              <w:rPr>
                <w:rFonts w:ascii="Times New Roman"/>
                <w:spacing w:val="-1"/>
                <w:sz w:val="18"/>
              </w:rPr>
              <w:t>549,024,830.18</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1"/>
              <w:jc w:val="right"/>
              <w:rPr>
                <w:rFonts w:ascii="Times New Roman" w:hAnsi="Times New Roman" w:cs="Times New Roman" w:eastAsia="Times New Roman" w:hint="default"/>
                <w:sz w:val="18"/>
                <w:szCs w:val="18"/>
              </w:rPr>
            </w:pPr>
            <w:r>
              <w:rPr>
                <w:rFonts w:ascii="Times New Roman"/>
                <w:spacing w:val="-1"/>
                <w:sz w:val="18"/>
              </w:rPr>
              <w:t>100.00%</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9"/>
              <w:ind w:right="86"/>
              <w:jc w:val="right"/>
              <w:rPr>
                <w:rFonts w:ascii="Times New Roman" w:hAnsi="Times New Roman" w:cs="Times New Roman" w:eastAsia="Times New Roman" w:hint="default"/>
                <w:sz w:val="18"/>
                <w:szCs w:val="18"/>
              </w:rPr>
            </w:pPr>
            <w:r>
              <w:rPr>
                <w:rFonts w:ascii="Times New Roman"/>
                <w:spacing w:val="-1"/>
                <w:sz w:val="18"/>
              </w:rPr>
              <w:t>-27.65%</w:t>
            </w:r>
          </w:p>
        </w:tc>
      </w:tr>
      <w:tr>
        <w:trPr>
          <w:trHeight w:val="393" w:hRule="exact"/>
        </w:trPr>
        <w:tc>
          <w:tcPr>
            <w:tcW w:w="1484" w:type="dxa"/>
            <w:vMerge w:val="restart"/>
            <w:tcBorders>
              <w:top w:val="single" w:sz="4" w:space="0" w:color="000000"/>
              <w:left w:val="single" w:sz="12" w:space="0" w:color="000000"/>
              <w:right w:val="single" w:sz="4" w:space="0" w:color="000000"/>
            </w:tcBorders>
            <w:shd w:val="clear" w:color="auto" w:fill="DBDBDB"/>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成本项目</w:t>
            </w:r>
          </w:p>
        </w:tc>
        <w:tc>
          <w:tcPr>
            <w:tcW w:w="7696" w:type="dxa"/>
            <w:gridSpan w:val="5"/>
            <w:tcBorders>
              <w:top w:val="single" w:sz="4" w:space="0" w:color="000000"/>
              <w:left w:val="single" w:sz="4" w:space="0" w:color="000000"/>
              <w:bottom w:val="single" w:sz="4" w:space="0" w:color="000000"/>
              <w:right w:val="single" w:sz="12" w:space="0" w:color="000000"/>
            </w:tcBorders>
            <w:shd w:val="clear" w:color="auto" w:fill="DBDBDB"/>
          </w:tcPr>
          <w:p>
            <w:pPr>
              <w:pStyle w:val="TableParagraph"/>
              <w:spacing w:line="240" w:lineRule="auto" w:before="38"/>
              <w:ind w:left="1" w:right="0"/>
              <w:jc w:val="center"/>
              <w:rPr>
                <w:rFonts w:ascii="宋体" w:hAnsi="宋体" w:cs="宋体" w:eastAsia="宋体" w:hint="default"/>
                <w:sz w:val="18"/>
                <w:szCs w:val="18"/>
              </w:rPr>
            </w:pPr>
            <w:r>
              <w:rPr>
                <w:rFonts w:ascii="宋体" w:hAnsi="宋体" w:cs="宋体" w:eastAsia="宋体" w:hint="default"/>
                <w:sz w:val="18"/>
                <w:szCs w:val="18"/>
              </w:rPr>
              <w:t>高分子材料</w:t>
            </w:r>
          </w:p>
        </w:tc>
      </w:tr>
      <w:tr>
        <w:trPr>
          <w:trHeight w:val="393" w:hRule="exact"/>
        </w:trPr>
        <w:tc>
          <w:tcPr>
            <w:tcW w:w="1484" w:type="dxa"/>
            <w:vMerge/>
            <w:tcBorders>
              <w:left w:val="single" w:sz="12" w:space="0" w:color="000000"/>
              <w:right w:val="single" w:sz="4" w:space="0" w:color="000000"/>
            </w:tcBorders>
            <w:shd w:val="clear" w:color="auto" w:fill="DBDBDB"/>
          </w:tcPr>
          <w:p>
            <w:pPr/>
          </w:p>
        </w:tc>
        <w:tc>
          <w:tcPr>
            <w:tcW w:w="3275"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8"/>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p>
        </w:tc>
        <w:tc>
          <w:tcPr>
            <w:tcW w:w="3288"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c>
          <w:tcPr>
            <w:tcW w:w="1133" w:type="dxa"/>
            <w:vMerge w:val="restart"/>
            <w:tcBorders>
              <w:top w:val="single" w:sz="4" w:space="0" w:color="000000"/>
              <w:left w:val="single" w:sz="4" w:space="0" w:color="000000"/>
              <w:right w:val="single" w:sz="12" w:space="0" w:color="000000"/>
            </w:tcBorders>
            <w:shd w:val="clear" w:color="auto" w:fill="DBDBDB"/>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3" w:hRule="exact"/>
        </w:trPr>
        <w:tc>
          <w:tcPr>
            <w:tcW w:w="1484" w:type="dxa"/>
            <w:vMerge/>
            <w:tcBorders>
              <w:left w:val="single" w:sz="12" w:space="0" w:color="000000"/>
              <w:bottom w:val="single" w:sz="4" w:space="0" w:color="000000"/>
              <w:right w:val="single" w:sz="4" w:space="0" w:color="000000"/>
            </w:tcBorders>
            <w:shd w:val="clear" w:color="auto" w:fill="DBDBDB"/>
          </w:tcPr>
          <w:p>
            <w:pPr/>
          </w:p>
        </w:tc>
        <w:tc>
          <w:tcPr>
            <w:tcW w:w="2098"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7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right="147"/>
              <w:jc w:val="right"/>
              <w:rPr>
                <w:rFonts w:ascii="宋体" w:hAnsi="宋体" w:cs="宋体" w:eastAsia="宋体" w:hint="default"/>
                <w:sz w:val="18"/>
                <w:szCs w:val="18"/>
              </w:rPr>
            </w:pPr>
            <w:r>
              <w:rPr>
                <w:rFonts w:ascii="宋体" w:hAnsi="宋体" w:cs="宋体" w:eastAsia="宋体" w:hint="default"/>
                <w:spacing w:val="-1"/>
                <w:sz w:val="18"/>
                <w:szCs w:val="18"/>
              </w:rPr>
              <w:t>占比（</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2101"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8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left="153"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33" w:type="dxa"/>
            <w:vMerge/>
            <w:tcBorders>
              <w:left w:val="single" w:sz="4" w:space="0" w:color="000000"/>
              <w:bottom w:val="single" w:sz="4" w:space="0" w:color="000000"/>
              <w:right w:val="single" w:sz="12" w:space="0" w:color="000000"/>
            </w:tcBorders>
            <w:shd w:val="clear" w:color="auto" w:fill="DBDBDB"/>
          </w:tcPr>
          <w:p>
            <w:pP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2"/>
              <w:jc w:val="right"/>
              <w:rPr>
                <w:rFonts w:ascii="Times New Roman" w:hAnsi="Times New Roman" w:cs="Times New Roman" w:eastAsia="Times New Roman" w:hint="default"/>
                <w:sz w:val="18"/>
                <w:szCs w:val="18"/>
              </w:rPr>
            </w:pPr>
            <w:r>
              <w:rPr>
                <w:rFonts w:ascii="Times New Roman"/>
                <w:spacing w:val="-1"/>
                <w:sz w:val="18"/>
              </w:rPr>
              <w:t>2,075,669,915.88</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pacing w:val="-1"/>
                <w:sz w:val="18"/>
              </w:rPr>
              <w:t>91.75%</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2"/>
              <w:jc w:val="right"/>
              <w:rPr>
                <w:rFonts w:ascii="Times New Roman" w:hAnsi="Times New Roman" w:cs="Times New Roman" w:eastAsia="Times New Roman" w:hint="default"/>
                <w:sz w:val="18"/>
                <w:szCs w:val="18"/>
              </w:rPr>
            </w:pPr>
            <w:r>
              <w:rPr>
                <w:rFonts w:ascii="Times New Roman"/>
                <w:spacing w:val="-1"/>
                <w:sz w:val="18"/>
              </w:rPr>
              <w:t>1,936,857,527.70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pacing w:val="-1"/>
                <w:sz w:val="18"/>
              </w:rPr>
              <w:t>92.01%</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6"/>
              <w:jc w:val="right"/>
              <w:rPr>
                <w:rFonts w:ascii="Times New Roman" w:hAnsi="Times New Roman" w:cs="Times New Roman" w:eastAsia="Times New Roman" w:hint="default"/>
                <w:sz w:val="18"/>
                <w:szCs w:val="18"/>
              </w:rPr>
            </w:pPr>
            <w:r>
              <w:rPr>
                <w:rFonts w:ascii="Times New Roman"/>
                <w:sz w:val="18"/>
              </w:rPr>
              <w:t>7.17%</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4"/>
              <w:ind w:left="90"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32,976,230.02</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1.46%</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28,955,476.99</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1.38%</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86"/>
              <w:jc w:val="right"/>
              <w:rPr>
                <w:rFonts w:ascii="Times New Roman" w:hAnsi="Times New Roman" w:cs="Times New Roman" w:eastAsia="Times New Roman" w:hint="default"/>
                <w:sz w:val="18"/>
                <w:szCs w:val="18"/>
              </w:rPr>
            </w:pPr>
            <w:r>
              <w:rPr>
                <w:rFonts w:ascii="Times New Roman"/>
                <w:spacing w:val="-1"/>
                <w:sz w:val="18"/>
              </w:rPr>
              <w:t>13.89%</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0" w:right="0"/>
              <w:jc w:val="left"/>
              <w:rPr>
                <w:rFonts w:ascii="宋体" w:hAnsi="宋体" w:cs="宋体" w:eastAsia="宋体" w:hint="default"/>
                <w:sz w:val="18"/>
                <w:szCs w:val="18"/>
              </w:rPr>
            </w:pPr>
            <w:r>
              <w:rPr>
                <w:rFonts w:ascii="宋体" w:hAnsi="宋体" w:cs="宋体" w:eastAsia="宋体" w:hint="default"/>
                <w:sz w:val="18"/>
                <w:szCs w:val="18"/>
              </w:rPr>
              <w:t>能源</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47,984,592.20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2.12%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41,421,329.57</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z w:val="18"/>
              </w:rPr>
              <w:t>1.97%</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86"/>
              <w:jc w:val="right"/>
              <w:rPr>
                <w:rFonts w:ascii="Times New Roman" w:hAnsi="Times New Roman" w:cs="Times New Roman" w:eastAsia="Times New Roman" w:hint="default"/>
                <w:sz w:val="18"/>
                <w:szCs w:val="18"/>
              </w:rPr>
            </w:pPr>
            <w:r>
              <w:rPr>
                <w:rFonts w:ascii="Times New Roman"/>
                <w:spacing w:val="-1"/>
                <w:sz w:val="18"/>
              </w:rPr>
              <w:t>15.85%</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2"/>
              <w:jc w:val="right"/>
              <w:rPr>
                <w:rFonts w:ascii="Times New Roman" w:hAnsi="Times New Roman" w:cs="Times New Roman" w:eastAsia="Times New Roman" w:hint="default"/>
                <w:sz w:val="18"/>
                <w:szCs w:val="18"/>
              </w:rPr>
            </w:pPr>
            <w:r>
              <w:rPr>
                <w:rFonts w:ascii="Times New Roman"/>
                <w:spacing w:val="-1"/>
                <w:sz w:val="18"/>
              </w:rPr>
              <w:t>22,490,119.96</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1"/>
              <w:jc w:val="right"/>
              <w:rPr>
                <w:rFonts w:ascii="Times New Roman" w:hAnsi="Times New Roman" w:cs="Times New Roman" w:eastAsia="Times New Roman" w:hint="default"/>
                <w:sz w:val="18"/>
                <w:szCs w:val="18"/>
              </w:rPr>
            </w:pPr>
            <w:r>
              <w:rPr>
                <w:rFonts w:ascii="Times New Roman"/>
                <w:sz w:val="18"/>
              </w:rPr>
              <w:t>0.99%</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2"/>
              <w:jc w:val="right"/>
              <w:rPr>
                <w:rFonts w:ascii="Times New Roman" w:hAnsi="Times New Roman" w:cs="Times New Roman" w:eastAsia="Times New Roman" w:hint="default"/>
                <w:sz w:val="18"/>
                <w:szCs w:val="18"/>
              </w:rPr>
            </w:pPr>
            <w:r>
              <w:rPr>
                <w:rFonts w:ascii="Times New Roman"/>
                <w:spacing w:val="-1"/>
                <w:sz w:val="18"/>
              </w:rPr>
              <w:t>21,839,716.09</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1"/>
              <w:jc w:val="right"/>
              <w:rPr>
                <w:rFonts w:ascii="Times New Roman" w:hAnsi="Times New Roman" w:cs="Times New Roman" w:eastAsia="Times New Roman" w:hint="default"/>
                <w:sz w:val="18"/>
                <w:szCs w:val="18"/>
              </w:rPr>
            </w:pPr>
            <w:r>
              <w:rPr>
                <w:rFonts w:ascii="Times New Roman"/>
                <w:sz w:val="18"/>
              </w:rPr>
              <w:t>1.04%</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5"/>
              <w:ind w:right="86"/>
              <w:jc w:val="right"/>
              <w:rPr>
                <w:rFonts w:ascii="Times New Roman" w:hAnsi="Times New Roman" w:cs="Times New Roman" w:eastAsia="Times New Roman" w:hint="default"/>
                <w:sz w:val="18"/>
                <w:szCs w:val="18"/>
              </w:rPr>
            </w:pPr>
            <w:r>
              <w:rPr>
                <w:rFonts w:ascii="Times New Roman"/>
                <w:sz w:val="18"/>
              </w:rPr>
              <w:t>2.98%</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3"/>
              <w:ind w:left="90" w:right="0"/>
              <w:jc w:val="left"/>
              <w:rPr>
                <w:rFonts w:ascii="宋体" w:hAnsi="宋体" w:cs="宋体" w:eastAsia="宋体" w:hint="default"/>
                <w:sz w:val="18"/>
                <w:szCs w:val="18"/>
              </w:rPr>
            </w:pPr>
            <w:r>
              <w:rPr>
                <w:rFonts w:ascii="宋体" w:hAnsi="宋体" w:cs="宋体" w:eastAsia="宋体" w:hint="default"/>
                <w:sz w:val="18"/>
                <w:szCs w:val="18"/>
              </w:rPr>
              <w:t>其他制造费用</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2"/>
              <w:jc w:val="right"/>
              <w:rPr>
                <w:rFonts w:ascii="Times New Roman" w:hAnsi="Times New Roman" w:cs="Times New Roman" w:eastAsia="Times New Roman" w:hint="default"/>
                <w:sz w:val="18"/>
                <w:szCs w:val="18"/>
              </w:rPr>
            </w:pPr>
            <w:r>
              <w:rPr>
                <w:rFonts w:ascii="Times New Roman"/>
                <w:spacing w:val="-1"/>
                <w:sz w:val="18"/>
              </w:rPr>
              <w:t>83,169,276.41</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z w:val="18"/>
              </w:rPr>
              <w:t>3.68%</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2"/>
              <w:jc w:val="right"/>
              <w:rPr>
                <w:rFonts w:ascii="Times New Roman" w:hAnsi="Times New Roman" w:cs="Times New Roman" w:eastAsia="Times New Roman" w:hint="default"/>
                <w:sz w:val="18"/>
                <w:szCs w:val="18"/>
              </w:rPr>
            </w:pPr>
            <w:r>
              <w:rPr>
                <w:rFonts w:ascii="Times New Roman"/>
                <w:spacing w:val="-1"/>
                <w:sz w:val="18"/>
              </w:rPr>
              <w:t>75,748,519.14</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z w:val="18"/>
              </w:rPr>
              <w:t>3.60%</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6"/>
              <w:jc w:val="right"/>
              <w:rPr>
                <w:rFonts w:ascii="Times New Roman" w:hAnsi="Times New Roman" w:cs="Times New Roman" w:eastAsia="Times New Roman" w:hint="default"/>
                <w:sz w:val="18"/>
                <w:szCs w:val="18"/>
              </w:rPr>
            </w:pPr>
            <w:r>
              <w:rPr>
                <w:rFonts w:ascii="Times New Roman"/>
                <w:sz w:val="18"/>
              </w:rPr>
              <w:t>9.80%</w:t>
            </w:r>
          </w:p>
        </w:tc>
      </w:tr>
      <w:tr>
        <w:trPr>
          <w:trHeight w:val="393"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4"/>
              <w:ind w:left="9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2,262,290,134.47</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pacing w:val="-1"/>
                <w:sz w:val="18"/>
              </w:rPr>
              <w:t>100.00%</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2"/>
              <w:jc w:val="right"/>
              <w:rPr>
                <w:rFonts w:ascii="Times New Roman" w:hAnsi="Times New Roman" w:cs="Times New Roman" w:eastAsia="Times New Roman" w:hint="default"/>
                <w:sz w:val="18"/>
                <w:szCs w:val="18"/>
              </w:rPr>
            </w:pPr>
            <w:r>
              <w:rPr>
                <w:rFonts w:ascii="Times New Roman"/>
                <w:spacing w:val="-1"/>
                <w:sz w:val="18"/>
              </w:rPr>
              <w:t>2,104,822,569.49</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1"/>
              <w:jc w:val="right"/>
              <w:rPr>
                <w:rFonts w:ascii="Times New Roman" w:hAnsi="Times New Roman" w:cs="Times New Roman" w:eastAsia="Times New Roman" w:hint="default"/>
                <w:sz w:val="18"/>
                <w:szCs w:val="18"/>
              </w:rPr>
            </w:pPr>
            <w:r>
              <w:rPr>
                <w:rFonts w:ascii="Times New Roman"/>
                <w:spacing w:val="-1"/>
                <w:sz w:val="18"/>
              </w:rPr>
              <w:t>100.00%</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86"/>
              <w:jc w:val="right"/>
              <w:rPr>
                <w:rFonts w:ascii="Times New Roman" w:hAnsi="Times New Roman" w:cs="Times New Roman" w:eastAsia="Times New Roman" w:hint="default"/>
                <w:sz w:val="18"/>
                <w:szCs w:val="18"/>
              </w:rPr>
            </w:pPr>
            <w:r>
              <w:rPr>
                <w:rFonts w:ascii="Times New Roman"/>
                <w:sz w:val="18"/>
              </w:rPr>
              <w:t>7.48%</w:t>
            </w:r>
          </w:p>
        </w:tc>
      </w:tr>
      <w:tr>
        <w:trPr>
          <w:trHeight w:val="393" w:hRule="exact"/>
        </w:trPr>
        <w:tc>
          <w:tcPr>
            <w:tcW w:w="1484" w:type="dxa"/>
            <w:vMerge w:val="restart"/>
            <w:tcBorders>
              <w:top w:val="single" w:sz="4" w:space="0" w:color="000000"/>
              <w:left w:val="single" w:sz="12" w:space="0" w:color="000000"/>
              <w:right w:val="single" w:sz="4" w:space="0" w:color="000000"/>
            </w:tcBorders>
            <w:shd w:val="clear" w:color="auto" w:fill="DBDBDB"/>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成本项目</w:t>
            </w:r>
          </w:p>
        </w:tc>
        <w:tc>
          <w:tcPr>
            <w:tcW w:w="7696" w:type="dxa"/>
            <w:gridSpan w:val="5"/>
            <w:tcBorders>
              <w:top w:val="single" w:sz="4" w:space="0" w:color="000000"/>
              <w:left w:val="single" w:sz="4" w:space="0" w:color="000000"/>
              <w:bottom w:val="single" w:sz="4" w:space="0" w:color="000000"/>
              <w:right w:val="single" w:sz="12" w:space="0" w:color="000000"/>
            </w:tcBorders>
            <w:shd w:val="clear" w:color="auto" w:fill="DBDBDB"/>
          </w:tcPr>
          <w:p>
            <w:pPr>
              <w:pStyle w:val="TableParagraph"/>
              <w:spacing w:line="240" w:lineRule="auto" w:before="38"/>
              <w:ind w:left="3" w:right="0"/>
              <w:jc w:val="center"/>
              <w:rPr>
                <w:rFonts w:ascii="宋体" w:hAnsi="宋体" w:cs="宋体" w:eastAsia="宋体" w:hint="default"/>
                <w:sz w:val="18"/>
                <w:szCs w:val="18"/>
              </w:rPr>
            </w:pPr>
            <w:r>
              <w:rPr>
                <w:rFonts w:ascii="宋体" w:hAnsi="宋体" w:cs="宋体" w:eastAsia="宋体" w:hint="default"/>
                <w:sz w:val="18"/>
                <w:szCs w:val="18"/>
              </w:rPr>
              <w:t>贸易、服务及其他</w:t>
            </w:r>
          </w:p>
        </w:tc>
      </w:tr>
      <w:tr>
        <w:trPr>
          <w:trHeight w:val="393" w:hRule="exact"/>
        </w:trPr>
        <w:tc>
          <w:tcPr>
            <w:tcW w:w="1484" w:type="dxa"/>
            <w:vMerge/>
            <w:tcBorders>
              <w:left w:val="single" w:sz="12" w:space="0" w:color="000000"/>
              <w:right w:val="single" w:sz="4" w:space="0" w:color="000000"/>
            </w:tcBorders>
            <w:shd w:val="clear" w:color="auto" w:fill="DBDBDB"/>
          </w:tcPr>
          <w:p>
            <w:pPr/>
          </w:p>
        </w:tc>
        <w:tc>
          <w:tcPr>
            <w:tcW w:w="3275"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p>
        </w:tc>
        <w:tc>
          <w:tcPr>
            <w:tcW w:w="3288" w:type="dxa"/>
            <w:gridSpan w:val="2"/>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3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c>
          <w:tcPr>
            <w:tcW w:w="1133" w:type="dxa"/>
            <w:vMerge w:val="restart"/>
            <w:tcBorders>
              <w:top w:val="single" w:sz="4" w:space="0" w:color="000000"/>
              <w:left w:val="single" w:sz="4" w:space="0" w:color="000000"/>
              <w:right w:val="single" w:sz="12" w:space="0" w:color="000000"/>
            </w:tcBorders>
            <w:shd w:val="clear" w:color="auto" w:fill="DBDBDB"/>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93" w:hRule="exact"/>
        </w:trPr>
        <w:tc>
          <w:tcPr>
            <w:tcW w:w="1484" w:type="dxa"/>
            <w:vMerge/>
            <w:tcBorders>
              <w:left w:val="single" w:sz="12" w:space="0" w:color="000000"/>
              <w:bottom w:val="single" w:sz="4" w:space="0" w:color="000000"/>
              <w:right w:val="single" w:sz="4" w:space="0" w:color="000000"/>
            </w:tcBorders>
            <w:shd w:val="clear" w:color="auto" w:fill="DBDBDB"/>
          </w:tcPr>
          <w:p>
            <w:pPr/>
          </w:p>
        </w:tc>
        <w:tc>
          <w:tcPr>
            <w:tcW w:w="2098"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7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right="147"/>
              <w:jc w:val="right"/>
              <w:rPr>
                <w:rFonts w:ascii="宋体" w:hAnsi="宋体" w:cs="宋体" w:eastAsia="宋体" w:hint="default"/>
                <w:sz w:val="18"/>
                <w:szCs w:val="18"/>
              </w:rPr>
            </w:pPr>
            <w:r>
              <w:rPr>
                <w:rFonts w:ascii="宋体" w:hAnsi="宋体" w:cs="宋体" w:eastAsia="宋体" w:hint="default"/>
                <w:spacing w:val="-1"/>
                <w:sz w:val="18"/>
                <w:szCs w:val="18"/>
              </w:rPr>
              <w:t>占比（</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2101"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87" w:type="dxa"/>
            <w:tcBorders>
              <w:top w:val="single" w:sz="4" w:space="0" w:color="000000"/>
              <w:left w:val="single" w:sz="4" w:space="0" w:color="000000"/>
              <w:bottom w:val="single" w:sz="4" w:space="0" w:color="000000"/>
              <w:right w:val="single" w:sz="4" w:space="0" w:color="000000"/>
            </w:tcBorders>
            <w:shd w:val="clear" w:color="auto" w:fill="DBDBDB"/>
          </w:tcPr>
          <w:p>
            <w:pPr>
              <w:pStyle w:val="TableParagraph"/>
              <w:spacing w:line="240" w:lineRule="auto" w:before="13"/>
              <w:ind w:left="153"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33" w:type="dxa"/>
            <w:vMerge/>
            <w:tcBorders>
              <w:left w:val="single" w:sz="4" w:space="0" w:color="000000"/>
              <w:bottom w:val="single" w:sz="4" w:space="0" w:color="000000"/>
              <w:right w:val="single" w:sz="12" w:space="0" w:color="000000"/>
            </w:tcBorders>
            <w:shd w:val="clear" w:color="auto" w:fill="DBDBDB"/>
          </w:tcPr>
          <w:p>
            <w:pPr/>
          </w:p>
        </w:tc>
      </w:tr>
      <w:tr>
        <w:trPr>
          <w:trHeight w:val="422"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5"/>
              <w:ind w:left="90"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2"/>
              <w:jc w:val="right"/>
              <w:rPr>
                <w:rFonts w:ascii="Times New Roman" w:hAnsi="Times New Roman" w:cs="Times New Roman" w:eastAsia="Times New Roman" w:hint="default"/>
                <w:sz w:val="18"/>
                <w:szCs w:val="18"/>
              </w:rPr>
            </w:pPr>
            <w:r>
              <w:rPr>
                <w:rFonts w:ascii="Times New Roman"/>
                <w:spacing w:val="-1"/>
                <w:sz w:val="18"/>
              </w:rPr>
              <w:t>112,030,347.81</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1"/>
              <w:jc w:val="right"/>
              <w:rPr>
                <w:rFonts w:ascii="Times New Roman" w:hAnsi="Times New Roman" w:cs="Times New Roman" w:eastAsia="Times New Roman" w:hint="default"/>
                <w:sz w:val="18"/>
                <w:szCs w:val="18"/>
              </w:rPr>
            </w:pPr>
            <w:r>
              <w:rPr>
                <w:rFonts w:ascii="Times New Roman"/>
                <w:spacing w:val="-1"/>
                <w:sz w:val="18"/>
              </w:rPr>
              <w:t>38.02%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2"/>
              <w:jc w:val="right"/>
              <w:rPr>
                <w:rFonts w:ascii="Times New Roman" w:hAnsi="Times New Roman" w:cs="Times New Roman" w:eastAsia="Times New Roman" w:hint="default"/>
                <w:sz w:val="18"/>
                <w:szCs w:val="18"/>
              </w:rPr>
            </w:pPr>
            <w:r>
              <w:rPr>
                <w:rFonts w:ascii="Times New Roman"/>
                <w:spacing w:val="-1"/>
                <w:sz w:val="18"/>
              </w:rPr>
              <w:t>204,892,945.28</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1"/>
              <w:jc w:val="right"/>
              <w:rPr>
                <w:rFonts w:ascii="Times New Roman" w:hAnsi="Times New Roman" w:cs="Times New Roman" w:eastAsia="Times New Roman" w:hint="default"/>
                <w:sz w:val="18"/>
                <w:szCs w:val="18"/>
              </w:rPr>
            </w:pPr>
            <w:r>
              <w:rPr>
                <w:rFonts w:ascii="Times New Roman"/>
                <w:spacing w:val="-1"/>
                <w:sz w:val="18"/>
              </w:rPr>
              <w:t>66.97%</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4"/>
              <w:ind w:right="86"/>
              <w:jc w:val="right"/>
              <w:rPr>
                <w:rFonts w:ascii="Times New Roman" w:hAnsi="Times New Roman" w:cs="Times New Roman" w:eastAsia="Times New Roman" w:hint="default"/>
                <w:sz w:val="18"/>
                <w:szCs w:val="18"/>
              </w:rPr>
            </w:pPr>
            <w:r>
              <w:rPr>
                <w:rFonts w:ascii="Times New Roman"/>
                <w:spacing w:val="-1"/>
                <w:sz w:val="18"/>
              </w:rPr>
              <w:t>-45.32%</w:t>
            </w:r>
          </w:p>
        </w:tc>
      </w:tr>
      <w:tr>
        <w:trPr>
          <w:trHeight w:val="422"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3"/>
              <w:ind w:left="90"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2"/>
              <w:jc w:val="right"/>
              <w:rPr>
                <w:rFonts w:ascii="Times New Roman" w:hAnsi="Times New Roman" w:cs="Times New Roman" w:eastAsia="Times New Roman" w:hint="default"/>
                <w:sz w:val="18"/>
                <w:szCs w:val="18"/>
              </w:rPr>
            </w:pPr>
            <w:r>
              <w:rPr>
                <w:rFonts w:ascii="Times New Roman"/>
                <w:spacing w:val="-1"/>
                <w:sz w:val="18"/>
              </w:rPr>
              <w:t>713,738.67</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1"/>
              <w:jc w:val="right"/>
              <w:rPr>
                <w:rFonts w:ascii="Times New Roman" w:hAnsi="Times New Roman" w:cs="Times New Roman" w:eastAsia="Times New Roman" w:hint="default"/>
                <w:sz w:val="18"/>
                <w:szCs w:val="18"/>
              </w:rPr>
            </w:pPr>
            <w:r>
              <w:rPr>
                <w:rFonts w:ascii="Times New Roman"/>
                <w:sz w:val="18"/>
              </w:rPr>
              <w:t>0.24%</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2"/>
              <w:jc w:val="right"/>
              <w:rPr>
                <w:rFonts w:ascii="Times New Roman" w:hAnsi="Times New Roman" w:cs="Times New Roman" w:eastAsia="Times New Roman" w:hint="default"/>
                <w:sz w:val="18"/>
                <w:szCs w:val="18"/>
              </w:rPr>
            </w:pPr>
            <w:r>
              <w:rPr>
                <w:rFonts w:ascii="Times New Roman"/>
                <w:spacing w:val="-1"/>
                <w:sz w:val="18"/>
              </w:rPr>
              <w:t>1,399,857.38</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1"/>
              <w:jc w:val="right"/>
              <w:rPr>
                <w:rFonts w:ascii="Times New Roman" w:hAnsi="Times New Roman" w:cs="Times New Roman" w:eastAsia="Times New Roman" w:hint="default"/>
                <w:sz w:val="18"/>
                <w:szCs w:val="18"/>
              </w:rPr>
            </w:pPr>
            <w:r>
              <w:rPr>
                <w:rFonts w:ascii="Times New Roman"/>
                <w:sz w:val="18"/>
              </w:rPr>
              <w:t>0.46%</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5"/>
              <w:ind w:right="86"/>
              <w:jc w:val="right"/>
              <w:rPr>
                <w:rFonts w:ascii="Times New Roman" w:hAnsi="Times New Roman" w:cs="Times New Roman" w:eastAsia="Times New Roman" w:hint="default"/>
                <w:sz w:val="18"/>
                <w:szCs w:val="18"/>
              </w:rPr>
            </w:pPr>
            <w:r>
              <w:rPr>
                <w:rFonts w:ascii="Times New Roman"/>
                <w:spacing w:val="-1"/>
                <w:sz w:val="18"/>
              </w:rPr>
              <w:t>-49.01%</w:t>
            </w:r>
          </w:p>
        </w:tc>
      </w:tr>
      <w:tr>
        <w:trPr>
          <w:trHeight w:val="422"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3"/>
              <w:ind w:left="90" w:right="0"/>
              <w:jc w:val="left"/>
              <w:rPr>
                <w:rFonts w:ascii="宋体" w:hAnsi="宋体" w:cs="宋体" w:eastAsia="宋体" w:hint="default"/>
                <w:sz w:val="18"/>
                <w:szCs w:val="18"/>
              </w:rPr>
            </w:pPr>
            <w:r>
              <w:rPr>
                <w:rFonts w:ascii="宋体" w:hAnsi="宋体" w:cs="宋体" w:eastAsia="宋体" w:hint="default"/>
                <w:sz w:val="18"/>
                <w:szCs w:val="18"/>
              </w:rPr>
              <w:t>能源</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2"/>
              <w:jc w:val="right"/>
              <w:rPr>
                <w:rFonts w:ascii="Times New Roman" w:hAnsi="Times New Roman" w:cs="Times New Roman" w:eastAsia="Times New Roman" w:hint="default"/>
                <w:sz w:val="18"/>
                <w:szCs w:val="18"/>
              </w:rPr>
            </w:pPr>
            <w:r>
              <w:rPr>
                <w:rFonts w:ascii="Times New Roman"/>
                <w:spacing w:val="-1"/>
                <w:sz w:val="18"/>
              </w:rPr>
              <w:t>130,566,740.21</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1"/>
              <w:jc w:val="right"/>
              <w:rPr>
                <w:rFonts w:ascii="Times New Roman" w:hAnsi="Times New Roman" w:cs="Times New Roman" w:eastAsia="Times New Roman" w:hint="default"/>
                <w:sz w:val="18"/>
                <w:szCs w:val="18"/>
              </w:rPr>
            </w:pPr>
            <w:r>
              <w:rPr>
                <w:rFonts w:ascii="Times New Roman"/>
                <w:spacing w:val="-1"/>
                <w:sz w:val="18"/>
              </w:rPr>
              <w:t>44.32%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2"/>
              <w:jc w:val="right"/>
              <w:rPr>
                <w:rFonts w:ascii="Times New Roman" w:hAnsi="Times New Roman" w:cs="Times New Roman" w:eastAsia="Times New Roman" w:hint="default"/>
                <w:sz w:val="18"/>
                <w:szCs w:val="18"/>
              </w:rPr>
            </w:pPr>
            <w:r>
              <w:rPr>
                <w:rFonts w:ascii="Times New Roman"/>
                <w:spacing w:val="-1"/>
                <w:sz w:val="18"/>
              </w:rPr>
              <w:t>59,268,924.73</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1"/>
              <w:jc w:val="right"/>
              <w:rPr>
                <w:rFonts w:ascii="Times New Roman" w:hAnsi="Times New Roman" w:cs="Times New Roman" w:eastAsia="Times New Roman" w:hint="default"/>
                <w:sz w:val="18"/>
                <w:szCs w:val="18"/>
              </w:rPr>
            </w:pPr>
            <w:r>
              <w:rPr>
                <w:rFonts w:ascii="Times New Roman"/>
                <w:spacing w:val="-1"/>
                <w:sz w:val="18"/>
              </w:rPr>
              <w:t>19.37%</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5"/>
              <w:ind w:right="86"/>
              <w:jc w:val="right"/>
              <w:rPr>
                <w:rFonts w:ascii="Times New Roman" w:hAnsi="Times New Roman" w:cs="Times New Roman" w:eastAsia="Times New Roman" w:hint="default"/>
                <w:sz w:val="18"/>
                <w:szCs w:val="18"/>
              </w:rPr>
            </w:pPr>
            <w:r>
              <w:rPr>
                <w:rFonts w:ascii="Times New Roman"/>
                <w:spacing w:val="-1"/>
                <w:sz w:val="18"/>
              </w:rPr>
              <w:t>120.30%</w:t>
            </w:r>
          </w:p>
        </w:tc>
      </w:tr>
      <w:tr>
        <w:trPr>
          <w:trHeight w:val="422"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3"/>
              <w:ind w:left="90"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2"/>
              <w:jc w:val="right"/>
              <w:rPr>
                <w:rFonts w:ascii="Times New Roman" w:hAnsi="Times New Roman" w:cs="Times New Roman" w:eastAsia="Times New Roman" w:hint="default"/>
                <w:sz w:val="18"/>
                <w:szCs w:val="18"/>
              </w:rPr>
            </w:pPr>
            <w:r>
              <w:rPr>
                <w:rFonts w:ascii="Times New Roman"/>
                <w:spacing w:val="-1"/>
                <w:sz w:val="18"/>
              </w:rPr>
              <w:t>47,988,943.68</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1"/>
              <w:jc w:val="right"/>
              <w:rPr>
                <w:rFonts w:ascii="Times New Roman" w:hAnsi="Times New Roman" w:cs="Times New Roman" w:eastAsia="Times New Roman" w:hint="default"/>
                <w:sz w:val="18"/>
                <w:szCs w:val="18"/>
              </w:rPr>
            </w:pPr>
            <w:r>
              <w:rPr>
                <w:rFonts w:ascii="Times New Roman"/>
                <w:spacing w:val="-1"/>
                <w:sz w:val="18"/>
              </w:rPr>
              <w:t>16.29%</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2"/>
              <w:jc w:val="right"/>
              <w:rPr>
                <w:rFonts w:ascii="Times New Roman" w:hAnsi="Times New Roman" w:cs="Times New Roman" w:eastAsia="Times New Roman" w:hint="default"/>
                <w:sz w:val="18"/>
                <w:szCs w:val="18"/>
              </w:rPr>
            </w:pPr>
            <w:r>
              <w:rPr>
                <w:rFonts w:ascii="Times New Roman"/>
                <w:spacing w:val="-1"/>
                <w:sz w:val="18"/>
              </w:rPr>
              <w:t>30,556,718.98</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1"/>
              <w:jc w:val="right"/>
              <w:rPr>
                <w:rFonts w:ascii="Times New Roman" w:hAnsi="Times New Roman" w:cs="Times New Roman" w:eastAsia="Times New Roman" w:hint="default"/>
                <w:sz w:val="18"/>
                <w:szCs w:val="18"/>
              </w:rPr>
            </w:pPr>
            <w:r>
              <w:rPr>
                <w:rFonts w:ascii="Times New Roman"/>
                <w:sz w:val="18"/>
              </w:rPr>
              <w:t>9.99%</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6"/>
              <w:ind w:right="86"/>
              <w:jc w:val="right"/>
              <w:rPr>
                <w:rFonts w:ascii="Times New Roman" w:hAnsi="Times New Roman" w:cs="Times New Roman" w:eastAsia="Times New Roman" w:hint="default"/>
                <w:sz w:val="18"/>
                <w:szCs w:val="18"/>
              </w:rPr>
            </w:pPr>
            <w:r>
              <w:rPr>
                <w:rFonts w:ascii="Times New Roman"/>
                <w:spacing w:val="-1"/>
                <w:sz w:val="18"/>
              </w:rPr>
              <w:t>57.05%</w:t>
            </w:r>
          </w:p>
        </w:tc>
      </w:tr>
      <w:tr>
        <w:trPr>
          <w:trHeight w:val="420" w:hRule="exact"/>
        </w:trPr>
        <w:tc>
          <w:tcPr>
            <w:tcW w:w="148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4"/>
              <w:ind w:left="90" w:right="0"/>
              <w:jc w:val="left"/>
              <w:rPr>
                <w:rFonts w:ascii="宋体" w:hAnsi="宋体" w:cs="宋体" w:eastAsia="宋体" w:hint="default"/>
                <w:sz w:val="18"/>
                <w:szCs w:val="18"/>
              </w:rPr>
            </w:pPr>
            <w:r>
              <w:rPr>
                <w:rFonts w:ascii="宋体" w:hAnsi="宋体" w:cs="宋体" w:eastAsia="宋体" w:hint="default"/>
                <w:sz w:val="18"/>
                <w:szCs w:val="18"/>
              </w:rPr>
              <w:t>其他制造费用</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2"/>
              <w:jc w:val="right"/>
              <w:rPr>
                <w:rFonts w:ascii="Times New Roman" w:hAnsi="Times New Roman" w:cs="Times New Roman" w:eastAsia="Times New Roman" w:hint="default"/>
                <w:sz w:val="18"/>
                <w:szCs w:val="18"/>
              </w:rPr>
            </w:pPr>
            <w:r>
              <w:rPr>
                <w:rFonts w:ascii="Times New Roman"/>
                <w:spacing w:val="-1"/>
                <w:sz w:val="18"/>
              </w:rPr>
              <w:t>3,327,423.74</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1"/>
              <w:jc w:val="right"/>
              <w:rPr>
                <w:rFonts w:ascii="Times New Roman" w:hAnsi="Times New Roman" w:cs="Times New Roman" w:eastAsia="Times New Roman" w:hint="default"/>
                <w:sz w:val="18"/>
                <w:szCs w:val="18"/>
              </w:rPr>
            </w:pPr>
            <w:r>
              <w:rPr>
                <w:rFonts w:ascii="Times New Roman"/>
                <w:sz w:val="18"/>
              </w:rPr>
              <w:t>1.13%</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2"/>
              <w:jc w:val="right"/>
              <w:rPr>
                <w:rFonts w:ascii="Times New Roman" w:hAnsi="Times New Roman" w:cs="Times New Roman" w:eastAsia="Times New Roman" w:hint="default"/>
                <w:sz w:val="18"/>
                <w:szCs w:val="18"/>
              </w:rPr>
            </w:pPr>
            <w:r>
              <w:rPr>
                <w:rFonts w:ascii="Times New Roman"/>
                <w:spacing w:val="-1"/>
                <w:sz w:val="18"/>
              </w:rPr>
              <w:t>9,821,405.03</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1"/>
              <w:jc w:val="right"/>
              <w:rPr>
                <w:rFonts w:ascii="Times New Roman" w:hAnsi="Times New Roman" w:cs="Times New Roman" w:eastAsia="Times New Roman" w:hint="default"/>
                <w:sz w:val="18"/>
                <w:szCs w:val="18"/>
              </w:rPr>
            </w:pPr>
            <w:r>
              <w:rPr>
                <w:rFonts w:ascii="Times New Roman"/>
                <w:sz w:val="18"/>
              </w:rPr>
              <w:t>3.21%</w:t>
            </w:r>
          </w:p>
        </w:tc>
        <w:tc>
          <w:tcPr>
            <w:tcW w:w="113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6"/>
              <w:ind w:right="86"/>
              <w:jc w:val="right"/>
              <w:rPr>
                <w:rFonts w:ascii="Times New Roman" w:hAnsi="Times New Roman" w:cs="Times New Roman" w:eastAsia="Times New Roman" w:hint="default"/>
                <w:sz w:val="18"/>
                <w:szCs w:val="18"/>
              </w:rPr>
            </w:pPr>
            <w:r>
              <w:rPr>
                <w:rFonts w:ascii="Times New Roman"/>
                <w:spacing w:val="-1"/>
                <w:sz w:val="18"/>
              </w:rPr>
              <w:t>-66.12%</w:t>
            </w:r>
          </w:p>
        </w:tc>
      </w:tr>
    </w:tbl>
    <w:p>
      <w:pPr>
        <w:spacing w:after="0" w:line="240" w:lineRule="auto"/>
        <w:jc w:val="right"/>
        <w:rPr>
          <w:rFonts w:ascii="Times New Roman" w:hAnsi="Times New Roman" w:cs="Times New Roman" w:eastAsia="Times New Roman" w:hint="default"/>
          <w:sz w:val="18"/>
          <w:szCs w:val="18"/>
        </w:rPr>
        <w:sectPr>
          <w:pgSz w:w="11910" w:h="16840"/>
          <w:pgMar w:header="890" w:footer="1053" w:top="1480" w:bottom="1240" w:left="1000" w:right="0"/>
        </w:sectPr>
      </w:pP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1484"/>
        <w:gridCol w:w="2098"/>
        <w:gridCol w:w="1177"/>
        <w:gridCol w:w="2101"/>
        <w:gridCol w:w="1187"/>
        <w:gridCol w:w="1133"/>
      </w:tblGrid>
      <w:tr>
        <w:trPr>
          <w:trHeight w:val="491" w:hRule="exact"/>
        </w:trPr>
        <w:tc>
          <w:tcPr>
            <w:tcW w:w="1484"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91"/>
              <w:ind w:left="9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3"/>
              <w:ind w:left="869" w:right="0"/>
              <w:jc w:val="left"/>
              <w:rPr>
                <w:rFonts w:ascii="Times New Roman" w:hAnsi="Times New Roman" w:cs="Times New Roman" w:eastAsia="Times New Roman" w:hint="default"/>
                <w:sz w:val="18"/>
                <w:szCs w:val="18"/>
              </w:rPr>
            </w:pPr>
            <w:r>
              <w:rPr>
                <w:rFonts w:ascii="Times New Roman"/>
                <w:sz w:val="18"/>
              </w:rPr>
              <w:t>294,627,194.11</w:t>
            </w:r>
          </w:p>
        </w:tc>
        <w:tc>
          <w:tcPr>
            <w:tcW w:w="117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3"/>
              <w:ind w:left="427" w:right="0"/>
              <w:jc w:val="left"/>
              <w:rPr>
                <w:rFonts w:ascii="Times New Roman" w:hAnsi="Times New Roman" w:cs="Times New Roman" w:eastAsia="Times New Roman" w:hint="default"/>
                <w:sz w:val="18"/>
                <w:szCs w:val="18"/>
              </w:rPr>
            </w:pPr>
            <w:r>
              <w:rPr>
                <w:rFonts w:ascii="Times New Roman"/>
                <w:sz w:val="18"/>
              </w:rPr>
              <w:t>100.00%</w:t>
            </w:r>
          </w:p>
        </w:tc>
        <w:tc>
          <w:tcPr>
            <w:tcW w:w="21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3"/>
              <w:ind w:left="870" w:right="0"/>
              <w:jc w:val="left"/>
              <w:rPr>
                <w:rFonts w:ascii="Times New Roman" w:hAnsi="Times New Roman" w:cs="Times New Roman" w:eastAsia="Times New Roman" w:hint="default"/>
                <w:sz w:val="18"/>
                <w:szCs w:val="18"/>
              </w:rPr>
            </w:pPr>
            <w:r>
              <w:rPr>
                <w:rFonts w:ascii="Times New Roman"/>
                <w:sz w:val="18"/>
              </w:rPr>
              <w:t>305,939,851.40</w:t>
            </w:r>
          </w:p>
        </w:tc>
        <w:tc>
          <w:tcPr>
            <w:tcW w:w="11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3"/>
              <w:ind w:left="437" w:right="0"/>
              <w:jc w:val="left"/>
              <w:rPr>
                <w:rFonts w:ascii="Times New Roman" w:hAnsi="Times New Roman" w:cs="Times New Roman" w:eastAsia="Times New Roman" w:hint="default"/>
                <w:sz w:val="18"/>
                <w:szCs w:val="18"/>
              </w:rPr>
            </w:pPr>
            <w:r>
              <w:rPr>
                <w:rFonts w:ascii="Times New Roman"/>
                <w:sz w:val="18"/>
              </w:rPr>
              <w:t>100.00%</w:t>
            </w:r>
          </w:p>
        </w:tc>
        <w:tc>
          <w:tcPr>
            <w:tcW w:w="1133"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33"/>
              <w:ind w:left="500" w:right="0"/>
              <w:jc w:val="left"/>
              <w:rPr>
                <w:rFonts w:ascii="Times New Roman" w:hAnsi="Times New Roman" w:cs="Times New Roman" w:eastAsia="Times New Roman" w:hint="default"/>
                <w:sz w:val="18"/>
                <w:szCs w:val="18"/>
              </w:rPr>
            </w:pPr>
            <w:r>
              <w:rPr>
                <w:rFonts w:ascii="Times New Roman"/>
                <w:sz w:val="18"/>
              </w:rPr>
              <w:t>-3.70%</w:t>
            </w:r>
          </w:p>
        </w:tc>
      </w:tr>
    </w:tbl>
    <w:p>
      <w:pPr>
        <w:spacing w:line="240" w:lineRule="auto" w:before="5"/>
        <w:rPr>
          <w:rFonts w:ascii="宋体" w:hAnsi="宋体" w:cs="宋体" w:eastAsia="宋体" w:hint="default"/>
          <w:sz w:val="19"/>
          <w:szCs w:val="19"/>
        </w:rPr>
      </w:pPr>
    </w:p>
    <w:p>
      <w:pPr>
        <w:spacing w:before="34"/>
        <w:ind w:left="132" w:right="1164" w:firstLine="0"/>
        <w:jc w:val="left"/>
        <w:rPr>
          <w:rFonts w:ascii="宋体" w:hAnsi="宋体" w:cs="宋体" w:eastAsia="宋体" w:hint="default"/>
          <w:sz w:val="21"/>
          <w:szCs w:val="21"/>
        </w:rPr>
      </w:pPr>
      <w:bookmarkStart w:name="（6）报告期内合并范围是否发生变动" w:id="34"/>
      <w:bookmarkEnd w:id="3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）报告期内合并范围是否发生变动</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
        <w:rPr>
          <w:rFonts w:ascii="宋体" w:hAnsi="宋体" w:cs="宋体" w:eastAsia="宋体" w:hint="default"/>
          <w:sz w:val="13"/>
          <w:szCs w:val="13"/>
        </w:rPr>
      </w:pPr>
    </w:p>
    <w:p>
      <w:pPr>
        <w:spacing w:before="0"/>
        <w:ind w:left="574" w:right="1164" w:firstLine="0"/>
        <w:jc w:val="left"/>
        <w:rPr>
          <w:rFonts w:ascii="宋体" w:hAnsi="宋体" w:cs="宋体" w:eastAsia="宋体" w:hint="default"/>
          <w:sz w:val="21"/>
          <w:szCs w:val="21"/>
        </w:rPr>
      </w:pPr>
      <w:r>
        <w:rPr>
          <w:rFonts w:ascii="宋体" w:hAnsi="宋体" w:cs="宋体" w:eastAsia="宋体" w:hint="default"/>
          <w:sz w:val="21"/>
          <w:szCs w:val="21"/>
        </w:rPr>
        <w:t>本集团本年度合并范围因新设增加如下3家公司：</w:t>
      </w:r>
    </w:p>
    <w:p>
      <w:pPr>
        <w:spacing w:line="273" w:lineRule="auto" w:before="157"/>
        <w:ind w:left="132" w:right="1133" w:firstLine="364"/>
        <w:jc w:val="both"/>
        <w:rPr>
          <w:rFonts w:ascii="宋体" w:hAnsi="宋体" w:cs="宋体" w:eastAsia="宋体" w:hint="default"/>
          <w:sz w:val="21"/>
          <w:szCs w:val="21"/>
        </w:rPr>
      </w:pPr>
      <w:r>
        <w:rPr>
          <w:rFonts w:ascii="宋体" w:hAnsi="宋体" w:cs="宋体" w:eastAsia="宋体" w:hint="default"/>
          <w:spacing w:val="3"/>
          <w:w w:val="95"/>
          <w:sz w:val="21"/>
          <w:szCs w:val="21"/>
        </w:rPr>
        <w:t>①浙江骏业科创科技有限公司：曾用名杭州万马科创科技有限公司，系本公司新设子公司，2019年6</w:t>
      </w:r>
      <w:r>
        <w:rPr>
          <w:rFonts w:ascii="宋体" w:hAnsi="宋体" w:cs="宋体" w:eastAsia="宋体" w:hint="default"/>
          <w:spacing w:val="-32"/>
          <w:w w:val="95"/>
          <w:sz w:val="21"/>
          <w:szCs w:val="21"/>
        </w:rPr>
        <w:t> </w:t>
      </w:r>
      <w:r>
        <w:rPr>
          <w:rFonts w:ascii="宋体" w:hAnsi="宋体" w:cs="宋体" w:eastAsia="宋体" w:hint="default"/>
          <w:spacing w:val="-32"/>
          <w:w w:val="95"/>
          <w:sz w:val="21"/>
          <w:szCs w:val="21"/>
        </w:rPr>
      </w:r>
      <w:r>
        <w:rPr>
          <w:rFonts w:ascii="宋体" w:hAnsi="宋体" w:cs="宋体" w:eastAsia="宋体" w:hint="default"/>
          <w:spacing w:val="5"/>
          <w:sz w:val="21"/>
          <w:szCs w:val="21"/>
        </w:rPr>
        <w:t>月5日成立，营业执照统一社会信用代码91330105MA2GMUF37X，注册地浙江省杭州市，注册资本人民币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1,000.00万元，主营业务为通讯领域、人工智能技术的技术开发、技术咨询、成果转让。</w:t>
      </w:r>
    </w:p>
    <w:p>
      <w:pPr>
        <w:spacing w:line="273" w:lineRule="auto" w:before="7"/>
        <w:ind w:left="132" w:right="1034" w:firstLine="364"/>
        <w:jc w:val="left"/>
        <w:rPr>
          <w:rFonts w:ascii="宋体" w:hAnsi="宋体" w:cs="宋体" w:eastAsia="宋体" w:hint="default"/>
          <w:sz w:val="21"/>
          <w:szCs w:val="21"/>
        </w:rPr>
      </w:pPr>
      <w:r>
        <w:rPr>
          <w:rFonts w:ascii="宋体" w:hAnsi="宋体" w:cs="宋体" w:eastAsia="宋体" w:hint="default"/>
          <w:sz w:val="21"/>
          <w:szCs w:val="21"/>
        </w:rPr>
        <w:t>②广州万马爱充新能源科技有限公司：系万马联合新能源投资有限公司新设子公司，2019年9月5日成</w:t>
      </w:r>
      <w:r>
        <w:rPr>
          <w:rFonts w:ascii="宋体" w:hAnsi="宋体" w:cs="宋体" w:eastAsia="宋体" w:hint="default"/>
          <w:w w:val="99"/>
          <w:sz w:val="21"/>
          <w:szCs w:val="21"/>
        </w:rPr>
        <w:t> </w:t>
      </w:r>
      <w:r>
        <w:rPr>
          <w:rFonts w:ascii="宋体" w:hAnsi="宋体" w:cs="宋体" w:eastAsia="宋体" w:hint="default"/>
          <w:spacing w:val="-2"/>
          <w:w w:val="95"/>
          <w:sz w:val="21"/>
          <w:szCs w:val="21"/>
        </w:rPr>
        <w:t>立，营业执照统一社会信用代码91440101MA5CXY966Q，注册地广东省广州市，注册资本人民币100.00万元，</w:t>
      </w:r>
      <w:r>
        <w:rPr>
          <w:rFonts w:ascii="宋体" w:hAnsi="宋体" w:cs="宋体" w:eastAsia="宋体" w:hint="default"/>
          <w:spacing w:val="65"/>
          <w:w w:val="95"/>
          <w:sz w:val="21"/>
          <w:szCs w:val="21"/>
        </w:rPr>
        <w:t> </w:t>
      </w:r>
      <w:r>
        <w:rPr>
          <w:rFonts w:ascii="宋体" w:hAnsi="宋体" w:cs="宋体" w:eastAsia="宋体" w:hint="default"/>
          <w:spacing w:val="65"/>
          <w:w w:val="95"/>
          <w:sz w:val="21"/>
          <w:szCs w:val="21"/>
        </w:rPr>
      </w:r>
      <w:r>
        <w:rPr>
          <w:rFonts w:ascii="宋体" w:hAnsi="宋体" w:cs="宋体" w:eastAsia="宋体" w:hint="default"/>
          <w:sz w:val="21"/>
          <w:szCs w:val="21"/>
        </w:rPr>
        <w:t>主营业务为充电设施投资、建设、运营。</w:t>
      </w:r>
    </w:p>
    <w:p>
      <w:pPr>
        <w:spacing w:line="273" w:lineRule="auto" w:before="7"/>
        <w:ind w:left="132" w:right="1130" w:firstLine="364"/>
        <w:jc w:val="both"/>
        <w:rPr>
          <w:rFonts w:ascii="宋体" w:hAnsi="宋体" w:cs="宋体" w:eastAsia="宋体" w:hint="default"/>
          <w:sz w:val="21"/>
          <w:szCs w:val="21"/>
        </w:rPr>
      </w:pPr>
      <w:r>
        <w:rPr>
          <w:rFonts w:ascii="宋体" w:hAnsi="宋体" w:cs="宋体" w:eastAsia="宋体" w:hint="default"/>
          <w:sz w:val="21"/>
          <w:szCs w:val="21"/>
        </w:rPr>
        <w:t>③万马线缆（越南）有限公司（WANMA</w:t>
      </w:r>
      <w:r>
        <w:rPr>
          <w:rFonts w:ascii="宋体" w:hAnsi="宋体" w:cs="宋体" w:eastAsia="宋体" w:hint="default"/>
          <w:spacing w:val="-23"/>
          <w:sz w:val="21"/>
          <w:szCs w:val="21"/>
        </w:rPr>
        <w:t> </w:t>
      </w:r>
      <w:r>
        <w:rPr>
          <w:rFonts w:ascii="宋体" w:hAnsi="宋体" w:cs="宋体" w:eastAsia="宋体" w:hint="default"/>
          <w:sz w:val="21"/>
          <w:szCs w:val="21"/>
        </w:rPr>
        <w:t>CABLE</w:t>
      </w:r>
      <w:r>
        <w:rPr>
          <w:rFonts w:ascii="宋体" w:hAnsi="宋体" w:cs="宋体" w:eastAsia="宋体" w:hint="default"/>
          <w:spacing w:val="-21"/>
          <w:sz w:val="21"/>
          <w:szCs w:val="21"/>
        </w:rPr>
        <w:t> </w:t>
      </w:r>
      <w:r>
        <w:rPr>
          <w:rFonts w:ascii="宋体" w:hAnsi="宋体" w:cs="宋体" w:eastAsia="宋体" w:hint="default"/>
          <w:sz w:val="21"/>
          <w:szCs w:val="21"/>
        </w:rPr>
        <w:t>(VIETNAM)</w:t>
      </w:r>
      <w:r>
        <w:rPr>
          <w:rFonts w:ascii="宋体" w:hAnsi="宋体" w:cs="宋体" w:eastAsia="宋体" w:hint="default"/>
          <w:spacing w:val="-23"/>
          <w:sz w:val="21"/>
          <w:szCs w:val="21"/>
        </w:rPr>
        <w:t> </w:t>
      </w:r>
      <w:r>
        <w:rPr>
          <w:rFonts w:ascii="宋体" w:hAnsi="宋体" w:cs="宋体" w:eastAsia="宋体" w:hint="default"/>
          <w:sz w:val="21"/>
          <w:szCs w:val="21"/>
        </w:rPr>
        <w:t>COMPANY</w:t>
      </w:r>
      <w:r>
        <w:rPr>
          <w:rFonts w:ascii="宋体" w:hAnsi="宋体" w:cs="宋体" w:eastAsia="宋体" w:hint="default"/>
          <w:spacing w:val="-24"/>
          <w:sz w:val="21"/>
          <w:szCs w:val="21"/>
        </w:rPr>
        <w:t> </w:t>
      </w:r>
      <w:r>
        <w:rPr>
          <w:rFonts w:ascii="宋体" w:hAnsi="宋体" w:cs="宋体" w:eastAsia="宋体" w:hint="default"/>
          <w:sz w:val="21"/>
          <w:szCs w:val="21"/>
        </w:rPr>
        <w:t>LIMITED）：系香港骐骥国际发展有</w:t>
      </w:r>
      <w:r>
        <w:rPr>
          <w:rFonts w:ascii="宋体" w:hAnsi="宋体" w:cs="宋体" w:eastAsia="宋体" w:hint="default"/>
          <w:w w:val="99"/>
          <w:sz w:val="21"/>
          <w:szCs w:val="21"/>
        </w:rPr>
        <w:t> </w:t>
      </w:r>
      <w:r>
        <w:rPr>
          <w:rFonts w:ascii="宋体" w:hAnsi="宋体" w:cs="宋体" w:eastAsia="宋体" w:hint="default"/>
          <w:spacing w:val="2"/>
          <w:w w:val="95"/>
          <w:sz w:val="21"/>
          <w:szCs w:val="21"/>
        </w:rPr>
        <w:t>限公司新设子公司，2019年1月23日成立，营业执照号码2301079568，注册地越南北宁市，注册资本美元</w:t>
      </w:r>
      <w:r>
        <w:rPr>
          <w:rFonts w:ascii="宋体" w:hAnsi="宋体" w:cs="宋体" w:eastAsia="宋体" w:hint="default"/>
          <w:spacing w:val="29"/>
          <w:w w:val="95"/>
          <w:sz w:val="21"/>
          <w:szCs w:val="21"/>
        </w:rPr>
        <w:t> </w:t>
      </w:r>
      <w:r>
        <w:rPr>
          <w:rFonts w:ascii="宋体" w:hAnsi="宋体" w:cs="宋体" w:eastAsia="宋体" w:hint="default"/>
          <w:spacing w:val="29"/>
          <w:w w:val="95"/>
          <w:sz w:val="21"/>
          <w:szCs w:val="21"/>
        </w:rPr>
      </w:r>
      <w:r>
        <w:rPr>
          <w:rFonts w:ascii="宋体" w:hAnsi="宋体" w:cs="宋体" w:eastAsia="宋体" w:hint="default"/>
          <w:sz w:val="21"/>
          <w:szCs w:val="21"/>
        </w:rPr>
        <w:t>100.00万元，主营业务为生产同轴电缆、光缆、数据缆、工业线缆、跳线。</w:t>
      </w:r>
    </w:p>
    <w:p>
      <w:pPr>
        <w:spacing w:line="240" w:lineRule="auto" w:before="7"/>
        <w:rPr>
          <w:rFonts w:ascii="宋体" w:hAnsi="宋体" w:cs="宋体" w:eastAsia="宋体" w:hint="default"/>
          <w:sz w:val="23"/>
          <w:szCs w:val="23"/>
        </w:rPr>
      </w:pPr>
    </w:p>
    <w:p>
      <w:pPr>
        <w:spacing w:before="0"/>
        <w:ind w:left="132" w:right="1164" w:firstLine="0"/>
        <w:jc w:val="left"/>
        <w:rPr>
          <w:rFonts w:ascii="宋体" w:hAnsi="宋体" w:cs="宋体" w:eastAsia="宋体" w:hint="default"/>
          <w:sz w:val="21"/>
          <w:szCs w:val="21"/>
        </w:rPr>
      </w:pPr>
      <w:bookmarkStart w:name="（7）公司报告期内业务、产品或服务发生重大变化或调整有关情况" w:id="35"/>
      <w:bookmarkEnd w:id="3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）公司报告期内业务、产品或服务发生重大变化或调整有关情况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8）主要销售客户和主要供应商情况" w:id="36"/>
      <w:bookmarkEnd w:id="3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）主要销售客户和主要供应商情况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4983"/>
        <w:gridCol w:w="4585"/>
      </w:tblGrid>
      <w:tr>
        <w:trPr>
          <w:trHeight w:val="332" w:hRule="exact"/>
        </w:trPr>
        <w:tc>
          <w:tcPr>
            <w:tcW w:w="4983"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4585"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pacing w:val="-1"/>
                <w:sz w:val="18"/>
              </w:rPr>
              <w:t>659,439,645.55</w:t>
            </w:r>
          </w:p>
        </w:tc>
      </w:tr>
      <w:tr>
        <w:trPr>
          <w:trHeight w:val="322" w:hRule="exact"/>
        </w:trPr>
        <w:tc>
          <w:tcPr>
            <w:tcW w:w="4983"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4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6.76%</w:t>
            </w:r>
          </w:p>
        </w:tc>
      </w:tr>
      <w:tr>
        <w:trPr>
          <w:trHeight w:val="332" w:hRule="exact"/>
        </w:trPr>
        <w:tc>
          <w:tcPr>
            <w:tcW w:w="4983"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4585"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0.00%</w:t>
            </w:r>
          </w:p>
        </w:tc>
      </w:tr>
    </w:tbl>
    <w:p>
      <w:pPr>
        <w:spacing w:before="50"/>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2"/>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802"/>
        <w:gridCol w:w="3301"/>
        <w:gridCol w:w="2322"/>
        <w:gridCol w:w="3143"/>
      </w:tblGrid>
      <w:tr>
        <w:trPr>
          <w:trHeight w:val="332" w:hRule="exact"/>
        </w:trPr>
        <w:tc>
          <w:tcPr>
            <w:tcW w:w="802"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207"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1"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9"/>
              <w:ind w:left="757"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322" w:hRule="exact"/>
        </w:trPr>
        <w:tc>
          <w:tcPr>
            <w:tcW w:w="802"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0"/>
              <w:ind w:left="92" w:right="0"/>
              <w:jc w:val="left"/>
              <w:rPr>
                <w:rFonts w:ascii="Times New Roman" w:hAnsi="Times New Roman" w:cs="Times New Roman" w:eastAsia="Times New Roman" w:hint="default"/>
                <w:sz w:val="18"/>
                <w:szCs w:val="18"/>
              </w:rPr>
            </w:pPr>
            <w:r>
              <w:rPr>
                <w:rFonts w:ascii="Times New Roman"/>
                <w:sz w:val="18"/>
              </w:rPr>
              <w:t>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158,915,186.16</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88"/>
              <w:jc w:val="right"/>
              <w:rPr>
                <w:rFonts w:ascii="Times New Roman" w:hAnsi="Times New Roman" w:cs="Times New Roman" w:eastAsia="Times New Roman" w:hint="default"/>
                <w:sz w:val="18"/>
                <w:szCs w:val="18"/>
              </w:rPr>
            </w:pPr>
            <w:r>
              <w:rPr>
                <w:rFonts w:ascii="Times New Roman"/>
                <w:sz w:val="18"/>
              </w:rPr>
              <w:t>1.63%</w:t>
            </w:r>
          </w:p>
        </w:tc>
      </w:tr>
      <w:tr>
        <w:trPr>
          <w:trHeight w:val="322" w:hRule="exact"/>
        </w:trPr>
        <w:tc>
          <w:tcPr>
            <w:tcW w:w="802"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0"/>
              <w:ind w:left="92" w:right="0"/>
              <w:jc w:val="left"/>
              <w:rPr>
                <w:rFonts w:ascii="Times New Roman" w:hAnsi="Times New Roman" w:cs="Times New Roman" w:eastAsia="Times New Roman" w:hint="default"/>
                <w:sz w:val="18"/>
                <w:szCs w:val="18"/>
              </w:rPr>
            </w:pPr>
            <w:r>
              <w:rPr>
                <w:rFonts w:ascii="Times New Roman"/>
                <w:sz w:val="18"/>
              </w:rPr>
              <w:t>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151,878,918.17</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88"/>
              <w:jc w:val="right"/>
              <w:rPr>
                <w:rFonts w:ascii="Times New Roman" w:hAnsi="Times New Roman" w:cs="Times New Roman" w:eastAsia="Times New Roman" w:hint="default"/>
                <w:sz w:val="18"/>
                <w:szCs w:val="18"/>
              </w:rPr>
            </w:pPr>
            <w:r>
              <w:rPr>
                <w:rFonts w:ascii="Times New Roman"/>
                <w:sz w:val="18"/>
              </w:rPr>
              <w:t>1.56%</w:t>
            </w:r>
          </w:p>
        </w:tc>
      </w:tr>
      <w:tr>
        <w:trPr>
          <w:trHeight w:val="322" w:hRule="exact"/>
        </w:trPr>
        <w:tc>
          <w:tcPr>
            <w:tcW w:w="802"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2"/>
              <w:ind w:left="92" w:right="0"/>
              <w:jc w:val="left"/>
              <w:rPr>
                <w:rFonts w:ascii="Times New Roman" w:hAnsi="Times New Roman" w:cs="Times New Roman" w:eastAsia="Times New Roman" w:hint="default"/>
                <w:sz w:val="18"/>
                <w:szCs w:val="18"/>
              </w:rPr>
            </w:pPr>
            <w:r>
              <w:rPr>
                <w:rFonts w:ascii="Times New Roman"/>
                <w:sz w:val="18"/>
              </w:rPr>
              <w:t>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151,171,590.11</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1.55%</w:t>
            </w:r>
          </w:p>
        </w:tc>
      </w:tr>
      <w:tr>
        <w:trPr>
          <w:trHeight w:val="322" w:hRule="exact"/>
        </w:trPr>
        <w:tc>
          <w:tcPr>
            <w:tcW w:w="802"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2"/>
              <w:ind w:left="92" w:right="0"/>
              <w:jc w:val="left"/>
              <w:rPr>
                <w:rFonts w:ascii="Times New Roman" w:hAnsi="Times New Roman" w:cs="Times New Roman" w:eastAsia="Times New Roman" w:hint="default"/>
                <w:sz w:val="18"/>
                <w:szCs w:val="18"/>
              </w:rPr>
            </w:pPr>
            <w:r>
              <w:rPr>
                <w:rFonts w:ascii="Times New Roman"/>
                <w:sz w:val="18"/>
              </w:rPr>
              <w:t>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99,561,152.09</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1.02%</w:t>
            </w:r>
          </w:p>
        </w:tc>
      </w:tr>
      <w:tr>
        <w:trPr>
          <w:trHeight w:val="322" w:hRule="exact"/>
        </w:trPr>
        <w:tc>
          <w:tcPr>
            <w:tcW w:w="802"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Times New Roman" w:hAnsi="Times New Roman" w:cs="Times New Roman" w:eastAsia="Times New Roman" w:hint="default"/>
                <w:sz w:val="18"/>
                <w:szCs w:val="18"/>
              </w:rPr>
            </w:pPr>
            <w:r>
              <w:rPr>
                <w:rFonts w:ascii="Times New Roman"/>
                <w:sz w:val="18"/>
              </w:rPr>
              <w:t>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97,912,799.02</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z w:val="18"/>
              </w:rPr>
              <w:t>1.00%</w:t>
            </w:r>
          </w:p>
        </w:tc>
      </w:tr>
      <w:tr>
        <w:trPr>
          <w:trHeight w:val="332" w:hRule="exact"/>
        </w:trPr>
        <w:tc>
          <w:tcPr>
            <w:tcW w:w="802"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1"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1"/>
              <w:ind w:left="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659,439,645.55</w:t>
            </w:r>
          </w:p>
        </w:tc>
        <w:tc>
          <w:tcPr>
            <w:tcW w:w="3143"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z w:val="18"/>
              </w:rPr>
              <w:t>6.76%</w:t>
            </w:r>
          </w:p>
        </w:tc>
      </w:tr>
    </w:tbl>
    <w:p>
      <w:pPr>
        <w:spacing w:before="51"/>
        <w:ind w:left="132" w:right="1164"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60" w:lineRule="auto" w:before="115"/>
        <w:ind w:left="132" w:right="9134" w:firstLine="0"/>
        <w:jc w:val="left"/>
        <w:rPr>
          <w:rFonts w:ascii="宋体" w:hAnsi="宋体" w:cs="宋体" w:eastAsia="宋体" w:hint="default"/>
          <w:sz w:val="18"/>
          <w:szCs w:val="18"/>
        </w:rPr>
      </w:pPr>
      <w:r>
        <w:rPr>
          <w:rFonts w:ascii="宋体" w:hAnsi="宋体" w:cs="宋体" w:eastAsia="宋体" w:hint="default"/>
          <w:sz w:val="18"/>
          <w:szCs w:val="18"/>
        </w:rPr>
        <w:t>□ 适用 √ 不适用 公司主要供应商情况</w:t>
      </w:r>
    </w:p>
    <w:tbl>
      <w:tblPr>
        <w:tblW w:w="0" w:type="auto"/>
        <w:jc w:val="left"/>
        <w:tblInd w:w="119" w:type="dxa"/>
        <w:tblLayout w:type="fixed"/>
        <w:tblCellMar>
          <w:top w:w="0" w:type="dxa"/>
          <w:left w:w="0" w:type="dxa"/>
          <w:bottom w:w="0" w:type="dxa"/>
          <w:right w:w="0" w:type="dxa"/>
        </w:tblCellMar>
        <w:tblLook w:val="01E0"/>
      </w:tblPr>
      <w:tblGrid>
        <w:gridCol w:w="5343"/>
        <w:gridCol w:w="4225"/>
      </w:tblGrid>
      <w:tr>
        <w:trPr>
          <w:trHeight w:val="332" w:hRule="exact"/>
        </w:trPr>
        <w:tc>
          <w:tcPr>
            <w:tcW w:w="5343"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4225"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3,086,207,276.72</w:t>
            </w:r>
          </w:p>
        </w:tc>
      </w:tr>
      <w:tr>
        <w:trPr>
          <w:trHeight w:val="322" w:hRule="exact"/>
        </w:trPr>
        <w:tc>
          <w:tcPr>
            <w:tcW w:w="5343"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422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pacing w:val="-1"/>
                <w:sz w:val="18"/>
              </w:rPr>
              <w:t>40.32%</w:t>
            </w:r>
          </w:p>
        </w:tc>
      </w:tr>
      <w:tr>
        <w:trPr>
          <w:trHeight w:val="332" w:hRule="exact"/>
        </w:trPr>
        <w:tc>
          <w:tcPr>
            <w:tcW w:w="5343"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4225"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z w:val="18"/>
              </w:rPr>
              <w:t>0.00%</w:t>
            </w:r>
          </w:p>
        </w:tc>
      </w:tr>
    </w:tbl>
    <w:p>
      <w:pPr>
        <w:spacing w:before="68"/>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after="0"/>
        <w:jc w:val="left"/>
        <w:rPr>
          <w:rFonts w:ascii="宋体" w:hAnsi="宋体" w:cs="宋体" w:eastAsia="宋体" w:hint="default"/>
          <w:sz w:val="18"/>
          <w:szCs w:val="18"/>
        </w:rPr>
        <w:sectPr>
          <w:footerReference w:type="default" r:id="rId23"/>
          <w:pgSz w:w="11910" w:h="16840"/>
          <w:pgMar w:footer="1053" w:header="890" w:top="1420" w:bottom="1240" w:left="1000" w:right="0"/>
          <w:pgNumType w:start="20"/>
        </w:sectPr>
      </w:pP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935"/>
        <w:gridCol w:w="3168"/>
        <w:gridCol w:w="2322"/>
        <w:gridCol w:w="3143"/>
      </w:tblGrid>
      <w:tr>
        <w:trPr>
          <w:trHeight w:val="332" w:hRule="exact"/>
        </w:trPr>
        <w:tc>
          <w:tcPr>
            <w:tcW w:w="935"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272"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left="757"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322" w:hRule="exact"/>
        </w:trPr>
        <w:tc>
          <w:tcPr>
            <w:tcW w:w="93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3"/>
              <w:ind w:left="92"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1,017,477,791.06</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pacing w:val="-1"/>
                <w:sz w:val="18"/>
              </w:rPr>
              <w:t>13.29%</w:t>
            </w:r>
          </w:p>
        </w:tc>
      </w:tr>
      <w:tr>
        <w:trPr>
          <w:trHeight w:val="322" w:hRule="exact"/>
        </w:trPr>
        <w:tc>
          <w:tcPr>
            <w:tcW w:w="93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2"/>
              <w:ind w:left="92"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931,639,463.11</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12.17%</w:t>
            </w:r>
          </w:p>
        </w:tc>
      </w:tr>
      <w:tr>
        <w:trPr>
          <w:trHeight w:val="322" w:hRule="exact"/>
        </w:trPr>
        <w:tc>
          <w:tcPr>
            <w:tcW w:w="93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2"/>
              <w:ind w:left="92"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431,599,376.57</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5.64%</w:t>
            </w:r>
          </w:p>
        </w:tc>
      </w:tr>
      <w:tr>
        <w:trPr>
          <w:trHeight w:val="322" w:hRule="exact"/>
        </w:trPr>
        <w:tc>
          <w:tcPr>
            <w:tcW w:w="93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415,491,744.73</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z w:val="18"/>
              </w:rPr>
              <w:t>5.43%</w:t>
            </w:r>
          </w:p>
        </w:tc>
      </w:tr>
      <w:tr>
        <w:trPr>
          <w:trHeight w:val="322" w:hRule="exact"/>
        </w:trPr>
        <w:tc>
          <w:tcPr>
            <w:tcW w:w="93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289,998,901.25</w:t>
            </w:r>
          </w:p>
        </w:tc>
        <w:tc>
          <w:tcPr>
            <w:tcW w:w="314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z w:val="18"/>
              </w:rPr>
              <w:t>3.79%</w:t>
            </w:r>
          </w:p>
        </w:tc>
      </w:tr>
      <w:tr>
        <w:trPr>
          <w:trHeight w:val="332" w:hRule="exact"/>
        </w:trPr>
        <w:tc>
          <w:tcPr>
            <w:tcW w:w="935"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3"/>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3,086,207,276.72</w:t>
            </w:r>
          </w:p>
        </w:tc>
        <w:tc>
          <w:tcPr>
            <w:tcW w:w="3143"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pacing w:val="-1"/>
                <w:sz w:val="18"/>
              </w:rPr>
              <w:t>40.32%</w:t>
            </w:r>
          </w:p>
        </w:tc>
      </w:tr>
    </w:tbl>
    <w:p>
      <w:pPr>
        <w:spacing w:before="51"/>
        <w:ind w:left="132" w:right="1164"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32" w:right="1164" w:firstLine="0"/>
        <w:jc w:val="left"/>
        <w:rPr>
          <w:rFonts w:ascii="宋体" w:hAnsi="宋体" w:cs="宋体" w:eastAsia="宋体" w:hint="default"/>
          <w:sz w:val="21"/>
          <w:szCs w:val="21"/>
        </w:rPr>
      </w:pPr>
      <w:bookmarkStart w:name="3、费用" w:id="37"/>
      <w:bookmarkEnd w:id="37"/>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、费用</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109"/>
        <w:gridCol w:w="1500"/>
        <w:gridCol w:w="1560"/>
        <w:gridCol w:w="950"/>
        <w:gridCol w:w="4449"/>
      </w:tblGrid>
      <w:tr>
        <w:trPr>
          <w:trHeight w:val="332" w:hRule="exact"/>
        </w:trPr>
        <w:tc>
          <w:tcPr>
            <w:tcW w:w="1109" w:type="dxa"/>
            <w:tcBorders>
              <w:top w:val="single" w:sz="12" w:space="0" w:color="000000"/>
              <w:left w:val="single" w:sz="12" w:space="0" w:color="000000"/>
              <w:bottom w:val="single" w:sz="4" w:space="0" w:color="000000"/>
              <w:right w:val="single" w:sz="4" w:space="0" w:color="000000"/>
            </w:tcBorders>
            <w:shd w:val="clear" w:color="auto" w:fill="D2D2D2"/>
          </w:tcPr>
          <w:p>
            <w:pPr/>
          </w:p>
        </w:tc>
        <w:tc>
          <w:tcPr>
            <w:tcW w:w="150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5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6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5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09"/>
              <w:jc w:val="right"/>
              <w:rPr>
                <w:rFonts w:ascii="宋体" w:hAnsi="宋体" w:cs="宋体" w:eastAsia="宋体" w:hint="default"/>
                <w:sz w:val="18"/>
                <w:szCs w:val="18"/>
              </w:rPr>
            </w:pPr>
            <w:r>
              <w:rPr>
                <w:rFonts w:ascii="宋体" w:hAnsi="宋体" w:cs="宋体" w:eastAsia="宋体" w:hint="default"/>
                <w:sz w:val="18"/>
                <w:szCs w:val="18"/>
              </w:rPr>
              <w:t>同比增减</w:t>
            </w:r>
          </w:p>
        </w:tc>
        <w:tc>
          <w:tcPr>
            <w:tcW w:w="4449"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946" w:hRule="exact"/>
        </w:trPr>
        <w:tc>
          <w:tcPr>
            <w:tcW w:w="110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1"/>
                <w:sz w:val="18"/>
              </w:rPr>
              <w:t>665,292,600.25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1"/>
                <w:sz w:val="18"/>
              </w:rPr>
              <w:t>528,920,564.78</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8"/>
              <w:jc w:val="right"/>
              <w:rPr>
                <w:rFonts w:ascii="Times New Roman" w:hAnsi="Times New Roman" w:cs="Times New Roman" w:eastAsia="Times New Roman" w:hint="default"/>
                <w:sz w:val="18"/>
                <w:szCs w:val="18"/>
              </w:rPr>
            </w:pPr>
            <w:r>
              <w:rPr>
                <w:rFonts w:ascii="Times New Roman"/>
                <w:spacing w:val="-1"/>
                <w:sz w:val="18"/>
              </w:rPr>
              <w:t>25.78%</w:t>
            </w:r>
          </w:p>
        </w:tc>
        <w:tc>
          <w:tcPr>
            <w:tcW w:w="4449" w:type="dxa"/>
            <w:tcBorders>
              <w:top w:val="single" w:sz="4" w:space="0" w:color="000000"/>
              <w:left w:val="single" w:sz="4" w:space="0" w:color="000000"/>
              <w:bottom w:val="single" w:sz="4" w:space="0" w:color="000000"/>
              <w:right w:val="single" w:sz="12" w:space="0" w:color="000000"/>
            </w:tcBorders>
          </w:tcPr>
          <w:p>
            <w:pPr>
              <w:pStyle w:val="TableParagraph"/>
              <w:spacing w:line="309"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销售费用同比增加</w:t>
            </w:r>
            <w:r>
              <w:rPr>
                <w:rFonts w:ascii="宋体" w:hAnsi="宋体" w:cs="宋体" w:eastAsia="宋体" w:hint="default"/>
                <w:spacing w:val="8"/>
                <w:sz w:val="18"/>
                <w:szCs w:val="18"/>
              </w:rPr>
              <w:t> </w:t>
            </w:r>
            <w:r>
              <w:rPr>
                <w:rFonts w:ascii="Times New Roman" w:hAnsi="Times New Roman" w:cs="Times New Roman" w:eastAsia="Times New Roman" w:hint="default"/>
                <w:spacing w:val="-1"/>
                <w:sz w:val="18"/>
                <w:szCs w:val="18"/>
              </w:rPr>
              <w:t>1.36</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亿元，主要系公司销售量增加、</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业务规模增长，代理服务费、销售管理费用等同比增长</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以及新能源市场开拓费用增加所致。</w:t>
            </w:r>
          </w:p>
        </w:tc>
      </w:tr>
      <w:tr>
        <w:trPr>
          <w:trHeight w:val="634" w:hRule="exact"/>
        </w:trPr>
        <w:tc>
          <w:tcPr>
            <w:tcW w:w="110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241,804,537.14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206,101,586.22</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17.32%</w:t>
            </w:r>
          </w:p>
        </w:tc>
        <w:tc>
          <w:tcPr>
            <w:tcW w:w="4449"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1"/>
              <w:ind w:left="102" w:right="93"/>
              <w:jc w:val="left"/>
              <w:rPr>
                <w:rFonts w:ascii="宋体" w:hAnsi="宋体" w:cs="宋体" w:eastAsia="宋体" w:hint="default"/>
                <w:sz w:val="18"/>
                <w:szCs w:val="18"/>
              </w:rPr>
            </w:pPr>
            <w:r>
              <w:rPr>
                <w:rFonts w:ascii="宋体" w:hAnsi="宋体" w:cs="宋体" w:eastAsia="宋体" w:hint="default"/>
                <w:sz w:val="18"/>
                <w:szCs w:val="18"/>
              </w:rPr>
              <w:t>管理费用同比增加 </w:t>
            </w:r>
            <w:r>
              <w:rPr>
                <w:rFonts w:ascii="Times New Roman" w:hAnsi="Times New Roman" w:cs="Times New Roman" w:eastAsia="Times New Roman" w:hint="default"/>
                <w:sz w:val="18"/>
                <w:szCs w:val="18"/>
              </w:rPr>
              <w:t>3,570</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万元，主要系本期经营业绩增</w:t>
            </w:r>
            <w:r>
              <w:rPr>
                <w:rFonts w:ascii="宋体" w:hAnsi="宋体" w:cs="宋体" w:eastAsia="宋体" w:hint="default"/>
                <w:sz w:val="18"/>
                <w:szCs w:val="18"/>
              </w:rPr>
              <w:t> 加，管理人员绩效薪酬增加所致。</w:t>
            </w:r>
          </w:p>
        </w:tc>
      </w:tr>
      <w:tr>
        <w:trPr>
          <w:trHeight w:val="946" w:hRule="exact"/>
        </w:trPr>
        <w:tc>
          <w:tcPr>
            <w:tcW w:w="110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79,616,465.01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97,653,271.45</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pacing w:val="-1"/>
                <w:sz w:val="18"/>
              </w:rPr>
              <w:t>-18.47%</w:t>
            </w:r>
          </w:p>
        </w:tc>
        <w:tc>
          <w:tcPr>
            <w:tcW w:w="44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财务费用同比减少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万元，主要系：</w:t>
            </w:r>
            <w:r>
              <w:rPr>
                <w:rFonts w:ascii="Times New Roman" w:hAnsi="Times New Roman" w:cs="Times New Roman" w:eastAsia="Times New Roman" w:hint="default"/>
                <w:sz w:val="18"/>
                <w:szCs w:val="18"/>
              </w:rPr>
              <w:t>1.</w:t>
            </w:r>
            <w:r>
              <w:rPr>
                <w:rFonts w:ascii="宋体" w:hAnsi="宋体" w:cs="宋体" w:eastAsia="宋体" w:hint="default"/>
                <w:sz w:val="18"/>
                <w:szCs w:val="18"/>
              </w:rPr>
              <w:t>受外汇汇率</w:t>
            </w:r>
          </w:p>
          <w:p>
            <w:pPr>
              <w:pStyle w:val="TableParagraph"/>
              <w:spacing w:line="300" w:lineRule="auto" w:before="63"/>
              <w:ind w:left="102" w:right="48"/>
              <w:jc w:val="left"/>
              <w:rPr>
                <w:rFonts w:ascii="宋体" w:hAnsi="宋体" w:cs="宋体" w:eastAsia="宋体" w:hint="default"/>
                <w:sz w:val="18"/>
                <w:szCs w:val="18"/>
              </w:rPr>
            </w:pPr>
            <w:r>
              <w:rPr>
                <w:rFonts w:ascii="宋体" w:hAnsi="宋体" w:cs="宋体" w:eastAsia="宋体" w:hint="default"/>
                <w:sz w:val="18"/>
                <w:szCs w:val="18"/>
              </w:rPr>
              <w:t>影响，汇兑损失减少；</w:t>
            </w:r>
            <w:r>
              <w:rPr>
                <w:rFonts w:ascii="Times New Roman" w:hAnsi="Times New Roman" w:cs="Times New Roman" w:eastAsia="Times New Roman" w:hint="default"/>
                <w:sz w:val="18"/>
                <w:szCs w:val="18"/>
              </w:rPr>
              <w:t>2.</w:t>
            </w:r>
            <w:r>
              <w:rPr>
                <w:rFonts w:ascii="宋体" w:hAnsi="宋体" w:cs="宋体" w:eastAsia="宋体" w:hint="default"/>
                <w:sz w:val="18"/>
                <w:szCs w:val="18"/>
              </w:rPr>
              <w:t>本期三季度偿还</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亿公司债， 本期债券利息支出较上年同期减少。</w:t>
            </w:r>
          </w:p>
        </w:tc>
      </w:tr>
      <w:tr>
        <w:trPr>
          <w:trHeight w:val="956" w:hRule="exact"/>
        </w:trPr>
        <w:tc>
          <w:tcPr>
            <w:tcW w:w="110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5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364,143,468.70</w:t>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312,085,272.64</w:t>
            </w:r>
          </w:p>
        </w:tc>
        <w:tc>
          <w:tcPr>
            <w:tcW w:w="9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8"/>
              <w:jc w:val="right"/>
              <w:rPr>
                <w:rFonts w:ascii="Times New Roman" w:hAnsi="Times New Roman" w:cs="Times New Roman" w:eastAsia="Times New Roman" w:hint="default"/>
                <w:sz w:val="18"/>
                <w:szCs w:val="18"/>
              </w:rPr>
            </w:pPr>
            <w:r>
              <w:rPr>
                <w:rFonts w:ascii="Times New Roman"/>
                <w:spacing w:val="-1"/>
                <w:sz w:val="18"/>
              </w:rPr>
              <w:t>16.68%</w:t>
            </w:r>
          </w:p>
        </w:tc>
        <w:tc>
          <w:tcPr>
            <w:tcW w:w="4449" w:type="dxa"/>
            <w:tcBorders>
              <w:top w:val="single" w:sz="4" w:space="0" w:color="000000"/>
              <w:left w:val="single" w:sz="4" w:space="0" w:color="000000"/>
              <w:bottom w:val="single" w:sz="12" w:space="0" w:color="000000"/>
              <w:right w:val="single" w:sz="12" w:space="0" w:color="000000"/>
            </w:tcBorders>
          </w:tcPr>
          <w:p>
            <w:pPr>
              <w:pStyle w:val="TableParagraph"/>
              <w:spacing w:line="309" w:lineRule="auto" w:before="11"/>
              <w:ind w:left="102" w:right="93"/>
              <w:jc w:val="both"/>
              <w:rPr>
                <w:rFonts w:ascii="宋体" w:hAnsi="宋体" w:cs="宋体" w:eastAsia="宋体" w:hint="default"/>
                <w:sz w:val="18"/>
                <w:szCs w:val="18"/>
              </w:rPr>
            </w:pPr>
            <w:r>
              <w:rPr>
                <w:rFonts w:ascii="宋体" w:hAnsi="宋体" w:cs="宋体" w:eastAsia="宋体" w:hint="default"/>
                <w:sz w:val="18"/>
                <w:szCs w:val="18"/>
              </w:rPr>
              <w:t>研发费用增加</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5,206</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万元，主要系公司促进产品技术更</w:t>
            </w:r>
            <w:r>
              <w:rPr>
                <w:rFonts w:ascii="宋体" w:hAnsi="宋体" w:cs="宋体" w:eastAsia="宋体" w:hint="default"/>
                <w:sz w:val="18"/>
                <w:szCs w:val="18"/>
              </w:rPr>
              <w:t> </w:t>
            </w:r>
            <w:r>
              <w:rPr>
                <w:rFonts w:ascii="宋体" w:hAnsi="宋体" w:cs="宋体" w:eastAsia="宋体" w:hint="default"/>
                <w:spacing w:val="-4"/>
                <w:sz w:val="18"/>
                <w:szCs w:val="18"/>
              </w:rPr>
              <w:t>新和改造，加大对电缆产品、高分子材料及充电产品的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研发投入所致。</w:t>
            </w:r>
          </w:p>
        </w:tc>
      </w:tr>
    </w:tbl>
    <w:p>
      <w:pPr>
        <w:spacing w:line="240" w:lineRule="auto" w:before="5"/>
        <w:rPr>
          <w:rFonts w:ascii="宋体" w:hAnsi="宋体" w:cs="宋体" w:eastAsia="宋体" w:hint="default"/>
          <w:sz w:val="19"/>
          <w:szCs w:val="19"/>
        </w:rPr>
      </w:pPr>
    </w:p>
    <w:p>
      <w:pPr>
        <w:spacing w:before="34"/>
        <w:ind w:left="132" w:right="1164" w:firstLine="0"/>
        <w:jc w:val="left"/>
        <w:rPr>
          <w:rFonts w:ascii="宋体" w:hAnsi="宋体" w:cs="宋体" w:eastAsia="宋体" w:hint="default"/>
          <w:sz w:val="21"/>
          <w:szCs w:val="21"/>
        </w:rPr>
      </w:pPr>
      <w:bookmarkStart w:name="4、研发投入" w:id="38"/>
      <w:bookmarkEnd w:id="38"/>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、研发投入</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line="360" w:lineRule="auto" w:before="0"/>
        <w:ind w:left="132" w:right="2474" w:firstLine="0"/>
        <w:jc w:val="left"/>
        <w:rPr>
          <w:rFonts w:ascii="宋体" w:hAnsi="宋体" w:cs="宋体" w:eastAsia="宋体" w:hint="default"/>
          <w:sz w:val="18"/>
          <w:szCs w:val="18"/>
        </w:rPr>
      </w:pPr>
      <w:r>
        <w:rPr>
          <w:rFonts w:ascii="宋体" w:hAnsi="宋体" w:cs="宋体" w:eastAsia="宋体" w:hint="default"/>
          <w:sz w:val="18"/>
          <w:szCs w:val="18"/>
        </w:rPr>
        <w:t>√ 适用 □ 不适用 为不断创新产品，提高公司核心竞争力，报告期公司研发投入金额364,143,468.70元，同比增加11.12%。</w:t>
      </w:r>
    </w:p>
    <w:p>
      <w:pPr>
        <w:spacing w:line="240" w:lineRule="auto" w:before="10"/>
        <w:rPr>
          <w:rFonts w:ascii="宋体" w:hAnsi="宋体" w:cs="宋体" w:eastAsia="宋体" w:hint="default"/>
          <w:sz w:val="25"/>
          <w:szCs w:val="25"/>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公司研发投入情况</w:t>
      </w:r>
    </w:p>
    <w:p>
      <w:pPr>
        <w:spacing w:line="240" w:lineRule="auto" w:before="3"/>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163"/>
        <w:gridCol w:w="2135"/>
        <w:gridCol w:w="2135"/>
        <w:gridCol w:w="2135"/>
      </w:tblGrid>
      <w:tr>
        <w:trPr>
          <w:trHeight w:val="332" w:hRule="exact"/>
        </w:trPr>
        <w:tc>
          <w:tcPr>
            <w:tcW w:w="3163" w:type="dxa"/>
            <w:tcBorders>
              <w:top w:val="single" w:sz="12" w:space="0" w:color="000000"/>
              <w:left w:val="single" w:sz="12" w:space="0" w:color="000000"/>
              <w:bottom w:val="single" w:sz="4" w:space="0" w:color="000000"/>
              <w:right w:val="single" w:sz="4" w:space="0" w:color="000000"/>
            </w:tcBorders>
            <w:shd w:val="clear" w:color="auto" w:fill="D2D2D2"/>
          </w:tcPr>
          <w:p>
            <w:pPr/>
          </w:p>
        </w:tc>
        <w:tc>
          <w:tcPr>
            <w:tcW w:w="213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13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135"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9"/>
              <w:ind w:left="701" w:right="0"/>
              <w:jc w:val="left"/>
              <w:rPr>
                <w:rFonts w:ascii="宋体" w:hAnsi="宋体" w:cs="宋体" w:eastAsia="宋体" w:hint="default"/>
                <w:sz w:val="18"/>
                <w:szCs w:val="18"/>
              </w:rPr>
            </w:pPr>
            <w:r>
              <w:rPr>
                <w:rFonts w:ascii="宋体" w:hAnsi="宋体" w:cs="宋体" w:eastAsia="宋体" w:hint="default"/>
                <w:sz w:val="18"/>
                <w:szCs w:val="18"/>
              </w:rPr>
              <w:t>变动比例</w:t>
            </w:r>
          </w:p>
        </w:tc>
      </w:tr>
      <w:tr>
        <w:trPr>
          <w:trHeight w:val="322" w:hRule="exact"/>
        </w:trPr>
        <w:tc>
          <w:tcPr>
            <w:tcW w:w="3163"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769</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715</w:t>
            </w:r>
          </w:p>
        </w:tc>
        <w:tc>
          <w:tcPr>
            <w:tcW w:w="213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88"/>
              <w:jc w:val="right"/>
              <w:rPr>
                <w:rFonts w:ascii="Times New Roman" w:hAnsi="Times New Roman" w:cs="Times New Roman" w:eastAsia="Times New Roman" w:hint="default"/>
                <w:sz w:val="18"/>
                <w:szCs w:val="18"/>
              </w:rPr>
            </w:pPr>
            <w:r>
              <w:rPr>
                <w:rFonts w:ascii="Times New Roman"/>
                <w:sz w:val="18"/>
              </w:rPr>
              <w:t>7.55%</w:t>
            </w:r>
          </w:p>
        </w:tc>
      </w:tr>
      <w:tr>
        <w:trPr>
          <w:trHeight w:val="322" w:hRule="exact"/>
        </w:trPr>
        <w:tc>
          <w:tcPr>
            <w:tcW w:w="3163"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15.60%</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14.46%</w:t>
            </w:r>
          </w:p>
        </w:tc>
        <w:tc>
          <w:tcPr>
            <w:tcW w:w="213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90"/>
              <w:jc w:val="right"/>
              <w:rPr>
                <w:rFonts w:ascii="Times New Roman" w:hAnsi="Times New Roman" w:cs="Times New Roman" w:eastAsia="Times New Roman" w:hint="default"/>
                <w:sz w:val="18"/>
                <w:szCs w:val="18"/>
              </w:rPr>
            </w:pPr>
            <w:r>
              <w:rPr>
                <w:rFonts w:ascii="Times New Roman"/>
                <w:spacing w:val="-1"/>
                <w:sz w:val="18"/>
              </w:rPr>
              <w:t>1.14%</w:t>
            </w:r>
          </w:p>
        </w:tc>
      </w:tr>
      <w:tr>
        <w:trPr>
          <w:trHeight w:val="322" w:hRule="exact"/>
        </w:trPr>
        <w:tc>
          <w:tcPr>
            <w:tcW w:w="3163"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364,143,468.70</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327,714,822.29</w:t>
            </w:r>
          </w:p>
        </w:tc>
        <w:tc>
          <w:tcPr>
            <w:tcW w:w="213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2"/>
                <w:sz w:val="18"/>
              </w:rPr>
              <w:t>11.12%</w:t>
            </w:r>
          </w:p>
        </w:tc>
      </w:tr>
      <w:tr>
        <w:trPr>
          <w:trHeight w:val="322" w:hRule="exact"/>
        </w:trPr>
        <w:tc>
          <w:tcPr>
            <w:tcW w:w="3163"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3.74%</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3.75%</w:t>
            </w:r>
          </w:p>
        </w:tc>
        <w:tc>
          <w:tcPr>
            <w:tcW w:w="213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-0.01%</w:t>
            </w:r>
          </w:p>
        </w:tc>
      </w:tr>
      <w:tr>
        <w:trPr>
          <w:trHeight w:val="322" w:hRule="exact"/>
        </w:trPr>
        <w:tc>
          <w:tcPr>
            <w:tcW w:w="3163"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0.00</w:t>
            </w:r>
          </w:p>
        </w:tc>
        <w:tc>
          <w:tcPr>
            <w:tcW w:w="2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15,629,549.65</w:t>
            </w:r>
          </w:p>
        </w:tc>
        <w:tc>
          <w:tcPr>
            <w:tcW w:w="213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332" w:hRule="exact"/>
        </w:trPr>
        <w:tc>
          <w:tcPr>
            <w:tcW w:w="3163"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资本化研发投入占研发投入的比例</w:t>
            </w:r>
          </w:p>
        </w:tc>
        <w:tc>
          <w:tcPr>
            <w:tcW w:w="213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213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4.77%</w:t>
            </w:r>
          </w:p>
        </w:tc>
        <w:tc>
          <w:tcPr>
            <w:tcW w:w="2135"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z w:val="18"/>
              </w:rPr>
              <w:t>-4.77%</w:t>
            </w:r>
          </w:p>
        </w:tc>
      </w:tr>
    </w:tbl>
    <w:p>
      <w:pPr>
        <w:spacing w:before="51"/>
        <w:ind w:left="132" w:right="1164"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60" w:lineRule="auto" w:before="115"/>
        <w:ind w:left="132" w:right="6794" w:firstLine="0"/>
        <w:jc w:val="left"/>
        <w:rPr>
          <w:rFonts w:ascii="宋体" w:hAnsi="宋体" w:cs="宋体" w:eastAsia="宋体" w:hint="default"/>
          <w:sz w:val="18"/>
          <w:szCs w:val="18"/>
        </w:rPr>
      </w:pPr>
      <w:r>
        <w:rPr>
          <w:rFonts w:ascii="宋体" w:hAnsi="宋体" w:cs="宋体" w:eastAsia="宋体" w:hint="default"/>
          <w:sz w:val="18"/>
          <w:szCs w:val="18"/>
        </w:rPr>
        <w:t>□ 适用 √ 不适用 研发投入资本化率大幅变动的原因及其合理性说明</w:t>
      </w:r>
    </w:p>
    <w:p>
      <w:pPr>
        <w:spacing w:after="0" w:line="360" w:lineRule="auto"/>
        <w:jc w:val="left"/>
        <w:rPr>
          <w:rFonts w:ascii="宋体" w:hAnsi="宋体" w:cs="宋体" w:eastAsia="宋体" w:hint="default"/>
          <w:sz w:val="18"/>
          <w:szCs w:val="18"/>
        </w:rPr>
        <w:sectPr>
          <w:pgSz w:w="11910" w:h="16840"/>
          <w:pgMar w:header="890" w:footer="1053" w:top="1420" w:bottom="1240" w:left="1000" w:right="0"/>
        </w:sectPr>
      </w:pPr>
    </w:p>
    <w:p>
      <w:pPr>
        <w:spacing w:line="338" w:lineRule="auto" w:before="66"/>
        <w:ind w:left="132" w:right="1124" w:firstLine="0"/>
        <w:jc w:val="left"/>
        <w:rPr>
          <w:rFonts w:ascii="宋体" w:hAnsi="宋体" w:cs="宋体" w:eastAsia="宋体" w:hint="default"/>
          <w:sz w:val="18"/>
          <w:szCs w:val="18"/>
        </w:rPr>
      </w:pPr>
      <w:r>
        <w:rPr>
          <w:rFonts w:ascii="宋体" w:hAnsi="宋体" w:cs="宋体" w:eastAsia="宋体" w:hint="default"/>
          <w:sz w:val="18"/>
          <w:szCs w:val="18"/>
        </w:rPr>
        <w:t>√ 适用 □ 不适用 2019年研发投入资本化率为0.00%，较去年同期减少4.77个百分点，主要系上期新能源项目转入无形资产，本期新能源新项 目处于研究阶段所致。</w:t>
      </w:r>
    </w:p>
    <w:p>
      <w:pPr>
        <w:spacing w:line="240" w:lineRule="auto" w:before="5"/>
        <w:rPr>
          <w:rFonts w:ascii="宋体" w:hAnsi="宋体" w:cs="宋体" w:eastAsia="宋体" w:hint="default"/>
          <w:sz w:val="21"/>
          <w:szCs w:val="21"/>
        </w:rPr>
      </w:pPr>
    </w:p>
    <w:p>
      <w:pPr>
        <w:spacing w:before="0"/>
        <w:ind w:left="132" w:right="1164" w:firstLine="0"/>
        <w:jc w:val="left"/>
        <w:rPr>
          <w:rFonts w:ascii="宋体" w:hAnsi="宋体" w:cs="宋体" w:eastAsia="宋体" w:hint="default"/>
          <w:sz w:val="21"/>
          <w:szCs w:val="21"/>
        </w:rPr>
      </w:pPr>
      <w:bookmarkStart w:name="5、现金流" w:id="39"/>
      <w:bookmarkEnd w:id="39"/>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、现金流</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2639"/>
        <w:gridCol w:w="2145"/>
        <w:gridCol w:w="2392"/>
        <w:gridCol w:w="2392"/>
      </w:tblGrid>
      <w:tr>
        <w:trPr>
          <w:trHeight w:val="332" w:hRule="exact"/>
        </w:trPr>
        <w:tc>
          <w:tcPr>
            <w:tcW w:w="2639"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214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8,671,832,364.13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7,750,331,133.28</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pacing w:val="-2"/>
                <w:sz w:val="18"/>
              </w:rPr>
              <w:t>11.89%</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7,799,664,690.61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2"/>
                <w:sz w:val="18"/>
              </w:rPr>
              <w:t>7,111,759,846.35</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8"/>
              <w:jc w:val="right"/>
              <w:rPr>
                <w:rFonts w:ascii="Times New Roman" w:hAnsi="Times New Roman" w:cs="Times New Roman" w:eastAsia="Times New Roman" w:hint="default"/>
                <w:sz w:val="18"/>
                <w:szCs w:val="18"/>
              </w:rPr>
            </w:pPr>
            <w:r>
              <w:rPr>
                <w:rFonts w:ascii="Times New Roman"/>
                <w:sz w:val="18"/>
              </w:rPr>
              <w:t>9.67%</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872,167,673.52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638,571,286.93</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36.58%</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8,109,944,619.20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1,529,508,055.83</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pacing w:val="-1"/>
                <w:sz w:val="18"/>
              </w:rPr>
              <w:t>430.23%</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8,198,730,198.29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1,879,587,500.21</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pacing w:val="-1"/>
                <w:sz w:val="18"/>
              </w:rPr>
              <w:t>336.20%</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-88,785,579.09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-350,079,444.38</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pacing w:val="-1"/>
                <w:sz w:val="18"/>
              </w:rPr>
              <w:t>74.64%</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1,537,194,155.05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1,828,242,545.10</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8"/>
              <w:jc w:val="right"/>
              <w:rPr>
                <w:rFonts w:ascii="Times New Roman" w:hAnsi="Times New Roman" w:cs="Times New Roman" w:eastAsia="Times New Roman" w:hint="default"/>
                <w:sz w:val="18"/>
                <w:szCs w:val="18"/>
              </w:rPr>
            </w:pPr>
            <w:r>
              <w:rPr>
                <w:rFonts w:ascii="Times New Roman"/>
                <w:spacing w:val="-1"/>
                <w:sz w:val="18"/>
              </w:rPr>
              <w:t>-15.92%</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2,061,704,496.33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2,345,502,556.53</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8"/>
              <w:jc w:val="right"/>
              <w:rPr>
                <w:rFonts w:ascii="Times New Roman" w:hAnsi="Times New Roman" w:cs="Times New Roman" w:eastAsia="Times New Roman" w:hint="default"/>
                <w:sz w:val="18"/>
                <w:szCs w:val="18"/>
              </w:rPr>
            </w:pPr>
            <w:r>
              <w:rPr>
                <w:rFonts w:ascii="Times New Roman"/>
                <w:spacing w:val="-1"/>
                <w:sz w:val="18"/>
              </w:rPr>
              <w:t>-12.10%</w:t>
            </w:r>
          </w:p>
        </w:tc>
      </w:tr>
      <w:tr>
        <w:trPr>
          <w:trHeight w:val="322" w:hRule="exact"/>
        </w:trPr>
        <w:tc>
          <w:tcPr>
            <w:tcW w:w="263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-524,510,341.28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-517,260,011.43</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z w:val="18"/>
              </w:rPr>
              <w:t>-1.40%</w:t>
            </w:r>
          </w:p>
        </w:tc>
      </w:tr>
      <w:tr>
        <w:trPr>
          <w:trHeight w:val="332" w:hRule="exact"/>
        </w:trPr>
        <w:tc>
          <w:tcPr>
            <w:tcW w:w="263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259,558,203.49</w:t>
            </w:r>
          </w:p>
        </w:tc>
        <w:tc>
          <w:tcPr>
            <w:tcW w:w="23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-227,153,925.53</w:t>
            </w:r>
          </w:p>
        </w:tc>
        <w:tc>
          <w:tcPr>
            <w:tcW w:w="2392"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right="88"/>
              <w:jc w:val="right"/>
              <w:rPr>
                <w:rFonts w:ascii="Times New Roman" w:hAnsi="Times New Roman" w:cs="Times New Roman" w:eastAsia="Times New Roman" w:hint="default"/>
                <w:sz w:val="18"/>
                <w:szCs w:val="18"/>
              </w:rPr>
            </w:pPr>
            <w:r>
              <w:rPr>
                <w:rFonts w:ascii="Times New Roman"/>
                <w:spacing w:val="-1"/>
                <w:sz w:val="18"/>
              </w:rPr>
              <w:t>214.27%</w:t>
            </w:r>
          </w:p>
        </w:tc>
      </w:tr>
    </w:tbl>
    <w:p>
      <w:pPr>
        <w:spacing w:before="53"/>
        <w:ind w:left="132" w:right="1164"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line="338" w:lineRule="auto" w:before="115"/>
        <w:ind w:left="132" w:right="1034" w:firstLine="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pacing w:val="-2"/>
          <w:sz w:val="18"/>
          <w:szCs w:val="18"/>
        </w:rPr>
        <w:t>1.经营活动产生的现金流量净额较上年同比上升36.58%，主要系：（1）当期订单量增加，销售收入同比上升；（2）收现比</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例上升；（3）本期优化支付方式，票据支付增加；</w:t>
      </w:r>
    </w:p>
    <w:p>
      <w:pPr>
        <w:spacing w:before="2"/>
        <w:ind w:left="132" w:right="1164" w:firstLine="0"/>
        <w:jc w:val="left"/>
        <w:rPr>
          <w:rFonts w:ascii="宋体" w:hAnsi="宋体" w:cs="宋体" w:eastAsia="宋体" w:hint="default"/>
          <w:sz w:val="18"/>
          <w:szCs w:val="18"/>
        </w:rPr>
      </w:pPr>
      <w:r>
        <w:rPr>
          <w:rFonts w:ascii="宋体" w:hAnsi="宋体" w:cs="宋体" w:eastAsia="宋体" w:hint="default"/>
          <w:sz w:val="18"/>
          <w:szCs w:val="18"/>
        </w:rPr>
        <w:t>2.投资活动产生的现金流量净额较上年同比上升74.64%，主要系本期理财净流出减少所致；</w:t>
      </w:r>
    </w:p>
    <w:p>
      <w:pPr>
        <w:spacing w:before="76"/>
        <w:ind w:left="132" w:right="1164" w:firstLine="0"/>
        <w:jc w:val="left"/>
        <w:rPr>
          <w:rFonts w:ascii="宋体" w:hAnsi="宋体" w:cs="宋体" w:eastAsia="宋体" w:hint="default"/>
          <w:sz w:val="18"/>
          <w:szCs w:val="18"/>
        </w:rPr>
      </w:pPr>
      <w:r>
        <w:rPr>
          <w:rFonts w:ascii="宋体" w:hAnsi="宋体" w:cs="宋体" w:eastAsia="宋体" w:hint="default"/>
          <w:sz w:val="18"/>
          <w:szCs w:val="18"/>
        </w:rPr>
        <w:t>3.现金及现金等价物净增加额较上年同比上升214.27%，主要系本期销售收入增加，销售收现增加所致。</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line="338" w:lineRule="auto" w:before="115"/>
        <w:ind w:left="132" w:right="1034" w:firstLine="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pacing w:val="-2"/>
          <w:sz w:val="18"/>
          <w:szCs w:val="18"/>
        </w:rPr>
        <w:t>主要系本期计提折旧和摊销1.55亿元，资产减值准备1.14亿元，财务费用0.72亿元，存货减少1.91亿元，经营性应付项目增</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加4.70亿元所致。</w:t>
      </w:r>
    </w:p>
    <w:p>
      <w:pPr>
        <w:spacing w:line="240" w:lineRule="auto" w:before="6"/>
        <w:rPr>
          <w:rFonts w:ascii="宋体" w:hAnsi="宋体" w:cs="宋体" w:eastAsia="宋体" w:hint="default"/>
          <w:sz w:val="19"/>
          <w:szCs w:val="19"/>
        </w:rPr>
      </w:pPr>
    </w:p>
    <w:p>
      <w:pPr>
        <w:pStyle w:val="Heading2"/>
        <w:spacing w:line="240" w:lineRule="auto"/>
        <w:ind w:right="1164"/>
        <w:jc w:val="left"/>
        <w:rPr>
          <w:b w:val="0"/>
          <w:bCs w:val="0"/>
        </w:rPr>
      </w:pPr>
      <w:bookmarkStart w:name="三、非主营业务分析" w:id="40"/>
      <w:bookmarkEnd w:id="40"/>
      <w:r>
        <w:rPr>
          <w:b w:val="0"/>
          <w:bCs w:val="0"/>
        </w:rPr>
      </w:r>
      <w:r>
        <w:rPr/>
        <w:t>三、非主营业务分析</w:t>
      </w:r>
      <w:r>
        <w:rPr>
          <w:b w:val="0"/>
          <w:bCs w:val="0"/>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四、资产及负债状况分析" w:id="41"/>
      <w:bookmarkEnd w:id="41"/>
      <w:r>
        <w:rPr>
          <w:b w:val="0"/>
          <w:bCs w:val="0"/>
        </w:rPr>
      </w:r>
      <w:r>
        <w:rPr/>
        <w:t>四、资产及负债状况分析</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资产构成重大变动情况" w:id="42"/>
      <w:bookmarkEnd w:id="42"/>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、资产构成重大变动情况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90" w:footer="1053" w:top="1420" w:bottom="1240" w:left="1000" w:right="0"/>
        </w:sectPr>
      </w:pPr>
    </w:p>
    <w:p>
      <w:pPr>
        <w:spacing w:before="44"/>
        <w:ind w:left="132" w:right="-17" w:firstLine="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年起首次执行新金融工具准则、新收入准则或新租赁准则且调整执行当年年初财务报表相关项目</w:t>
      </w:r>
    </w:p>
    <w:p>
      <w:pPr>
        <w:spacing w:before="101"/>
        <w:ind w:left="132" w:right="-17"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660" w:bottom="700" w:left="1000" w:right="0"/>
          <w:cols w:num="2" w:equalWidth="0">
            <w:col w:w="8505" w:space="414"/>
            <w:col w:w="1991"/>
          </w:cols>
        </w:sectPr>
      </w:pP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059"/>
        <w:gridCol w:w="2480"/>
        <w:gridCol w:w="2390"/>
        <w:gridCol w:w="854"/>
        <w:gridCol w:w="2786"/>
      </w:tblGrid>
      <w:tr>
        <w:trPr>
          <w:trHeight w:val="330" w:hRule="exact"/>
        </w:trPr>
        <w:tc>
          <w:tcPr>
            <w:tcW w:w="1059" w:type="dxa"/>
            <w:tcBorders>
              <w:top w:val="single" w:sz="12" w:space="0" w:color="000000"/>
              <w:left w:val="single" w:sz="12" w:space="0" w:color="000000"/>
              <w:bottom w:val="single" w:sz="4" w:space="0" w:color="000000"/>
              <w:right w:val="single" w:sz="4" w:space="0" w:color="000000"/>
            </w:tcBorders>
            <w:shd w:val="clear" w:color="auto" w:fill="D2D2D2"/>
          </w:tcPr>
          <w:p>
            <w:pPr/>
          </w:p>
        </w:tc>
        <w:tc>
          <w:tcPr>
            <w:tcW w:w="24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39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年初</w:t>
            </w:r>
          </w:p>
        </w:tc>
        <w:tc>
          <w:tcPr>
            <w:tcW w:w="85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51" w:right="0"/>
              <w:jc w:val="left"/>
              <w:rPr>
                <w:rFonts w:ascii="宋体" w:hAnsi="宋体" w:cs="宋体" w:eastAsia="宋体" w:hint="default"/>
                <w:sz w:val="18"/>
                <w:szCs w:val="18"/>
              </w:rPr>
            </w:pPr>
            <w:r>
              <w:rPr>
                <w:rFonts w:ascii="宋体" w:hAnsi="宋体" w:cs="宋体" w:eastAsia="宋体" w:hint="default"/>
                <w:sz w:val="18"/>
                <w:szCs w:val="18"/>
              </w:rPr>
              <w:t>比重增</w:t>
            </w:r>
          </w:p>
        </w:tc>
        <w:tc>
          <w:tcPr>
            <w:tcW w:w="2786"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left="847"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bl>
    <w:p>
      <w:pPr>
        <w:spacing w:after="0" w:line="240" w:lineRule="auto"/>
        <w:jc w:val="left"/>
        <w:rPr>
          <w:rFonts w:ascii="宋体" w:hAnsi="宋体" w:cs="宋体" w:eastAsia="宋体" w:hint="default"/>
          <w:sz w:val="18"/>
          <w:szCs w:val="18"/>
        </w:rPr>
        <w:sectPr>
          <w:type w:val="continuous"/>
          <w:pgSz w:w="11910" w:h="16840"/>
          <w:pgMar w:top="660" w:bottom="700" w:left="1000" w:right="0"/>
        </w:sectPr>
      </w:pPr>
    </w:p>
    <w:p>
      <w:pPr>
        <w:spacing w:line="240" w:lineRule="auto" w:before="0"/>
        <w:rPr>
          <w:rFonts w:ascii="宋体" w:hAnsi="宋体" w:cs="宋体" w:eastAsia="宋体" w:hint="default"/>
          <w:sz w:val="20"/>
          <w:szCs w:val="20"/>
        </w:rPr>
      </w:pPr>
      <w:r>
        <w:rPr/>
        <w:pict>
          <v:shape style="position:absolute;margin-left:55.98pt;margin-top:74.500023pt;width:480.65pt;height:633.450pt;mso-position-horizontal-relative:page;mso-position-vertical-relative:page;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59"/>
                    <w:gridCol w:w="1600"/>
                    <w:gridCol w:w="880"/>
                    <w:gridCol w:w="1590"/>
                    <w:gridCol w:w="800"/>
                    <w:gridCol w:w="854"/>
                    <w:gridCol w:w="2786"/>
                  </w:tblGrid>
                  <w:tr>
                    <w:trPr>
                      <w:trHeight w:val="634"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
                    </w:tc>
                    <w:tc>
                      <w:tcPr>
                        <w:tcW w:w="1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2"/>
                          <w:ind w:left="164" w:right="163"/>
                          <w:jc w:val="left"/>
                          <w:rPr>
                            <w:rFonts w:ascii="宋体" w:hAnsi="宋体" w:cs="宋体" w:eastAsia="宋体" w:hint="default"/>
                            <w:sz w:val="18"/>
                            <w:szCs w:val="18"/>
                          </w:rPr>
                        </w:pPr>
                        <w:r>
                          <w:rPr>
                            <w:rFonts w:ascii="宋体" w:hAnsi="宋体" w:cs="宋体" w:eastAsia="宋体" w:hint="default"/>
                            <w:sz w:val="18"/>
                            <w:szCs w:val="18"/>
                          </w:rPr>
                          <w:t>占总资 产比例</w:t>
                        </w:r>
                      </w:p>
                    </w:tc>
                    <w:tc>
                      <w:tcPr>
                        <w:tcW w:w="1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2"/>
                          <w:ind w:left="125" w:right="122"/>
                          <w:jc w:val="left"/>
                          <w:rPr>
                            <w:rFonts w:ascii="宋体" w:hAnsi="宋体" w:cs="宋体" w:eastAsia="宋体" w:hint="default"/>
                            <w:sz w:val="18"/>
                            <w:szCs w:val="18"/>
                          </w:rPr>
                        </w:pPr>
                        <w:r>
                          <w:rPr>
                            <w:rFonts w:ascii="宋体" w:hAnsi="宋体" w:cs="宋体" w:eastAsia="宋体" w:hint="default"/>
                            <w:sz w:val="18"/>
                            <w:szCs w:val="18"/>
                          </w:rPr>
                          <w:t>占总资 产比例</w:t>
                        </w:r>
                      </w:p>
                    </w:tc>
                    <w:tc>
                      <w:tcPr>
                        <w:tcW w:w="8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减</w:t>
                        </w:r>
                      </w:p>
                    </w:tc>
                    <w:tc>
                      <w:tcPr>
                        <w:tcW w:w="2786" w:type="dxa"/>
                        <w:tcBorders>
                          <w:top w:val="single" w:sz="4" w:space="0" w:color="000000"/>
                          <w:left w:val="single" w:sz="4" w:space="0" w:color="000000"/>
                          <w:bottom w:val="single" w:sz="4" w:space="0" w:color="000000"/>
                          <w:right w:val="single" w:sz="12" w:space="0" w:color="000000"/>
                        </w:tcBorders>
                        <w:shd w:val="clear" w:color="auto" w:fill="D2D2D2"/>
                      </w:tcPr>
                      <w:p>
                        <w:pPr/>
                      </w:p>
                    </w:tc>
                  </w:tr>
                  <w:tr>
                    <w:trPr>
                      <w:trHeight w:val="946"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1,167,696,694.63</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15.37%</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1"/>
                            <w:sz w:val="18"/>
                          </w:rPr>
                          <w:t>911,828,018.69</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1"/>
                            <w:sz w:val="18"/>
                          </w:rPr>
                          <w:t>12.42%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74" w:right="0"/>
                          <w:jc w:val="center"/>
                          <w:rPr>
                            <w:rFonts w:ascii="Times New Roman" w:hAnsi="Times New Roman" w:cs="Times New Roman" w:eastAsia="Times New Roman" w:hint="default"/>
                            <w:sz w:val="18"/>
                            <w:szCs w:val="18"/>
                          </w:rPr>
                        </w:pPr>
                        <w:r>
                          <w:rPr>
                            <w:rFonts w:ascii="Times New Roman"/>
                            <w:sz w:val="18"/>
                          </w:rPr>
                          <w:t>2.95%</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1"/>
                          <w:ind w:left="103" w:right="142"/>
                          <w:jc w:val="both"/>
                          <w:rPr>
                            <w:rFonts w:ascii="宋体" w:hAnsi="宋体" w:cs="宋体" w:eastAsia="宋体" w:hint="default"/>
                            <w:sz w:val="18"/>
                            <w:szCs w:val="18"/>
                          </w:rPr>
                        </w:pPr>
                        <w:r>
                          <w:rPr>
                            <w:rFonts w:ascii="宋体" w:hAnsi="宋体" w:cs="宋体" w:eastAsia="宋体" w:hint="default"/>
                            <w:sz w:val="18"/>
                            <w:szCs w:val="18"/>
                          </w:rPr>
                          <w:t>主要系公司强化应收款管理，应 收账款收回增加，银行留存增加 所致</w:t>
                        </w:r>
                      </w:p>
                    </w:tc>
                  </w:tr>
                  <w:tr>
                    <w:trPr>
                      <w:trHeight w:val="634"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2,806,834,635.35</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36.94%</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2,817,531,246.14</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38.37%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19" w:right="0"/>
                          <w:jc w:val="center"/>
                          <w:rPr>
                            <w:rFonts w:ascii="Times New Roman" w:hAnsi="Times New Roman" w:cs="Times New Roman" w:eastAsia="Times New Roman" w:hint="default"/>
                            <w:sz w:val="18"/>
                            <w:szCs w:val="18"/>
                          </w:rPr>
                        </w:pPr>
                        <w:r>
                          <w:rPr>
                            <w:rFonts w:ascii="Times New Roman"/>
                            <w:sz w:val="18"/>
                          </w:rPr>
                          <w:t>-1.43%</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1"/>
                          <w:ind w:left="103" w:right="142"/>
                          <w:jc w:val="left"/>
                          <w:rPr>
                            <w:rFonts w:ascii="宋体" w:hAnsi="宋体" w:cs="宋体" w:eastAsia="宋体" w:hint="default"/>
                            <w:sz w:val="18"/>
                            <w:szCs w:val="18"/>
                          </w:rPr>
                        </w:pPr>
                        <w:r>
                          <w:rPr>
                            <w:rFonts w:ascii="宋体" w:hAnsi="宋体" w:cs="宋体" w:eastAsia="宋体" w:hint="default"/>
                            <w:sz w:val="18"/>
                            <w:szCs w:val="18"/>
                          </w:rPr>
                          <w:t>主要系公司强化应收款管理，应 收账款收回增加所致</w:t>
                        </w:r>
                      </w:p>
                    </w:tc>
                  </w:tr>
                  <w:tr>
                    <w:trPr>
                      <w:trHeight w:val="634"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671,197,091.05</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8.83%</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872,933,627.56</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11.89%</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19" w:right="0"/>
                          <w:jc w:val="center"/>
                          <w:rPr>
                            <w:rFonts w:ascii="Times New Roman" w:hAnsi="Times New Roman" w:cs="Times New Roman" w:eastAsia="Times New Roman" w:hint="default"/>
                            <w:sz w:val="18"/>
                            <w:szCs w:val="18"/>
                          </w:rPr>
                        </w:pPr>
                        <w:r>
                          <w:rPr>
                            <w:rFonts w:ascii="Times New Roman"/>
                            <w:sz w:val="18"/>
                          </w:rPr>
                          <w:t>-3.06%</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0"/>
                          <w:ind w:left="103" w:right="142"/>
                          <w:jc w:val="left"/>
                          <w:rPr>
                            <w:rFonts w:ascii="宋体" w:hAnsi="宋体" w:cs="宋体" w:eastAsia="宋体" w:hint="default"/>
                            <w:sz w:val="18"/>
                            <w:szCs w:val="18"/>
                          </w:rPr>
                        </w:pPr>
                        <w:r>
                          <w:rPr>
                            <w:rFonts w:ascii="宋体" w:hAnsi="宋体" w:cs="宋体" w:eastAsia="宋体" w:hint="default"/>
                            <w:sz w:val="18"/>
                            <w:szCs w:val="18"/>
                          </w:rPr>
                          <w:t>主要系公司优化存货管理，加快 存货周转速度所致</w:t>
                        </w:r>
                      </w:p>
                    </w:tc>
                  </w:tr>
                  <w:tr>
                    <w:trPr>
                      <w:trHeight w:val="634"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0"/>
                          <w:ind w:left="92" w:right="225"/>
                          <w:jc w:val="left"/>
                          <w:rPr>
                            <w:rFonts w:ascii="宋体" w:hAnsi="宋体" w:cs="宋体" w:eastAsia="宋体" w:hint="default"/>
                            <w:sz w:val="18"/>
                            <w:szCs w:val="18"/>
                          </w:rPr>
                        </w:pPr>
                        <w:r>
                          <w:rPr>
                            <w:rFonts w:ascii="宋体" w:hAnsi="宋体" w:cs="宋体" w:eastAsia="宋体" w:hint="default"/>
                            <w:sz w:val="18"/>
                            <w:szCs w:val="18"/>
                          </w:rPr>
                          <w:t>投资性房 地产</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14,760,474.94</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0.19%</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15,934,545.27</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0.22%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9" w:right="0"/>
                          <w:jc w:val="center"/>
                          <w:rPr>
                            <w:rFonts w:ascii="Times New Roman" w:hAnsi="Times New Roman" w:cs="Times New Roman" w:eastAsia="Times New Roman" w:hint="default"/>
                            <w:sz w:val="18"/>
                            <w:szCs w:val="18"/>
                          </w:rPr>
                        </w:pPr>
                        <w:r>
                          <w:rPr>
                            <w:rFonts w:ascii="Times New Roman"/>
                            <w:sz w:val="18"/>
                          </w:rPr>
                          <w:t>-0.03%</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634"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0"/>
                          <w:ind w:left="92" w:right="225"/>
                          <w:jc w:val="left"/>
                          <w:rPr>
                            <w:rFonts w:ascii="宋体" w:hAnsi="宋体" w:cs="宋体" w:eastAsia="宋体" w:hint="default"/>
                            <w:sz w:val="18"/>
                            <w:szCs w:val="18"/>
                          </w:rPr>
                        </w:pPr>
                        <w:r>
                          <w:rPr>
                            <w:rFonts w:ascii="宋体" w:hAnsi="宋体" w:cs="宋体" w:eastAsia="宋体" w:hint="default"/>
                            <w:sz w:val="18"/>
                            <w:szCs w:val="18"/>
                          </w:rPr>
                          <w:t>长期股权 投资</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22,634,983.57</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0.30%</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24,813,537.21</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0.34%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9" w:right="0"/>
                          <w:jc w:val="center"/>
                          <w:rPr>
                            <w:rFonts w:ascii="Times New Roman" w:hAnsi="Times New Roman" w:cs="Times New Roman" w:eastAsia="Times New Roman" w:hint="default"/>
                            <w:sz w:val="18"/>
                            <w:szCs w:val="18"/>
                          </w:rPr>
                        </w:pPr>
                        <w:r>
                          <w:rPr>
                            <w:rFonts w:ascii="Times New Roman"/>
                            <w:sz w:val="18"/>
                          </w:rPr>
                          <w:t>-0.04%</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946"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1,039,842,652.21</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13.69%</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1"/>
                            <w:sz w:val="18"/>
                          </w:rPr>
                          <w:t>953,397,942.10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1"/>
                            <w:sz w:val="18"/>
                          </w:rPr>
                          <w:t>12.98%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74" w:right="0"/>
                          <w:jc w:val="center"/>
                          <w:rPr>
                            <w:rFonts w:ascii="Times New Roman" w:hAnsi="Times New Roman" w:cs="Times New Roman" w:eastAsia="Times New Roman" w:hint="default"/>
                            <w:sz w:val="18"/>
                            <w:szCs w:val="18"/>
                          </w:rPr>
                        </w:pPr>
                        <w:r>
                          <w:rPr>
                            <w:rFonts w:ascii="Times New Roman"/>
                            <w:sz w:val="18"/>
                          </w:rPr>
                          <w:t>0.71%</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2"/>
                          <w:ind w:left="103" w:right="142"/>
                          <w:jc w:val="both"/>
                          <w:rPr>
                            <w:rFonts w:ascii="宋体" w:hAnsi="宋体" w:cs="宋体" w:eastAsia="宋体" w:hint="default"/>
                            <w:sz w:val="18"/>
                            <w:szCs w:val="18"/>
                          </w:rPr>
                        </w:pPr>
                        <w:r>
                          <w:rPr>
                            <w:rFonts w:ascii="宋体" w:hAnsi="宋体" w:cs="宋体" w:eastAsia="宋体" w:hint="default"/>
                            <w:sz w:val="18"/>
                            <w:szCs w:val="18"/>
                          </w:rPr>
                          <w:t>主要系万马智慧创新基地已完工 部分及充电桩项目转入固定资产 所致</w:t>
                        </w:r>
                      </w:p>
                    </w:tc>
                  </w:tr>
                  <w:tr>
                    <w:trPr>
                      <w:trHeight w:val="946"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168,907,354.22</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2.22%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1"/>
                            <w:sz w:val="18"/>
                          </w:rPr>
                          <w:t>155,191,685.63</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pacing w:val="-2"/>
                            <w:sz w:val="18"/>
                          </w:rPr>
                          <w:t>2.11%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1" w:right="0"/>
                          <w:jc w:val="center"/>
                          <w:rPr>
                            <w:rFonts w:ascii="Times New Roman" w:hAnsi="Times New Roman" w:cs="Times New Roman" w:eastAsia="Times New Roman" w:hint="default"/>
                            <w:sz w:val="18"/>
                            <w:szCs w:val="18"/>
                          </w:rPr>
                        </w:pPr>
                        <w:r>
                          <w:rPr>
                            <w:rFonts w:ascii="Times New Roman"/>
                            <w:sz w:val="18"/>
                          </w:rPr>
                          <w:t>0.11%</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09" w:lineRule="auto" w:before="11"/>
                          <w:ind w:left="103" w:right="142"/>
                          <w:jc w:val="both"/>
                          <w:rPr>
                            <w:rFonts w:ascii="宋体" w:hAnsi="宋体" w:cs="宋体" w:eastAsia="宋体" w:hint="default"/>
                            <w:sz w:val="18"/>
                            <w:szCs w:val="18"/>
                          </w:rPr>
                        </w:pPr>
                        <w:r>
                          <w:rPr>
                            <w:rFonts w:ascii="宋体" w:hAnsi="宋体" w:cs="宋体" w:eastAsia="宋体" w:hint="default"/>
                            <w:sz w:val="18"/>
                            <w:szCs w:val="18"/>
                          </w:rPr>
                          <w:t>主要系万马智慧创新基地、全国 充电桩及年产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万吨电缆料项 目增加所致</w:t>
                        </w:r>
                      </w:p>
                    </w:tc>
                  </w:tr>
                  <w:tr>
                    <w:trPr>
                      <w:trHeight w:val="322"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955,542,843.60</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12.58%</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1,197,680,493.08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16.31%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7" w:right="0"/>
                          <w:jc w:val="center"/>
                          <w:rPr>
                            <w:rFonts w:ascii="Times New Roman" w:hAnsi="Times New Roman" w:cs="Times New Roman" w:eastAsia="Times New Roman" w:hint="default"/>
                            <w:sz w:val="18"/>
                            <w:szCs w:val="18"/>
                          </w:rPr>
                        </w:pPr>
                        <w:r>
                          <w:rPr>
                            <w:rFonts w:ascii="Times New Roman"/>
                            <w:sz w:val="18"/>
                          </w:rPr>
                          <w:t>-3.73%</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主要系本期偿还短期借款所致</w:t>
                        </w:r>
                      </w:p>
                    </w:tc>
                  </w:tr>
                  <w:tr>
                    <w:trPr>
                      <w:trHeight w:val="634" w:hRule="exact"/>
                    </w:trPr>
                    <w:tc>
                      <w:tcPr>
                        <w:tcW w:w="105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114,584,137.97</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1.51%</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74" w:right="0"/>
                          <w:jc w:val="center"/>
                          <w:rPr>
                            <w:rFonts w:ascii="Times New Roman" w:hAnsi="Times New Roman" w:cs="Times New Roman" w:eastAsia="Times New Roman" w:hint="default"/>
                            <w:sz w:val="18"/>
                            <w:szCs w:val="18"/>
                          </w:rPr>
                        </w:pPr>
                        <w:r>
                          <w:rPr>
                            <w:rFonts w:ascii="Times New Roman"/>
                            <w:sz w:val="18"/>
                          </w:rPr>
                          <w:t>1.51%</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0"/>
                          <w:ind w:left="103" w:right="142"/>
                          <w:jc w:val="left"/>
                          <w:rPr>
                            <w:rFonts w:ascii="宋体" w:hAnsi="宋体" w:cs="宋体" w:eastAsia="宋体" w:hint="default"/>
                            <w:sz w:val="18"/>
                            <w:szCs w:val="18"/>
                          </w:rPr>
                        </w:pPr>
                        <w:r>
                          <w:rPr>
                            <w:rFonts w:ascii="宋体" w:hAnsi="宋体" w:cs="宋体" w:eastAsia="宋体" w:hint="default"/>
                            <w:sz w:val="18"/>
                            <w:szCs w:val="18"/>
                          </w:rPr>
                          <w:t>主要系公司优化融资结构，长期 借款融资增加所致</w:t>
                        </w:r>
                      </w:p>
                    </w:tc>
                  </w:tr>
                  <w:tr>
                    <w:trPr>
                      <w:trHeight w:val="1570" w:hRule="exact"/>
                    </w:trPr>
                    <w:tc>
                      <w:tcPr>
                        <w:tcW w:w="10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361,455,996.63</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4.76%</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190,605,669.58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4" w:right="0"/>
                          <w:jc w:val="center"/>
                          <w:rPr>
                            <w:rFonts w:ascii="Times New Roman" w:hAnsi="Times New Roman" w:cs="Times New Roman" w:eastAsia="Times New Roman" w:hint="default"/>
                            <w:sz w:val="18"/>
                            <w:szCs w:val="18"/>
                          </w:rPr>
                        </w:pPr>
                        <w:r>
                          <w:rPr>
                            <w:rFonts w:ascii="Times New Roman"/>
                            <w:sz w:val="18"/>
                          </w:rPr>
                          <w:t>2.16%</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09" w:lineRule="auto" w:before="10"/>
                          <w:ind w:left="103" w:right="90"/>
                          <w:jc w:val="left"/>
                          <w:rPr>
                            <w:rFonts w:ascii="宋体" w:hAnsi="宋体" w:cs="宋体" w:eastAsia="宋体" w:hint="default"/>
                            <w:sz w:val="18"/>
                            <w:szCs w:val="18"/>
                          </w:rPr>
                        </w:pPr>
                        <w:r>
                          <w:rPr>
                            <w:rFonts w:ascii="宋体" w:hAnsi="宋体" w:cs="宋体" w:eastAsia="宋体" w:hint="default"/>
                            <w:spacing w:val="-6"/>
                            <w:sz w:val="18"/>
                            <w:szCs w:val="18"/>
                          </w:rPr>
                          <w:t>主要系：</w:t>
                        </w: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执行新金融准则信用级</w:t>
                        </w:r>
                        <w:r>
                          <w:rPr>
                            <w:rFonts w:ascii="宋体" w:hAnsi="宋体" w:cs="宋体" w:eastAsia="宋体" w:hint="default"/>
                            <w:spacing w:val="-80"/>
                            <w:sz w:val="18"/>
                            <w:szCs w:val="18"/>
                          </w:rPr>
                          <w:t> </w:t>
                        </w:r>
                        <w:r>
                          <w:rPr>
                            <w:rFonts w:ascii="宋体" w:hAnsi="宋体" w:cs="宋体" w:eastAsia="宋体" w:hint="default"/>
                            <w:sz w:val="18"/>
                            <w:szCs w:val="18"/>
                          </w:rPr>
                          <w:t>别较低的期末尚未到期但已经背 书或贴现的承兑票据不终止确 </w:t>
                        </w:r>
                        <w:r>
                          <w:rPr>
                            <w:rFonts w:ascii="宋体" w:hAnsi="宋体" w:cs="宋体" w:eastAsia="宋体" w:hint="default"/>
                            <w:spacing w:val="-6"/>
                            <w:sz w:val="18"/>
                            <w:szCs w:val="18"/>
                          </w:rPr>
                          <w:t>认；</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本期销售收入增加，银行承</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兑相应增加</w:t>
                        </w:r>
                      </w:p>
                    </w:tc>
                  </w:tr>
                  <w:tr>
                    <w:trPr>
                      <w:trHeight w:val="634" w:hRule="exact"/>
                    </w:trPr>
                    <w:tc>
                      <w:tcPr>
                        <w:tcW w:w="1059"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0"/>
                          <w:ind w:left="92" w:right="225"/>
                          <w:jc w:val="left"/>
                          <w:rPr>
                            <w:rFonts w:ascii="宋体" w:hAnsi="宋体" w:cs="宋体" w:eastAsia="宋体" w:hint="default"/>
                            <w:sz w:val="18"/>
                            <w:szCs w:val="18"/>
                          </w:rPr>
                        </w:pPr>
                        <w:r>
                          <w:rPr>
                            <w:rFonts w:ascii="宋体" w:hAnsi="宋体" w:cs="宋体" w:eastAsia="宋体" w:hint="default"/>
                            <w:sz w:val="18"/>
                            <w:szCs w:val="18"/>
                          </w:rPr>
                          <w:t>应收款项 融资</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374,014,153.83</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4.92%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310,347,258.87</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4.23%</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4" w:right="0"/>
                          <w:jc w:val="center"/>
                          <w:rPr>
                            <w:rFonts w:ascii="Times New Roman" w:hAnsi="Times New Roman" w:cs="Times New Roman" w:eastAsia="Times New Roman" w:hint="default"/>
                            <w:sz w:val="18"/>
                            <w:szCs w:val="18"/>
                          </w:rPr>
                        </w:pPr>
                        <w:r>
                          <w:rPr>
                            <w:rFonts w:ascii="Times New Roman"/>
                            <w:sz w:val="18"/>
                          </w:rPr>
                          <w:t>0.69%</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0"/>
                          <w:ind w:left="103" w:right="142"/>
                          <w:jc w:val="left"/>
                          <w:rPr>
                            <w:rFonts w:ascii="宋体" w:hAnsi="宋体" w:cs="宋体" w:eastAsia="宋体" w:hint="default"/>
                            <w:sz w:val="18"/>
                            <w:szCs w:val="18"/>
                          </w:rPr>
                        </w:pPr>
                        <w:r>
                          <w:rPr>
                            <w:rFonts w:ascii="宋体" w:hAnsi="宋体" w:cs="宋体" w:eastAsia="宋体" w:hint="default"/>
                            <w:sz w:val="18"/>
                            <w:szCs w:val="18"/>
                          </w:rPr>
                          <w:t>主要系本期销售收入增加，信用 级别较高的银行承兑相应增加</w:t>
                        </w:r>
                      </w:p>
                    </w:tc>
                  </w:tr>
                  <w:tr>
                    <w:trPr>
                      <w:trHeight w:val="634" w:hRule="exact"/>
                    </w:trPr>
                    <w:tc>
                      <w:tcPr>
                        <w:tcW w:w="10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883,361,291.82</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11.63%</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687,397,850.80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9.36%</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4" w:right="0"/>
                          <w:jc w:val="center"/>
                          <w:rPr>
                            <w:rFonts w:ascii="Times New Roman" w:hAnsi="Times New Roman" w:cs="Times New Roman" w:eastAsia="Times New Roman" w:hint="default"/>
                            <w:sz w:val="18"/>
                            <w:szCs w:val="18"/>
                          </w:rPr>
                        </w:pPr>
                        <w:r>
                          <w:rPr>
                            <w:rFonts w:ascii="Times New Roman"/>
                            <w:sz w:val="18"/>
                          </w:rPr>
                          <w:t>2.27%</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2"/>
                          <w:ind w:left="103" w:right="142"/>
                          <w:jc w:val="left"/>
                          <w:rPr>
                            <w:rFonts w:ascii="宋体" w:hAnsi="宋体" w:cs="宋体" w:eastAsia="宋体" w:hint="default"/>
                            <w:sz w:val="18"/>
                            <w:szCs w:val="18"/>
                          </w:rPr>
                        </w:pPr>
                        <w:r>
                          <w:rPr>
                            <w:rFonts w:ascii="宋体" w:hAnsi="宋体" w:cs="宋体" w:eastAsia="宋体" w:hint="default"/>
                            <w:sz w:val="18"/>
                            <w:szCs w:val="18"/>
                          </w:rPr>
                          <w:t>主要系本期公司优化付款方式， 增加票据支付所致</w:t>
                        </w:r>
                      </w:p>
                    </w:tc>
                  </w:tr>
                  <w:tr>
                    <w:trPr>
                      <w:trHeight w:val="322" w:hRule="exact"/>
                    </w:trPr>
                    <w:tc>
                      <w:tcPr>
                        <w:tcW w:w="10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244,914,844.52</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199,852,640.37</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2.72%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4" w:right="0"/>
                          <w:jc w:val="center"/>
                          <w:rPr>
                            <w:rFonts w:ascii="Times New Roman" w:hAnsi="Times New Roman" w:cs="Times New Roman" w:eastAsia="Times New Roman" w:hint="default"/>
                            <w:sz w:val="18"/>
                            <w:szCs w:val="18"/>
                          </w:rPr>
                        </w:pPr>
                        <w:r>
                          <w:rPr>
                            <w:rFonts w:ascii="Times New Roman"/>
                            <w:sz w:val="18"/>
                          </w:rPr>
                          <w:t>0.50%</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946" w:hRule="exact"/>
                    </w:trPr>
                    <w:tc>
                      <w:tcPr>
                        <w:tcW w:w="1059"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1"/>
                          <w:ind w:left="92" w:right="225"/>
                          <w:jc w:val="both"/>
                          <w:rPr>
                            <w:rFonts w:ascii="宋体" w:hAnsi="宋体" w:cs="宋体" w:eastAsia="宋体" w:hint="default"/>
                            <w:sz w:val="18"/>
                            <w:szCs w:val="18"/>
                          </w:rPr>
                        </w:pPr>
                        <w:r>
                          <w:rPr>
                            <w:rFonts w:ascii="宋体" w:hAnsi="宋体" w:cs="宋体" w:eastAsia="宋体" w:hint="default"/>
                            <w:sz w:val="18"/>
                            <w:szCs w:val="18"/>
                          </w:rPr>
                          <w:t>一年内到 期的非流 动负债</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01"/>
                          <w:jc w:val="right"/>
                          <w:rPr>
                            <w:rFonts w:ascii="Times New Roman" w:hAnsi="Times New Roman" w:cs="Times New Roman" w:eastAsia="Times New Roman" w:hint="default"/>
                            <w:sz w:val="18"/>
                            <w:szCs w:val="18"/>
                          </w:rPr>
                        </w:pPr>
                        <w:r>
                          <w:rPr>
                            <w:rFonts w:ascii="Times New Roman"/>
                            <w:spacing w:val="-1"/>
                            <w:sz w:val="18"/>
                          </w:rPr>
                          <w:t>600,000.00</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00"/>
                          <w:jc w:val="right"/>
                          <w:rPr>
                            <w:rFonts w:ascii="Times New Roman" w:hAnsi="Times New Roman" w:cs="Times New Roman" w:eastAsia="Times New Roman" w:hint="default"/>
                            <w:sz w:val="18"/>
                            <w:szCs w:val="18"/>
                          </w:rPr>
                        </w:pPr>
                        <w:r>
                          <w:rPr>
                            <w:rFonts w:ascii="Times New Roman"/>
                            <w:spacing w:val="-1"/>
                            <w:sz w:val="18"/>
                          </w:rPr>
                          <w:t>0.01%</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99"/>
                          <w:jc w:val="right"/>
                          <w:rPr>
                            <w:rFonts w:ascii="Times New Roman" w:hAnsi="Times New Roman" w:cs="Times New Roman" w:eastAsia="Times New Roman" w:hint="default"/>
                            <w:sz w:val="18"/>
                            <w:szCs w:val="18"/>
                          </w:rPr>
                        </w:pPr>
                        <w:r>
                          <w:rPr>
                            <w:rFonts w:ascii="Times New Roman"/>
                            <w:spacing w:val="-1"/>
                            <w:sz w:val="18"/>
                          </w:rPr>
                          <w:t>309,440,607.52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99"/>
                          <w:jc w:val="right"/>
                          <w:rPr>
                            <w:rFonts w:ascii="Times New Roman" w:hAnsi="Times New Roman" w:cs="Times New Roman" w:eastAsia="Times New Roman" w:hint="default"/>
                            <w:sz w:val="18"/>
                            <w:szCs w:val="18"/>
                          </w:rPr>
                        </w:pPr>
                        <w:r>
                          <w:rPr>
                            <w:rFonts w:ascii="Times New Roman"/>
                            <w:spacing w:val="-1"/>
                            <w:sz w:val="18"/>
                          </w:rPr>
                          <w:t>4.21%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17" w:right="0"/>
                          <w:jc w:val="center"/>
                          <w:rPr>
                            <w:rFonts w:ascii="Times New Roman" w:hAnsi="Times New Roman" w:cs="Times New Roman" w:eastAsia="Times New Roman" w:hint="default"/>
                            <w:sz w:val="18"/>
                            <w:szCs w:val="18"/>
                          </w:rPr>
                        </w:pPr>
                        <w:r>
                          <w:rPr>
                            <w:rFonts w:ascii="Times New Roman"/>
                            <w:sz w:val="18"/>
                          </w:rPr>
                          <w:t>-4.20%</w:t>
                        </w:r>
                      </w:p>
                    </w:tc>
                    <w:tc>
                      <w:tcPr>
                        <w:tcW w:w="278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主要系公司偿还到期公司债所致</w:t>
                        </w:r>
                      </w:p>
                    </w:tc>
                  </w:tr>
                  <w:tr>
                    <w:trPr>
                      <w:trHeight w:val="1580" w:hRule="exact"/>
                    </w:trPr>
                    <w:tc>
                      <w:tcPr>
                        <w:tcW w:w="1059"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92" w:right="225"/>
                          <w:jc w:val="left"/>
                          <w:rPr>
                            <w:rFonts w:ascii="宋体" w:hAnsi="宋体" w:cs="宋体" w:eastAsia="宋体" w:hint="default"/>
                            <w:sz w:val="18"/>
                            <w:szCs w:val="18"/>
                          </w:rPr>
                        </w:pPr>
                        <w:r>
                          <w:rPr>
                            <w:rFonts w:ascii="宋体" w:hAnsi="宋体" w:cs="宋体" w:eastAsia="宋体" w:hint="default"/>
                            <w:sz w:val="18"/>
                            <w:szCs w:val="18"/>
                          </w:rPr>
                          <w:t>其他流动 负债</w:t>
                        </w:r>
                      </w:p>
                    </w:tc>
                    <w:tc>
                      <w:tcPr>
                        <w:tcW w:w="16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149,299,388.02</w:t>
                        </w:r>
                      </w:p>
                    </w:tc>
                    <w:tc>
                      <w:tcPr>
                        <w:tcW w:w="8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1.97%</w:t>
                        </w:r>
                      </w:p>
                    </w:tc>
                    <w:tc>
                      <w:tcPr>
                        <w:tcW w:w="159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24,510,982.45</w:t>
                        </w:r>
                      </w:p>
                    </w:tc>
                    <w:tc>
                      <w:tcPr>
                        <w:tcW w:w="8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0.33%</w:t>
                        </w:r>
                      </w:p>
                    </w:tc>
                    <w:tc>
                      <w:tcPr>
                        <w:tcW w:w="8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74" w:right="0"/>
                          <w:jc w:val="center"/>
                          <w:rPr>
                            <w:rFonts w:ascii="Times New Roman" w:hAnsi="Times New Roman" w:cs="Times New Roman" w:eastAsia="Times New Roman" w:hint="default"/>
                            <w:sz w:val="18"/>
                            <w:szCs w:val="18"/>
                          </w:rPr>
                        </w:pPr>
                        <w:r>
                          <w:rPr>
                            <w:rFonts w:ascii="Times New Roman"/>
                            <w:sz w:val="18"/>
                          </w:rPr>
                          <w:t>1.64%</w:t>
                        </w:r>
                      </w:p>
                    </w:tc>
                    <w:tc>
                      <w:tcPr>
                        <w:tcW w:w="2786" w:type="dxa"/>
                        <w:tcBorders>
                          <w:top w:val="single" w:sz="4" w:space="0" w:color="000000"/>
                          <w:left w:val="single" w:sz="4" w:space="0" w:color="000000"/>
                          <w:bottom w:val="single" w:sz="12" w:space="0" w:color="000000"/>
                          <w:right w:val="single" w:sz="12" w:space="0" w:color="000000"/>
                        </w:tcBorders>
                      </w:tcPr>
                      <w:p>
                        <w:pPr>
                          <w:pStyle w:val="TableParagraph"/>
                          <w:spacing w:line="316" w:lineRule="auto" w:before="10"/>
                          <w:ind w:left="103" w:right="142"/>
                          <w:jc w:val="left"/>
                          <w:rPr>
                            <w:rFonts w:ascii="宋体" w:hAnsi="宋体" w:cs="宋体" w:eastAsia="宋体" w:hint="default"/>
                            <w:sz w:val="18"/>
                            <w:szCs w:val="18"/>
                          </w:rPr>
                        </w:pPr>
                        <w:r>
                          <w:rPr>
                            <w:rFonts w:ascii="宋体" w:hAnsi="宋体" w:cs="宋体" w:eastAsia="宋体" w:hint="default"/>
                            <w:sz w:val="18"/>
                            <w:szCs w:val="18"/>
                          </w:rPr>
                          <w:t>主要系执行新金融准则，将信用 级别较低的承兑年末未到期且已 经背书或贴现的票据不终止确 认，重分类至“其他流动负债” 科目所致</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spacing w:before="34"/>
        <w:ind w:left="132" w:right="1164" w:firstLine="0"/>
        <w:jc w:val="left"/>
        <w:rPr>
          <w:rFonts w:ascii="宋体" w:hAnsi="宋体" w:cs="宋体" w:eastAsia="宋体" w:hint="default"/>
          <w:sz w:val="21"/>
          <w:szCs w:val="21"/>
        </w:rPr>
      </w:pPr>
      <w:bookmarkStart w:name="2、以公允价值计量的资产和负债" w:id="43"/>
      <w:bookmarkEnd w:id="4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、以公允价值计量的资产和负债</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90" w:footer="1053" w:top="1500" w:bottom="1240" w:left="1000" w:right="0"/>
        </w:sectPr>
      </w:pPr>
    </w:p>
    <w:p>
      <w:pPr>
        <w:spacing w:before="66"/>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004"/>
        <w:gridCol w:w="1273"/>
        <w:gridCol w:w="1250"/>
        <w:gridCol w:w="1280"/>
        <w:gridCol w:w="651"/>
        <w:gridCol w:w="1359"/>
        <w:gridCol w:w="1310"/>
        <w:gridCol w:w="342"/>
        <w:gridCol w:w="1099"/>
      </w:tblGrid>
      <w:tr>
        <w:trPr>
          <w:trHeight w:val="1268" w:hRule="exact"/>
        </w:trPr>
        <w:tc>
          <w:tcPr>
            <w:tcW w:w="1004"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127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5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24"/>
                <w:szCs w:val="24"/>
              </w:rPr>
            </w:pPr>
          </w:p>
          <w:p>
            <w:pPr>
              <w:pStyle w:val="TableParagraph"/>
              <w:spacing w:line="316" w:lineRule="auto"/>
              <w:ind w:left="169" w:right="168"/>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2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316" w:lineRule="auto"/>
              <w:ind w:left="184" w:right="183"/>
              <w:jc w:val="center"/>
              <w:rPr>
                <w:rFonts w:ascii="宋体" w:hAnsi="宋体" w:cs="宋体" w:eastAsia="宋体" w:hint="default"/>
                <w:sz w:val="18"/>
                <w:szCs w:val="18"/>
              </w:rPr>
            </w:pPr>
            <w:r>
              <w:rPr>
                <w:rFonts w:ascii="宋体" w:hAnsi="宋体" w:cs="宋体" w:eastAsia="宋体" w:hint="default"/>
                <w:sz w:val="18"/>
                <w:szCs w:val="18"/>
              </w:rPr>
              <w:t>计入权益的 累计公允价 值变动</w:t>
            </w:r>
          </w:p>
        </w:tc>
        <w:tc>
          <w:tcPr>
            <w:tcW w:w="651"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2"/>
              <w:ind w:left="140" w:right="138"/>
              <w:jc w:val="both"/>
              <w:rPr>
                <w:rFonts w:ascii="宋体" w:hAnsi="宋体" w:cs="宋体" w:eastAsia="宋体" w:hint="default"/>
                <w:sz w:val="18"/>
                <w:szCs w:val="18"/>
              </w:rPr>
            </w:pPr>
            <w:r>
              <w:rPr>
                <w:rFonts w:ascii="宋体" w:hAnsi="宋体" w:cs="宋体" w:eastAsia="宋体" w:hint="default"/>
                <w:sz w:val="18"/>
                <w:szCs w:val="18"/>
              </w:rPr>
              <w:t>本期 计提 的减 值</w:t>
            </w:r>
          </w:p>
        </w:tc>
        <w:tc>
          <w:tcPr>
            <w:tcW w:w="135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z w:val="18"/>
                <w:szCs w:val="18"/>
              </w:rPr>
              <w:t>本期购买金额</w:t>
            </w:r>
          </w:p>
        </w:tc>
        <w:tc>
          <w:tcPr>
            <w:tcW w:w="131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本期出售金额</w:t>
            </w:r>
          </w:p>
        </w:tc>
        <w:tc>
          <w:tcPr>
            <w:tcW w:w="34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2"/>
              <w:ind w:left="103" w:right="46"/>
              <w:jc w:val="both"/>
              <w:rPr>
                <w:rFonts w:ascii="宋体" w:hAnsi="宋体" w:cs="宋体" w:eastAsia="宋体" w:hint="default"/>
                <w:sz w:val="18"/>
                <w:szCs w:val="18"/>
              </w:rPr>
            </w:pPr>
            <w:r>
              <w:rPr>
                <w:rFonts w:ascii="宋体" w:hAnsi="宋体" w:cs="宋体" w:eastAsia="宋体" w:hint="default"/>
                <w:sz w:val="18"/>
                <w:szCs w:val="18"/>
              </w:rPr>
              <w:t>其 他 变 动</w:t>
            </w:r>
          </w:p>
        </w:tc>
        <w:tc>
          <w:tcPr>
            <w:tcW w:w="1099"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322" w:hRule="exact"/>
        </w:trPr>
        <w:tc>
          <w:tcPr>
            <w:tcW w:w="100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79"/>
              <w:jc w:val="center"/>
              <w:rPr>
                <w:rFonts w:ascii="宋体" w:hAnsi="宋体" w:cs="宋体" w:eastAsia="宋体" w:hint="default"/>
                <w:sz w:val="18"/>
                <w:szCs w:val="18"/>
              </w:rPr>
            </w:pPr>
            <w:r>
              <w:rPr>
                <w:rFonts w:ascii="宋体" w:hAnsi="宋体" w:cs="宋体" w:eastAsia="宋体" w:hint="default"/>
                <w:sz w:val="18"/>
                <w:szCs w:val="18"/>
              </w:rPr>
              <w:t>金融资产</w:t>
            </w:r>
          </w:p>
        </w:tc>
        <w:tc>
          <w:tcPr>
            <w:tcW w:w="8564" w:type="dxa"/>
            <w:gridSpan w:val="8"/>
            <w:tcBorders>
              <w:top w:val="single" w:sz="4" w:space="0" w:color="000000"/>
              <w:left w:val="single" w:sz="4" w:space="0" w:color="000000"/>
              <w:bottom w:val="single" w:sz="4" w:space="0" w:color="000000"/>
              <w:right w:val="single" w:sz="12" w:space="0" w:color="000000"/>
            </w:tcBorders>
            <w:shd w:val="clear" w:color="auto" w:fill="D2D2D2"/>
          </w:tcPr>
          <w:p>
            <w:pPr/>
          </w:p>
        </w:tc>
      </w:tr>
      <w:tr>
        <w:trPr>
          <w:trHeight w:val="634" w:hRule="exact"/>
        </w:trPr>
        <w:tc>
          <w:tcPr>
            <w:tcW w:w="100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00" w:lineRule="auto" w:before="11"/>
              <w:ind w:left="92" w:right="21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衍生金 融资产</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84,793,811.08</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89" w:right="0"/>
              <w:jc w:val="center"/>
              <w:rPr>
                <w:rFonts w:ascii="Times New Roman" w:hAnsi="Times New Roman" w:cs="Times New Roman" w:eastAsia="Times New Roman" w:hint="default"/>
                <w:sz w:val="18"/>
                <w:szCs w:val="18"/>
              </w:rPr>
            </w:pPr>
            <w:r>
              <w:rPr>
                <w:rFonts w:ascii="Times New Roman"/>
                <w:sz w:val="18"/>
              </w:rPr>
              <w:t>4,513,941.63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-1,438,397.66</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1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510,555,998.00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473,046,609.6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342"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pacing w:val="-1"/>
                <w:sz w:val="18"/>
              </w:rPr>
              <w:t>77,525,430.</w:t>
            </w:r>
          </w:p>
          <w:p>
            <w:pPr>
              <w:pStyle w:val="TableParagraph"/>
              <w:spacing w:line="240" w:lineRule="auto" w:before="105"/>
              <w:ind w:right="90"/>
              <w:jc w:val="right"/>
              <w:rPr>
                <w:rFonts w:ascii="Times New Roman" w:hAnsi="Times New Roman" w:cs="Times New Roman" w:eastAsia="Times New Roman" w:hint="default"/>
                <w:sz w:val="18"/>
                <w:szCs w:val="18"/>
              </w:rPr>
            </w:pPr>
            <w:r>
              <w:rPr>
                <w:rFonts w:ascii="Times New Roman"/>
                <w:sz w:val="18"/>
              </w:rPr>
              <w:t>77</w:t>
            </w:r>
          </w:p>
        </w:tc>
      </w:tr>
      <w:tr>
        <w:trPr>
          <w:trHeight w:val="634" w:hRule="exact"/>
        </w:trPr>
        <w:tc>
          <w:tcPr>
            <w:tcW w:w="100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0"/>
              <w:ind w:left="92" w:right="170"/>
              <w:jc w:val="left"/>
              <w:rPr>
                <w:rFonts w:ascii="宋体" w:hAnsi="宋体" w:cs="宋体" w:eastAsia="宋体" w:hint="default"/>
                <w:sz w:val="18"/>
                <w:szCs w:val="18"/>
              </w:rPr>
            </w:pPr>
            <w:r>
              <w:rPr>
                <w:rFonts w:ascii="宋体" w:hAnsi="宋体" w:cs="宋体" w:eastAsia="宋体" w:hint="default"/>
                <w:sz w:val="18"/>
                <w:szCs w:val="18"/>
              </w:rPr>
              <w:t>金融资产 小计</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84,793,811.08</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89" w:right="0"/>
              <w:jc w:val="center"/>
              <w:rPr>
                <w:rFonts w:ascii="Times New Roman" w:hAnsi="Times New Roman" w:cs="Times New Roman" w:eastAsia="Times New Roman" w:hint="default"/>
                <w:sz w:val="18"/>
                <w:szCs w:val="18"/>
              </w:rPr>
            </w:pPr>
            <w:r>
              <w:rPr>
                <w:rFonts w:ascii="Times New Roman"/>
                <w:sz w:val="18"/>
              </w:rPr>
              <w:t>4,513,941.63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-1,438,397.66</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1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510,555,998.00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473,046,609.6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342"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pacing w:val="-1"/>
                <w:sz w:val="18"/>
              </w:rPr>
              <w:t>77,525,430.</w:t>
            </w:r>
          </w:p>
          <w:p>
            <w:pPr>
              <w:pStyle w:val="TableParagraph"/>
              <w:spacing w:line="240" w:lineRule="auto" w:before="105"/>
              <w:ind w:right="90"/>
              <w:jc w:val="right"/>
              <w:rPr>
                <w:rFonts w:ascii="Times New Roman" w:hAnsi="Times New Roman" w:cs="Times New Roman" w:eastAsia="Times New Roman" w:hint="default"/>
                <w:sz w:val="18"/>
                <w:szCs w:val="18"/>
              </w:rPr>
            </w:pPr>
            <w:r>
              <w:rPr>
                <w:rFonts w:ascii="Times New Roman"/>
                <w:sz w:val="18"/>
              </w:rPr>
              <w:t>77</w:t>
            </w:r>
          </w:p>
        </w:tc>
      </w:tr>
      <w:tr>
        <w:trPr>
          <w:trHeight w:val="634" w:hRule="exact"/>
        </w:trPr>
        <w:tc>
          <w:tcPr>
            <w:tcW w:w="100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79"/>
              <w:jc w:val="center"/>
              <w:rPr>
                <w:rFonts w:ascii="宋体" w:hAnsi="宋体" w:cs="宋体" w:eastAsia="宋体" w:hint="default"/>
                <w:sz w:val="18"/>
                <w:szCs w:val="18"/>
              </w:rPr>
            </w:pPr>
            <w:r>
              <w:rPr>
                <w:rFonts w:ascii="宋体" w:hAnsi="宋体" w:cs="宋体" w:eastAsia="宋体" w:hint="default"/>
                <w:sz w:val="18"/>
                <w:szCs w:val="18"/>
              </w:rPr>
              <w:t>上述合计</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84,793,811.08</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9" w:right="0"/>
              <w:jc w:val="center"/>
              <w:rPr>
                <w:rFonts w:ascii="Times New Roman" w:hAnsi="Times New Roman" w:cs="Times New Roman" w:eastAsia="Times New Roman" w:hint="default"/>
                <w:sz w:val="18"/>
                <w:szCs w:val="18"/>
              </w:rPr>
            </w:pPr>
            <w:r>
              <w:rPr>
                <w:rFonts w:ascii="Times New Roman"/>
                <w:sz w:val="18"/>
              </w:rPr>
              <w:t>4,513,941.63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-1,438,397.66</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13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510,555,998.00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473,046,609.6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342"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77,525,430.</w:t>
            </w:r>
          </w:p>
          <w:p>
            <w:pPr>
              <w:pStyle w:val="TableParagraph"/>
              <w:spacing w:line="240" w:lineRule="auto" w:before="105"/>
              <w:ind w:right="90"/>
              <w:jc w:val="right"/>
              <w:rPr>
                <w:rFonts w:ascii="Times New Roman" w:hAnsi="Times New Roman" w:cs="Times New Roman" w:eastAsia="Times New Roman" w:hint="default"/>
                <w:sz w:val="18"/>
                <w:szCs w:val="18"/>
              </w:rPr>
            </w:pPr>
            <w:r>
              <w:rPr>
                <w:rFonts w:ascii="Times New Roman"/>
                <w:sz w:val="18"/>
              </w:rPr>
              <w:t>77</w:t>
            </w:r>
          </w:p>
        </w:tc>
      </w:tr>
      <w:tr>
        <w:trPr>
          <w:trHeight w:val="644" w:hRule="exact"/>
        </w:trPr>
        <w:tc>
          <w:tcPr>
            <w:tcW w:w="1004"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79"/>
              <w:jc w:val="center"/>
              <w:rPr>
                <w:rFonts w:ascii="宋体" w:hAnsi="宋体" w:cs="宋体" w:eastAsia="宋体" w:hint="default"/>
                <w:sz w:val="18"/>
                <w:szCs w:val="18"/>
              </w:rPr>
            </w:pPr>
            <w:r>
              <w:rPr>
                <w:rFonts w:ascii="宋体" w:hAnsi="宋体" w:cs="宋体" w:eastAsia="宋体" w:hint="default"/>
                <w:sz w:val="18"/>
                <w:szCs w:val="18"/>
              </w:rPr>
              <w:t>金融负债</w:t>
            </w:r>
          </w:p>
        </w:tc>
        <w:tc>
          <w:tcPr>
            <w:tcW w:w="127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855,651.36</w:t>
            </w:r>
          </w:p>
        </w:tc>
        <w:tc>
          <w:tcPr>
            <w:tcW w:w="12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-1,738,721.90</w:t>
            </w:r>
          </w:p>
        </w:tc>
        <w:tc>
          <w:tcPr>
            <w:tcW w:w="12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6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135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0.00</w:t>
            </w:r>
          </w:p>
        </w:tc>
        <w:tc>
          <w:tcPr>
            <w:tcW w:w="13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342" w:type="dxa"/>
            <w:tcBorders>
              <w:top w:val="single" w:sz="4" w:space="0" w:color="000000"/>
              <w:left w:val="single" w:sz="4" w:space="0" w:color="000000"/>
              <w:bottom w:val="single" w:sz="12" w:space="0" w:color="000000"/>
              <w:right w:val="single" w:sz="4" w:space="0" w:color="000000"/>
            </w:tcBorders>
          </w:tcPr>
          <w:p>
            <w:pPr/>
          </w:p>
        </w:tc>
        <w:tc>
          <w:tcPr>
            <w:tcW w:w="109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pacing w:val="-1"/>
                <w:sz w:val="18"/>
              </w:rPr>
              <w:t>2,594,373.2</w:t>
            </w:r>
          </w:p>
          <w:p>
            <w:pPr>
              <w:pStyle w:val="TableParagraph"/>
              <w:spacing w:line="240" w:lineRule="auto" w:before="105"/>
              <w:ind w:right="90"/>
              <w:jc w:val="right"/>
              <w:rPr>
                <w:rFonts w:ascii="Times New Roman" w:hAnsi="Times New Roman" w:cs="Times New Roman" w:eastAsia="Times New Roman" w:hint="default"/>
                <w:sz w:val="18"/>
                <w:szCs w:val="18"/>
              </w:rPr>
            </w:pPr>
            <w:r>
              <w:rPr>
                <w:rFonts w:ascii="Times New Roman"/>
                <w:sz w:val="18"/>
              </w:rPr>
              <w:t>6</w:t>
            </w:r>
          </w:p>
        </w:tc>
      </w:tr>
    </w:tbl>
    <w:p>
      <w:pPr>
        <w:spacing w:line="357" w:lineRule="auto" w:before="52"/>
        <w:ind w:left="132" w:right="6794" w:firstLine="0"/>
        <w:jc w:val="left"/>
        <w:rPr>
          <w:rFonts w:ascii="宋体" w:hAnsi="宋体" w:cs="宋体" w:eastAsia="宋体" w:hint="default"/>
          <w:sz w:val="18"/>
          <w:szCs w:val="18"/>
        </w:rPr>
      </w:pPr>
      <w:r>
        <w:rPr>
          <w:rFonts w:ascii="宋体" w:hAnsi="宋体" w:cs="宋体" w:eastAsia="宋体" w:hint="default"/>
          <w:sz w:val="18"/>
          <w:szCs w:val="18"/>
        </w:rPr>
        <w:t>其他变动的内容 报告期内公司主要资产计量属性是否发生重大变化</w:t>
      </w:r>
    </w:p>
    <w:p>
      <w:pPr>
        <w:spacing w:before="29"/>
        <w:ind w:left="132" w:right="1164"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3、截至报告期末的资产权利受限情况" w:id="44"/>
      <w:bookmarkEnd w:id="4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、截至报告期末的资产权利受限情况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511" w:right="1164" w:firstLine="0"/>
        <w:jc w:val="left"/>
        <w:rPr>
          <w:rFonts w:ascii="宋体" w:hAnsi="宋体" w:cs="宋体" w:eastAsia="宋体" w:hint="default"/>
          <w:sz w:val="18"/>
          <w:szCs w:val="18"/>
        </w:rPr>
      </w:pPr>
      <w:r>
        <w:rPr>
          <w:rFonts w:ascii="宋体" w:hAnsi="宋体" w:cs="宋体" w:eastAsia="宋体" w:hint="default"/>
          <w:sz w:val="18"/>
          <w:szCs w:val="18"/>
        </w:rPr>
        <w:t>详情请见第十二节 财务报告</w:t>
      </w:r>
      <w:r>
        <w:rPr>
          <w:rFonts w:ascii="Times New Roman" w:hAnsi="Times New Roman" w:cs="Times New Roman" w:eastAsia="Times New Roman" w:hint="default"/>
          <w:sz w:val="18"/>
          <w:szCs w:val="18"/>
        </w:rPr>
        <w:t>“</w:t>
      </w:r>
      <w:r>
        <w:rPr>
          <w:rFonts w:ascii="宋体" w:hAnsi="宋体" w:cs="宋体" w:eastAsia="宋体" w:hint="default"/>
          <w:sz w:val="18"/>
          <w:szCs w:val="18"/>
        </w:rPr>
        <w:t>八、合并财务报表主要项目注释</w:t>
      </w:r>
      <w:r>
        <w:rPr>
          <w:rFonts w:ascii="宋体" w:hAnsi="宋体" w:cs="宋体" w:eastAsia="宋体" w:hint="default"/>
          <w:spacing w:val="-6"/>
          <w:sz w:val="18"/>
          <w:szCs w:val="18"/>
        </w:rPr>
        <w:t> </w:t>
      </w:r>
      <w:r>
        <w:rPr>
          <w:rFonts w:ascii="宋体" w:hAnsi="宋体" w:cs="宋体" w:eastAsia="宋体" w:hint="default"/>
          <w:sz w:val="18"/>
          <w:szCs w:val="18"/>
        </w:rPr>
        <w:t>54所有权或使用权受限制的资产</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57"/>
        <w:ind w:right="1164"/>
        <w:jc w:val="left"/>
        <w:rPr>
          <w:b w:val="0"/>
          <w:bCs w:val="0"/>
        </w:rPr>
      </w:pPr>
      <w:bookmarkStart w:name="五、投资状况分析" w:id="45"/>
      <w:bookmarkEnd w:id="45"/>
      <w:r>
        <w:rPr>
          <w:b w:val="0"/>
          <w:bCs w:val="0"/>
        </w:rPr>
      </w:r>
      <w:r>
        <w:rPr/>
        <w:t>五、投资状况分析</w:t>
      </w:r>
      <w:r>
        <w:rPr>
          <w:b w:val="0"/>
          <w:bCs w:val="0"/>
        </w:rPr>
      </w:r>
    </w:p>
    <w:p>
      <w:pPr>
        <w:spacing w:line="240" w:lineRule="auto" w:before="7"/>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总体情况" w:id="46"/>
      <w:bookmarkEnd w:id="46"/>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、总体情况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188"/>
        <w:gridCol w:w="3190"/>
        <w:gridCol w:w="3191"/>
      </w:tblGrid>
      <w:tr>
        <w:trPr>
          <w:trHeight w:val="332" w:hRule="exact"/>
        </w:trPr>
        <w:tc>
          <w:tcPr>
            <w:tcW w:w="3188"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76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89"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1"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332" w:hRule="exact"/>
        </w:trPr>
        <w:tc>
          <w:tcPr>
            <w:tcW w:w="318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51"/>
              <w:ind w:left="1940" w:right="0"/>
              <w:jc w:val="left"/>
              <w:rPr>
                <w:rFonts w:ascii="Times New Roman" w:hAnsi="Times New Roman" w:cs="Times New Roman" w:eastAsia="Times New Roman" w:hint="default"/>
                <w:sz w:val="18"/>
                <w:szCs w:val="18"/>
              </w:rPr>
            </w:pPr>
            <w:r>
              <w:rPr>
                <w:rFonts w:ascii="Times New Roman"/>
                <w:sz w:val="18"/>
              </w:rPr>
              <w:t>325,330,722.12</w:t>
            </w:r>
          </w:p>
        </w:tc>
        <w:tc>
          <w:tcPr>
            <w:tcW w:w="319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951" w:right="0"/>
              <w:jc w:val="left"/>
              <w:rPr>
                <w:rFonts w:ascii="Times New Roman" w:hAnsi="Times New Roman" w:cs="Times New Roman" w:eastAsia="Times New Roman" w:hint="default"/>
                <w:sz w:val="18"/>
                <w:szCs w:val="18"/>
              </w:rPr>
            </w:pPr>
            <w:r>
              <w:rPr>
                <w:rFonts w:ascii="Times New Roman"/>
                <w:sz w:val="18"/>
              </w:rPr>
              <w:t>645,264,984.00</w:t>
            </w:r>
          </w:p>
        </w:tc>
        <w:tc>
          <w:tcPr>
            <w:tcW w:w="319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pacing w:val="-1"/>
                <w:sz w:val="18"/>
              </w:rPr>
              <w:t>-49.58%</w:t>
            </w:r>
          </w:p>
        </w:tc>
      </w:tr>
    </w:tbl>
    <w:p>
      <w:pPr>
        <w:spacing w:line="240" w:lineRule="auto" w:before="5"/>
        <w:rPr>
          <w:rFonts w:ascii="宋体" w:hAnsi="宋体" w:cs="宋体" w:eastAsia="宋体" w:hint="default"/>
          <w:sz w:val="19"/>
          <w:szCs w:val="19"/>
        </w:rPr>
      </w:pPr>
    </w:p>
    <w:p>
      <w:pPr>
        <w:spacing w:before="34"/>
        <w:ind w:left="132" w:right="1164" w:firstLine="0"/>
        <w:jc w:val="left"/>
        <w:rPr>
          <w:rFonts w:ascii="宋体" w:hAnsi="宋体" w:cs="宋体" w:eastAsia="宋体" w:hint="default"/>
          <w:sz w:val="21"/>
          <w:szCs w:val="21"/>
        </w:rPr>
      </w:pPr>
      <w:bookmarkStart w:name="2、报告期内获取的重大的股权投资情况" w:id="47"/>
      <w:bookmarkEnd w:id="47"/>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、报告期内获取的重大的股权投资情况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654"/>
        <w:gridCol w:w="819"/>
        <w:gridCol w:w="455"/>
        <w:gridCol w:w="622"/>
        <w:gridCol w:w="622"/>
        <w:gridCol w:w="622"/>
        <w:gridCol w:w="618"/>
        <w:gridCol w:w="616"/>
        <w:gridCol w:w="618"/>
        <w:gridCol w:w="592"/>
        <w:gridCol w:w="592"/>
        <w:gridCol w:w="693"/>
        <w:gridCol w:w="690"/>
        <w:gridCol w:w="690"/>
        <w:gridCol w:w="668"/>
      </w:tblGrid>
      <w:tr>
        <w:trPr>
          <w:trHeight w:val="2202" w:hRule="exact"/>
        </w:trPr>
        <w:tc>
          <w:tcPr>
            <w:tcW w:w="654"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133" w:right="139"/>
              <w:jc w:val="both"/>
              <w:rPr>
                <w:rFonts w:ascii="宋体" w:hAnsi="宋体" w:cs="宋体" w:eastAsia="宋体" w:hint="default"/>
                <w:sz w:val="18"/>
                <w:szCs w:val="18"/>
              </w:rPr>
            </w:pPr>
            <w:r>
              <w:rPr>
                <w:rFonts w:ascii="宋体" w:hAnsi="宋体" w:cs="宋体" w:eastAsia="宋体" w:hint="default"/>
                <w:sz w:val="18"/>
                <w:szCs w:val="18"/>
              </w:rPr>
              <w:t>被投 资公 司名 称</w:t>
            </w:r>
          </w:p>
        </w:tc>
        <w:tc>
          <w:tcPr>
            <w:tcW w:w="81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314" w:right="133"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45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131" w:right="132"/>
              <w:jc w:val="both"/>
              <w:rPr>
                <w:rFonts w:ascii="宋体" w:hAnsi="宋体" w:cs="宋体" w:eastAsia="宋体" w:hint="default"/>
                <w:sz w:val="18"/>
                <w:szCs w:val="18"/>
              </w:rPr>
            </w:pPr>
            <w:r>
              <w:rPr>
                <w:rFonts w:ascii="宋体" w:hAnsi="宋体" w:cs="宋体" w:eastAsia="宋体" w:hint="default"/>
                <w:sz w:val="18"/>
                <w:szCs w:val="18"/>
              </w:rPr>
              <w:t>投 资 方 式</w:t>
            </w:r>
          </w:p>
        </w:tc>
        <w:tc>
          <w:tcPr>
            <w:tcW w:w="62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25" w:right="125"/>
              <w:jc w:val="left"/>
              <w:rPr>
                <w:rFonts w:ascii="宋体" w:hAnsi="宋体" w:cs="宋体" w:eastAsia="宋体" w:hint="default"/>
                <w:sz w:val="18"/>
                <w:szCs w:val="18"/>
              </w:rPr>
            </w:pPr>
            <w:r>
              <w:rPr>
                <w:rFonts w:ascii="宋体" w:hAnsi="宋体" w:cs="宋体" w:eastAsia="宋体" w:hint="default"/>
                <w:sz w:val="18"/>
                <w:szCs w:val="18"/>
              </w:rPr>
              <w:t>投资 金额</w:t>
            </w:r>
          </w:p>
        </w:tc>
        <w:tc>
          <w:tcPr>
            <w:tcW w:w="62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27" w:right="123"/>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62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26" w:right="123"/>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61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215" w:right="122" w:hanging="92"/>
              <w:jc w:val="left"/>
              <w:rPr>
                <w:rFonts w:ascii="宋体" w:hAnsi="宋体" w:cs="宋体" w:eastAsia="宋体" w:hint="default"/>
                <w:sz w:val="18"/>
                <w:szCs w:val="18"/>
              </w:rPr>
            </w:pPr>
            <w:r>
              <w:rPr>
                <w:rFonts w:ascii="宋体" w:hAnsi="宋体" w:cs="宋体" w:eastAsia="宋体" w:hint="default"/>
                <w:sz w:val="18"/>
                <w:szCs w:val="18"/>
              </w:rPr>
              <w:t>合作 方</w:t>
            </w:r>
          </w:p>
        </w:tc>
        <w:tc>
          <w:tcPr>
            <w:tcW w:w="61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22" w:right="121"/>
              <w:jc w:val="left"/>
              <w:rPr>
                <w:rFonts w:ascii="宋体" w:hAnsi="宋体" w:cs="宋体" w:eastAsia="宋体" w:hint="default"/>
                <w:sz w:val="18"/>
                <w:szCs w:val="18"/>
              </w:rPr>
            </w:pPr>
            <w:r>
              <w:rPr>
                <w:rFonts w:ascii="宋体" w:hAnsi="宋体" w:cs="宋体" w:eastAsia="宋体" w:hint="default"/>
                <w:sz w:val="18"/>
                <w:szCs w:val="18"/>
              </w:rPr>
              <w:t>投资 期限</w:t>
            </w:r>
          </w:p>
        </w:tc>
        <w:tc>
          <w:tcPr>
            <w:tcW w:w="61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23" w:right="122"/>
              <w:jc w:val="left"/>
              <w:rPr>
                <w:rFonts w:ascii="宋体" w:hAnsi="宋体" w:cs="宋体" w:eastAsia="宋体" w:hint="default"/>
                <w:sz w:val="18"/>
                <w:szCs w:val="18"/>
              </w:rPr>
            </w:pPr>
            <w:r>
              <w:rPr>
                <w:rFonts w:ascii="宋体" w:hAnsi="宋体" w:cs="宋体" w:eastAsia="宋体" w:hint="default"/>
                <w:sz w:val="18"/>
                <w:szCs w:val="18"/>
              </w:rPr>
              <w:t>产品 类型</w:t>
            </w:r>
          </w:p>
        </w:tc>
        <w:tc>
          <w:tcPr>
            <w:tcW w:w="59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2"/>
              <w:ind w:left="110" w:right="110"/>
              <w:jc w:val="both"/>
              <w:rPr>
                <w:rFonts w:ascii="宋体" w:hAnsi="宋体" w:cs="宋体" w:eastAsia="宋体" w:hint="default"/>
                <w:sz w:val="18"/>
                <w:szCs w:val="18"/>
              </w:rPr>
            </w:pPr>
            <w:r>
              <w:rPr>
                <w:rFonts w:ascii="宋体" w:hAnsi="宋体" w:cs="宋体" w:eastAsia="宋体" w:hint="default"/>
                <w:sz w:val="18"/>
                <w:szCs w:val="18"/>
              </w:rPr>
              <w:t>截至 资产 负债 表日 的进 展情 况</w:t>
            </w:r>
          </w:p>
        </w:tc>
        <w:tc>
          <w:tcPr>
            <w:tcW w:w="59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11" w:right="109"/>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69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60" w:right="161"/>
              <w:jc w:val="both"/>
              <w:rPr>
                <w:rFonts w:ascii="宋体" w:hAnsi="宋体" w:cs="宋体" w:eastAsia="宋体" w:hint="default"/>
                <w:sz w:val="18"/>
                <w:szCs w:val="18"/>
              </w:rPr>
            </w:pPr>
            <w:r>
              <w:rPr>
                <w:rFonts w:ascii="宋体" w:hAnsi="宋体" w:cs="宋体" w:eastAsia="宋体" w:hint="default"/>
                <w:sz w:val="18"/>
                <w:szCs w:val="18"/>
              </w:rPr>
              <w:t>本期 投资 盈亏</w:t>
            </w:r>
          </w:p>
        </w:tc>
        <w:tc>
          <w:tcPr>
            <w:tcW w:w="69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60" w:right="157"/>
              <w:jc w:val="left"/>
              <w:rPr>
                <w:rFonts w:ascii="宋体" w:hAnsi="宋体" w:cs="宋体" w:eastAsia="宋体" w:hint="default"/>
                <w:sz w:val="18"/>
                <w:szCs w:val="18"/>
              </w:rPr>
            </w:pPr>
            <w:r>
              <w:rPr>
                <w:rFonts w:ascii="宋体" w:hAnsi="宋体" w:cs="宋体" w:eastAsia="宋体" w:hint="default"/>
                <w:sz w:val="18"/>
                <w:szCs w:val="18"/>
              </w:rPr>
              <w:t>是否 涉诉</w:t>
            </w:r>
          </w:p>
        </w:tc>
        <w:tc>
          <w:tcPr>
            <w:tcW w:w="69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159" w:right="159"/>
              <w:jc w:val="left"/>
              <w:rPr>
                <w:rFonts w:ascii="宋体" w:hAnsi="宋体" w:cs="宋体" w:eastAsia="宋体" w:hint="default"/>
                <w:sz w:val="18"/>
                <w:szCs w:val="18"/>
              </w:rPr>
            </w:pPr>
            <w:r>
              <w:rPr>
                <w:rFonts w:ascii="宋体" w:hAnsi="宋体" w:cs="宋体" w:eastAsia="宋体" w:hint="default"/>
                <w:sz w:val="18"/>
                <w:szCs w:val="18"/>
              </w:rPr>
              <w:t>披露 日期</w:t>
            </w:r>
          </w:p>
          <w:p>
            <w:pPr>
              <w:pStyle w:val="TableParagraph"/>
              <w:spacing w:line="316" w:lineRule="auto" w:before="19"/>
              <w:ind w:left="159" w:right="159"/>
              <w:jc w:val="left"/>
              <w:rPr>
                <w:rFonts w:ascii="宋体" w:hAnsi="宋体" w:cs="宋体" w:eastAsia="宋体" w:hint="default"/>
                <w:sz w:val="18"/>
                <w:szCs w:val="18"/>
              </w:rPr>
            </w:pPr>
            <w:r>
              <w:rPr>
                <w:rFonts w:ascii="宋体" w:hAnsi="宋体" w:cs="宋体" w:eastAsia="宋体" w:hint="default"/>
                <w:sz w:val="18"/>
                <w:szCs w:val="18"/>
              </w:rPr>
              <w:t>（如 有）</w:t>
            </w:r>
          </w:p>
        </w:tc>
        <w:tc>
          <w:tcPr>
            <w:tcW w:w="668"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148" w:right="138"/>
              <w:jc w:val="left"/>
              <w:rPr>
                <w:rFonts w:ascii="宋体" w:hAnsi="宋体" w:cs="宋体" w:eastAsia="宋体" w:hint="default"/>
                <w:sz w:val="18"/>
                <w:szCs w:val="18"/>
              </w:rPr>
            </w:pPr>
            <w:r>
              <w:rPr>
                <w:rFonts w:ascii="宋体" w:hAnsi="宋体" w:cs="宋体" w:eastAsia="宋体" w:hint="default"/>
                <w:sz w:val="18"/>
                <w:szCs w:val="18"/>
              </w:rPr>
              <w:t>披露 索引</w:t>
            </w:r>
          </w:p>
          <w:p>
            <w:pPr>
              <w:pStyle w:val="TableParagraph"/>
              <w:spacing w:line="316" w:lineRule="auto" w:before="19"/>
              <w:ind w:left="148" w:right="138"/>
              <w:jc w:val="left"/>
              <w:rPr>
                <w:rFonts w:ascii="宋体" w:hAnsi="宋体" w:cs="宋体" w:eastAsia="宋体" w:hint="default"/>
                <w:sz w:val="18"/>
                <w:szCs w:val="18"/>
              </w:rPr>
            </w:pPr>
            <w:r>
              <w:rPr>
                <w:rFonts w:ascii="宋体" w:hAnsi="宋体" w:cs="宋体" w:eastAsia="宋体" w:hint="default"/>
                <w:sz w:val="18"/>
                <w:szCs w:val="18"/>
              </w:rPr>
              <w:t>（如 有）</w:t>
            </w:r>
          </w:p>
        </w:tc>
      </w:tr>
    </w:tbl>
    <w:p>
      <w:pPr>
        <w:spacing w:after="0" w:line="316" w:lineRule="auto"/>
        <w:jc w:val="left"/>
        <w:rPr>
          <w:rFonts w:ascii="宋体" w:hAnsi="宋体" w:cs="宋体" w:eastAsia="宋体" w:hint="default"/>
          <w:sz w:val="18"/>
          <w:szCs w:val="18"/>
        </w:rPr>
        <w:sectPr>
          <w:pgSz w:w="11910" w:h="16840"/>
          <w:pgMar w:header="890" w:footer="1053" w:top="1420" w:bottom="1240" w:left="1000" w:right="0"/>
        </w:sectPr>
      </w:pPr>
    </w:p>
    <w:tbl>
      <w:tblPr>
        <w:tblW w:w="0" w:type="auto"/>
        <w:jc w:val="left"/>
        <w:tblInd w:w="119" w:type="dxa"/>
        <w:tblLayout w:type="fixed"/>
        <w:tblCellMar>
          <w:top w:w="0" w:type="dxa"/>
          <w:left w:w="0" w:type="dxa"/>
          <w:bottom w:w="0" w:type="dxa"/>
          <w:right w:w="0" w:type="dxa"/>
        </w:tblCellMar>
        <w:tblLook w:val="01E0"/>
      </w:tblPr>
      <w:tblGrid>
        <w:gridCol w:w="654"/>
        <w:gridCol w:w="819"/>
        <w:gridCol w:w="455"/>
        <w:gridCol w:w="622"/>
        <w:gridCol w:w="622"/>
        <w:gridCol w:w="622"/>
        <w:gridCol w:w="618"/>
        <w:gridCol w:w="616"/>
        <w:gridCol w:w="618"/>
        <w:gridCol w:w="592"/>
        <w:gridCol w:w="592"/>
        <w:gridCol w:w="693"/>
        <w:gridCol w:w="690"/>
        <w:gridCol w:w="690"/>
        <w:gridCol w:w="668"/>
      </w:tblGrid>
      <w:tr>
        <w:trPr>
          <w:trHeight w:val="1610" w:hRule="exact"/>
        </w:trPr>
        <w:tc>
          <w:tcPr>
            <w:tcW w:w="654" w:type="dxa"/>
            <w:tcBorders>
              <w:top w:val="single" w:sz="4" w:space="0" w:color="000000"/>
              <w:left w:val="single" w:sz="12" w:space="0" w:color="000000"/>
              <w:bottom w:val="single" w:sz="4" w:space="0" w:color="000000"/>
              <w:right w:val="single" w:sz="4" w:space="0" w:color="000000"/>
            </w:tcBorders>
          </w:tcPr>
          <w:p>
            <w:pPr>
              <w:pStyle w:val="TableParagraph"/>
              <w:spacing w:line="204" w:lineRule="auto" w:before="82"/>
              <w:ind w:left="92" w:right="180"/>
              <w:jc w:val="both"/>
              <w:rPr>
                <w:rFonts w:ascii="宋体" w:hAnsi="宋体" w:cs="宋体" w:eastAsia="宋体" w:hint="default"/>
                <w:sz w:val="18"/>
                <w:szCs w:val="18"/>
              </w:rPr>
            </w:pPr>
            <w:r>
              <w:rPr>
                <w:rFonts w:ascii="宋体" w:hAnsi="宋体" w:cs="宋体" w:eastAsia="宋体" w:hint="default"/>
                <w:sz w:val="18"/>
                <w:szCs w:val="18"/>
              </w:rPr>
              <w:t>浙江 万马 海立 斯新 能源 有限 公司</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before="2"/>
              <w:ind w:left="103" w:right="164"/>
              <w:jc w:val="both"/>
              <w:rPr>
                <w:rFonts w:ascii="宋体" w:hAnsi="宋体" w:cs="宋体" w:eastAsia="宋体" w:hint="default"/>
                <w:sz w:val="18"/>
                <w:szCs w:val="18"/>
              </w:rPr>
            </w:pPr>
            <w:r>
              <w:rPr>
                <w:rFonts w:ascii="宋体" w:hAnsi="宋体" w:cs="宋体" w:eastAsia="宋体" w:hint="default"/>
                <w:sz w:val="18"/>
                <w:szCs w:val="18"/>
              </w:rPr>
              <w:t>研发， 生产： 电动汽</w:t>
            </w:r>
          </w:p>
          <w:p>
            <w:pPr>
              <w:pStyle w:val="TableParagraph"/>
              <w:spacing w:line="200" w:lineRule="exact" w:before="1"/>
              <w:ind w:left="103" w:right="164"/>
              <w:jc w:val="left"/>
              <w:rPr>
                <w:rFonts w:ascii="宋体" w:hAnsi="宋体" w:cs="宋体" w:eastAsia="宋体" w:hint="default"/>
                <w:sz w:val="18"/>
                <w:szCs w:val="18"/>
              </w:rPr>
            </w:pPr>
            <w:r>
              <w:rPr>
                <w:rFonts w:ascii="宋体" w:hAnsi="宋体" w:cs="宋体" w:eastAsia="宋体" w:hint="default"/>
                <w:sz w:val="18"/>
                <w:szCs w:val="18"/>
              </w:rPr>
              <w:t>车直流 充电 机、车</w:t>
            </w:r>
          </w:p>
          <w:p>
            <w:pPr>
              <w:pStyle w:val="TableParagraph"/>
              <w:spacing w:line="200" w:lineRule="exact" w:before="1"/>
              <w:ind w:left="103" w:right="164"/>
              <w:jc w:val="left"/>
              <w:rPr>
                <w:rFonts w:ascii="宋体" w:hAnsi="宋体" w:cs="宋体" w:eastAsia="宋体" w:hint="default"/>
                <w:sz w:val="18"/>
                <w:szCs w:val="18"/>
              </w:rPr>
            </w:pPr>
            <w:r>
              <w:rPr>
                <w:rFonts w:ascii="宋体" w:hAnsi="宋体" w:cs="宋体" w:eastAsia="宋体" w:hint="default"/>
                <w:sz w:val="18"/>
                <w:szCs w:val="18"/>
              </w:rPr>
              <w:t>载充电 机等</w:t>
            </w:r>
          </w:p>
        </w:tc>
        <w:tc>
          <w:tcPr>
            <w:tcW w:w="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316" w:lineRule="auto"/>
              <w:ind w:left="102" w:right="160"/>
              <w:jc w:val="left"/>
              <w:rPr>
                <w:rFonts w:ascii="宋体" w:hAnsi="宋体" w:cs="宋体" w:eastAsia="宋体" w:hint="default"/>
                <w:sz w:val="18"/>
                <w:szCs w:val="18"/>
              </w:rPr>
            </w:pPr>
            <w:r>
              <w:rPr>
                <w:rFonts w:ascii="宋体" w:hAnsi="宋体" w:cs="宋体" w:eastAsia="宋体" w:hint="default"/>
                <w:sz w:val="18"/>
                <w:szCs w:val="18"/>
              </w:rPr>
              <w:t>增 资</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103" w:right="0"/>
              <w:jc w:val="left"/>
              <w:rPr>
                <w:rFonts w:ascii="Times New Roman" w:hAnsi="Times New Roman" w:cs="Times New Roman" w:eastAsia="Times New Roman" w:hint="default"/>
                <w:sz w:val="18"/>
                <w:szCs w:val="18"/>
              </w:rPr>
            </w:pPr>
            <w:r>
              <w:rPr>
                <w:rFonts w:ascii="Times New Roman"/>
                <w:sz w:val="18"/>
              </w:rPr>
              <w:t>2,000</w:t>
            </w:r>
          </w:p>
          <w:p>
            <w:pPr>
              <w:pStyle w:val="TableParagraph"/>
              <w:spacing w:line="240" w:lineRule="auto" w:before="105"/>
              <w:ind w:left="47"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227" w:right="0"/>
              <w:jc w:val="center"/>
              <w:rPr>
                <w:rFonts w:ascii="Times New Roman" w:hAnsi="Times New Roman" w:cs="Times New Roman" w:eastAsia="Times New Roman" w:hint="default"/>
                <w:sz w:val="18"/>
                <w:szCs w:val="18"/>
              </w:rPr>
            </w:pPr>
            <w:r>
              <w:rPr>
                <w:rFonts w:ascii="Times New Roman"/>
                <w:sz w:val="18"/>
              </w:rPr>
              <w:t>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50.00</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316" w:lineRule="auto"/>
              <w:ind w:left="102" w:right="147"/>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73"/>
              <w:ind w:left="102" w:right="143"/>
              <w:jc w:val="left"/>
              <w:rPr>
                <w:rFonts w:ascii="Times New Roman" w:hAnsi="Times New Roman" w:cs="Times New Roman" w:eastAsia="Times New Roman" w:hint="default"/>
                <w:sz w:val="18"/>
                <w:szCs w:val="18"/>
              </w:rPr>
            </w:pPr>
            <w:r>
              <w:rPr>
                <w:rFonts w:ascii="Times New Roman"/>
                <w:sz w:val="18"/>
              </w:rPr>
              <w:t>IES-</w:t>
            </w:r>
            <w:r>
              <w:rPr>
                <w:rFonts w:ascii="Times New Roman"/>
                <w:w w:val="99"/>
                <w:sz w:val="18"/>
              </w:rPr>
              <w:t> </w:t>
            </w:r>
            <w:r>
              <w:rPr>
                <w:rFonts w:ascii="Times New Roman"/>
                <w:sz w:val="18"/>
              </w:rPr>
              <w:t>SYN</w:t>
            </w:r>
            <w:r>
              <w:rPr>
                <w:rFonts w:ascii="Times New Roman"/>
                <w:w w:val="99"/>
                <w:sz w:val="18"/>
              </w:rPr>
              <w:t> </w:t>
            </w:r>
            <w:r>
              <w:rPr>
                <w:rFonts w:ascii="Times New Roman"/>
                <w:sz w:val="18"/>
              </w:rPr>
              <w:t>ERG</w:t>
            </w:r>
            <w:r>
              <w:rPr>
                <w:rFonts w:ascii="Times New Roman"/>
                <w:w w:val="99"/>
                <w:sz w:val="18"/>
              </w:rPr>
              <w:t> </w:t>
            </w:r>
            <w:r>
              <w:rPr>
                <w:rFonts w:ascii="Times New Roman"/>
                <w:sz w:val="18"/>
              </w:rPr>
              <w:t>Y</w:t>
            </w:r>
            <w:r>
              <w:rPr>
                <w:rFonts w:ascii="Times New Roman"/>
                <w:w w:val="99"/>
                <w:sz w:val="18"/>
              </w:rPr>
              <w:t> </w:t>
            </w:r>
            <w:r>
              <w:rPr>
                <w:rFonts w:ascii="Times New Roman"/>
                <w:sz w:val="18"/>
              </w:rPr>
              <w:t>SAS</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37"/>
              <w:jc w:val="center"/>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316" w:lineRule="auto"/>
              <w:ind w:left="101" w:right="144"/>
              <w:jc w:val="left"/>
              <w:rPr>
                <w:rFonts w:ascii="宋体" w:hAnsi="宋体" w:cs="宋体" w:eastAsia="宋体" w:hint="default"/>
                <w:sz w:val="18"/>
                <w:szCs w:val="18"/>
              </w:rPr>
            </w:pPr>
            <w:r>
              <w:rPr>
                <w:rFonts w:ascii="宋体" w:hAnsi="宋体" w:cs="宋体" w:eastAsia="宋体" w:hint="default"/>
                <w:sz w:val="18"/>
                <w:szCs w:val="18"/>
              </w:rPr>
              <w:t>股权 投资</w:t>
            </w:r>
          </w:p>
        </w:tc>
        <w:tc>
          <w:tcPr>
            <w:tcW w:w="5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03" w:right="117"/>
              <w:jc w:val="left"/>
              <w:rPr>
                <w:rFonts w:ascii="宋体" w:hAnsi="宋体" w:cs="宋体" w:eastAsia="宋体" w:hint="default"/>
                <w:sz w:val="18"/>
                <w:szCs w:val="18"/>
              </w:rPr>
            </w:pPr>
            <w:r>
              <w:rPr>
                <w:rFonts w:ascii="宋体" w:hAnsi="宋体" w:cs="宋体" w:eastAsia="宋体" w:hint="default"/>
                <w:sz w:val="18"/>
                <w:szCs w:val="18"/>
              </w:rPr>
              <w:t>股权 已 全部 过</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户</w:t>
            </w:r>
          </w:p>
        </w:tc>
        <w:tc>
          <w:tcPr>
            <w:tcW w:w="592" w:type="dxa"/>
            <w:tcBorders>
              <w:top w:val="single" w:sz="4" w:space="0" w:color="000000"/>
              <w:left w:val="single" w:sz="4" w:space="0" w:color="000000"/>
              <w:bottom w:val="single" w:sz="4" w:space="0" w:color="000000"/>
              <w:right w:val="single" w:sz="4" w:space="0" w:color="000000"/>
            </w:tcBorders>
          </w:tcPr>
          <w:p>
            <w:pPr/>
          </w:p>
        </w:tc>
        <w:tc>
          <w:tcPr>
            <w:tcW w:w="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100"/>
              <w:jc w:val="right"/>
              <w:rPr>
                <w:rFonts w:ascii="Times New Roman" w:hAnsi="Times New Roman" w:cs="Times New Roman" w:eastAsia="Times New Roman" w:hint="default"/>
                <w:sz w:val="18"/>
                <w:szCs w:val="18"/>
              </w:rPr>
            </w:pPr>
            <w:r>
              <w:rPr>
                <w:rFonts w:ascii="Times New Roman"/>
                <w:spacing w:val="-1"/>
                <w:sz w:val="18"/>
              </w:rPr>
              <w:t>-4,002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,770.3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12" w:space="0" w:color="000000"/>
            </w:tcBorders>
          </w:tcPr>
          <w:p>
            <w:pPr/>
          </w:p>
        </w:tc>
      </w:tr>
      <w:tr>
        <w:trPr>
          <w:trHeight w:val="201" w:hRule="exact"/>
        </w:trPr>
        <w:tc>
          <w:tcPr>
            <w:tcW w:w="654" w:type="dxa"/>
            <w:tcBorders>
              <w:top w:val="single" w:sz="4" w:space="0" w:color="000000"/>
              <w:left w:val="single" w:sz="12" w:space="0" w:color="000000"/>
              <w:bottom w:val="nil" w:sz="6" w:space="0" w:color="auto"/>
              <w:right w:val="single" w:sz="4" w:space="0" w:color="000000"/>
            </w:tcBorders>
          </w:tcPr>
          <w:p>
            <w:pPr/>
          </w:p>
        </w:tc>
        <w:tc>
          <w:tcPr>
            <w:tcW w:w="819" w:type="dxa"/>
            <w:tcBorders>
              <w:top w:val="single" w:sz="4" w:space="0" w:color="000000"/>
              <w:left w:val="single" w:sz="4" w:space="0" w:color="000000"/>
              <w:bottom w:val="nil" w:sz="6" w:space="0" w:color="auto"/>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电线电</w:t>
            </w:r>
          </w:p>
        </w:tc>
        <w:tc>
          <w:tcPr>
            <w:tcW w:w="4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316" w:lineRule="auto"/>
              <w:ind w:left="102" w:right="160"/>
              <w:jc w:val="left"/>
              <w:rPr>
                <w:rFonts w:ascii="宋体" w:hAnsi="宋体" w:cs="宋体" w:eastAsia="宋体" w:hint="default"/>
                <w:sz w:val="18"/>
                <w:szCs w:val="18"/>
              </w:rPr>
            </w:pPr>
            <w:r>
              <w:rPr>
                <w:rFonts w:ascii="宋体" w:hAnsi="宋体" w:cs="宋体" w:eastAsia="宋体" w:hint="default"/>
                <w:sz w:val="18"/>
                <w:szCs w:val="18"/>
              </w:rPr>
              <w:t>增 资</w:t>
            </w: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616"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592" w:type="dxa"/>
            <w:tcBorders>
              <w:top w:val="single" w:sz="4" w:space="0" w:color="000000"/>
              <w:left w:val="single" w:sz="4" w:space="0" w:color="000000"/>
              <w:bottom w:val="nil" w:sz="6" w:space="0" w:color="auto"/>
              <w:right w:val="single" w:sz="4" w:space="0" w:color="000000"/>
            </w:tcBorders>
          </w:tcPr>
          <w:p>
            <w:pPr/>
          </w:p>
        </w:tc>
        <w:tc>
          <w:tcPr>
            <w:tcW w:w="592" w:type="dxa"/>
            <w:vMerge w:val="restart"/>
            <w:tcBorders>
              <w:top w:val="single" w:sz="4" w:space="0" w:color="000000"/>
              <w:left w:val="single" w:sz="4" w:space="0" w:color="000000"/>
              <w:right w:val="single" w:sz="4" w:space="0" w:color="000000"/>
            </w:tcBorders>
          </w:tcPr>
          <w:p>
            <w:pPr/>
          </w:p>
        </w:tc>
        <w:tc>
          <w:tcPr>
            <w:tcW w:w="693" w:type="dxa"/>
            <w:tcBorders>
              <w:top w:val="single" w:sz="4" w:space="0" w:color="000000"/>
              <w:left w:val="single" w:sz="4" w:space="0" w:color="000000"/>
              <w:bottom w:val="nil" w:sz="6" w:space="0" w:color="auto"/>
              <w:right w:val="single" w:sz="4" w:space="0" w:color="000000"/>
            </w:tcBorders>
          </w:tcPr>
          <w:p>
            <w:pPr/>
          </w:p>
        </w:tc>
        <w:tc>
          <w:tcPr>
            <w:tcW w:w="690" w:type="dxa"/>
            <w:tcBorders>
              <w:top w:val="single" w:sz="4" w:space="0" w:color="000000"/>
              <w:left w:val="single" w:sz="4" w:space="0" w:color="000000"/>
              <w:bottom w:val="nil" w:sz="6" w:space="0" w:color="auto"/>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68" w:type="dxa"/>
            <w:vMerge w:val="restart"/>
            <w:tcBorders>
              <w:top w:val="single" w:sz="4" w:space="0" w:color="000000"/>
              <w:left w:val="single" w:sz="4" w:space="0" w:color="000000"/>
              <w:right w:val="single" w:sz="12" w:space="0" w:color="000000"/>
            </w:tcBorders>
          </w:tcPr>
          <w:p>
            <w:pPr/>
          </w:p>
        </w:tc>
      </w:tr>
      <w:tr>
        <w:trPr>
          <w:trHeight w:val="1600" w:hRule="exact"/>
        </w:trPr>
        <w:tc>
          <w:tcPr>
            <w:tcW w:w="654" w:type="dxa"/>
            <w:tcBorders>
              <w:top w:val="nil" w:sz="6" w:space="0" w:color="auto"/>
              <w:left w:val="single" w:sz="12"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32" w:lineRule="auto"/>
              <w:ind w:left="92" w:right="102"/>
              <w:jc w:val="left"/>
              <w:rPr>
                <w:rFonts w:ascii="Times New Roman" w:hAnsi="Times New Roman" w:cs="Times New Roman" w:eastAsia="Times New Roman" w:hint="default"/>
                <w:sz w:val="18"/>
                <w:szCs w:val="18"/>
              </w:rPr>
            </w:pPr>
            <w:r>
              <w:rPr>
                <w:rFonts w:ascii="Times New Roman"/>
                <w:sz w:val="18"/>
              </w:rPr>
              <w:t>Optru</w:t>
            </w:r>
            <w:r>
              <w:rPr>
                <w:rFonts w:ascii="Times New Roman"/>
                <w:w w:val="99"/>
                <w:sz w:val="18"/>
              </w:rPr>
              <w:t> </w:t>
            </w:r>
            <w:r>
              <w:rPr>
                <w:rFonts w:ascii="Times New Roman"/>
                <w:sz w:val="18"/>
              </w:rPr>
              <w:t>m</w:t>
            </w:r>
            <w:r>
              <w:rPr>
                <w:rFonts w:ascii="Times New Roman"/>
                <w:w w:val="99"/>
                <w:sz w:val="18"/>
              </w:rPr>
              <w:t> </w:t>
            </w:r>
            <w:r>
              <w:rPr>
                <w:rFonts w:ascii="Times New Roman"/>
                <w:spacing w:val="-3"/>
                <w:sz w:val="18"/>
              </w:rPr>
              <w:t>Techn</w:t>
            </w:r>
            <w:r>
              <w:rPr>
                <w:rFonts w:ascii="Times New Roman"/>
                <w:spacing w:val="-43"/>
                <w:sz w:val="18"/>
              </w:rPr>
              <w:t> </w:t>
            </w:r>
            <w:r>
              <w:rPr>
                <w:rFonts w:ascii="Times New Roman"/>
                <w:spacing w:val="-43"/>
                <w:sz w:val="18"/>
              </w:rPr>
            </w:r>
            <w:r>
              <w:rPr>
                <w:rFonts w:ascii="Times New Roman"/>
                <w:sz w:val="18"/>
              </w:rPr>
              <w:t>ology</w:t>
            </w:r>
            <w:r>
              <w:rPr>
                <w:rFonts w:ascii="Times New Roman"/>
                <w:sz w:val="18"/>
              </w:rPr>
              <w:t> LLC</w:t>
            </w: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200" w:lineRule="exact" w:before="5"/>
              <w:ind w:left="103" w:right="164"/>
              <w:jc w:val="left"/>
              <w:rPr>
                <w:rFonts w:ascii="宋体" w:hAnsi="宋体" w:cs="宋体" w:eastAsia="宋体" w:hint="default"/>
                <w:sz w:val="18"/>
                <w:szCs w:val="18"/>
              </w:rPr>
            </w:pPr>
            <w:r>
              <w:rPr>
                <w:rFonts w:ascii="宋体" w:hAnsi="宋体" w:cs="宋体" w:eastAsia="宋体" w:hint="default"/>
                <w:sz w:val="18"/>
                <w:szCs w:val="18"/>
              </w:rPr>
              <w:t>缆、通 信电 子、新</w:t>
            </w:r>
          </w:p>
          <w:p>
            <w:pPr>
              <w:pStyle w:val="TableParagraph"/>
              <w:spacing w:line="200" w:lineRule="exact" w:before="1"/>
              <w:ind w:left="103" w:right="164"/>
              <w:jc w:val="both"/>
              <w:rPr>
                <w:rFonts w:ascii="宋体" w:hAnsi="宋体" w:cs="宋体" w:eastAsia="宋体" w:hint="default"/>
                <w:sz w:val="18"/>
                <w:szCs w:val="18"/>
              </w:rPr>
            </w:pPr>
            <w:r>
              <w:rPr>
                <w:rFonts w:ascii="宋体" w:hAnsi="宋体" w:cs="宋体" w:eastAsia="宋体" w:hint="default"/>
                <w:sz w:val="18"/>
                <w:szCs w:val="18"/>
              </w:rPr>
              <w:t>能源汽 车充电 设备、</w:t>
            </w:r>
          </w:p>
          <w:p>
            <w:pPr>
              <w:pStyle w:val="TableParagraph"/>
              <w:spacing w:line="200" w:lineRule="exact" w:before="1"/>
              <w:ind w:left="103" w:right="164"/>
              <w:jc w:val="left"/>
              <w:rPr>
                <w:rFonts w:ascii="宋体" w:hAnsi="宋体" w:cs="宋体" w:eastAsia="宋体" w:hint="default"/>
                <w:sz w:val="18"/>
                <w:szCs w:val="18"/>
              </w:rPr>
            </w:pPr>
            <w:r>
              <w:rPr>
                <w:rFonts w:ascii="宋体" w:hAnsi="宋体" w:cs="宋体" w:eastAsia="宋体" w:hint="default"/>
                <w:sz w:val="18"/>
                <w:szCs w:val="18"/>
              </w:rPr>
              <w:t>高分子 材料等</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103" w:right="0"/>
              <w:jc w:val="left"/>
              <w:rPr>
                <w:rFonts w:ascii="Times New Roman" w:hAnsi="Times New Roman" w:cs="Times New Roman" w:eastAsia="Times New Roman" w:hint="default"/>
                <w:sz w:val="18"/>
                <w:szCs w:val="18"/>
              </w:rPr>
            </w:pPr>
            <w:r>
              <w:rPr>
                <w:rFonts w:ascii="Times New Roman"/>
                <w:sz w:val="18"/>
              </w:rPr>
              <w:t>2,029</w:t>
            </w:r>
          </w:p>
          <w:p>
            <w:pPr>
              <w:pStyle w:val="TableParagraph"/>
              <w:spacing w:line="240" w:lineRule="auto" w:before="105"/>
              <w:ind w:left="47" w:right="0"/>
              <w:jc w:val="center"/>
              <w:rPr>
                <w:rFonts w:ascii="Times New Roman" w:hAnsi="Times New Roman" w:cs="Times New Roman" w:eastAsia="Times New Roman" w:hint="default"/>
                <w:sz w:val="18"/>
                <w:szCs w:val="18"/>
              </w:rPr>
            </w:pPr>
            <w:r>
              <w:rPr>
                <w:rFonts w:ascii="Times New Roman"/>
                <w:sz w:val="18"/>
              </w:rPr>
              <w:t>,080.</w:t>
            </w:r>
          </w:p>
          <w:p>
            <w:pPr>
              <w:pStyle w:val="TableParagraph"/>
              <w:spacing w:line="240" w:lineRule="auto" w:before="105"/>
              <w:ind w:left="227" w:right="0"/>
              <w:jc w:val="center"/>
              <w:rPr>
                <w:rFonts w:ascii="Times New Roman" w:hAnsi="Times New Roman" w:cs="Times New Roman" w:eastAsia="Times New Roman" w:hint="default"/>
                <w:sz w:val="18"/>
                <w:szCs w:val="18"/>
              </w:rPr>
            </w:pPr>
            <w:r>
              <w:rPr>
                <w:rFonts w:ascii="Times New Roman"/>
                <w:sz w:val="18"/>
              </w:rPr>
              <w:t>00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5"/>
              <w:ind w:left="171" w:right="0"/>
              <w:jc w:val="center"/>
              <w:rPr>
                <w:rFonts w:ascii="Times New Roman" w:hAnsi="Times New Roman" w:cs="Times New Roman" w:eastAsia="Times New Roman" w:hint="default"/>
                <w:sz w:val="18"/>
                <w:szCs w:val="18"/>
              </w:rPr>
            </w:pPr>
            <w:r>
              <w:rPr>
                <w:rFonts w:ascii="Times New Roman"/>
                <w:sz w:val="18"/>
              </w:rPr>
              <w:t>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316" w:lineRule="auto"/>
              <w:ind w:left="102" w:right="147"/>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37"/>
              <w:jc w:val="center"/>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316" w:lineRule="auto"/>
              <w:ind w:left="101" w:right="144"/>
              <w:jc w:val="left"/>
              <w:rPr>
                <w:rFonts w:ascii="宋体" w:hAnsi="宋体" w:cs="宋体" w:eastAsia="宋体" w:hint="default"/>
                <w:sz w:val="18"/>
                <w:szCs w:val="18"/>
              </w:rPr>
            </w:pPr>
            <w:r>
              <w:rPr>
                <w:rFonts w:ascii="宋体" w:hAnsi="宋体" w:cs="宋体" w:eastAsia="宋体" w:hint="default"/>
                <w:sz w:val="18"/>
                <w:szCs w:val="18"/>
              </w:rPr>
              <w:t>股权 投资</w:t>
            </w:r>
          </w:p>
        </w:tc>
        <w:tc>
          <w:tcPr>
            <w:tcW w:w="592" w:type="dxa"/>
            <w:tcBorders>
              <w:top w:val="nil" w:sz="6" w:space="0" w:color="auto"/>
              <w:left w:val="single" w:sz="4" w:space="0" w:color="000000"/>
              <w:bottom w:val="nil" w:sz="6" w:space="0" w:color="auto"/>
              <w:right w:val="single" w:sz="4" w:space="0" w:color="000000"/>
            </w:tcBorders>
          </w:tcPr>
          <w:p>
            <w:pPr>
              <w:pStyle w:val="TableParagraph"/>
              <w:spacing w:line="316" w:lineRule="auto" w:before="34"/>
              <w:ind w:left="103" w:right="117"/>
              <w:jc w:val="left"/>
              <w:rPr>
                <w:rFonts w:ascii="宋体" w:hAnsi="宋体" w:cs="宋体" w:eastAsia="宋体" w:hint="default"/>
                <w:sz w:val="18"/>
                <w:szCs w:val="18"/>
              </w:rPr>
            </w:pPr>
            <w:r>
              <w:rPr>
                <w:rFonts w:ascii="宋体" w:hAnsi="宋体" w:cs="宋体" w:eastAsia="宋体" w:hint="default"/>
                <w:sz w:val="18"/>
                <w:szCs w:val="18"/>
              </w:rPr>
              <w:t>股权 已 全部 过</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户</w:t>
            </w: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-701,1</w:t>
            </w:r>
          </w:p>
          <w:p>
            <w:pPr>
              <w:pStyle w:val="TableParagraph"/>
              <w:spacing w:line="240" w:lineRule="auto" w:before="105"/>
              <w:ind w:left="174" w:right="0"/>
              <w:jc w:val="left"/>
              <w:rPr>
                <w:rFonts w:ascii="Times New Roman" w:hAnsi="Times New Roman" w:cs="Times New Roman" w:eastAsia="Times New Roman" w:hint="default"/>
                <w:sz w:val="18"/>
                <w:szCs w:val="18"/>
              </w:rPr>
            </w:pPr>
            <w:r>
              <w:rPr>
                <w:rFonts w:ascii="Times New Roman"/>
                <w:sz w:val="18"/>
              </w:rPr>
              <w:t>21.52</w:t>
            </w:r>
          </w:p>
        </w:tc>
        <w:tc>
          <w:tcPr>
            <w:tcW w:w="6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209" w:hRule="exact"/>
        </w:trPr>
        <w:tc>
          <w:tcPr>
            <w:tcW w:w="654" w:type="dxa"/>
            <w:tcBorders>
              <w:top w:val="nil" w:sz="6" w:space="0" w:color="auto"/>
              <w:left w:val="single" w:sz="12" w:space="0" w:color="000000"/>
              <w:bottom w:val="single" w:sz="4" w:space="0" w:color="000000"/>
              <w:right w:val="single" w:sz="4" w:space="0" w:color="000000"/>
            </w:tcBorders>
          </w:tcPr>
          <w:p>
            <w:pPr/>
          </w:p>
        </w:tc>
        <w:tc>
          <w:tcPr>
            <w:tcW w:w="819" w:type="dxa"/>
            <w:tcBorders>
              <w:top w:val="nil" w:sz="6" w:space="0" w:color="auto"/>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进出口</w:t>
            </w:r>
          </w:p>
        </w:tc>
        <w:tc>
          <w:tcPr>
            <w:tcW w:w="455" w:type="dxa"/>
            <w:vMerge/>
            <w:tcBorders>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616"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592" w:type="dxa"/>
            <w:tcBorders>
              <w:top w:val="nil" w:sz="6" w:space="0" w:color="auto"/>
              <w:left w:val="single" w:sz="4" w:space="0" w:color="000000"/>
              <w:bottom w:val="single" w:sz="4" w:space="0" w:color="000000"/>
              <w:right w:val="single" w:sz="4" w:space="0" w:color="000000"/>
            </w:tcBorders>
          </w:tcPr>
          <w:p>
            <w:pPr/>
          </w:p>
        </w:tc>
        <w:tc>
          <w:tcPr>
            <w:tcW w:w="592" w:type="dxa"/>
            <w:vMerge/>
            <w:tcBorders>
              <w:left w:val="single" w:sz="4" w:space="0" w:color="000000"/>
              <w:bottom w:val="single" w:sz="4" w:space="0" w:color="000000"/>
              <w:right w:val="single" w:sz="4" w:space="0" w:color="000000"/>
            </w:tcBorders>
          </w:tcPr>
          <w:p>
            <w:pPr/>
          </w:p>
        </w:tc>
        <w:tc>
          <w:tcPr>
            <w:tcW w:w="693" w:type="dxa"/>
            <w:tcBorders>
              <w:top w:val="nil" w:sz="6" w:space="0" w:color="auto"/>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12" w:space="0" w:color="000000"/>
            </w:tcBorders>
          </w:tcPr>
          <w:p>
            <w:pPr/>
          </w:p>
        </w:tc>
      </w:tr>
      <w:tr>
        <w:trPr>
          <w:trHeight w:val="201" w:hRule="exact"/>
        </w:trPr>
        <w:tc>
          <w:tcPr>
            <w:tcW w:w="654" w:type="dxa"/>
            <w:tcBorders>
              <w:top w:val="single" w:sz="4" w:space="0" w:color="000000"/>
              <w:left w:val="single" w:sz="12" w:space="0" w:color="000000"/>
              <w:bottom w:val="nil" w:sz="6" w:space="0" w:color="auto"/>
              <w:right w:val="single" w:sz="4" w:space="0" w:color="000000"/>
            </w:tcBorders>
          </w:tcPr>
          <w:p>
            <w:pPr/>
          </w:p>
        </w:tc>
        <w:tc>
          <w:tcPr>
            <w:tcW w:w="819" w:type="dxa"/>
            <w:tcBorders>
              <w:top w:val="single" w:sz="4" w:space="0" w:color="000000"/>
              <w:left w:val="single" w:sz="4" w:space="0" w:color="000000"/>
              <w:bottom w:val="nil" w:sz="6" w:space="0" w:color="auto"/>
              <w:right w:val="single" w:sz="4" w:space="0" w:color="000000"/>
            </w:tcBorders>
          </w:tcPr>
          <w:p>
            <w:pPr>
              <w:pStyle w:val="TableParagraph"/>
              <w:spacing w:line="187" w:lineRule="exact"/>
              <w:ind w:left="103" w:right="0"/>
              <w:jc w:val="left"/>
              <w:rPr>
                <w:rFonts w:ascii="宋体" w:hAnsi="宋体" w:cs="宋体" w:eastAsia="宋体" w:hint="default"/>
                <w:sz w:val="18"/>
                <w:szCs w:val="18"/>
              </w:rPr>
            </w:pPr>
            <w:r>
              <w:rPr>
                <w:rFonts w:ascii="宋体" w:hAnsi="宋体" w:cs="宋体" w:eastAsia="宋体" w:hint="default"/>
                <w:sz w:val="18"/>
                <w:szCs w:val="18"/>
              </w:rPr>
              <w:t>光伏技</w:t>
            </w:r>
          </w:p>
        </w:tc>
        <w:tc>
          <w:tcPr>
            <w:tcW w:w="4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316" w:lineRule="auto"/>
              <w:ind w:left="102" w:right="160"/>
              <w:jc w:val="left"/>
              <w:rPr>
                <w:rFonts w:ascii="宋体" w:hAnsi="宋体" w:cs="宋体" w:eastAsia="宋体" w:hint="default"/>
                <w:sz w:val="18"/>
                <w:szCs w:val="18"/>
              </w:rPr>
            </w:pPr>
            <w:r>
              <w:rPr>
                <w:rFonts w:ascii="宋体" w:hAnsi="宋体" w:cs="宋体" w:eastAsia="宋体" w:hint="default"/>
                <w:sz w:val="18"/>
                <w:szCs w:val="18"/>
              </w:rPr>
              <w:t>增 资</w:t>
            </w: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616"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592" w:type="dxa"/>
            <w:tcBorders>
              <w:top w:val="single" w:sz="4" w:space="0" w:color="000000"/>
              <w:left w:val="single" w:sz="4" w:space="0" w:color="000000"/>
              <w:bottom w:val="nil" w:sz="6" w:space="0" w:color="auto"/>
              <w:right w:val="single" w:sz="4" w:space="0" w:color="000000"/>
            </w:tcBorders>
          </w:tcPr>
          <w:p>
            <w:pPr/>
          </w:p>
        </w:tc>
        <w:tc>
          <w:tcPr>
            <w:tcW w:w="592" w:type="dxa"/>
            <w:vMerge w:val="restart"/>
            <w:tcBorders>
              <w:top w:val="single" w:sz="4" w:space="0" w:color="000000"/>
              <w:left w:val="single" w:sz="4" w:space="0" w:color="000000"/>
              <w:right w:val="single" w:sz="4" w:space="0" w:color="000000"/>
            </w:tcBorders>
          </w:tcPr>
          <w:p>
            <w:pPr/>
          </w:p>
        </w:tc>
        <w:tc>
          <w:tcPr>
            <w:tcW w:w="693" w:type="dxa"/>
            <w:tcBorders>
              <w:top w:val="single" w:sz="4" w:space="0" w:color="000000"/>
              <w:left w:val="single" w:sz="4" w:space="0" w:color="000000"/>
              <w:bottom w:val="nil" w:sz="6" w:space="0" w:color="auto"/>
              <w:right w:val="single" w:sz="4" w:space="0" w:color="000000"/>
            </w:tcBorders>
          </w:tcPr>
          <w:p>
            <w:pPr/>
          </w:p>
        </w:tc>
        <w:tc>
          <w:tcPr>
            <w:tcW w:w="690" w:type="dxa"/>
            <w:tcBorders>
              <w:top w:val="single" w:sz="4" w:space="0" w:color="000000"/>
              <w:left w:val="single" w:sz="4" w:space="0" w:color="000000"/>
              <w:bottom w:val="nil" w:sz="6" w:space="0" w:color="auto"/>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68" w:type="dxa"/>
            <w:vMerge w:val="restart"/>
            <w:tcBorders>
              <w:top w:val="single" w:sz="4" w:space="0" w:color="000000"/>
              <w:left w:val="single" w:sz="4" w:space="0" w:color="000000"/>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术开</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1" w:lineRule="exact"/>
              <w:ind w:left="103" w:right="0"/>
              <w:jc w:val="left"/>
              <w:rPr>
                <w:rFonts w:ascii="宋体" w:hAnsi="宋体" w:cs="宋体" w:eastAsia="宋体" w:hint="default"/>
                <w:sz w:val="18"/>
                <w:szCs w:val="18"/>
              </w:rPr>
            </w:pPr>
            <w:r>
              <w:rPr>
                <w:rFonts w:ascii="宋体" w:hAnsi="宋体" w:cs="宋体" w:eastAsia="宋体" w:hint="default"/>
                <w:sz w:val="18"/>
                <w:szCs w:val="18"/>
              </w:rPr>
              <w:t>发、实</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1800" w:hRule="exact"/>
        </w:trPr>
        <w:tc>
          <w:tcPr>
            <w:tcW w:w="654" w:type="dxa"/>
            <w:tcBorders>
              <w:top w:val="nil" w:sz="6" w:space="0" w:color="auto"/>
              <w:left w:val="single" w:sz="12" w:space="0" w:color="000000"/>
              <w:bottom w:val="nil" w:sz="6" w:space="0" w:color="auto"/>
              <w:right w:val="single" w:sz="4" w:space="0" w:color="000000"/>
            </w:tcBorders>
          </w:tcPr>
          <w:p>
            <w:pPr>
              <w:pStyle w:val="TableParagraph"/>
              <w:spacing w:line="204" w:lineRule="auto" w:before="86"/>
              <w:ind w:left="92" w:right="180"/>
              <w:jc w:val="both"/>
              <w:rPr>
                <w:rFonts w:ascii="宋体" w:hAnsi="宋体" w:cs="宋体" w:eastAsia="宋体" w:hint="default"/>
                <w:sz w:val="18"/>
                <w:szCs w:val="18"/>
              </w:rPr>
            </w:pPr>
            <w:r>
              <w:rPr>
                <w:rFonts w:ascii="宋体" w:hAnsi="宋体" w:cs="宋体" w:eastAsia="宋体" w:hint="default"/>
                <w:sz w:val="18"/>
                <w:szCs w:val="18"/>
              </w:rPr>
              <w:t>万马 奔腾 新能 源产 业集 团有 限公 司</w:t>
            </w: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200" w:lineRule="exact" w:before="4"/>
              <w:ind w:left="103" w:right="164"/>
              <w:jc w:val="left"/>
              <w:rPr>
                <w:rFonts w:ascii="宋体" w:hAnsi="宋体" w:cs="宋体" w:eastAsia="宋体" w:hint="default"/>
                <w:sz w:val="18"/>
                <w:szCs w:val="18"/>
              </w:rPr>
            </w:pPr>
            <w:r>
              <w:rPr>
                <w:rFonts w:ascii="宋体" w:hAnsi="宋体" w:cs="宋体" w:eastAsia="宋体" w:hint="default"/>
                <w:sz w:val="18"/>
                <w:szCs w:val="18"/>
              </w:rPr>
              <w:t>业投 资，投</w:t>
            </w:r>
          </w:p>
          <w:p>
            <w:pPr>
              <w:pStyle w:val="TableParagraph"/>
              <w:spacing w:line="200" w:lineRule="exact" w:before="1"/>
              <w:ind w:left="103" w:right="164"/>
              <w:jc w:val="left"/>
              <w:rPr>
                <w:rFonts w:ascii="宋体" w:hAnsi="宋体" w:cs="宋体" w:eastAsia="宋体" w:hint="default"/>
                <w:sz w:val="18"/>
                <w:szCs w:val="18"/>
              </w:rPr>
            </w:pPr>
            <w:r>
              <w:rPr>
                <w:rFonts w:ascii="宋体" w:hAnsi="宋体" w:cs="宋体" w:eastAsia="宋体" w:hint="default"/>
                <w:sz w:val="18"/>
                <w:szCs w:val="18"/>
              </w:rPr>
              <w:t>资管 理，投 资咨</w:t>
            </w:r>
          </w:p>
          <w:p>
            <w:pPr>
              <w:pStyle w:val="TableParagraph"/>
              <w:spacing w:line="200" w:lineRule="exact" w:before="1"/>
              <w:ind w:left="103" w:right="164"/>
              <w:jc w:val="both"/>
              <w:rPr>
                <w:rFonts w:ascii="宋体" w:hAnsi="宋体" w:cs="宋体" w:eastAsia="宋体" w:hint="default"/>
                <w:sz w:val="18"/>
                <w:szCs w:val="18"/>
              </w:rPr>
            </w:pPr>
            <w:r>
              <w:rPr>
                <w:rFonts w:ascii="宋体" w:hAnsi="宋体" w:cs="宋体" w:eastAsia="宋体" w:hint="default"/>
                <w:sz w:val="18"/>
                <w:szCs w:val="18"/>
              </w:rPr>
              <w:t>询；电 动汽车 充电站</w:t>
            </w:r>
          </w:p>
          <w:p>
            <w:pPr>
              <w:pStyle w:val="TableParagraph"/>
              <w:spacing w:line="187" w:lineRule="exact"/>
              <w:ind w:left="103" w:right="0"/>
              <w:jc w:val="left"/>
              <w:rPr>
                <w:rFonts w:ascii="宋体" w:hAnsi="宋体" w:cs="宋体" w:eastAsia="宋体" w:hint="default"/>
                <w:sz w:val="18"/>
                <w:szCs w:val="18"/>
              </w:rPr>
            </w:pPr>
            <w:r>
              <w:rPr>
                <w:rFonts w:ascii="宋体" w:hAnsi="宋体" w:cs="宋体" w:eastAsia="宋体" w:hint="default"/>
                <w:sz w:val="18"/>
                <w:szCs w:val="18"/>
              </w:rPr>
              <w:t>的系</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313,4</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90,40</w:t>
            </w:r>
          </w:p>
          <w:p>
            <w:pPr>
              <w:pStyle w:val="TableParagraph"/>
              <w:spacing w:line="240" w:lineRule="auto" w:before="105"/>
              <w:ind w:left="194" w:right="0"/>
              <w:jc w:val="left"/>
              <w:rPr>
                <w:rFonts w:ascii="Times New Roman" w:hAnsi="Times New Roman" w:cs="Times New Roman" w:eastAsia="Times New Roman" w:hint="default"/>
                <w:sz w:val="18"/>
                <w:szCs w:val="18"/>
              </w:rPr>
            </w:pPr>
            <w:r>
              <w:rPr>
                <w:rFonts w:ascii="Times New Roman"/>
                <w:sz w:val="18"/>
              </w:rPr>
              <w:t>1.00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5"/>
              <w:ind w:left="171" w:right="0"/>
              <w:jc w:val="center"/>
              <w:rPr>
                <w:rFonts w:ascii="Times New Roman" w:hAnsi="Times New Roman" w:cs="Times New Roman" w:eastAsia="Times New Roman" w:hint="default"/>
                <w:sz w:val="18"/>
                <w:szCs w:val="18"/>
              </w:rPr>
            </w:pPr>
            <w:r>
              <w:rPr>
                <w:rFonts w:ascii="Times New Roman"/>
                <w:sz w:val="18"/>
              </w:rPr>
              <w:t>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316" w:lineRule="auto" w:before="134"/>
              <w:ind w:left="102" w:right="147"/>
              <w:jc w:val="both"/>
              <w:rPr>
                <w:rFonts w:ascii="宋体" w:hAnsi="宋体" w:cs="宋体" w:eastAsia="宋体" w:hint="default"/>
                <w:sz w:val="18"/>
                <w:szCs w:val="18"/>
              </w:rPr>
            </w:pPr>
            <w:r>
              <w:rPr>
                <w:rFonts w:ascii="宋体" w:hAnsi="宋体" w:cs="宋体" w:eastAsia="宋体" w:hint="default"/>
                <w:sz w:val="18"/>
                <w:szCs w:val="18"/>
              </w:rPr>
              <w:t>募集 资金 及自 有资 金</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37"/>
              <w:jc w:val="center"/>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1"/>
              <w:ind w:left="101" w:right="144"/>
              <w:jc w:val="left"/>
              <w:rPr>
                <w:rFonts w:ascii="宋体" w:hAnsi="宋体" w:cs="宋体" w:eastAsia="宋体" w:hint="default"/>
                <w:sz w:val="18"/>
                <w:szCs w:val="18"/>
              </w:rPr>
            </w:pPr>
            <w:r>
              <w:rPr>
                <w:rFonts w:ascii="宋体" w:hAnsi="宋体" w:cs="宋体" w:eastAsia="宋体" w:hint="default"/>
                <w:sz w:val="18"/>
                <w:szCs w:val="18"/>
              </w:rPr>
              <w:t>股权 投资</w:t>
            </w:r>
          </w:p>
        </w:tc>
        <w:tc>
          <w:tcPr>
            <w:tcW w:w="592" w:type="dxa"/>
            <w:tcBorders>
              <w:top w:val="nil" w:sz="6" w:space="0" w:color="auto"/>
              <w:left w:val="single" w:sz="4" w:space="0" w:color="000000"/>
              <w:bottom w:val="nil" w:sz="6" w:space="0" w:color="auto"/>
              <w:right w:val="single" w:sz="4" w:space="0" w:color="000000"/>
            </w:tcBorders>
          </w:tcPr>
          <w:p>
            <w:pPr>
              <w:pStyle w:val="TableParagraph"/>
              <w:spacing w:line="316" w:lineRule="auto" w:before="134"/>
              <w:ind w:left="103" w:right="117"/>
              <w:jc w:val="left"/>
              <w:rPr>
                <w:rFonts w:ascii="宋体" w:hAnsi="宋体" w:cs="宋体" w:eastAsia="宋体" w:hint="default"/>
                <w:sz w:val="18"/>
                <w:szCs w:val="18"/>
              </w:rPr>
            </w:pPr>
            <w:r>
              <w:rPr>
                <w:rFonts w:ascii="宋体" w:hAnsi="宋体" w:cs="宋体" w:eastAsia="宋体" w:hint="default"/>
                <w:sz w:val="18"/>
                <w:szCs w:val="18"/>
              </w:rPr>
              <w:t>股权 已 全部 过</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户</w:t>
            </w: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-118,1</w:t>
            </w:r>
          </w:p>
          <w:p>
            <w:pPr>
              <w:pStyle w:val="TableParagraph"/>
              <w:spacing w:line="240" w:lineRule="auto" w:before="105"/>
              <w:ind w:left="174" w:right="0"/>
              <w:jc w:val="left"/>
              <w:rPr>
                <w:rFonts w:ascii="Times New Roman" w:hAnsi="Times New Roman" w:cs="Times New Roman" w:eastAsia="Times New Roman" w:hint="default"/>
                <w:sz w:val="18"/>
                <w:szCs w:val="18"/>
              </w:rPr>
            </w:pPr>
            <w:r>
              <w:rPr>
                <w:rFonts w:ascii="Times New Roman"/>
                <w:sz w:val="18"/>
              </w:rPr>
              <w:t>49,16</w:t>
            </w:r>
          </w:p>
          <w:p>
            <w:pPr>
              <w:pStyle w:val="TableParagraph"/>
              <w:spacing w:line="240" w:lineRule="auto" w:before="105"/>
              <w:ind w:left="163" w:right="0"/>
              <w:jc w:val="center"/>
              <w:rPr>
                <w:rFonts w:ascii="Times New Roman" w:hAnsi="Times New Roman" w:cs="Times New Roman" w:eastAsia="Times New Roman" w:hint="default"/>
                <w:sz w:val="18"/>
                <w:szCs w:val="18"/>
              </w:rPr>
            </w:pPr>
            <w:r>
              <w:rPr>
                <w:rFonts w:ascii="Times New Roman"/>
                <w:sz w:val="18"/>
              </w:rPr>
              <w:t>2.99</w:t>
            </w:r>
          </w:p>
        </w:tc>
        <w:tc>
          <w:tcPr>
            <w:tcW w:w="6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199"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统设</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计、运</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208" w:hRule="exact"/>
        </w:trPr>
        <w:tc>
          <w:tcPr>
            <w:tcW w:w="654" w:type="dxa"/>
            <w:tcBorders>
              <w:top w:val="nil" w:sz="6" w:space="0" w:color="auto"/>
              <w:left w:val="single" w:sz="12" w:space="0" w:color="000000"/>
              <w:bottom w:val="single" w:sz="4" w:space="0" w:color="000000"/>
              <w:right w:val="single" w:sz="4" w:space="0" w:color="000000"/>
            </w:tcBorders>
          </w:tcPr>
          <w:p>
            <w:pPr/>
          </w:p>
        </w:tc>
        <w:tc>
          <w:tcPr>
            <w:tcW w:w="819" w:type="dxa"/>
            <w:tcBorders>
              <w:top w:val="nil" w:sz="6" w:space="0" w:color="auto"/>
              <w:left w:val="single" w:sz="4" w:space="0" w:color="000000"/>
              <w:bottom w:val="single" w:sz="4" w:space="0" w:color="000000"/>
              <w:right w:val="single" w:sz="4" w:space="0" w:color="000000"/>
            </w:tcBorders>
          </w:tcPr>
          <w:p>
            <w:pPr>
              <w:pStyle w:val="TableParagraph"/>
              <w:spacing w:line="191" w:lineRule="exact"/>
              <w:ind w:left="103" w:right="0"/>
              <w:jc w:val="left"/>
              <w:rPr>
                <w:rFonts w:ascii="宋体" w:hAnsi="宋体" w:cs="宋体" w:eastAsia="宋体" w:hint="default"/>
                <w:sz w:val="18"/>
                <w:szCs w:val="18"/>
              </w:rPr>
            </w:pPr>
            <w:r>
              <w:rPr>
                <w:rFonts w:ascii="宋体" w:hAnsi="宋体" w:cs="宋体" w:eastAsia="宋体" w:hint="default"/>
                <w:sz w:val="18"/>
                <w:szCs w:val="18"/>
              </w:rPr>
              <w:t>营管理</w:t>
            </w:r>
          </w:p>
        </w:tc>
        <w:tc>
          <w:tcPr>
            <w:tcW w:w="455" w:type="dxa"/>
            <w:vMerge/>
            <w:tcBorders>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616"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592" w:type="dxa"/>
            <w:tcBorders>
              <w:top w:val="nil" w:sz="6" w:space="0" w:color="auto"/>
              <w:left w:val="single" w:sz="4" w:space="0" w:color="000000"/>
              <w:bottom w:val="single" w:sz="4" w:space="0" w:color="000000"/>
              <w:right w:val="single" w:sz="4" w:space="0" w:color="000000"/>
            </w:tcBorders>
          </w:tcPr>
          <w:p>
            <w:pPr/>
          </w:p>
        </w:tc>
        <w:tc>
          <w:tcPr>
            <w:tcW w:w="592" w:type="dxa"/>
            <w:vMerge/>
            <w:tcBorders>
              <w:left w:val="single" w:sz="4" w:space="0" w:color="000000"/>
              <w:bottom w:val="single" w:sz="4" w:space="0" w:color="000000"/>
              <w:right w:val="single" w:sz="4" w:space="0" w:color="000000"/>
            </w:tcBorders>
          </w:tcPr>
          <w:p>
            <w:pPr/>
          </w:p>
        </w:tc>
        <w:tc>
          <w:tcPr>
            <w:tcW w:w="693" w:type="dxa"/>
            <w:tcBorders>
              <w:top w:val="nil" w:sz="6" w:space="0" w:color="auto"/>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12" w:space="0" w:color="000000"/>
            </w:tcBorders>
          </w:tcPr>
          <w:p>
            <w:pPr/>
          </w:p>
        </w:tc>
      </w:tr>
      <w:tr>
        <w:trPr>
          <w:trHeight w:val="201" w:hRule="exact"/>
        </w:trPr>
        <w:tc>
          <w:tcPr>
            <w:tcW w:w="654" w:type="dxa"/>
            <w:tcBorders>
              <w:top w:val="single" w:sz="4" w:space="0" w:color="000000"/>
              <w:left w:val="single" w:sz="12" w:space="0" w:color="000000"/>
              <w:bottom w:val="nil" w:sz="6" w:space="0" w:color="auto"/>
              <w:right w:val="single" w:sz="4" w:space="0" w:color="000000"/>
            </w:tcBorders>
          </w:tcPr>
          <w:p>
            <w:pPr/>
          </w:p>
        </w:tc>
        <w:tc>
          <w:tcPr>
            <w:tcW w:w="819" w:type="dxa"/>
            <w:tcBorders>
              <w:top w:val="single" w:sz="4" w:space="0" w:color="000000"/>
              <w:left w:val="single" w:sz="4" w:space="0" w:color="000000"/>
              <w:bottom w:val="nil" w:sz="6" w:space="0" w:color="auto"/>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高分子</w:t>
            </w:r>
          </w:p>
        </w:tc>
        <w:tc>
          <w:tcPr>
            <w:tcW w:w="4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0"/>
              <w:ind w:left="102" w:right="160"/>
              <w:jc w:val="left"/>
              <w:rPr>
                <w:rFonts w:ascii="宋体" w:hAnsi="宋体" w:cs="宋体" w:eastAsia="宋体" w:hint="default"/>
                <w:sz w:val="18"/>
                <w:szCs w:val="18"/>
              </w:rPr>
            </w:pPr>
            <w:r>
              <w:rPr>
                <w:rFonts w:ascii="宋体" w:hAnsi="宋体" w:cs="宋体" w:eastAsia="宋体" w:hint="default"/>
                <w:sz w:val="18"/>
                <w:szCs w:val="18"/>
              </w:rPr>
              <w:t>增 资</w:t>
            </w: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616"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592" w:type="dxa"/>
            <w:tcBorders>
              <w:top w:val="single" w:sz="4" w:space="0" w:color="000000"/>
              <w:left w:val="single" w:sz="4" w:space="0" w:color="000000"/>
              <w:bottom w:val="nil" w:sz="6" w:space="0" w:color="auto"/>
              <w:right w:val="single" w:sz="4" w:space="0" w:color="000000"/>
            </w:tcBorders>
          </w:tcPr>
          <w:p>
            <w:pPr/>
          </w:p>
        </w:tc>
        <w:tc>
          <w:tcPr>
            <w:tcW w:w="592" w:type="dxa"/>
            <w:vMerge w:val="restart"/>
            <w:tcBorders>
              <w:top w:val="single" w:sz="4" w:space="0" w:color="000000"/>
              <w:left w:val="single" w:sz="4" w:space="0" w:color="000000"/>
              <w:right w:val="single" w:sz="4" w:space="0" w:color="000000"/>
            </w:tcBorders>
          </w:tcPr>
          <w:p>
            <w:pPr/>
          </w:p>
        </w:tc>
        <w:tc>
          <w:tcPr>
            <w:tcW w:w="693" w:type="dxa"/>
            <w:tcBorders>
              <w:top w:val="single" w:sz="4" w:space="0" w:color="000000"/>
              <w:left w:val="single" w:sz="4" w:space="0" w:color="000000"/>
              <w:bottom w:val="nil" w:sz="6" w:space="0" w:color="auto"/>
              <w:right w:val="single" w:sz="4" w:space="0" w:color="000000"/>
            </w:tcBorders>
          </w:tcPr>
          <w:p>
            <w:pPr/>
          </w:p>
        </w:tc>
        <w:tc>
          <w:tcPr>
            <w:tcW w:w="690" w:type="dxa"/>
            <w:tcBorders>
              <w:top w:val="single" w:sz="4" w:space="0" w:color="000000"/>
              <w:left w:val="single" w:sz="4" w:space="0" w:color="000000"/>
              <w:bottom w:val="nil" w:sz="6" w:space="0" w:color="auto"/>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68" w:type="dxa"/>
            <w:tcBorders>
              <w:top w:val="single" w:sz="4" w:space="0" w:color="000000"/>
              <w:left w:val="single" w:sz="4" w:space="0" w:color="000000"/>
              <w:bottom w:val="nil" w:sz="6" w:space="0" w:color="auto"/>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材料及</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1" w:lineRule="exact"/>
              <w:ind w:left="103" w:right="0"/>
              <w:jc w:val="left"/>
              <w:rPr>
                <w:rFonts w:ascii="宋体" w:hAnsi="宋体" w:cs="宋体" w:eastAsia="宋体" w:hint="default"/>
                <w:sz w:val="18"/>
                <w:szCs w:val="18"/>
              </w:rPr>
            </w:pPr>
            <w:r>
              <w:rPr>
                <w:rFonts w:ascii="宋体" w:hAnsi="宋体" w:cs="宋体" w:eastAsia="宋体" w:hint="default"/>
                <w:sz w:val="18"/>
                <w:szCs w:val="18"/>
              </w:rPr>
              <w:t>产品、</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199"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通讯领</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域、人</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1" w:lineRule="exact"/>
              <w:ind w:left="103" w:right="0"/>
              <w:jc w:val="left"/>
              <w:rPr>
                <w:rFonts w:ascii="宋体" w:hAnsi="宋体" w:cs="宋体" w:eastAsia="宋体" w:hint="default"/>
                <w:sz w:val="18"/>
                <w:szCs w:val="18"/>
              </w:rPr>
            </w:pPr>
            <w:r>
              <w:rPr>
                <w:rFonts w:ascii="宋体" w:hAnsi="宋体" w:cs="宋体" w:eastAsia="宋体" w:hint="default"/>
                <w:sz w:val="18"/>
                <w:szCs w:val="18"/>
              </w:rPr>
              <w:t>工智能</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19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技术的</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1610" w:hRule="exact"/>
        </w:trPr>
        <w:tc>
          <w:tcPr>
            <w:tcW w:w="654" w:type="dxa"/>
            <w:tcBorders>
              <w:top w:val="nil" w:sz="6" w:space="0" w:color="auto"/>
              <w:left w:val="single" w:sz="12" w:space="0" w:color="000000"/>
              <w:bottom w:val="nil" w:sz="6" w:space="0" w:color="auto"/>
              <w:right w:val="single" w:sz="4" w:space="0" w:color="000000"/>
            </w:tcBorders>
          </w:tcPr>
          <w:p>
            <w:pPr>
              <w:pStyle w:val="TableParagraph"/>
              <w:spacing w:line="204" w:lineRule="auto" w:before="96"/>
              <w:ind w:left="92" w:right="180"/>
              <w:jc w:val="both"/>
              <w:rPr>
                <w:rFonts w:ascii="宋体" w:hAnsi="宋体" w:cs="宋体" w:eastAsia="宋体" w:hint="default"/>
                <w:sz w:val="18"/>
                <w:szCs w:val="18"/>
              </w:rPr>
            </w:pPr>
            <w:r>
              <w:rPr>
                <w:rFonts w:ascii="宋体" w:hAnsi="宋体" w:cs="宋体" w:eastAsia="宋体" w:hint="default"/>
                <w:sz w:val="18"/>
                <w:szCs w:val="18"/>
              </w:rPr>
              <w:t>浙江 骏业 科创 科技 有限 公司</w:t>
            </w: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201" w:lineRule="auto"/>
              <w:ind w:left="103" w:right="114"/>
              <w:jc w:val="both"/>
              <w:rPr>
                <w:rFonts w:ascii="宋体" w:hAnsi="宋体" w:cs="宋体" w:eastAsia="宋体" w:hint="default"/>
                <w:sz w:val="18"/>
                <w:szCs w:val="18"/>
              </w:rPr>
            </w:pPr>
            <w:r>
              <w:rPr>
                <w:rFonts w:ascii="宋体" w:hAnsi="宋体" w:cs="宋体" w:eastAsia="宋体" w:hint="default"/>
                <w:sz w:val="18"/>
                <w:szCs w:val="18"/>
              </w:rPr>
              <w:t>技术开 发、技 术咨询</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新能源 技术、 电动汽 车充电 设备、</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5"/>
              <w:ind w:left="47"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227" w:right="0"/>
              <w:jc w:val="center"/>
              <w:rPr>
                <w:rFonts w:ascii="Times New Roman" w:hAnsi="Times New Roman" w:cs="Times New Roman" w:eastAsia="Times New Roman" w:hint="default"/>
                <w:sz w:val="18"/>
                <w:szCs w:val="18"/>
              </w:rPr>
            </w:pPr>
            <w:r>
              <w:rPr>
                <w:rFonts w:ascii="Times New Roman"/>
                <w:sz w:val="18"/>
              </w:rPr>
              <w:t>00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5"/>
              <w:ind w:left="171" w:right="0"/>
              <w:jc w:val="center"/>
              <w:rPr>
                <w:rFonts w:ascii="Times New Roman" w:hAnsi="Times New Roman" w:cs="Times New Roman" w:eastAsia="Times New Roman" w:hint="default"/>
                <w:sz w:val="18"/>
                <w:szCs w:val="18"/>
              </w:rPr>
            </w:pPr>
            <w:r>
              <w:rPr>
                <w:rFonts w:ascii="Times New Roman"/>
                <w:sz w:val="18"/>
              </w:rPr>
              <w:t>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102" w:right="147"/>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37"/>
              <w:jc w:val="center"/>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101" w:right="144"/>
              <w:jc w:val="left"/>
              <w:rPr>
                <w:rFonts w:ascii="宋体" w:hAnsi="宋体" w:cs="宋体" w:eastAsia="宋体" w:hint="default"/>
                <w:sz w:val="18"/>
                <w:szCs w:val="18"/>
              </w:rPr>
            </w:pPr>
            <w:r>
              <w:rPr>
                <w:rFonts w:ascii="宋体" w:hAnsi="宋体" w:cs="宋体" w:eastAsia="宋体" w:hint="default"/>
                <w:sz w:val="18"/>
                <w:szCs w:val="18"/>
              </w:rPr>
              <w:t>股权 投资</w:t>
            </w:r>
          </w:p>
        </w:tc>
        <w:tc>
          <w:tcPr>
            <w:tcW w:w="592"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w:t>
            </w:r>
          </w:p>
          <w:p>
            <w:pPr>
              <w:pStyle w:val="TableParagraph"/>
              <w:spacing w:line="316" w:lineRule="auto" w:before="76"/>
              <w:ind w:left="103" w:right="117"/>
              <w:jc w:val="left"/>
              <w:rPr>
                <w:rFonts w:ascii="宋体" w:hAnsi="宋体" w:cs="宋体" w:eastAsia="宋体" w:hint="default"/>
                <w:sz w:val="18"/>
                <w:szCs w:val="18"/>
              </w:rPr>
            </w:pPr>
            <w:r>
              <w:rPr>
                <w:rFonts w:ascii="宋体" w:hAnsi="宋体" w:cs="宋体" w:eastAsia="宋体" w:hint="default"/>
                <w:sz w:val="18"/>
                <w:szCs w:val="18"/>
              </w:rPr>
              <w:t>已 全部 过</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户</w:t>
            </w: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3,397,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567.5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6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Style w:val="TableParagraph"/>
              <w:spacing w:line="194" w:lineRule="exact"/>
              <w:ind w:left="102" w:right="0"/>
              <w:jc w:val="left"/>
              <w:rPr>
                <w:rFonts w:ascii="Times New Roman" w:hAnsi="Times New Roman" w:cs="Times New Roman" w:eastAsia="Times New Roman" w:hint="default"/>
                <w:sz w:val="18"/>
                <w:szCs w:val="18"/>
              </w:rPr>
            </w:pPr>
            <w:r>
              <w:rPr>
                <w:rFonts w:ascii="Times New Roman"/>
                <w:sz w:val="18"/>
              </w:rPr>
              <w:t>http://</w:t>
            </w:r>
          </w:p>
          <w:p>
            <w:pPr>
              <w:pStyle w:val="TableParagraph"/>
              <w:spacing w:line="362" w:lineRule="auto" w:before="105"/>
              <w:ind w:left="102" w:right="96"/>
              <w:jc w:val="left"/>
              <w:rPr>
                <w:rFonts w:ascii="Times New Roman" w:hAnsi="Times New Roman" w:cs="Times New Roman" w:eastAsia="Times New Roman" w:hint="default"/>
                <w:sz w:val="18"/>
                <w:szCs w:val="18"/>
              </w:rPr>
            </w:pPr>
            <w:hyperlink r:id="rId24">
              <w:r>
                <w:rPr>
                  <w:rFonts w:ascii="Times New Roman"/>
                  <w:spacing w:val="-3"/>
                  <w:sz w:val="18"/>
                </w:rPr>
                <w:t>www.</w:t>
              </w:r>
            </w:hyperlink>
            <w:r>
              <w:rPr>
                <w:rFonts w:ascii="Times New Roman"/>
                <w:sz w:val="18"/>
              </w:rPr>
              <w:t> cninf o.com</w:t>
            </w:r>
          </w:p>
          <w:p>
            <w:pPr>
              <w:pStyle w:val="TableParagraph"/>
              <w:spacing w:line="240" w:lineRule="auto" w:before="3"/>
              <w:ind w:left="102" w:right="0"/>
              <w:jc w:val="left"/>
              <w:rPr>
                <w:rFonts w:ascii="Times New Roman" w:hAnsi="Times New Roman" w:cs="Times New Roman" w:eastAsia="Times New Roman" w:hint="default"/>
                <w:sz w:val="18"/>
                <w:szCs w:val="18"/>
              </w:rPr>
            </w:pPr>
            <w:r>
              <w:rPr>
                <w:rFonts w:ascii="Times New Roman"/>
                <w:sz w:val="18"/>
              </w:rPr>
              <w:t>.cn/</w:t>
            </w:r>
          </w:p>
        </w:tc>
      </w:tr>
      <w:tr>
        <w:trPr>
          <w:trHeight w:val="199"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电力设</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备、智</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1" w:lineRule="exact"/>
              <w:ind w:left="103" w:right="0"/>
              <w:jc w:val="left"/>
              <w:rPr>
                <w:rFonts w:ascii="宋体" w:hAnsi="宋体" w:cs="宋体" w:eastAsia="宋体" w:hint="default"/>
                <w:sz w:val="18"/>
                <w:szCs w:val="18"/>
              </w:rPr>
            </w:pPr>
            <w:r>
              <w:rPr>
                <w:rFonts w:ascii="宋体" w:hAnsi="宋体" w:cs="宋体" w:eastAsia="宋体" w:hint="default"/>
                <w:sz w:val="18"/>
                <w:szCs w:val="18"/>
              </w:rPr>
              <w:t>能控制</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199"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系统的</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200" w:hRule="exact"/>
        </w:trPr>
        <w:tc>
          <w:tcPr>
            <w:tcW w:w="654" w:type="dxa"/>
            <w:tcBorders>
              <w:top w:val="nil" w:sz="6" w:space="0" w:color="auto"/>
              <w:left w:val="single" w:sz="12" w:space="0" w:color="000000"/>
              <w:bottom w:val="nil" w:sz="6" w:space="0" w:color="auto"/>
              <w:right w:val="single" w:sz="4" w:space="0" w:color="000000"/>
            </w:tcBorders>
          </w:tcPr>
          <w:p>
            <w:pP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技术开</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tcBorders>
              <w:top w:val="nil" w:sz="6" w:space="0" w:color="auto"/>
              <w:left w:val="single" w:sz="4" w:space="0" w:color="000000"/>
              <w:bottom w:val="nil" w:sz="6" w:space="0" w:color="auto"/>
              <w:right w:val="single" w:sz="12" w:space="0" w:color="000000"/>
            </w:tcBorders>
          </w:tcPr>
          <w:p>
            <w:pPr/>
          </w:p>
        </w:tc>
      </w:tr>
      <w:tr>
        <w:trPr>
          <w:trHeight w:val="209" w:hRule="exact"/>
        </w:trPr>
        <w:tc>
          <w:tcPr>
            <w:tcW w:w="654" w:type="dxa"/>
            <w:tcBorders>
              <w:top w:val="nil" w:sz="6" w:space="0" w:color="auto"/>
              <w:left w:val="single" w:sz="12" w:space="0" w:color="000000"/>
              <w:bottom w:val="single" w:sz="4" w:space="0" w:color="000000"/>
              <w:right w:val="single" w:sz="4" w:space="0" w:color="000000"/>
            </w:tcBorders>
          </w:tcPr>
          <w:p>
            <w:pPr/>
          </w:p>
        </w:tc>
        <w:tc>
          <w:tcPr>
            <w:tcW w:w="819" w:type="dxa"/>
            <w:tcBorders>
              <w:top w:val="nil" w:sz="6" w:space="0" w:color="auto"/>
              <w:left w:val="single" w:sz="4" w:space="0" w:color="000000"/>
              <w:bottom w:val="single" w:sz="4" w:space="0" w:color="000000"/>
              <w:right w:val="single" w:sz="4" w:space="0" w:color="000000"/>
            </w:tcBorders>
          </w:tcPr>
          <w:p>
            <w:pPr>
              <w:pStyle w:val="TableParagraph"/>
              <w:spacing w:line="191" w:lineRule="exact"/>
              <w:ind w:left="103" w:right="0"/>
              <w:jc w:val="left"/>
              <w:rPr>
                <w:rFonts w:ascii="宋体" w:hAnsi="宋体" w:cs="宋体" w:eastAsia="宋体" w:hint="default"/>
                <w:sz w:val="18"/>
                <w:szCs w:val="18"/>
              </w:rPr>
            </w:pPr>
            <w:r>
              <w:rPr>
                <w:rFonts w:ascii="宋体" w:hAnsi="宋体" w:cs="宋体" w:eastAsia="宋体" w:hint="default"/>
                <w:sz w:val="18"/>
                <w:szCs w:val="18"/>
              </w:rPr>
              <w:t>发</w:t>
            </w:r>
          </w:p>
        </w:tc>
        <w:tc>
          <w:tcPr>
            <w:tcW w:w="455" w:type="dxa"/>
            <w:vMerge/>
            <w:tcBorders>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616"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592" w:type="dxa"/>
            <w:tcBorders>
              <w:top w:val="nil" w:sz="6" w:space="0" w:color="auto"/>
              <w:left w:val="single" w:sz="4" w:space="0" w:color="000000"/>
              <w:bottom w:val="single" w:sz="4" w:space="0" w:color="000000"/>
              <w:right w:val="single" w:sz="4" w:space="0" w:color="000000"/>
            </w:tcBorders>
          </w:tcPr>
          <w:p>
            <w:pPr/>
          </w:p>
        </w:tc>
        <w:tc>
          <w:tcPr>
            <w:tcW w:w="592" w:type="dxa"/>
            <w:vMerge/>
            <w:tcBorders>
              <w:left w:val="single" w:sz="4" w:space="0" w:color="000000"/>
              <w:bottom w:val="single" w:sz="4" w:space="0" w:color="000000"/>
              <w:right w:val="single" w:sz="4" w:space="0" w:color="000000"/>
            </w:tcBorders>
          </w:tcPr>
          <w:p>
            <w:pPr/>
          </w:p>
        </w:tc>
        <w:tc>
          <w:tcPr>
            <w:tcW w:w="693" w:type="dxa"/>
            <w:tcBorders>
              <w:top w:val="nil" w:sz="6" w:space="0" w:color="auto"/>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68" w:type="dxa"/>
            <w:tcBorders>
              <w:top w:val="nil" w:sz="6" w:space="0" w:color="auto"/>
              <w:left w:val="single" w:sz="4" w:space="0" w:color="000000"/>
              <w:bottom w:val="single" w:sz="4" w:space="0" w:color="000000"/>
              <w:right w:val="single" w:sz="12" w:space="0" w:color="000000"/>
            </w:tcBorders>
          </w:tcPr>
          <w:p>
            <w:pPr/>
          </w:p>
        </w:tc>
      </w:tr>
      <w:tr>
        <w:trPr>
          <w:trHeight w:val="206" w:hRule="exact"/>
        </w:trPr>
        <w:tc>
          <w:tcPr>
            <w:tcW w:w="654" w:type="dxa"/>
            <w:tcBorders>
              <w:top w:val="single" w:sz="4" w:space="0" w:color="000000"/>
              <w:left w:val="single" w:sz="12" w:space="0" w:color="000000"/>
              <w:bottom w:val="nil" w:sz="6" w:space="0" w:color="auto"/>
              <w:right w:val="single" w:sz="4" w:space="0" w:color="000000"/>
            </w:tcBorders>
          </w:tcPr>
          <w:p>
            <w:pPr>
              <w:pStyle w:val="TableParagraph"/>
              <w:spacing w:line="200" w:lineRule="exact"/>
              <w:ind w:left="92" w:right="0"/>
              <w:jc w:val="left"/>
              <w:rPr>
                <w:rFonts w:ascii="Times New Roman" w:hAnsi="Times New Roman" w:cs="Times New Roman" w:eastAsia="Times New Roman" w:hint="default"/>
                <w:sz w:val="18"/>
                <w:szCs w:val="18"/>
              </w:rPr>
            </w:pPr>
            <w:r>
              <w:rPr>
                <w:rFonts w:ascii="Times New Roman"/>
                <w:spacing w:val="-7"/>
                <w:sz w:val="18"/>
              </w:rPr>
              <w:t>WAN</w:t>
            </w:r>
          </w:p>
        </w:tc>
        <w:tc>
          <w:tcPr>
            <w:tcW w:w="819" w:type="dxa"/>
            <w:tcBorders>
              <w:top w:val="single" w:sz="4" w:space="0" w:color="000000"/>
              <w:left w:val="single" w:sz="4" w:space="0" w:color="000000"/>
              <w:bottom w:val="nil" w:sz="6" w:space="0" w:color="auto"/>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生产同</w:t>
            </w:r>
          </w:p>
        </w:tc>
        <w:tc>
          <w:tcPr>
            <w:tcW w:w="4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316" w:lineRule="auto"/>
              <w:ind w:left="102" w:right="160"/>
              <w:jc w:val="left"/>
              <w:rPr>
                <w:rFonts w:ascii="宋体" w:hAnsi="宋体" w:cs="宋体" w:eastAsia="宋体" w:hint="default"/>
                <w:sz w:val="18"/>
                <w:szCs w:val="18"/>
              </w:rPr>
            </w:pPr>
            <w:r>
              <w:rPr>
                <w:rFonts w:ascii="宋体" w:hAnsi="宋体" w:cs="宋体" w:eastAsia="宋体" w:hint="default"/>
                <w:sz w:val="18"/>
                <w:szCs w:val="18"/>
              </w:rPr>
              <w:t>新 设</w:t>
            </w: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22"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616" w:type="dxa"/>
            <w:tcBorders>
              <w:top w:val="single" w:sz="4" w:space="0" w:color="000000"/>
              <w:left w:val="single" w:sz="4" w:space="0" w:color="000000"/>
              <w:bottom w:val="nil" w:sz="6" w:space="0" w:color="auto"/>
              <w:right w:val="single" w:sz="4" w:space="0" w:color="000000"/>
            </w:tcBorders>
          </w:tcPr>
          <w:p>
            <w:pPr/>
          </w:p>
        </w:tc>
        <w:tc>
          <w:tcPr>
            <w:tcW w:w="618" w:type="dxa"/>
            <w:tcBorders>
              <w:top w:val="single" w:sz="4" w:space="0" w:color="000000"/>
              <w:left w:val="single" w:sz="4" w:space="0" w:color="000000"/>
              <w:bottom w:val="nil" w:sz="6" w:space="0" w:color="auto"/>
              <w:right w:val="single" w:sz="4" w:space="0" w:color="000000"/>
            </w:tcBorders>
          </w:tcPr>
          <w:p>
            <w:pPr/>
          </w:p>
        </w:tc>
        <w:tc>
          <w:tcPr>
            <w:tcW w:w="592" w:type="dxa"/>
            <w:tcBorders>
              <w:top w:val="single" w:sz="4" w:space="0" w:color="000000"/>
              <w:left w:val="single" w:sz="4" w:space="0" w:color="000000"/>
              <w:bottom w:val="nil" w:sz="6" w:space="0" w:color="auto"/>
              <w:right w:val="single" w:sz="4" w:space="0" w:color="000000"/>
            </w:tcBorders>
          </w:tcPr>
          <w:p>
            <w:pPr/>
          </w:p>
        </w:tc>
        <w:tc>
          <w:tcPr>
            <w:tcW w:w="592" w:type="dxa"/>
            <w:vMerge w:val="restart"/>
            <w:tcBorders>
              <w:top w:val="single" w:sz="4" w:space="0" w:color="000000"/>
              <w:left w:val="single" w:sz="4" w:space="0" w:color="000000"/>
              <w:right w:val="single" w:sz="4" w:space="0" w:color="000000"/>
            </w:tcBorders>
          </w:tcPr>
          <w:p>
            <w:pPr/>
          </w:p>
        </w:tc>
        <w:tc>
          <w:tcPr>
            <w:tcW w:w="693" w:type="dxa"/>
            <w:tcBorders>
              <w:top w:val="single" w:sz="4" w:space="0" w:color="000000"/>
              <w:left w:val="single" w:sz="4" w:space="0" w:color="000000"/>
              <w:bottom w:val="nil" w:sz="6" w:space="0" w:color="auto"/>
              <w:right w:val="single" w:sz="4" w:space="0" w:color="000000"/>
            </w:tcBorders>
          </w:tcPr>
          <w:p>
            <w:pPr/>
          </w:p>
        </w:tc>
        <w:tc>
          <w:tcPr>
            <w:tcW w:w="690" w:type="dxa"/>
            <w:tcBorders>
              <w:top w:val="single" w:sz="4" w:space="0" w:color="000000"/>
              <w:left w:val="single" w:sz="4" w:space="0" w:color="000000"/>
              <w:bottom w:val="nil" w:sz="6" w:space="0" w:color="auto"/>
              <w:right w:val="single" w:sz="4" w:space="0" w:color="000000"/>
            </w:tcBorders>
          </w:tcPr>
          <w:p>
            <w:pPr/>
          </w:p>
        </w:tc>
        <w:tc>
          <w:tcPr>
            <w:tcW w:w="690" w:type="dxa"/>
            <w:vMerge w:val="restart"/>
            <w:tcBorders>
              <w:top w:val="single" w:sz="4" w:space="0" w:color="000000"/>
              <w:left w:val="single" w:sz="4" w:space="0" w:color="000000"/>
              <w:right w:val="single" w:sz="4" w:space="0" w:color="000000"/>
            </w:tcBorders>
          </w:tcPr>
          <w:p>
            <w:pPr/>
          </w:p>
        </w:tc>
        <w:tc>
          <w:tcPr>
            <w:tcW w:w="668" w:type="dxa"/>
            <w:vMerge w:val="restart"/>
            <w:tcBorders>
              <w:top w:val="single" w:sz="4" w:space="0" w:color="000000"/>
              <w:left w:val="single" w:sz="4" w:space="0" w:color="000000"/>
              <w:right w:val="single" w:sz="12" w:space="0" w:color="000000"/>
            </w:tcBorders>
          </w:tcPr>
          <w:p>
            <w:pPr/>
          </w:p>
        </w:tc>
      </w:tr>
      <w:tr>
        <w:trPr>
          <w:trHeight w:val="199" w:hRule="exact"/>
        </w:trPr>
        <w:tc>
          <w:tcPr>
            <w:tcW w:w="654" w:type="dxa"/>
            <w:tcBorders>
              <w:top w:val="nil" w:sz="6" w:space="0" w:color="auto"/>
              <w:left w:val="single" w:sz="12" w:space="0" w:color="000000"/>
              <w:bottom w:val="nil" w:sz="6" w:space="0" w:color="auto"/>
              <w:right w:val="single" w:sz="4" w:space="0" w:color="000000"/>
            </w:tcBorders>
          </w:tcPr>
          <w:p>
            <w:pPr>
              <w:pStyle w:val="TableParagraph"/>
              <w:spacing w:line="197" w:lineRule="exact"/>
              <w:ind w:left="92" w:right="0"/>
              <w:jc w:val="left"/>
              <w:rPr>
                <w:rFonts w:ascii="Times New Roman" w:hAnsi="Times New Roman" w:cs="Times New Roman" w:eastAsia="Times New Roman" w:hint="default"/>
                <w:sz w:val="18"/>
                <w:szCs w:val="18"/>
              </w:rPr>
            </w:pPr>
            <w:r>
              <w:rPr>
                <w:rFonts w:ascii="Times New Roman"/>
                <w:sz w:val="18"/>
              </w:rPr>
              <w:t>MA</w:t>
            </w: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轴电</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396" w:hRule="exact"/>
        </w:trPr>
        <w:tc>
          <w:tcPr>
            <w:tcW w:w="654" w:type="dxa"/>
            <w:tcBorders>
              <w:top w:val="nil" w:sz="6" w:space="0" w:color="auto"/>
              <w:left w:val="single" w:sz="12" w:space="0" w:color="000000"/>
              <w:bottom w:val="nil" w:sz="6" w:space="0" w:color="auto"/>
              <w:right w:val="single" w:sz="4" w:space="0" w:color="000000"/>
            </w:tcBorders>
          </w:tcPr>
          <w:p>
            <w:pPr>
              <w:pStyle w:val="TableParagraph"/>
              <w:spacing w:line="200" w:lineRule="exact"/>
              <w:ind w:left="92" w:right="170"/>
              <w:jc w:val="left"/>
              <w:rPr>
                <w:rFonts w:ascii="Times New Roman" w:hAnsi="Times New Roman" w:cs="Times New Roman" w:eastAsia="Times New Roman" w:hint="default"/>
                <w:sz w:val="18"/>
                <w:szCs w:val="18"/>
              </w:rPr>
            </w:pPr>
            <w:r>
              <w:rPr>
                <w:rFonts w:ascii="Times New Roman"/>
                <w:sz w:val="18"/>
              </w:rPr>
              <w:t>CAB</w:t>
            </w:r>
            <w:r>
              <w:rPr>
                <w:rFonts w:ascii="Times New Roman"/>
                <w:w w:val="99"/>
                <w:sz w:val="18"/>
              </w:rPr>
              <w:t> </w:t>
            </w:r>
            <w:r>
              <w:rPr>
                <w:rFonts w:ascii="Times New Roman"/>
                <w:sz w:val="18"/>
              </w:rPr>
              <w:t>LE</w:t>
            </w: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03" w:right="164"/>
              <w:jc w:val="left"/>
              <w:rPr>
                <w:rFonts w:ascii="宋体" w:hAnsi="宋体" w:cs="宋体" w:eastAsia="宋体" w:hint="default"/>
                <w:sz w:val="18"/>
                <w:szCs w:val="18"/>
              </w:rPr>
            </w:pPr>
            <w:r>
              <w:rPr>
                <w:rFonts w:ascii="宋体" w:hAnsi="宋体" w:cs="宋体" w:eastAsia="宋体" w:hint="default"/>
                <w:sz w:val="18"/>
                <w:szCs w:val="18"/>
              </w:rPr>
              <w:t>缆、光 纤电</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股权</w:t>
            </w: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1205" w:hRule="exact"/>
        </w:trPr>
        <w:tc>
          <w:tcPr>
            <w:tcW w:w="654" w:type="dxa"/>
            <w:tcBorders>
              <w:top w:val="nil" w:sz="6" w:space="0" w:color="auto"/>
              <w:left w:val="single" w:sz="12" w:space="0" w:color="000000"/>
              <w:bottom w:val="nil" w:sz="6" w:space="0" w:color="auto"/>
              <w:right w:val="single" w:sz="4" w:space="0" w:color="000000"/>
            </w:tcBorders>
          </w:tcPr>
          <w:p>
            <w:pPr>
              <w:pStyle w:val="TableParagraph"/>
              <w:spacing w:line="232" w:lineRule="auto"/>
              <w:ind w:left="92" w:right="130"/>
              <w:jc w:val="left"/>
              <w:rPr>
                <w:rFonts w:ascii="Times New Roman" w:hAnsi="Times New Roman" w:cs="Times New Roman" w:eastAsia="Times New Roman" w:hint="default"/>
                <w:sz w:val="18"/>
                <w:szCs w:val="18"/>
              </w:rPr>
            </w:pPr>
            <w:r>
              <w:rPr>
                <w:rFonts w:ascii="Times New Roman"/>
                <w:sz w:val="18"/>
              </w:rPr>
              <w:t>(VIE</w:t>
            </w:r>
            <w:r>
              <w:rPr>
                <w:rFonts w:ascii="Times New Roman"/>
                <w:w w:val="99"/>
                <w:sz w:val="18"/>
              </w:rPr>
              <w:t> </w:t>
            </w:r>
            <w:r>
              <w:rPr>
                <w:rFonts w:ascii="Times New Roman"/>
                <w:sz w:val="18"/>
              </w:rPr>
              <w:t>TNA</w:t>
            </w:r>
            <w:r>
              <w:rPr>
                <w:rFonts w:ascii="Times New Roman"/>
                <w:w w:val="99"/>
                <w:sz w:val="18"/>
              </w:rPr>
              <w:t> </w:t>
            </w:r>
            <w:r>
              <w:rPr>
                <w:rFonts w:ascii="Times New Roman"/>
                <w:sz w:val="18"/>
              </w:rPr>
              <w:t>M)</w:t>
            </w:r>
            <w:r>
              <w:rPr>
                <w:rFonts w:ascii="Times New Roman"/>
                <w:w w:val="99"/>
                <w:sz w:val="18"/>
              </w:rPr>
              <w:t> </w:t>
            </w:r>
            <w:r>
              <w:rPr>
                <w:rFonts w:ascii="Times New Roman"/>
                <w:sz w:val="18"/>
              </w:rPr>
              <w:t>COM</w:t>
            </w:r>
            <w:r>
              <w:rPr>
                <w:rFonts w:ascii="Times New Roman"/>
                <w:w w:val="99"/>
                <w:sz w:val="18"/>
              </w:rPr>
              <w:t> </w:t>
            </w:r>
            <w:r>
              <w:rPr>
                <w:rFonts w:ascii="Times New Roman"/>
                <w:spacing w:val="-6"/>
                <w:sz w:val="18"/>
              </w:rPr>
              <w:t>PAN</w:t>
            </w:r>
            <w:r>
              <w:rPr>
                <w:rFonts w:ascii="Times New Roman"/>
                <w:w w:val="99"/>
                <w:sz w:val="18"/>
              </w:rPr>
              <w:t> </w:t>
            </w:r>
            <w:r>
              <w:rPr>
                <w:rFonts w:ascii="Times New Roman"/>
                <w:sz w:val="18"/>
              </w:rPr>
              <w:t>Y</w:t>
            </w: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200" w:lineRule="exact" w:before="5"/>
              <w:ind w:left="103" w:right="164"/>
              <w:jc w:val="both"/>
              <w:rPr>
                <w:rFonts w:ascii="宋体" w:hAnsi="宋体" w:cs="宋体" w:eastAsia="宋体" w:hint="default"/>
                <w:sz w:val="18"/>
                <w:szCs w:val="18"/>
              </w:rPr>
            </w:pPr>
            <w:r>
              <w:rPr>
                <w:rFonts w:ascii="宋体" w:hAnsi="宋体" w:cs="宋体" w:eastAsia="宋体" w:hint="default"/>
                <w:sz w:val="18"/>
                <w:szCs w:val="18"/>
              </w:rPr>
              <w:t>缆、数 据传输 电缆、</w:t>
            </w:r>
          </w:p>
          <w:p>
            <w:pPr>
              <w:pStyle w:val="TableParagraph"/>
              <w:spacing w:line="200" w:lineRule="exact" w:before="1"/>
              <w:ind w:left="103" w:right="164"/>
              <w:jc w:val="both"/>
              <w:rPr>
                <w:rFonts w:ascii="宋体" w:hAnsi="宋体" w:cs="宋体" w:eastAsia="宋体" w:hint="default"/>
                <w:sz w:val="18"/>
                <w:szCs w:val="18"/>
              </w:rPr>
            </w:pPr>
            <w:r>
              <w:rPr>
                <w:rFonts w:ascii="宋体" w:hAnsi="宋体" w:cs="宋体" w:eastAsia="宋体" w:hint="default"/>
                <w:sz w:val="18"/>
                <w:szCs w:val="18"/>
              </w:rPr>
              <w:t>安全电 缆、电 源线、</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195" w:lineRule="exact"/>
              <w:ind w:left="110" w:right="0"/>
              <w:jc w:val="left"/>
              <w:rPr>
                <w:rFonts w:ascii="Times New Roman" w:hAnsi="Times New Roman" w:cs="Times New Roman" w:eastAsia="Times New Roman" w:hint="default"/>
                <w:sz w:val="18"/>
                <w:szCs w:val="18"/>
              </w:rPr>
            </w:pPr>
            <w:r>
              <w:rPr>
                <w:rFonts w:ascii="Times New Roman"/>
                <w:sz w:val="18"/>
              </w:rPr>
              <w:t>6,811</w:t>
            </w:r>
          </w:p>
          <w:p>
            <w:pPr>
              <w:pStyle w:val="TableParagraph"/>
              <w:spacing w:line="240" w:lineRule="auto" w:before="105"/>
              <w:ind w:left="47" w:right="0"/>
              <w:jc w:val="center"/>
              <w:rPr>
                <w:rFonts w:ascii="Times New Roman" w:hAnsi="Times New Roman" w:cs="Times New Roman" w:eastAsia="Times New Roman" w:hint="default"/>
                <w:sz w:val="18"/>
                <w:szCs w:val="18"/>
              </w:rPr>
            </w:pPr>
            <w:r>
              <w:rPr>
                <w:rFonts w:ascii="Times New Roman"/>
                <w:sz w:val="18"/>
              </w:rPr>
              <w:t>,241.</w:t>
            </w:r>
          </w:p>
          <w:p>
            <w:pPr>
              <w:pStyle w:val="TableParagraph"/>
              <w:spacing w:line="240" w:lineRule="auto" w:before="105"/>
              <w:ind w:left="227" w:right="0"/>
              <w:jc w:val="center"/>
              <w:rPr>
                <w:rFonts w:ascii="Times New Roman" w:hAnsi="Times New Roman" w:cs="Times New Roman" w:eastAsia="Times New Roman" w:hint="default"/>
                <w:sz w:val="18"/>
                <w:szCs w:val="18"/>
              </w:rPr>
            </w:pPr>
            <w:r>
              <w:rPr>
                <w:rFonts w:ascii="Times New Roman"/>
                <w:sz w:val="18"/>
              </w:rPr>
              <w:t>12</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before="143"/>
              <w:ind w:right="0"/>
              <w:jc w:val="center"/>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5"/>
              <w:ind w:left="171" w:right="0"/>
              <w:jc w:val="center"/>
              <w:rPr>
                <w:rFonts w:ascii="Times New Roman" w:hAnsi="Times New Roman" w:cs="Times New Roman" w:eastAsia="Times New Roman" w:hint="default"/>
                <w:sz w:val="18"/>
                <w:szCs w:val="18"/>
              </w:rPr>
            </w:pPr>
            <w:r>
              <w:rPr>
                <w:rFonts w:ascii="Times New Roman"/>
                <w:sz w:val="18"/>
              </w:rPr>
              <w:t>0%</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316" w:lineRule="auto" w:before="101"/>
              <w:ind w:left="102" w:right="147"/>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37"/>
              <w:jc w:val="center"/>
              <w:rPr>
                <w:rFonts w:ascii="宋体" w:hAnsi="宋体" w:cs="宋体" w:eastAsia="宋体" w:hint="default"/>
                <w:sz w:val="18"/>
                <w:szCs w:val="18"/>
              </w:rPr>
            </w:pPr>
            <w:r>
              <w:rPr>
                <w:rFonts w:ascii="宋体" w:hAnsi="宋体" w:cs="宋体" w:eastAsia="宋体" w:hint="default"/>
                <w:sz w:val="18"/>
                <w:szCs w:val="18"/>
              </w:rPr>
              <w:t>长期</w:t>
            </w:r>
          </w:p>
        </w:tc>
        <w:tc>
          <w:tcPr>
            <w:tcW w:w="618" w:type="dxa"/>
            <w:tcBorders>
              <w:top w:val="nil" w:sz="6" w:space="0" w:color="auto"/>
              <w:left w:val="single" w:sz="4" w:space="0" w:color="000000"/>
              <w:bottom w:val="nil" w:sz="6" w:space="0" w:color="auto"/>
              <w:right w:val="single" w:sz="4" w:space="0" w:color="000000"/>
            </w:tcBorders>
          </w:tcPr>
          <w:p>
            <w:pPr>
              <w:pStyle w:val="TableParagraph"/>
              <w:spacing w:line="316" w:lineRule="auto" w:before="101"/>
              <w:ind w:left="101" w:right="144"/>
              <w:jc w:val="left"/>
              <w:rPr>
                <w:rFonts w:ascii="宋体" w:hAnsi="宋体" w:cs="宋体" w:eastAsia="宋体" w:hint="default"/>
                <w:sz w:val="18"/>
                <w:szCs w:val="18"/>
              </w:rPr>
            </w:pPr>
            <w:r>
              <w:rPr>
                <w:rFonts w:ascii="宋体" w:hAnsi="宋体" w:cs="宋体" w:eastAsia="宋体" w:hint="default"/>
                <w:sz w:val="18"/>
                <w:szCs w:val="18"/>
              </w:rPr>
              <w:t>股权 投资</w:t>
            </w:r>
          </w:p>
        </w:tc>
        <w:tc>
          <w:tcPr>
            <w:tcW w:w="592" w:type="dxa"/>
            <w:tcBorders>
              <w:top w:val="nil" w:sz="6" w:space="0" w:color="auto"/>
              <w:left w:val="single" w:sz="4" w:space="0" w:color="000000"/>
              <w:bottom w:val="nil" w:sz="6" w:space="0" w:color="auto"/>
              <w:right w:val="single" w:sz="4" w:space="0" w:color="000000"/>
            </w:tcBorders>
          </w:tcPr>
          <w:p>
            <w:pPr>
              <w:pStyle w:val="TableParagraph"/>
              <w:spacing w:line="181" w:lineRule="exact"/>
              <w:ind w:left="103" w:right="0"/>
              <w:jc w:val="left"/>
              <w:rPr>
                <w:rFonts w:ascii="宋体" w:hAnsi="宋体" w:cs="宋体" w:eastAsia="宋体" w:hint="default"/>
                <w:sz w:val="18"/>
                <w:szCs w:val="18"/>
              </w:rPr>
            </w:pPr>
            <w:r>
              <w:rPr>
                <w:rFonts w:ascii="宋体" w:hAnsi="宋体" w:cs="宋体" w:eastAsia="宋体" w:hint="default"/>
                <w:sz w:val="18"/>
                <w:szCs w:val="18"/>
              </w:rPr>
              <w:t>已</w:t>
            </w:r>
          </w:p>
          <w:p>
            <w:pPr>
              <w:pStyle w:val="TableParagraph"/>
              <w:spacing w:line="316" w:lineRule="auto" w:before="76"/>
              <w:ind w:left="103" w:right="117"/>
              <w:jc w:val="left"/>
              <w:rPr>
                <w:rFonts w:ascii="宋体" w:hAnsi="宋体" w:cs="宋体" w:eastAsia="宋体" w:hint="default"/>
                <w:sz w:val="18"/>
                <w:szCs w:val="18"/>
              </w:rPr>
            </w:pPr>
            <w:r>
              <w:rPr>
                <w:rFonts w:ascii="宋体" w:hAnsi="宋体" w:cs="宋体" w:eastAsia="宋体" w:hint="default"/>
                <w:sz w:val="18"/>
                <w:szCs w:val="18"/>
              </w:rPr>
              <w:t>全部 过</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户</w:t>
            </w: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pacing w:val="-1"/>
                <w:sz w:val="18"/>
              </w:rPr>
              <w:t>-2,089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,493.4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69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199" w:hRule="exact"/>
        </w:trPr>
        <w:tc>
          <w:tcPr>
            <w:tcW w:w="654" w:type="dxa"/>
            <w:tcBorders>
              <w:top w:val="nil" w:sz="6" w:space="0" w:color="auto"/>
              <w:left w:val="single" w:sz="12" w:space="0" w:color="000000"/>
              <w:bottom w:val="nil" w:sz="6" w:space="0" w:color="auto"/>
              <w:right w:val="single" w:sz="4" w:space="0" w:color="000000"/>
            </w:tcBorders>
          </w:tcPr>
          <w:p>
            <w:pPr>
              <w:pStyle w:val="TableParagraph"/>
              <w:spacing w:line="197" w:lineRule="exact"/>
              <w:ind w:left="92" w:right="0"/>
              <w:jc w:val="left"/>
              <w:rPr>
                <w:rFonts w:ascii="Times New Roman" w:hAnsi="Times New Roman" w:cs="Times New Roman" w:eastAsia="Times New Roman" w:hint="default"/>
                <w:sz w:val="18"/>
                <w:szCs w:val="18"/>
              </w:rPr>
            </w:pPr>
            <w:r>
              <w:rPr>
                <w:rFonts w:ascii="Times New Roman"/>
                <w:sz w:val="18"/>
              </w:rPr>
              <w:t>LIMI</w:t>
            </w:r>
          </w:p>
        </w:tc>
        <w:tc>
          <w:tcPr>
            <w:tcW w:w="819"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连接线</w:t>
            </w:r>
          </w:p>
        </w:tc>
        <w:tc>
          <w:tcPr>
            <w:tcW w:w="455" w:type="dxa"/>
            <w:vMerge/>
            <w:tcBorders>
              <w:left w:val="single" w:sz="4" w:space="0" w:color="000000"/>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22"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616" w:type="dxa"/>
            <w:tcBorders>
              <w:top w:val="nil" w:sz="6" w:space="0" w:color="auto"/>
              <w:left w:val="single" w:sz="4" w:space="0" w:color="000000"/>
              <w:bottom w:val="nil" w:sz="6" w:space="0" w:color="auto"/>
              <w:right w:val="single" w:sz="4" w:space="0" w:color="000000"/>
            </w:tcBorders>
          </w:tcPr>
          <w:p>
            <w:pPr/>
          </w:p>
        </w:tc>
        <w:tc>
          <w:tcPr>
            <w:tcW w:w="618" w:type="dxa"/>
            <w:tcBorders>
              <w:top w:val="nil" w:sz="6" w:space="0" w:color="auto"/>
              <w:left w:val="single" w:sz="4" w:space="0" w:color="000000"/>
              <w:bottom w:val="nil" w:sz="6" w:space="0" w:color="auto"/>
              <w:right w:val="single" w:sz="4" w:space="0" w:color="000000"/>
            </w:tcBorders>
          </w:tcPr>
          <w:p>
            <w:pPr/>
          </w:p>
        </w:tc>
        <w:tc>
          <w:tcPr>
            <w:tcW w:w="592" w:type="dxa"/>
            <w:tcBorders>
              <w:top w:val="nil" w:sz="6" w:space="0" w:color="auto"/>
              <w:left w:val="single" w:sz="4" w:space="0" w:color="000000"/>
              <w:bottom w:val="nil" w:sz="6" w:space="0" w:color="auto"/>
              <w:right w:val="single" w:sz="4" w:space="0" w:color="000000"/>
            </w:tcBorders>
          </w:tcPr>
          <w:p>
            <w:pPr/>
          </w:p>
        </w:tc>
        <w:tc>
          <w:tcPr>
            <w:tcW w:w="592" w:type="dxa"/>
            <w:vMerge/>
            <w:tcBorders>
              <w:left w:val="single" w:sz="4" w:space="0" w:color="000000"/>
              <w:right w:val="single" w:sz="4" w:space="0" w:color="000000"/>
            </w:tcBorders>
          </w:tcPr>
          <w:p>
            <w:pPr/>
          </w:p>
        </w:tc>
        <w:tc>
          <w:tcPr>
            <w:tcW w:w="693" w:type="dxa"/>
            <w:tcBorders>
              <w:top w:val="nil" w:sz="6" w:space="0" w:color="auto"/>
              <w:left w:val="single" w:sz="4" w:space="0" w:color="000000"/>
              <w:bottom w:val="nil" w:sz="6" w:space="0" w:color="auto"/>
              <w:right w:val="single" w:sz="4" w:space="0" w:color="000000"/>
            </w:tcBorders>
          </w:tcPr>
          <w:p>
            <w:pPr/>
          </w:p>
        </w:tc>
        <w:tc>
          <w:tcPr>
            <w:tcW w:w="690" w:type="dxa"/>
            <w:tcBorders>
              <w:top w:val="nil" w:sz="6" w:space="0" w:color="auto"/>
              <w:left w:val="single" w:sz="4" w:space="0" w:color="000000"/>
              <w:bottom w:val="nil" w:sz="6" w:space="0" w:color="auto"/>
              <w:right w:val="single" w:sz="4" w:space="0" w:color="000000"/>
            </w:tcBorders>
          </w:tcPr>
          <w:p>
            <w:pPr/>
          </w:p>
        </w:tc>
        <w:tc>
          <w:tcPr>
            <w:tcW w:w="690" w:type="dxa"/>
            <w:vMerge/>
            <w:tcBorders>
              <w:left w:val="single" w:sz="4" w:space="0" w:color="000000"/>
              <w:right w:val="single" w:sz="4" w:space="0" w:color="000000"/>
            </w:tcBorders>
          </w:tcPr>
          <w:p>
            <w:pPr/>
          </w:p>
        </w:tc>
        <w:tc>
          <w:tcPr>
            <w:tcW w:w="668" w:type="dxa"/>
            <w:vMerge/>
            <w:tcBorders>
              <w:left w:val="single" w:sz="4" w:space="0" w:color="000000"/>
              <w:right w:val="single" w:sz="12" w:space="0" w:color="000000"/>
            </w:tcBorders>
          </w:tcPr>
          <w:p>
            <w:pPr/>
          </w:p>
        </w:tc>
      </w:tr>
      <w:tr>
        <w:trPr>
          <w:trHeight w:val="202" w:hRule="exact"/>
        </w:trPr>
        <w:tc>
          <w:tcPr>
            <w:tcW w:w="654" w:type="dxa"/>
            <w:tcBorders>
              <w:top w:val="nil" w:sz="6" w:space="0" w:color="auto"/>
              <w:left w:val="single" w:sz="12" w:space="0" w:color="000000"/>
              <w:bottom w:val="single" w:sz="4" w:space="0" w:color="000000"/>
              <w:right w:val="single" w:sz="4" w:space="0" w:color="000000"/>
            </w:tcBorders>
          </w:tcPr>
          <w:p>
            <w:pPr>
              <w:pStyle w:val="TableParagraph"/>
              <w:spacing w:line="200" w:lineRule="exact"/>
              <w:ind w:left="92" w:right="0"/>
              <w:jc w:val="left"/>
              <w:rPr>
                <w:rFonts w:ascii="Times New Roman" w:hAnsi="Times New Roman" w:cs="Times New Roman" w:eastAsia="Times New Roman" w:hint="default"/>
                <w:sz w:val="18"/>
                <w:szCs w:val="18"/>
              </w:rPr>
            </w:pPr>
            <w:r>
              <w:rPr>
                <w:rFonts w:ascii="Times New Roman"/>
                <w:sz w:val="18"/>
              </w:rPr>
              <w:t>TED</w:t>
            </w:r>
          </w:p>
        </w:tc>
        <w:tc>
          <w:tcPr>
            <w:tcW w:w="819" w:type="dxa"/>
            <w:tcBorders>
              <w:top w:val="nil" w:sz="6" w:space="0" w:color="auto"/>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等</w:t>
            </w:r>
          </w:p>
        </w:tc>
        <w:tc>
          <w:tcPr>
            <w:tcW w:w="455" w:type="dxa"/>
            <w:vMerge/>
            <w:tcBorders>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22"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616" w:type="dxa"/>
            <w:tcBorders>
              <w:top w:val="nil" w:sz="6" w:space="0" w:color="auto"/>
              <w:left w:val="single" w:sz="4" w:space="0" w:color="000000"/>
              <w:bottom w:val="single" w:sz="4" w:space="0" w:color="000000"/>
              <w:right w:val="single" w:sz="4" w:space="0" w:color="000000"/>
            </w:tcBorders>
          </w:tcPr>
          <w:p>
            <w:pPr/>
          </w:p>
        </w:tc>
        <w:tc>
          <w:tcPr>
            <w:tcW w:w="618" w:type="dxa"/>
            <w:tcBorders>
              <w:top w:val="nil" w:sz="6" w:space="0" w:color="auto"/>
              <w:left w:val="single" w:sz="4" w:space="0" w:color="000000"/>
              <w:bottom w:val="single" w:sz="4" w:space="0" w:color="000000"/>
              <w:right w:val="single" w:sz="4" w:space="0" w:color="000000"/>
            </w:tcBorders>
          </w:tcPr>
          <w:p>
            <w:pPr/>
          </w:p>
        </w:tc>
        <w:tc>
          <w:tcPr>
            <w:tcW w:w="592" w:type="dxa"/>
            <w:tcBorders>
              <w:top w:val="nil" w:sz="6" w:space="0" w:color="auto"/>
              <w:left w:val="single" w:sz="4" w:space="0" w:color="000000"/>
              <w:bottom w:val="single" w:sz="4" w:space="0" w:color="000000"/>
              <w:right w:val="single" w:sz="4" w:space="0" w:color="000000"/>
            </w:tcBorders>
          </w:tcPr>
          <w:p>
            <w:pPr/>
          </w:p>
        </w:tc>
        <w:tc>
          <w:tcPr>
            <w:tcW w:w="592" w:type="dxa"/>
            <w:vMerge/>
            <w:tcBorders>
              <w:left w:val="single" w:sz="4" w:space="0" w:color="000000"/>
              <w:bottom w:val="single" w:sz="4" w:space="0" w:color="000000"/>
              <w:right w:val="single" w:sz="4" w:space="0" w:color="000000"/>
            </w:tcBorders>
          </w:tcPr>
          <w:p>
            <w:pPr/>
          </w:p>
        </w:tc>
        <w:tc>
          <w:tcPr>
            <w:tcW w:w="693" w:type="dxa"/>
            <w:tcBorders>
              <w:top w:val="nil" w:sz="6" w:space="0" w:color="auto"/>
              <w:left w:val="single" w:sz="4" w:space="0" w:color="000000"/>
              <w:bottom w:val="single" w:sz="4" w:space="0" w:color="000000"/>
              <w:right w:val="single" w:sz="4" w:space="0" w:color="000000"/>
            </w:tcBorders>
          </w:tcPr>
          <w:p>
            <w:pPr/>
          </w:p>
        </w:tc>
        <w:tc>
          <w:tcPr>
            <w:tcW w:w="690" w:type="dxa"/>
            <w:tcBorders>
              <w:top w:val="nil" w:sz="6" w:space="0" w:color="auto"/>
              <w:left w:val="single" w:sz="4" w:space="0" w:color="000000"/>
              <w:bottom w:val="single" w:sz="4" w:space="0" w:color="000000"/>
              <w:right w:val="single" w:sz="4" w:space="0" w:color="000000"/>
            </w:tcBorders>
          </w:tcPr>
          <w:p>
            <w:pPr/>
          </w:p>
        </w:tc>
        <w:tc>
          <w:tcPr>
            <w:tcW w:w="690"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12" w:space="0" w:color="000000"/>
            </w:tcBorders>
          </w:tcPr>
          <w:p>
            <w:pPr/>
          </w:p>
        </w:tc>
      </w:tr>
    </w:tbl>
    <w:p>
      <w:pPr>
        <w:spacing w:after="0"/>
        <w:sectPr>
          <w:pgSz w:w="11910" w:h="16840"/>
          <w:pgMar w:header="890" w:footer="1053" w:top="1480" w:bottom="1240" w:left="1000" w:right="0"/>
        </w:sectPr>
      </w:pP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654"/>
        <w:gridCol w:w="819"/>
        <w:gridCol w:w="455"/>
        <w:gridCol w:w="622"/>
        <w:gridCol w:w="622"/>
        <w:gridCol w:w="622"/>
        <w:gridCol w:w="618"/>
        <w:gridCol w:w="616"/>
        <w:gridCol w:w="618"/>
        <w:gridCol w:w="592"/>
        <w:gridCol w:w="592"/>
        <w:gridCol w:w="693"/>
        <w:gridCol w:w="690"/>
        <w:gridCol w:w="690"/>
        <w:gridCol w:w="668"/>
      </w:tblGrid>
      <w:tr>
        <w:trPr>
          <w:trHeight w:val="322" w:hRule="exact"/>
        </w:trPr>
        <w:tc>
          <w:tcPr>
            <w:tcW w:w="654" w:type="dxa"/>
            <w:tcBorders>
              <w:top w:val="single" w:sz="4" w:space="0" w:color="000000"/>
              <w:left w:val="single" w:sz="12" w:space="0" w:color="000000"/>
              <w:bottom w:val="nil" w:sz="6" w:space="0" w:color="auto"/>
              <w:right w:val="single" w:sz="4" w:space="0" w:color="000000"/>
            </w:tcBorders>
            <w:shd w:val="clear" w:color="auto" w:fill="D2D2D2"/>
          </w:tcPr>
          <w:p>
            <w:pPr/>
          </w:p>
        </w:tc>
        <w:tc>
          <w:tcPr>
            <w:tcW w:w="819" w:type="dxa"/>
            <w:tcBorders>
              <w:top w:val="single" w:sz="4" w:space="0" w:color="000000"/>
              <w:left w:val="single" w:sz="4" w:space="0" w:color="000000"/>
              <w:bottom w:val="nil" w:sz="6" w:space="0" w:color="auto"/>
              <w:right w:val="single" w:sz="4" w:space="0" w:color="000000"/>
            </w:tcBorders>
            <w:shd w:val="clear" w:color="auto" w:fill="D2D2D2"/>
          </w:tcPr>
          <w:p>
            <w:pPr/>
          </w:p>
        </w:tc>
        <w:tc>
          <w:tcPr>
            <w:tcW w:w="455" w:type="dxa"/>
            <w:tcBorders>
              <w:top w:val="single" w:sz="4" w:space="0" w:color="000000"/>
              <w:left w:val="single" w:sz="4" w:space="0" w:color="000000"/>
              <w:bottom w:val="nil" w:sz="6" w:space="0" w:color="auto"/>
              <w:right w:val="single" w:sz="4" w:space="0" w:color="000000"/>
            </w:tcBorders>
            <w:shd w:val="clear" w:color="auto" w:fill="D2D2D2"/>
          </w:tcPr>
          <w:p>
            <w:pPr/>
          </w:p>
        </w:tc>
        <w:tc>
          <w:tcPr>
            <w:tcW w:w="6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325,3</w:t>
            </w:r>
          </w:p>
        </w:tc>
        <w:tc>
          <w:tcPr>
            <w:tcW w:w="622" w:type="dxa"/>
            <w:tcBorders>
              <w:top w:val="single" w:sz="4" w:space="0" w:color="000000"/>
              <w:left w:val="single" w:sz="4" w:space="0" w:color="000000"/>
              <w:bottom w:val="nil" w:sz="6" w:space="0" w:color="auto"/>
              <w:right w:val="single" w:sz="4" w:space="0" w:color="000000"/>
            </w:tcBorders>
            <w:shd w:val="clear" w:color="auto" w:fill="D2D2D2"/>
          </w:tcPr>
          <w:p>
            <w:pPr/>
          </w:p>
        </w:tc>
        <w:tc>
          <w:tcPr>
            <w:tcW w:w="622" w:type="dxa"/>
            <w:tcBorders>
              <w:top w:val="single" w:sz="4" w:space="0" w:color="000000"/>
              <w:left w:val="single" w:sz="4" w:space="0" w:color="000000"/>
              <w:bottom w:val="nil" w:sz="6" w:space="0" w:color="auto"/>
              <w:right w:val="single" w:sz="4" w:space="0" w:color="000000"/>
            </w:tcBorders>
            <w:shd w:val="clear" w:color="auto" w:fill="D2D2D2"/>
          </w:tcPr>
          <w:p>
            <w:pPr/>
          </w:p>
        </w:tc>
        <w:tc>
          <w:tcPr>
            <w:tcW w:w="618" w:type="dxa"/>
            <w:tcBorders>
              <w:top w:val="single" w:sz="4" w:space="0" w:color="000000"/>
              <w:left w:val="single" w:sz="4" w:space="0" w:color="000000"/>
              <w:bottom w:val="nil" w:sz="6" w:space="0" w:color="auto"/>
              <w:right w:val="single" w:sz="4" w:space="0" w:color="000000"/>
            </w:tcBorders>
            <w:shd w:val="clear" w:color="auto" w:fill="D2D2D2"/>
          </w:tcPr>
          <w:p>
            <w:pPr/>
          </w:p>
        </w:tc>
        <w:tc>
          <w:tcPr>
            <w:tcW w:w="616" w:type="dxa"/>
            <w:tcBorders>
              <w:top w:val="single" w:sz="4" w:space="0" w:color="000000"/>
              <w:left w:val="single" w:sz="4" w:space="0" w:color="000000"/>
              <w:bottom w:val="nil" w:sz="6" w:space="0" w:color="auto"/>
              <w:right w:val="single" w:sz="4" w:space="0" w:color="000000"/>
            </w:tcBorders>
            <w:shd w:val="clear" w:color="auto" w:fill="D2D2D2"/>
          </w:tcPr>
          <w:p>
            <w:pPr/>
          </w:p>
        </w:tc>
        <w:tc>
          <w:tcPr>
            <w:tcW w:w="618" w:type="dxa"/>
            <w:tcBorders>
              <w:top w:val="single" w:sz="4" w:space="0" w:color="000000"/>
              <w:left w:val="single" w:sz="4" w:space="0" w:color="000000"/>
              <w:bottom w:val="nil" w:sz="6" w:space="0" w:color="auto"/>
              <w:right w:val="single" w:sz="4" w:space="0" w:color="000000"/>
            </w:tcBorders>
            <w:shd w:val="clear" w:color="auto" w:fill="D2D2D2"/>
          </w:tcPr>
          <w:p>
            <w:pPr/>
          </w:p>
        </w:tc>
        <w:tc>
          <w:tcPr>
            <w:tcW w:w="592" w:type="dxa"/>
            <w:tcBorders>
              <w:top w:val="single" w:sz="4" w:space="0" w:color="000000"/>
              <w:left w:val="single" w:sz="4" w:space="0" w:color="000000"/>
              <w:bottom w:val="nil" w:sz="6" w:space="0" w:color="auto"/>
              <w:right w:val="single" w:sz="4" w:space="0" w:color="000000"/>
            </w:tcBorders>
            <w:shd w:val="clear" w:color="auto" w:fill="D2D2D2"/>
          </w:tcPr>
          <w:p>
            <w:pPr/>
          </w:p>
        </w:tc>
        <w:tc>
          <w:tcPr>
            <w:tcW w:w="592" w:type="dxa"/>
            <w:tcBorders>
              <w:top w:val="single" w:sz="4" w:space="0" w:color="000000"/>
              <w:left w:val="single" w:sz="4" w:space="0" w:color="000000"/>
              <w:bottom w:val="nil" w:sz="6" w:space="0" w:color="auto"/>
              <w:right w:val="single" w:sz="4" w:space="0" w:color="000000"/>
            </w:tcBorders>
          </w:tcPr>
          <w:p>
            <w:pPr/>
          </w:p>
        </w:tc>
        <w:tc>
          <w:tcPr>
            <w:tcW w:w="6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4" w:right="0"/>
              <w:jc w:val="center"/>
              <w:rPr>
                <w:rFonts w:ascii="Times New Roman" w:hAnsi="Times New Roman" w:cs="Times New Roman" w:eastAsia="Times New Roman" w:hint="default"/>
                <w:sz w:val="18"/>
                <w:szCs w:val="18"/>
              </w:rPr>
            </w:pPr>
            <w:r>
              <w:rPr>
                <w:rFonts w:ascii="Times New Roman"/>
                <w:sz w:val="18"/>
              </w:rPr>
              <w:t>-121,5</w:t>
            </w:r>
          </w:p>
        </w:tc>
        <w:tc>
          <w:tcPr>
            <w:tcW w:w="69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8" w:type="dxa"/>
            <w:tcBorders>
              <w:top w:val="single" w:sz="4" w:space="0" w:color="000000"/>
              <w:left w:val="single" w:sz="4" w:space="0" w:color="000000"/>
              <w:bottom w:val="nil" w:sz="6" w:space="0" w:color="auto"/>
              <w:right w:val="single" w:sz="12" w:space="0" w:color="000000"/>
            </w:tcBorders>
            <w:shd w:val="clear" w:color="auto" w:fill="D2D2D2"/>
          </w:tcPr>
          <w:p>
            <w:pPr/>
          </w:p>
        </w:tc>
      </w:tr>
      <w:tr>
        <w:trPr>
          <w:trHeight w:val="316" w:hRule="exact"/>
        </w:trPr>
        <w:tc>
          <w:tcPr>
            <w:tcW w:w="654"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6"/>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1" w:right="0"/>
              <w:jc w:val="center"/>
              <w:rPr>
                <w:rFonts w:ascii="Times New Roman" w:hAnsi="Times New Roman" w:cs="Times New Roman" w:eastAsia="Times New Roman" w:hint="default"/>
                <w:sz w:val="18"/>
                <w:szCs w:val="18"/>
              </w:rPr>
            </w:pPr>
            <w:r>
              <w:rPr>
                <w:rFonts w:ascii="Times New Roman"/>
                <w:sz w:val="18"/>
              </w:rPr>
              <w:t>--</w:t>
            </w:r>
          </w:p>
        </w:tc>
        <w:tc>
          <w:tcPr>
            <w:tcW w:w="45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right="0"/>
              <w:jc w:val="center"/>
              <w:rPr>
                <w:rFonts w:ascii="Times New Roman" w:hAnsi="Times New Roman" w:cs="Times New Roman" w:eastAsia="Times New Roman" w:hint="default"/>
                <w:sz w:val="18"/>
                <w:szCs w:val="18"/>
              </w:rPr>
            </w:pPr>
            <w:r>
              <w:rPr>
                <w:rFonts w:ascii="Times New Roman"/>
                <w:sz w:val="18"/>
              </w:rPr>
              <w:t>--</w:t>
            </w:r>
          </w:p>
        </w:tc>
        <w:tc>
          <w:tcPr>
            <w:tcW w:w="62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z w:val="18"/>
              </w:rPr>
              <w:t>30,72</w:t>
            </w:r>
          </w:p>
        </w:tc>
        <w:tc>
          <w:tcPr>
            <w:tcW w:w="6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391" w:right="0"/>
              <w:jc w:val="left"/>
              <w:rPr>
                <w:rFonts w:ascii="Times New Roman" w:hAnsi="Times New Roman" w:cs="Times New Roman" w:eastAsia="Times New Roman" w:hint="default"/>
                <w:sz w:val="18"/>
                <w:szCs w:val="18"/>
              </w:rPr>
            </w:pPr>
            <w:r>
              <w:rPr>
                <w:rFonts w:ascii="Times New Roman"/>
                <w:sz w:val="18"/>
              </w:rPr>
              <w:t>--</w:t>
            </w:r>
          </w:p>
        </w:tc>
        <w:tc>
          <w:tcPr>
            <w:tcW w:w="6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390" w:right="0"/>
              <w:jc w:val="left"/>
              <w:rPr>
                <w:rFonts w:ascii="Times New Roman" w:hAnsi="Times New Roman" w:cs="Times New Roman" w:eastAsia="Times New Roman" w:hint="default"/>
                <w:sz w:val="18"/>
                <w:szCs w:val="18"/>
              </w:rPr>
            </w:pPr>
            <w:r>
              <w:rPr>
                <w:rFonts w:ascii="Times New Roman"/>
                <w:sz w:val="18"/>
              </w:rPr>
              <w:t>--</w:t>
            </w:r>
          </w:p>
        </w:tc>
        <w:tc>
          <w:tcPr>
            <w:tcW w:w="6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388" w:right="0"/>
              <w:jc w:val="left"/>
              <w:rPr>
                <w:rFonts w:ascii="Times New Roman" w:hAnsi="Times New Roman" w:cs="Times New Roman" w:eastAsia="Times New Roman" w:hint="default"/>
                <w:sz w:val="18"/>
                <w:szCs w:val="18"/>
              </w:rPr>
            </w:pPr>
            <w:r>
              <w:rPr>
                <w:rFonts w:ascii="Times New Roman"/>
                <w:sz w:val="18"/>
              </w:rPr>
              <w:t>--</w:t>
            </w:r>
          </w:p>
        </w:tc>
        <w:tc>
          <w:tcPr>
            <w:tcW w:w="6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384" w:right="0"/>
              <w:jc w:val="left"/>
              <w:rPr>
                <w:rFonts w:ascii="Times New Roman" w:hAnsi="Times New Roman" w:cs="Times New Roman" w:eastAsia="Times New Roman" w:hint="default"/>
                <w:sz w:val="18"/>
                <w:szCs w:val="18"/>
              </w:rPr>
            </w:pPr>
            <w:r>
              <w:rPr>
                <w:rFonts w:ascii="Times New Roman"/>
                <w:sz w:val="18"/>
              </w:rPr>
              <w:t>--</w:t>
            </w:r>
          </w:p>
        </w:tc>
        <w:tc>
          <w:tcPr>
            <w:tcW w:w="6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387" w:right="0"/>
              <w:jc w:val="left"/>
              <w:rPr>
                <w:rFonts w:ascii="Times New Roman" w:hAnsi="Times New Roman" w:cs="Times New Roman" w:eastAsia="Times New Roman" w:hint="default"/>
                <w:sz w:val="18"/>
                <w:szCs w:val="18"/>
              </w:rPr>
            </w:pPr>
            <w:r>
              <w:rPr>
                <w:rFonts w:ascii="Times New Roman"/>
                <w:sz w:val="18"/>
              </w:rPr>
              <w:t>--</w:t>
            </w:r>
          </w:p>
        </w:tc>
        <w:tc>
          <w:tcPr>
            <w:tcW w:w="5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360" w:right="0"/>
              <w:jc w:val="left"/>
              <w:rPr>
                <w:rFonts w:ascii="Times New Roman" w:hAnsi="Times New Roman" w:cs="Times New Roman" w:eastAsia="Times New Roman" w:hint="default"/>
                <w:sz w:val="18"/>
                <w:szCs w:val="18"/>
              </w:rPr>
            </w:pPr>
            <w:r>
              <w:rPr>
                <w:rFonts w:ascii="Times New Roman"/>
                <w:sz w:val="18"/>
              </w:rPr>
              <w:t>--</w:t>
            </w:r>
          </w:p>
        </w:tc>
        <w:tc>
          <w:tcPr>
            <w:tcW w:w="59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63" w:right="0"/>
              <w:jc w:val="left"/>
              <w:rPr>
                <w:rFonts w:ascii="Times New Roman" w:hAnsi="Times New Roman" w:cs="Times New Roman" w:eastAsia="Times New Roman" w:hint="default"/>
                <w:sz w:val="18"/>
                <w:szCs w:val="18"/>
              </w:rPr>
            </w:pPr>
            <w:r>
              <w:rPr>
                <w:rFonts w:ascii="Times New Roman"/>
                <w:sz w:val="18"/>
              </w:rPr>
              <w:t>0.00</w:t>
            </w:r>
          </w:p>
        </w:tc>
        <w:tc>
          <w:tcPr>
            <w:tcW w:w="693"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72" w:right="0"/>
              <w:jc w:val="center"/>
              <w:rPr>
                <w:rFonts w:ascii="Times New Roman" w:hAnsi="Times New Roman" w:cs="Times New Roman" w:eastAsia="Times New Roman" w:hint="default"/>
                <w:sz w:val="18"/>
                <w:szCs w:val="18"/>
              </w:rPr>
            </w:pPr>
            <w:r>
              <w:rPr>
                <w:rFonts w:ascii="Times New Roman"/>
                <w:sz w:val="18"/>
              </w:rPr>
              <w:t>44,98</w:t>
            </w:r>
          </w:p>
        </w:tc>
        <w:tc>
          <w:tcPr>
            <w:tcW w:w="6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z w:val="18"/>
              </w:rPr>
              <w:t>--</w:t>
            </w:r>
          </w:p>
        </w:tc>
        <w:tc>
          <w:tcPr>
            <w:tcW w:w="6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6"/>
              <w:ind w:left="3" w:right="0"/>
              <w:jc w:val="center"/>
              <w:rPr>
                <w:rFonts w:ascii="Times New Roman" w:hAnsi="Times New Roman" w:cs="Times New Roman" w:eastAsia="Times New Roman" w:hint="default"/>
                <w:sz w:val="18"/>
                <w:szCs w:val="18"/>
              </w:rPr>
            </w:pPr>
            <w:r>
              <w:rPr>
                <w:rFonts w:ascii="Times New Roman"/>
                <w:sz w:val="18"/>
              </w:rPr>
              <w:t>--</w:t>
            </w:r>
          </w:p>
        </w:tc>
        <w:tc>
          <w:tcPr>
            <w:tcW w:w="668" w:type="dxa"/>
            <w:tcBorders>
              <w:top w:val="nil" w:sz="6" w:space="0" w:color="auto"/>
              <w:left w:val="single" w:sz="4" w:space="0" w:color="000000"/>
              <w:bottom w:val="nil" w:sz="6" w:space="0" w:color="auto"/>
              <w:right w:val="single" w:sz="12" w:space="0" w:color="000000"/>
            </w:tcBorders>
            <w:shd w:val="clear" w:color="auto" w:fill="D2D2D2"/>
          </w:tcPr>
          <w:p>
            <w:pPr>
              <w:pStyle w:val="TableParagraph"/>
              <w:spacing w:line="240" w:lineRule="auto" w:before="46"/>
              <w:ind w:left="13" w:right="0"/>
              <w:jc w:val="center"/>
              <w:rPr>
                <w:rFonts w:ascii="Times New Roman" w:hAnsi="Times New Roman" w:cs="Times New Roman" w:eastAsia="Times New Roman" w:hint="default"/>
                <w:sz w:val="18"/>
                <w:szCs w:val="18"/>
              </w:rPr>
            </w:pPr>
            <w:r>
              <w:rPr>
                <w:rFonts w:ascii="Times New Roman"/>
                <w:sz w:val="18"/>
              </w:rPr>
              <w:t>--</w:t>
            </w:r>
          </w:p>
        </w:tc>
      </w:tr>
      <w:tr>
        <w:trPr>
          <w:trHeight w:val="318" w:hRule="exact"/>
        </w:trPr>
        <w:tc>
          <w:tcPr>
            <w:tcW w:w="654" w:type="dxa"/>
            <w:tcBorders>
              <w:top w:val="nil" w:sz="6" w:space="0" w:color="auto"/>
              <w:left w:val="single" w:sz="12" w:space="0" w:color="000000"/>
              <w:bottom w:val="single" w:sz="12" w:space="0" w:color="000000"/>
              <w:right w:val="single" w:sz="4" w:space="0" w:color="000000"/>
            </w:tcBorders>
            <w:shd w:val="clear" w:color="auto" w:fill="D2D2D2"/>
          </w:tcPr>
          <w:p>
            <w:pPr/>
          </w:p>
        </w:tc>
        <w:tc>
          <w:tcPr>
            <w:tcW w:w="819" w:type="dxa"/>
            <w:tcBorders>
              <w:top w:val="nil" w:sz="6" w:space="0" w:color="auto"/>
              <w:left w:val="single" w:sz="4" w:space="0" w:color="000000"/>
              <w:bottom w:val="single" w:sz="12" w:space="0" w:color="000000"/>
              <w:right w:val="single" w:sz="4" w:space="0" w:color="000000"/>
            </w:tcBorders>
            <w:shd w:val="clear" w:color="auto" w:fill="D2D2D2"/>
          </w:tcPr>
          <w:p>
            <w:pPr/>
          </w:p>
        </w:tc>
        <w:tc>
          <w:tcPr>
            <w:tcW w:w="455" w:type="dxa"/>
            <w:tcBorders>
              <w:top w:val="nil" w:sz="6" w:space="0" w:color="auto"/>
              <w:left w:val="single" w:sz="4" w:space="0" w:color="000000"/>
              <w:bottom w:val="single" w:sz="12" w:space="0" w:color="000000"/>
              <w:right w:val="single" w:sz="4" w:space="0" w:color="000000"/>
            </w:tcBorders>
            <w:shd w:val="clear" w:color="auto" w:fill="D2D2D2"/>
          </w:tcPr>
          <w:p>
            <w:pPr/>
          </w:p>
        </w:tc>
        <w:tc>
          <w:tcPr>
            <w:tcW w:w="6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2.12</w:t>
            </w:r>
          </w:p>
        </w:tc>
        <w:tc>
          <w:tcPr>
            <w:tcW w:w="622" w:type="dxa"/>
            <w:tcBorders>
              <w:top w:val="nil" w:sz="6" w:space="0" w:color="auto"/>
              <w:left w:val="single" w:sz="4" w:space="0" w:color="000000"/>
              <w:bottom w:val="single" w:sz="12" w:space="0" w:color="000000"/>
              <w:right w:val="single" w:sz="4" w:space="0" w:color="000000"/>
            </w:tcBorders>
            <w:shd w:val="clear" w:color="auto" w:fill="D2D2D2"/>
          </w:tcPr>
          <w:p>
            <w:pPr/>
          </w:p>
        </w:tc>
        <w:tc>
          <w:tcPr>
            <w:tcW w:w="622" w:type="dxa"/>
            <w:tcBorders>
              <w:top w:val="nil" w:sz="6" w:space="0" w:color="auto"/>
              <w:left w:val="single" w:sz="4" w:space="0" w:color="000000"/>
              <w:bottom w:val="single" w:sz="12" w:space="0" w:color="000000"/>
              <w:right w:val="single" w:sz="4" w:space="0" w:color="000000"/>
            </w:tcBorders>
            <w:shd w:val="clear" w:color="auto" w:fill="D2D2D2"/>
          </w:tcPr>
          <w:p>
            <w:pPr/>
          </w:p>
        </w:tc>
        <w:tc>
          <w:tcPr>
            <w:tcW w:w="618" w:type="dxa"/>
            <w:tcBorders>
              <w:top w:val="nil" w:sz="6" w:space="0" w:color="auto"/>
              <w:left w:val="single" w:sz="4" w:space="0" w:color="000000"/>
              <w:bottom w:val="single" w:sz="12" w:space="0" w:color="000000"/>
              <w:right w:val="single" w:sz="4" w:space="0" w:color="000000"/>
            </w:tcBorders>
            <w:shd w:val="clear" w:color="auto" w:fill="D2D2D2"/>
          </w:tcPr>
          <w:p>
            <w:pPr/>
          </w:p>
        </w:tc>
        <w:tc>
          <w:tcPr>
            <w:tcW w:w="616" w:type="dxa"/>
            <w:tcBorders>
              <w:top w:val="nil" w:sz="6" w:space="0" w:color="auto"/>
              <w:left w:val="single" w:sz="4" w:space="0" w:color="000000"/>
              <w:bottom w:val="single" w:sz="12" w:space="0" w:color="000000"/>
              <w:right w:val="single" w:sz="4" w:space="0" w:color="000000"/>
            </w:tcBorders>
            <w:shd w:val="clear" w:color="auto" w:fill="D2D2D2"/>
          </w:tcPr>
          <w:p>
            <w:pPr/>
          </w:p>
        </w:tc>
        <w:tc>
          <w:tcPr>
            <w:tcW w:w="618" w:type="dxa"/>
            <w:tcBorders>
              <w:top w:val="nil" w:sz="6" w:space="0" w:color="auto"/>
              <w:left w:val="single" w:sz="4" w:space="0" w:color="000000"/>
              <w:bottom w:val="single" w:sz="12" w:space="0" w:color="000000"/>
              <w:right w:val="single" w:sz="4" w:space="0" w:color="000000"/>
            </w:tcBorders>
            <w:shd w:val="clear" w:color="auto" w:fill="D2D2D2"/>
          </w:tcPr>
          <w:p>
            <w:pPr/>
          </w:p>
        </w:tc>
        <w:tc>
          <w:tcPr>
            <w:tcW w:w="592" w:type="dxa"/>
            <w:tcBorders>
              <w:top w:val="nil" w:sz="6" w:space="0" w:color="auto"/>
              <w:left w:val="single" w:sz="4" w:space="0" w:color="000000"/>
              <w:bottom w:val="single" w:sz="12" w:space="0" w:color="000000"/>
              <w:right w:val="single" w:sz="4" w:space="0" w:color="000000"/>
            </w:tcBorders>
            <w:shd w:val="clear" w:color="auto" w:fill="D2D2D2"/>
          </w:tcPr>
          <w:p>
            <w:pPr/>
          </w:p>
        </w:tc>
        <w:tc>
          <w:tcPr>
            <w:tcW w:w="592" w:type="dxa"/>
            <w:tcBorders>
              <w:top w:val="nil" w:sz="6" w:space="0" w:color="auto"/>
              <w:left w:val="single" w:sz="4" w:space="0" w:color="000000"/>
              <w:bottom w:val="single" w:sz="12" w:space="0" w:color="000000"/>
              <w:right w:val="single" w:sz="4" w:space="0" w:color="000000"/>
            </w:tcBorders>
          </w:tcPr>
          <w:p>
            <w:pPr/>
          </w:p>
        </w:tc>
        <w:tc>
          <w:tcPr>
            <w:tcW w:w="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left="163" w:right="0"/>
              <w:jc w:val="center"/>
              <w:rPr>
                <w:rFonts w:ascii="Times New Roman" w:hAnsi="Times New Roman" w:cs="Times New Roman" w:eastAsia="Times New Roman" w:hint="default"/>
                <w:sz w:val="18"/>
                <w:szCs w:val="18"/>
              </w:rPr>
            </w:pPr>
            <w:r>
              <w:rPr>
                <w:rFonts w:ascii="Times New Roman"/>
                <w:sz w:val="18"/>
              </w:rPr>
              <w:t>0.72</w:t>
            </w:r>
          </w:p>
        </w:tc>
        <w:tc>
          <w:tcPr>
            <w:tcW w:w="690" w:type="dxa"/>
            <w:tcBorders>
              <w:top w:val="nil" w:sz="6" w:space="0" w:color="auto"/>
              <w:left w:val="single" w:sz="4" w:space="0" w:color="000000"/>
              <w:bottom w:val="single" w:sz="12" w:space="0" w:color="000000"/>
              <w:right w:val="single" w:sz="4" w:space="0" w:color="000000"/>
            </w:tcBorders>
            <w:shd w:val="clear" w:color="auto" w:fill="D2D2D2"/>
          </w:tcPr>
          <w:p>
            <w:pPr/>
          </w:p>
        </w:tc>
        <w:tc>
          <w:tcPr>
            <w:tcW w:w="690" w:type="dxa"/>
            <w:tcBorders>
              <w:top w:val="nil" w:sz="6" w:space="0" w:color="auto"/>
              <w:left w:val="single" w:sz="4" w:space="0" w:color="000000"/>
              <w:bottom w:val="single" w:sz="12" w:space="0" w:color="000000"/>
              <w:right w:val="single" w:sz="4" w:space="0" w:color="000000"/>
            </w:tcBorders>
            <w:shd w:val="clear" w:color="auto" w:fill="D2D2D2"/>
          </w:tcPr>
          <w:p>
            <w:pPr/>
          </w:p>
        </w:tc>
        <w:tc>
          <w:tcPr>
            <w:tcW w:w="668" w:type="dxa"/>
            <w:tcBorders>
              <w:top w:val="nil" w:sz="6" w:space="0" w:color="auto"/>
              <w:left w:val="single" w:sz="4" w:space="0" w:color="000000"/>
              <w:bottom w:val="single" w:sz="12" w:space="0" w:color="000000"/>
              <w:right w:val="single" w:sz="12" w:space="0" w:color="000000"/>
            </w:tcBorders>
            <w:shd w:val="clear" w:color="auto" w:fill="D2D2D2"/>
          </w:tcPr>
          <w:p>
            <w:pPr/>
          </w:p>
        </w:tc>
      </w:tr>
    </w:tbl>
    <w:p>
      <w:pPr>
        <w:spacing w:line="240" w:lineRule="auto" w:before="6"/>
        <w:rPr>
          <w:rFonts w:ascii="宋体" w:hAnsi="宋体" w:cs="宋体" w:eastAsia="宋体" w:hint="default"/>
          <w:sz w:val="19"/>
          <w:szCs w:val="19"/>
        </w:rPr>
      </w:pPr>
    </w:p>
    <w:p>
      <w:pPr>
        <w:spacing w:before="34"/>
        <w:ind w:left="132" w:right="1164" w:firstLine="0"/>
        <w:jc w:val="left"/>
        <w:rPr>
          <w:rFonts w:ascii="宋体" w:hAnsi="宋体" w:cs="宋体" w:eastAsia="宋体" w:hint="default"/>
          <w:sz w:val="21"/>
          <w:szCs w:val="21"/>
        </w:rPr>
      </w:pPr>
      <w:bookmarkStart w:name="3、报告期内正在进行的重大的非股权投资情况" w:id="48"/>
      <w:bookmarkEnd w:id="48"/>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、报告期内正在进行的重大的非股权投资情况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32" w:right="1164" w:firstLine="0"/>
        <w:jc w:val="left"/>
        <w:rPr>
          <w:rFonts w:ascii="宋体" w:hAnsi="宋体" w:cs="宋体" w:eastAsia="宋体" w:hint="default"/>
          <w:sz w:val="21"/>
          <w:szCs w:val="21"/>
        </w:rPr>
      </w:pPr>
      <w:bookmarkStart w:name="4、以公允价值计量的金融资产" w:id="49"/>
      <w:bookmarkEnd w:id="49"/>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、以公允价值计量的金融资产</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387"/>
        <w:gridCol w:w="895"/>
        <w:gridCol w:w="1089"/>
        <w:gridCol w:w="1179"/>
        <w:gridCol w:w="1194"/>
        <w:gridCol w:w="956"/>
        <w:gridCol w:w="956"/>
        <w:gridCol w:w="956"/>
        <w:gridCol w:w="956"/>
      </w:tblGrid>
      <w:tr>
        <w:trPr>
          <w:trHeight w:val="956" w:hRule="exact"/>
        </w:trPr>
        <w:tc>
          <w:tcPr>
            <w:tcW w:w="1387"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89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71" w:right="171"/>
              <w:jc w:val="left"/>
              <w:rPr>
                <w:rFonts w:ascii="宋体" w:hAnsi="宋体" w:cs="宋体" w:eastAsia="宋体" w:hint="default"/>
                <w:sz w:val="18"/>
                <w:szCs w:val="18"/>
              </w:rPr>
            </w:pPr>
            <w:r>
              <w:rPr>
                <w:rFonts w:ascii="宋体" w:hAnsi="宋体" w:cs="宋体" w:eastAsia="宋体" w:hint="default"/>
                <w:sz w:val="18"/>
                <w:szCs w:val="18"/>
              </w:rPr>
              <w:t>初始投 资成本</w:t>
            </w:r>
          </w:p>
        </w:tc>
        <w:tc>
          <w:tcPr>
            <w:tcW w:w="108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79" w:right="178"/>
              <w:jc w:val="center"/>
              <w:rPr>
                <w:rFonts w:ascii="宋体" w:hAnsi="宋体" w:cs="宋体" w:eastAsia="宋体" w:hint="default"/>
                <w:sz w:val="18"/>
                <w:szCs w:val="18"/>
              </w:rPr>
            </w:pPr>
            <w:r>
              <w:rPr>
                <w:rFonts w:ascii="宋体" w:hAnsi="宋体" w:cs="宋体" w:eastAsia="宋体" w:hint="default"/>
                <w:sz w:val="18"/>
                <w:szCs w:val="18"/>
              </w:rPr>
              <w:t>本期公允 价值变动 损益</w:t>
            </w:r>
          </w:p>
        </w:tc>
        <w:tc>
          <w:tcPr>
            <w:tcW w:w="117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34" w:right="133"/>
              <w:jc w:val="center"/>
              <w:rPr>
                <w:rFonts w:ascii="宋体" w:hAnsi="宋体" w:cs="宋体" w:eastAsia="宋体" w:hint="default"/>
                <w:sz w:val="18"/>
                <w:szCs w:val="18"/>
              </w:rPr>
            </w:pPr>
            <w:r>
              <w:rPr>
                <w:rFonts w:ascii="宋体" w:hAnsi="宋体" w:cs="宋体" w:eastAsia="宋体" w:hint="default"/>
                <w:sz w:val="18"/>
                <w:szCs w:val="18"/>
              </w:rPr>
              <w:t>计入权益的 累计公允价 值变动</w:t>
            </w:r>
          </w:p>
        </w:tc>
        <w:tc>
          <w:tcPr>
            <w:tcW w:w="119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23" w:right="139" w:hanging="180"/>
              <w:jc w:val="left"/>
              <w:rPr>
                <w:rFonts w:ascii="宋体" w:hAnsi="宋体" w:cs="宋体" w:eastAsia="宋体" w:hint="default"/>
                <w:sz w:val="18"/>
                <w:szCs w:val="18"/>
              </w:rPr>
            </w:pPr>
            <w:r>
              <w:rPr>
                <w:rFonts w:ascii="宋体" w:hAnsi="宋体" w:cs="宋体" w:eastAsia="宋体" w:hint="default"/>
                <w:sz w:val="18"/>
                <w:szCs w:val="18"/>
              </w:rPr>
              <w:t>报告期内购 入金额</w:t>
            </w:r>
          </w:p>
        </w:tc>
        <w:tc>
          <w:tcPr>
            <w:tcW w:w="95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13" w:right="111"/>
              <w:jc w:val="left"/>
              <w:rPr>
                <w:rFonts w:ascii="宋体" w:hAnsi="宋体" w:cs="宋体" w:eastAsia="宋体" w:hint="default"/>
                <w:sz w:val="18"/>
                <w:szCs w:val="18"/>
              </w:rPr>
            </w:pPr>
            <w:r>
              <w:rPr>
                <w:rFonts w:ascii="宋体" w:hAnsi="宋体" w:cs="宋体" w:eastAsia="宋体" w:hint="default"/>
                <w:sz w:val="18"/>
                <w:szCs w:val="18"/>
              </w:rPr>
              <w:t>报告期内 售出金额</w:t>
            </w:r>
          </w:p>
        </w:tc>
        <w:tc>
          <w:tcPr>
            <w:tcW w:w="95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92" w:right="112" w:hanging="180"/>
              <w:jc w:val="left"/>
              <w:rPr>
                <w:rFonts w:ascii="宋体" w:hAnsi="宋体" w:cs="宋体" w:eastAsia="宋体" w:hint="default"/>
                <w:sz w:val="18"/>
                <w:szCs w:val="18"/>
              </w:rPr>
            </w:pPr>
            <w:r>
              <w:rPr>
                <w:rFonts w:ascii="宋体" w:hAnsi="宋体" w:cs="宋体" w:eastAsia="宋体" w:hint="default"/>
                <w:sz w:val="18"/>
                <w:szCs w:val="18"/>
              </w:rPr>
              <w:t>累计投资 收益</w:t>
            </w:r>
          </w:p>
        </w:tc>
        <w:tc>
          <w:tcPr>
            <w:tcW w:w="95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13"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956"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634" w:hRule="exact"/>
        </w:trPr>
        <w:tc>
          <w:tcPr>
            <w:tcW w:w="138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金融衍生工具</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2" w:right="0"/>
              <w:jc w:val="left"/>
              <w:rPr>
                <w:rFonts w:ascii="Times New Roman" w:hAnsi="Times New Roman" w:cs="Times New Roman" w:eastAsia="Times New Roman" w:hint="default"/>
                <w:sz w:val="18"/>
                <w:szCs w:val="18"/>
              </w:rPr>
            </w:pPr>
            <w:r>
              <w:rPr>
                <w:rFonts w:ascii="Times New Roman"/>
                <w:sz w:val="18"/>
              </w:rPr>
              <w:t>52,069,1</w:t>
            </w:r>
          </w:p>
          <w:p>
            <w:pPr>
              <w:pStyle w:val="TableParagraph"/>
              <w:spacing w:line="240" w:lineRule="auto" w:before="105"/>
              <w:ind w:left="378" w:right="0"/>
              <w:jc w:val="left"/>
              <w:rPr>
                <w:rFonts w:ascii="Times New Roman" w:hAnsi="Times New Roman" w:cs="Times New Roman" w:eastAsia="Times New Roman" w:hint="default"/>
                <w:sz w:val="18"/>
                <w:szCs w:val="18"/>
              </w:rPr>
            </w:pPr>
            <w:r>
              <w:rPr>
                <w:rFonts w:ascii="Times New Roman"/>
                <w:sz w:val="18"/>
              </w:rPr>
              <w:t>79.06</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4,513,941.6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3</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-1,438,397.6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510,555,998.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2" w:right="0"/>
              <w:jc w:val="left"/>
              <w:rPr>
                <w:rFonts w:ascii="Times New Roman" w:hAnsi="Times New Roman" w:cs="Times New Roman" w:eastAsia="Times New Roman" w:hint="default"/>
                <w:sz w:val="18"/>
                <w:szCs w:val="18"/>
              </w:rPr>
            </w:pPr>
            <w:r>
              <w:rPr>
                <w:rFonts w:ascii="Times New Roman"/>
                <w:sz w:val="18"/>
              </w:rPr>
              <w:t>473,046,6</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09.66</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2" w:right="0"/>
              <w:jc w:val="left"/>
              <w:rPr>
                <w:rFonts w:ascii="Times New Roman" w:hAnsi="Times New Roman" w:cs="Times New Roman" w:eastAsia="Times New Roman" w:hint="default"/>
                <w:sz w:val="18"/>
                <w:szCs w:val="18"/>
              </w:rPr>
            </w:pPr>
            <w:r>
              <w:rPr>
                <w:rFonts w:ascii="Times New Roman"/>
                <w:sz w:val="18"/>
              </w:rPr>
              <w:t>1,856,763</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.80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3" w:right="0"/>
              <w:jc w:val="left"/>
              <w:rPr>
                <w:rFonts w:ascii="Times New Roman" w:hAnsi="Times New Roman" w:cs="Times New Roman" w:eastAsia="Times New Roman" w:hint="default"/>
                <w:sz w:val="18"/>
                <w:szCs w:val="18"/>
              </w:rPr>
            </w:pPr>
            <w:r>
              <w:rPr>
                <w:rFonts w:ascii="Times New Roman"/>
                <w:sz w:val="18"/>
              </w:rPr>
              <w:t>77,525,43</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0.77</w:t>
            </w:r>
          </w:p>
        </w:tc>
        <w:tc>
          <w:tcPr>
            <w:tcW w:w="95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自有资金</w:t>
            </w:r>
          </w:p>
        </w:tc>
      </w:tr>
      <w:tr>
        <w:trPr>
          <w:trHeight w:val="644" w:hRule="exact"/>
        </w:trPr>
        <w:tc>
          <w:tcPr>
            <w:tcW w:w="1387"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left="152" w:right="0"/>
              <w:jc w:val="left"/>
              <w:rPr>
                <w:rFonts w:ascii="Times New Roman" w:hAnsi="Times New Roman" w:cs="Times New Roman" w:eastAsia="Times New Roman" w:hint="default"/>
                <w:sz w:val="18"/>
                <w:szCs w:val="18"/>
              </w:rPr>
            </w:pPr>
            <w:r>
              <w:rPr>
                <w:rFonts w:ascii="Times New Roman"/>
                <w:sz w:val="18"/>
              </w:rPr>
              <w:t>52,069,1</w:t>
            </w:r>
          </w:p>
          <w:p>
            <w:pPr>
              <w:pStyle w:val="TableParagraph"/>
              <w:spacing w:line="240" w:lineRule="auto" w:before="105"/>
              <w:ind w:left="378" w:right="0"/>
              <w:jc w:val="left"/>
              <w:rPr>
                <w:rFonts w:ascii="Times New Roman" w:hAnsi="Times New Roman" w:cs="Times New Roman" w:eastAsia="Times New Roman" w:hint="default"/>
                <w:sz w:val="18"/>
                <w:szCs w:val="18"/>
              </w:rPr>
            </w:pPr>
            <w:r>
              <w:rPr>
                <w:rFonts w:ascii="Times New Roman"/>
                <w:sz w:val="18"/>
              </w:rPr>
              <w:t>79.06</w:t>
            </w:r>
          </w:p>
        </w:tc>
        <w:tc>
          <w:tcPr>
            <w:tcW w:w="10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4,513,941.6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3</w:t>
            </w:r>
          </w:p>
        </w:tc>
        <w:tc>
          <w:tcPr>
            <w:tcW w:w="117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-1,438,397.6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11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510,555,998.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9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left="122" w:right="0"/>
              <w:jc w:val="left"/>
              <w:rPr>
                <w:rFonts w:ascii="Times New Roman" w:hAnsi="Times New Roman" w:cs="Times New Roman" w:eastAsia="Times New Roman" w:hint="default"/>
                <w:sz w:val="18"/>
                <w:szCs w:val="18"/>
              </w:rPr>
            </w:pPr>
            <w:r>
              <w:rPr>
                <w:rFonts w:ascii="Times New Roman"/>
                <w:sz w:val="18"/>
              </w:rPr>
              <w:t>473,046,6</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09.66</w:t>
            </w:r>
          </w:p>
        </w:tc>
        <w:tc>
          <w:tcPr>
            <w:tcW w:w="9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left="122" w:right="0"/>
              <w:jc w:val="left"/>
              <w:rPr>
                <w:rFonts w:ascii="Times New Roman" w:hAnsi="Times New Roman" w:cs="Times New Roman" w:eastAsia="Times New Roman" w:hint="default"/>
                <w:sz w:val="18"/>
                <w:szCs w:val="18"/>
              </w:rPr>
            </w:pPr>
            <w:r>
              <w:rPr>
                <w:rFonts w:ascii="Times New Roman"/>
                <w:sz w:val="18"/>
              </w:rPr>
              <w:t>1,856,763</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.80</w:t>
            </w:r>
          </w:p>
        </w:tc>
        <w:tc>
          <w:tcPr>
            <w:tcW w:w="9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left="123" w:right="0"/>
              <w:jc w:val="left"/>
              <w:rPr>
                <w:rFonts w:ascii="Times New Roman" w:hAnsi="Times New Roman" w:cs="Times New Roman" w:eastAsia="Times New Roman" w:hint="default"/>
                <w:sz w:val="18"/>
                <w:szCs w:val="18"/>
              </w:rPr>
            </w:pPr>
            <w:r>
              <w:rPr>
                <w:rFonts w:ascii="Times New Roman"/>
                <w:sz w:val="18"/>
              </w:rPr>
              <w:t>77,525,43</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0.77</w:t>
            </w:r>
          </w:p>
        </w:tc>
        <w:tc>
          <w:tcPr>
            <w:tcW w:w="956" w:type="dxa"/>
            <w:tcBorders>
              <w:top w:val="single" w:sz="4" w:space="0" w:color="000000"/>
              <w:left w:val="single" w:sz="4" w:space="0" w:color="000000"/>
              <w:bottom w:val="single" w:sz="12" w:space="0" w:color="000000"/>
              <w:right w:val="single" w:sz="12"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before="34"/>
        <w:ind w:left="132" w:right="1164" w:firstLine="0"/>
        <w:jc w:val="left"/>
        <w:rPr>
          <w:rFonts w:ascii="宋体" w:hAnsi="宋体" w:cs="宋体" w:eastAsia="宋体" w:hint="default"/>
          <w:sz w:val="21"/>
          <w:szCs w:val="21"/>
        </w:rPr>
      </w:pPr>
      <w:bookmarkStart w:name="5、募集资金使用情况" w:id="50"/>
      <w:bookmarkEnd w:id="50"/>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、募集资金使用情况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1）募集资金总体使用情况" w:id="51"/>
      <w:bookmarkEnd w:id="5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）募集资金总体使用情况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747"/>
        <w:gridCol w:w="820"/>
        <w:gridCol w:w="880"/>
        <w:gridCol w:w="950"/>
        <w:gridCol w:w="840"/>
        <w:gridCol w:w="900"/>
        <w:gridCol w:w="880"/>
        <w:gridCol w:w="880"/>
        <w:gridCol w:w="770"/>
        <w:gridCol w:w="1290"/>
        <w:gridCol w:w="607"/>
      </w:tblGrid>
      <w:tr>
        <w:trPr>
          <w:trHeight w:val="1460" w:hRule="exact"/>
        </w:trPr>
        <w:tc>
          <w:tcPr>
            <w:tcW w:w="747"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4" w:lineRule="auto"/>
              <w:ind w:left="178" w:right="187"/>
              <w:jc w:val="left"/>
              <w:rPr>
                <w:rFonts w:ascii="宋体" w:hAnsi="宋体" w:cs="宋体" w:eastAsia="宋体" w:hint="default"/>
                <w:sz w:val="18"/>
                <w:szCs w:val="18"/>
              </w:rPr>
            </w:pPr>
            <w:r>
              <w:rPr>
                <w:rFonts w:ascii="宋体" w:hAnsi="宋体" w:cs="宋体" w:eastAsia="宋体" w:hint="default"/>
                <w:sz w:val="18"/>
                <w:szCs w:val="18"/>
              </w:rPr>
              <w:t>募集 年份</w:t>
            </w:r>
          </w:p>
        </w:tc>
        <w:tc>
          <w:tcPr>
            <w:tcW w:w="82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4" w:lineRule="auto"/>
              <w:ind w:left="315" w:right="133" w:hanging="180"/>
              <w:jc w:val="left"/>
              <w:rPr>
                <w:rFonts w:ascii="宋体" w:hAnsi="宋体" w:cs="宋体" w:eastAsia="宋体" w:hint="default"/>
                <w:sz w:val="18"/>
                <w:szCs w:val="18"/>
              </w:rPr>
            </w:pPr>
            <w:r>
              <w:rPr>
                <w:rFonts w:ascii="宋体" w:hAnsi="宋体" w:cs="宋体" w:eastAsia="宋体" w:hint="default"/>
                <w:sz w:val="18"/>
                <w:szCs w:val="18"/>
              </w:rPr>
              <w:t>募集方 式</w:t>
            </w:r>
          </w:p>
        </w:tc>
        <w:tc>
          <w:tcPr>
            <w:tcW w:w="8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4" w:lineRule="auto"/>
              <w:ind w:left="164" w:right="163"/>
              <w:jc w:val="left"/>
              <w:rPr>
                <w:rFonts w:ascii="宋体" w:hAnsi="宋体" w:cs="宋体" w:eastAsia="宋体" w:hint="default"/>
                <w:sz w:val="18"/>
                <w:szCs w:val="18"/>
              </w:rPr>
            </w:pPr>
            <w:r>
              <w:rPr>
                <w:rFonts w:ascii="宋体" w:hAnsi="宋体" w:cs="宋体" w:eastAsia="宋体" w:hint="default"/>
                <w:sz w:val="18"/>
                <w:szCs w:val="18"/>
              </w:rPr>
              <w:t>募集资 金总额</w:t>
            </w:r>
          </w:p>
        </w:tc>
        <w:tc>
          <w:tcPr>
            <w:tcW w:w="95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6"/>
                <w:szCs w:val="26"/>
              </w:rPr>
            </w:pPr>
          </w:p>
          <w:p>
            <w:pPr>
              <w:pStyle w:val="TableParagraph"/>
              <w:spacing w:line="244" w:lineRule="auto"/>
              <w:ind w:left="110" w:right="10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4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7"/>
                <w:szCs w:val="17"/>
              </w:rPr>
            </w:pPr>
          </w:p>
          <w:p>
            <w:pPr>
              <w:pStyle w:val="TableParagraph"/>
              <w:spacing w:line="244" w:lineRule="auto"/>
              <w:ind w:left="144" w:right="144"/>
              <w:jc w:val="both"/>
              <w:rPr>
                <w:rFonts w:ascii="宋体" w:hAnsi="宋体" w:cs="宋体" w:eastAsia="宋体" w:hint="default"/>
                <w:sz w:val="18"/>
                <w:szCs w:val="18"/>
              </w:rPr>
            </w:pPr>
            <w:r>
              <w:rPr>
                <w:rFonts w:ascii="宋体" w:hAnsi="宋体" w:cs="宋体" w:eastAsia="宋体" w:hint="default"/>
                <w:sz w:val="18"/>
                <w:szCs w:val="18"/>
              </w:rPr>
              <w:t>已累计 使用募 集资金 总额</w:t>
            </w:r>
          </w:p>
        </w:tc>
        <w:tc>
          <w:tcPr>
            <w:tcW w:w="90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4" w:lineRule="auto" w:before="103"/>
              <w:ind w:left="175" w:right="173"/>
              <w:jc w:val="both"/>
              <w:rPr>
                <w:rFonts w:ascii="宋体" w:hAnsi="宋体" w:cs="宋体" w:eastAsia="宋体" w:hint="default"/>
                <w:sz w:val="18"/>
                <w:szCs w:val="18"/>
              </w:rPr>
            </w:pPr>
            <w:r>
              <w:rPr>
                <w:rFonts w:ascii="宋体" w:hAnsi="宋体" w:cs="宋体" w:eastAsia="宋体" w:hint="default"/>
                <w:sz w:val="18"/>
                <w:szCs w:val="18"/>
              </w:rPr>
              <w:t>报告期 内变更 用途的 募集资 金总额</w:t>
            </w:r>
          </w:p>
        </w:tc>
        <w:tc>
          <w:tcPr>
            <w:tcW w:w="8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4" w:lineRule="auto" w:before="103"/>
              <w:ind w:left="165" w:right="162"/>
              <w:jc w:val="center"/>
              <w:rPr>
                <w:rFonts w:ascii="宋体" w:hAnsi="宋体" w:cs="宋体" w:eastAsia="宋体" w:hint="default"/>
                <w:sz w:val="18"/>
                <w:szCs w:val="18"/>
              </w:rPr>
            </w:pPr>
            <w:r>
              <w:rPr>
                <w:rFonts w:ascii="宋体" w:hAnsi="宋体" w:cs="宋体" w:eastAsia="宋体" w:hint="default"/>
                <w:sz w:val="18"/>
                <w:szCs w:val="18"/>
              </w:rPr>
              <w:t>累计变 更用途 的募集 资金总 额</w:t>
            </w:r>
          </w:p>
        </w:tc>
        <w:tc>
          <w:tcPr>
            <w:tcW w:w="8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4" w:lineRule="auto" w:before="103"/>
              <w:ind w:left="164" w:right="164"/>
              <w:jc w:val="both"/>
              <w:rPr>
                <w:rFonts w:ascii="宋体" w:hAnsi="宋体" w:cs="宋体" w:eastAsia="宋体" w:hint="default"/>
                <w:sz w:val="18"/>
                <w:szCs w:val="18"/>
              </w:rPr>
            </w:pPr>
            <w:r>
              <w:rPr>
                <w:rFonts w:ascii="宋体" w:hAnsi="宋体" w:cs="宋体" w:eastAsia="宋体" w:hint="default"/>
                <w:sz w:val="18"/>
                <w:szCs w:val="18"/>
              </w:rPr>
              <w:t>累计变 更用途 的募集 资金总 额比例</w:t>
            </w:r>
          </w:p>
        </w:tc>
        <w:tc>
          <w:tcPr>
            <w:tcW w:w="77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7"/>
                <w:szCs w:val="17"/>
              </w:rPr>
            </w:pPr>
          </w:p>
          <w:p>
            <w:pPr>
              <w:pStyle w:val="TableParagraph"/>
              <w:spacing w:line="244" w:lineRule="auto"/>
              <w:ind w:left="109" w:right="108"/>
              <w:jc w:val="center"/>
              <w:rPr>
                <w:rFonts w:ascii="宋体" w:hAnsi="宋体" w:cs="宋体" w:eastAsia="宋体" w:hint="default"/>
                <w:sz w:val="18"/>
                <w:szCs w:val="18"/>
              </w:rPr>
            </w:pPr>
            <w:r>
              <w:rPr>
                <w:rFonts w:ascii="宋体" w:hAnsi="宋体" w:cs="宋体" w:eastAsia="宋体" w:hint="default"/>
                <w:sz w:val="18"/>
                <w:szCs w:val="18"/>
              </w:rPr>
              <w:t>尚未使 用募集 资金总 额</w:t>
            </w:r>
          </w:p>
        </w:tc>
        <w:tc>
          <w:tcPr>
            <w:tcW w:w="129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6"/>
                <w:szCs w:val="26"/>
              </w:rPr>
            </w:pPr>
          </w:p>
          <w:p>
            <w:pPr>
              <w:pStyle w:val="TableParagraph"/>
              <w:spacing w:line="244" w:lineRule="auto"/>
              <w:ind w:left="189" w:right="189"/>
              <w:jc w:val="center"/>
              <w:rPr>
                <w:rFonts w:ascii="宋体" w:hAnsi="宋体" w:cs="宋体" w:eastAsia="宋体" w:hint="default"/>
                <w:sz w:val="18"/>
                <w:szCs w:val="18"/>
              </w:rPr>
            </w:pPr>
            <w:r>
              <w:rPr>
                <w:rFonts w:ascii="宋体" w:hAnsi="宋体" w:cs="宋体" w:eastAsia="宋体" w:hint="default"/>
                <w:sz w:val="18"/>
                <w:szCs w:val="18"/>
              </w:rPr>
              <w:t>尚未使用募 集资金用途 及去向</w:t>
            </w:r>
          </w:p>
        </w:tc>
        <w:tc>
          <w:tcPr>
            <w:tcW w:w="607"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exact" w:before="2"/>
              <w:ind w:left="118" w:right="107"/>
              <w:jc w:val="both"/>
              <w:rPr>
                <w:rFonts w:ascii="宋体" w:hAnsi="宋体" w:cs="宋体" w:eastAsia="宋体" w:hint="default"/>
                <w:sz w:val="18"/>
                <w:szCs w:val="18"/>
              </w:rPr>
            </w:pPr>
            <w:r>
              <w:rPr>
                <w:rFonts w:ascii="宋体" w:hAnsi="宋体" w:cs="宋体" w:eastAsia="宋体" w:hint="default"/>
                <w:sz w:val="18"/>
                <w:szCs w:val="18"/>
              </w:rPr>
              <w:t>闲置 两年 以上 募集 资金 金额</w:t>
            </w:r>
          </w:p>
        </w:tc>
      </w:tr>
      <w:tr>
        <w:trPr>
          <w:trHeight w:val="1882" w:hRule="exact"/>
        </w:trPr>
        <w:tc>
          <w:tcPr>
            <w:tcW w:w="7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92" w:right="0"/>
              <w:jc w:val="left"/>
              <w:rPr>
                <w:rFonts w:ascii="Times New Roman" w:hAnsi="Times New Roman" w:cs="Times New Roman" w:eastAsia="Times New Roman" w:hint="default"/>
                <w:sz w:val="18"/>
                <w:szCs w:val="18"/>
              </w:rPr>
            </w:pPr>
            <w:r>
              <w:rPr>
                <w:rFonts w:ascii="Times New Roman"/>
                <w:sz w:val="18"/>
              </w:rPr>
              <w:t>2017</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103" w:right="164"/>
              <w:jc w:val="both"/>
              <w:rPr>
                <w:rFonts w:ascii="宋体" w:hAnsi="宋体" w:cs="宋体" w:eastAsia="宋体" w:hint="default"/>
                <w:sz w:val="18"/>
                <w:szCs w:val="18"/>
              </w:rPr>
            </w:pPr>
            <w:r>
              <w:rPr>
                <w:rFonts w:ascii="宋体" w:hAnsi="宋体" w:cs="宋体" w:eastAsia="宋体" w:hint="default"/>
                <w:sz w:val="18"/>
                <w:szCs w:val="18"/>
              </w:rPr>
              <w:t>非公开 发行股 票</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35" w:right="0"/>
              <w:jc w:val="center"/>
              <w:rPr>
                <w:rFonts w:ascii="Times New Roman" w:hAnsi="Times New Roman" w:cs="Times New Roman" w:eastAsia="Times New Roman" w:hint="default"/>
                <w:sz w:val="18"/>
                <w:szCs w:val="18"/>
              </w:rPr>
            </w:pPr>
            <w:r>
              <w:rPr>
                <w:rFonts w:ascii="Times New Roman"/>
                <w:sz w:val="18"/>
              </w:rPr>
              <w:t>85,962.2</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17" w:right="0"/>
              <w:jc w:val="left"/>
              <w:rPr>
                <w:rFonts w:ascii="Times New Roman" w:hAnsi="Times New Roman" w:cs="Times New Roman" w:eastAsia="Times New Roman" w:hint="default"/>
                <w:sz w:val="18"/>
                <w:szCs w:val="18"/>
              </w:rPr>
            </w:pPr>
            <w:r>
              <w:rPr>
                <w:rFonts w:ascii="Times New Roman"/>
                <w:sz w:val="18"/>
              </w:rPr>
              <w:t>14,487.43</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59,463.</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54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02"/>
              <w:jc w:val="right"/>
              <w:rPr>
                <w:rFonts w:ascii="Times New Roman" w:hAnsi="Times New Roman" w:cs="Times New Roman" w:eastAsia="Times New Roman" w:hint="default"/>
                <w:sz w:val="18"/>
                <w:szCs w:val="18"/>
              </w:rPr>
            </w:pPr>
            <w:r>
              <w:rPr>
                <w:rFonts w:ascii="Times New Roman"/>
                <w:sz w:val="18"/>
              </w:rPr>
              <w:t>0</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z w:val="18"/>
              </w:rPr>
              <w:t>0</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z w:val="18"/>
              </w:rPr>
              <w:t>0.00%</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28,281.</w:t>
            </w:r>
          </w:p>
          <w:p>
            <w:pPr>
              <w:pStyle w:val="TableParagraph"/>
              <w:spacing w:line="240" w:lineRule="auto" w:before="105"/>
              <w:ind w:left="476" w:right="0"/>
              <w:jc w:val="left"/>
              <w:rPr>
                <w:rFonts w:ascii="Times New Roman" w:hAnsi="Times New Roman" w:cs="Times New Roman" w:eastAsia="Times New Roman" w:hint="default"/>
                <w:sz w:val="18"/>
                <w:szCs w:val="18"/>
              </w:rPr>
            </w:pPr>
            <w:r>
              <w:rPr>
                <w:rFonts w:ascii="Times New Roman"/>
                <w:sz w:val="18"/>
              </w:rPr>
              <w:t>98</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41"/>
              <w:jc w:val="left"/>
              <w:rPr>
                <w:rFonts w:ascii="宋体" w:hAnsi="宋体" w:cs="宋体" w:eastAsia="宋体" w:hint="default"/>
                <w:sz w:val="18"/>
                <w:szCs w:val="18"/>
              </w:rPr>
            </w:pPr>
            <w:r>
              <w:rPr>
                <w:rFonts w:ascii="宋体" w:hAnsi="宋体" w:cs="宋体" w:eastAsia="宋体" w:hint="default"/>
                <w:sz w:val="18"/>
                <w:szCs w:val="18"/>
              </w:rPr>
              <w:t>其中暂借补 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亿元、</w:t>
            </w:r>
          </w:p>
          <w:p>
            <w:pPr>
              <w:pStyle w:val="TableParagraph"/>
              <w:spacing w:line="312" w:lineRule="auto"/>
              <w:ind w:left="102" w:right="100"/>
              <w:jc w:val="left"/>
              <w:rPr>
                <w:rFonts w:ascii="宋体" w:hAnsi="宋体" w:cs="宋体" w:eastAsia="宋体" w:hint="default"/>
                <w:sz w:val="18"/>
                <w:szCs w:val="18"/>
              </w:rPr>
            </w:pPr>
            <w:r>
              <w:rPr>
                <w:rFonts w:ascii="宋体" w:hAnsi="宋体" w:cs="宋体" w:eastAsia="宋体" w:hint="default"/>
                <w:sz w:val="18"/>
                <w:szCs w:val="18"/>
              </w:rPr>
              <w:t>理财余额</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1.05 </w:t>
            </w:r>
            <w:r>
              <w:rPr>
                <w:rFonts w:ascii="宋体" w:hAnsi="宋体" w:cs="宋体" w:eastAsia="宋体" w:hint="default"/>
                <w:sz w:val="18"/>
                <w:szCs w:val="18"/>
              </w:rPr>
              <w:t>亿元，其余为 专户流动资 金。</w:t>
            </w:r>
          </w:p>
        </w:tc>
        <w:tc>
          <w:tcPr>
            <w:tcW w:w="60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1"/>
              <w:jc w:val="right"/>
              <w:rPr>
                <w:rFonts w:ascii="Times New Roman" w:hAnsi="Times New Roman" w:cs="Times New Roman" w:eastAsia="Times New Roman" w:hint="default"/>
                <w:sz w:val="18"/>
                <w:szCs w:val="18"/>
              </w:rPr>
            </w:pPr>
            <w:r>
              <w:rPr>
                <w:rFonts w:ascii="Times New Roman"/>
                <w:sz w:val="18"/>
              </w:rPr>
              <w:t>0</w:t>
            </w:r>
          </w:p>
        </w:tc>
      </w:tr>
      <w:tr>
        <w:trPr>
          <w:trHeight w:val="634" w:hRule="exact"/>
        </w:trPr>
        <w:tc>
          <w:tcPr>
            <w:tcW w:w="74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35" w:right="0"/>
              <w:jc w:val="center"/>
              <w:rPr>
                <w:rFonts w:ascii="Times New Roman" w:hAnsi="Times New Roman" w:cs="Times New Roman" w:eastAsia="Times New Roman" w:hint="default"/>
                <w:sz w:val="18"/>
                <w:szCs w:val="18"/>
              </w:rPr>
            </w:pPr>
            <w:r>
              <w:rPr>
                <w:rFonts w:ascii="Times New Roman"/>
                <w:sz w:val="18"/>
              </w:rPr>
              <w:t>85,962.2</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14,487.43</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87" w:right="0"/>
              <w:jc w:val="left"/>
              <w:rPr>
                <w:rFonts w:ascii="Times New Roman" w:hAnsi="Times New Roman" w:cs="Times New Roman" w:eastAsia="Times New Roman" w:hint="default"/>
                <w:sz w:val="18"/>
                <w:szCs w:val="18"/>
              </w:rPr>
            </w:pPr>
            <w:r>
              <w:rPr>
                <w:rFonts w:ascii="Times New Roman"/>
                <w:sz w:val="18"/>
              </w:rPr>
              <w:t>59,463.</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54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16" w:right="0"/>
              <w:jc w:val="left"/>
              <w:rPr>
                <w:rFonts w:ascii="Times New Roman" w:hAnsi="Times New Roman" w:cs="Times New Roman" w:eastAsia="Times New Roman" w:hint="default"/>
                <w:sz w:val="18"/>
                <w:szCs w:val="18"/>
              </w:rPr>
            </w:pPr>
            <w:r>
              <w:rPr>
                <w:rFonts w:ascii="Times New Roman"/>
                <w:sz w:val="18"/>
              </w:rPr>
              <w:t>28,281.</w:t>
            </w:r>
          </w:p>
          <w:p>
            <w:pPr>
              <w:pStyle w:val="TableParagraph"/>
              <w:spacing w:line="240" w:lineRule="auto" w:before="105"/>
              <w:ind w:left="476" w:right="0"/>
              <w:jc w:val="left"/>
              <w:rPr>
                <w:rFonts w:ascii="Times New Roman" w:hAnsi="Times New Roman" w:cs="Times New Roman" w:eastAsia="Times New Roman" w:hint="default"/>
                <w:sz w:val="18"/>
                <w:szCs w:val="18"/>
              </w:rPr>
            </w:pPr>
            <w:r>
              <w:rPr>
                <w:rFonts w:ascii="Times New Roman"/>
                <w:sz w:val="18"/>
              </w:rPr>
              <w:t>98</w:t>
            </w:r>
          </w:p>
        </w:tc>
        <w:tc>
          <w:tcPr>
            <w:tcW w:w="12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60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1"/>
              <w:jc w:val="right"/>
              <w:rPr>
                <w:rFonts w:ascii="Times New Roman" w:hAnsi="Times New Roman" w:cs="Times New Roman" w:eastAsia="Times New Roman" w:hint="default"/>
                <w:sz w:val="18"/>
                <w:szCs w:val="18"/>
              </w:rPr>
            </w:pPr>
            <w:r>
              <w:rPr>
                <w:rFonts w:ascii="Times New Roman"/>
                <w:sz w:val="18"/>
              </w:rPr>
              <w:t>0</w:t>
            </w:r>
          </w:p>
        </w:tc>
      </w:tr>
      <w:tr>
        <w:trPr>
          <w:trHeight w:val="320" w:hRule="exact"/>
        </w:trPr>
        <w:tc>
          <w:tcPr>
            <w:tcW w:w="9564" w:type="dxa"/>
            <w:gridSpan w:val="11"/>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bl>
    <w:p>
      <w:pPr>
        <w:spacing w:after="0" w:line="240" w:lineRule="auto"/>
        <w:jc w:val="center"/>
        <w:rPr>
          <w:rFonts w:ascii="宋体" w:hAnsi="宋体" w:cs="宋体" w:eastAsia="宋体" w:hint="default"/>
          <w:sz w:val="18"/>
          <w:szCs w:val="18"/>
        </w:rPr>
        <w:sectPr>
          <w:pgSz w:w="11910" w:h="16840"/>
          <w:pgMar w:header="890" w:footer="1053" w:top="1420" w:bottom="1240" w:left="1000" w:right="0"/>
        </w:sectPr>
      </w:pPr>
    </w:p>
    <w:p>
      <w:pPr>
        <w:spacing w:line="240" w:lineRule="auto" w:before="3"/>
        <w:rPr>
          <w:rFonts w:ascii="宋体" w:hAnsi="宋体" w:cs="宋体" w:eastAsia="宋体" w:hint="default"/>
          <w:sz w:val="3"/>
          <w:szCs w:val="3"/>
        </w:rPr>
      </w:pPr>
    </w:p>
    <w:p>
      <w:pPr>
        <w:spacing w:line="3811" w:lineRule="exact"/>
        <w:ind w:left="105"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480.85pt;height:190.6pt;mso-position-horizontal-relative:char;mso-position-vertical-relative:line" coordorigin="0,0" coordsize="9617,3812">
            <v:group style="position:absolute;left:43;top:19;width:9531;height:2" coordorigin="43,19" coordsize="9531,2">
              <v:shape style="position:absolute;left:43;top:19;width:9531;height:2" coordorigin="43,19" coordsize="9531,0" path="m43,19l9573,19e" filled="false" stroked="true" strokeweight=".48pt" strokecolor="#000000">
                <v:path arrowok="t"/>
              </v:shape>
            </v:group>
            <v:group style="position:absolute;left:14;top:3783;width:9588;height:2" coordorigin="14,3783" coordsize="9588,2">
              <v:shape style="position:absolute;left:14;top:3783;width:9588;height:2" coordorigin="14,3783" coordsize="9588,0" path="m14,3783l9602,3783e" filled="false" stroked="true" strokeweight="1.44pt" strokecolor="#000000">
                <v:path arrowok="t"/>
              </v:shape>
            </v:group>
            <v:group style="position:absolute;left:29;top:14;width:2;height:3783" coordorigin="29,14" coordsize="2,3783">
              <v:shape style="position:absolute;left:29;top:14;width:2;height:3783" coordorigin="29,14" coordsize="0,3783" path="m29,14l29,3797e" filled="false" stroked="true" strokeweight="1.44pt" strokecolor="#000000">
                <v:path arrowok="t"/>
              </v:shape>
            </v:group>
            <v:group style="position:absolute;left:9588;top:14;width:2;height:3783" coordorigin="9588,14" coordsize="2,3783">
              <v:shape style="position:absolute;left:9588;top:14;width:2;height:3783" coordorigin="9588,14" coordsize="0,3783" path="m9588,14l9588,3797e" filled="false" stroked="true" strokeweight="1.44pt" strokecolor="#000000">
                <v:path arrowok="t"/>
              </v:shape>
              <v:shape style="position:absolute;left:29;top:19;width:9559;height:3764" type="#_x0000_t202" filled="false" stroked="false">
                <v:textbox inset="0,0,0,0">
                  <w:txbxContent>
                    <w:p>
                      <w:pPr>
                        <w:spacing w:line="300" w:lineRule="auto" w:before="16"/>
                        <w:ind w:left="466"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实际募集资金金额和资金到账时间 </w:t>
                      </w:r>
                      <w:r>
                        <w:rPr>
                          <w:rFonts w:ascii="宋体" w:hAnsi="宋体" w:cs="宋体" w:eastAsia="宋体" w:hint="default"/>
                          <w:spacing w:val="-3"/>
                          <w:sz w:val="18"/>
                          <w:szCs w:val="18"/>
                        </w:rPr>
                        <w:t>经中国证券监督管理委员会《关于核准浙江万马股份有限公司非公开发行股票的批复》（证监许可〔</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90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号文）</w:t>
                      </w:r>
                    </w:p>
                    <w:p>
                      <w:pPr>
                        <w:spacing w:line="300" w:lineRule="auto" w:before="13"/>
                        <w:ind w:left="106" w:right="133" w:firstLine="0"/>
                        <w:jc w:val="left"/>
                        <w:rPr>
                          <w:rFonts w:ascii="宋体" w:hAnsi="宋体" w:cs="宋体" w:eastAsia="宋体" w:hint="default"/>
                          <w:sz w:val="18"/>
                          <w:szCs w:val="18"/>
                        </w:rPr>
                      </w:pPr>
                      <w:r>
                        <w:rPr>
                          <w:rFonts w:ascii="宋体" w:hAnsi="宋体" w:cs="宋体" w:eastAsia="宋体" w:hint="default"/>
                          <w:sz w:val="18"/>
                          <w:szCs w:val="18"/>
                        </w:rPr>
                        <w:t>核准，并经深圳证券交易所同意，公司通过非公开发行方式向特定投资者发行人民币普通股（</w:t>
                      </w:r>
                      <w:r>
                        <w:rPr>
                          <w:rFonts w:ascii="Times New Roman" w:hAnsi="Times New Roman" w:cs="Times New Roman" w:eastAsia="Times New Roman" w:hint="default"/>
                          <w:sz w:val="18"/>
                          <w:szCs w:val="18"/>
                        </w:rPr>
                        <w:t>A </w:t>
                      </w:r>
                      <w:r>
                        <w:rPr>
                          <w:rFonts w:ascii="宋体" w:hAnsi="宋体" w:cs="宋体" w:eastAsia="宋体" w:hint="default"/>
                          <w:sz w:val="18"/>
                          <w:szCs w:val="18"/>
                        </w:rPr>
                        <w:t>股） </w:t>
                      </w:r>
                      <w:r>
                        <w:rPr>
                          <w:rFonts w:ascii="Times New Roman" w:hAnsi="Times New Roman" w:cs="Times New Roman" w:eastAsia="Times New Roman" w:hint="default"/>
                          <w:sz w:val="18"/>
                          <w:szCs w:val="18"/>
                        </w:rPr>
                        <w:t>96,343,610</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股， 每股发行价格 </w:t>
                      </w:r>
                      <w:r>
                        <w:rPr>
                          <w:rFonts w:ascii="Times New Roman" w:hAnsi="Times New Roman" w:cs="Times New Roman" w:eastAsia="Times New Roman" w:hint="default"/>
                          <w:sz w:val="18"/>
                          <w:szCs w:val="18"/>
                        </w:rPr>
                        <w:t>9.08  </w:t>
                      </w:r>
                      <w:r>
                        <w:rPr>
                          <w:rFonts w:ascii="宋体" w:hAnsi="宋体" w:cs="宋体" w:eastAsia="宋体" w:hint="default"/>
                          <w:sz w:val="18"/>
                          <w:szCs w:val="18"/>
                        </w:rPr>
                        <w:t>元，募集资金总额人民币 </w:t>
                      </w:r>
                      <w:r>
                        <w:rPr>
                          <w:rFonts w:ascii="Times New Roman" w:hAnsi="Times New Roman" w:cs="Times New Roman" w:eastAsia="Times New Roman" w:hint="default"/>
                          <w:sz w:val="18"/>
                          <w:szCs w:val="18"/>
                        </w:rPr>
                        <w:t>874,799,978.80  </w:t>
                      </w:r>
                      <w:r>
                        <w:rPr>
                          <w:rFonts w:ascii="宋体" w:hAnsi="宋体" w:cs="宋体" w:eastAsia="宋体" w:hint="default"/>
                          <w:sz w:val="18"/>
                          <w:szCs w:val="18"/>
                        </w:rPr>
                        <w:t>元，扣除发行费用 </w:t>
                      </w:r>
                      <w:r>
                        <w:rPr>
                          <w:rFonts w:ascii="Times New Roman" w:hAnsi="Times New Roman" w:cs="Times New Roman" w:eastAsia="Times New Roman" w:hint="default"/>
                          <w:sz w:val="18"/>
                          <w:szCs w:val="18"/>
                        </w:rPr>
                        <w:t>15,177,964.95</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元后，募集资金净额为</w:t>
                      </w:r>
                    </w:p>
                    <w:p>
                      <w:pPr>
                        <w:spacing w:before="13"/>
                        <w:ind w:left="10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859,622,013.85</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元。上述资金已于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日全部到位，并业经信永中和会计师事务所（特殊普通合伙）</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spacing w:before="63"/>
                        <w:ind w:left="10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XYZH/2017SHA10222</w:t>
                      </w:r>
                      <w:r>
                        <w:rPr>
                          <w:rFonts w:ascii="宋体" w:hAnsi="宋体" w:cs="宋体" w:eastAsia="宋体" w:hint="default"/>
                          <w:sz w:val="18"/>
                          <w:szCs w:val="18"/>
                        </w:rPr>
                        <w:t>”号报告审验。</w:t>
                      </w:r>
                    </w:p>
                    <w:p>
                      <w:pPr>
                        <w:spacing w:before="63"/>
                        <w:ind w:left="46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募集资金使用和结余情况</w:t>
                      </w:r>
                    </w:p>
                    <w:p>
                      <w:pPr>
                        <w:spacing w:before="63"/>
                        <w:ind w:left="46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年度本公司实际使用募集资金 </w:t>
                      </w:r>
                      <w:r>
                        <w:rPr>
                          <w:rFonts w:ascii="Times New Roman" w:hAnsi="Times New Roman" w:cs="Times New Roman" w:eastAsia="Times New Roman" w:hint="default"/>
                          <w:sz w:val="18"/>
                          <w:szCs w:val="18"/>
                        </w:rPr>
                        <w:t>144,874,310.49  </w:t>
                      </w:r>
                      <w:r>
                        <w:rPr>
                          <w:rFonts w:ascii="宋体" w:hAnsi="宋体" w:cs="宋体" w:eastAsia="宋体" w:hint="default"/>
                          <w:sz w:val="18"/>
                          <w:szCs w:val="18"/>
                        </w:rPr>
                        <w:t>元，</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年度收到银行存款利息扣除银行手续费等净额为</w:t>
                      </w:r>
                    </w:p>
                    <w:p>
                      <w:pPr>
                        <w:spacing w:before="63"/>
                        <w:ind w:left="10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787,874.36  </w:t>
                      </w:r>
                      <w:r>
                        <w:rPr>
                          <w:rFonts w:ascii="宋体" w:hAnsi="宋体" w:cs="宋体" w:eastAsia="宋体" w:hint="default"/>
                          <w:spacing w:val="-4"/>
                          <w:sz w:val="18"/>
                          <w:szCs w:val="18"/>
                        </w:rPr>
                        <w:t>元。</w:t>
                      </w:r>
                      <w:r>
                        <w:rPr>
                          <w:rFonts w:ascii="Times New Roman" w:hAnsi="Times New Roman" w:cs="Times New Roman" w:eastAsia="Times New Roman" w:hint="default"/>
                          <w:spacing w:val="-4"/>
                          <w:sz w:val="18"/>
                          <w:szCs w:val="18"/>
                        </w:rPr>
                        <w:t>2019 </w:t>
                      </w:r>
                      <w:r>
                        <w:rPr>
                          <w:rFonts w:ascii="宋体" w:hAnsi="宋体" w:cs="宋体" w:eastAsia="宋体" w:hint="default"/>
                          <w:sz w:val="18"/>
                          <w:szCs w:val="18"/>
                        </w:rPr>
                        <w:t>年度使用募集资金滚动购买理财产品支出总计为 </w:t>
                      </w:r>
                      <w:r>
                        <w:rPr>
                          <w:rFonts w:ascii="Times New Roman" w:hAnsi="Times New Roman" w:cs="Times New Roman" w:eastAsia="Times New Roman" w:hint="default"/>
                          <w:sz w:val="18"/>
                          <w:szCs w:val="18"/>
                        </w:rPr>
                        <w:t>5.3  </w:t>
                      </w:r>
                      <w:r>
                        <w:rPr>
                          <w:rFonts w:ascii="宋体" w:hAnsi="宋体" w:cs="宋体" w:eastAsia="宋体" w:hint="default"/>
                          <w:spacing w:val="-3"/>
                          <w:sz w:val="18"/>
                          <w:szCs w:val="18"/>
                        </w:rPr>
                        <w:t>亿元，赎回理财本金 </w:t>
                      </w:r>
                      <w:r>
                        <w:rPr>
                          <w:rFonts w:ascii="Times New Roman" w:hAnsi="Times New Roman" w:cs="Times New Roman" w:eastAsia="Times New Roman" w:hint="default"/>
                          <w:sz w:val="18"/>
                          <w:szCs w:val="18"/>
                        </w:rPr>
                        <w:t>5.95 </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亿元，取得理财收</w:t>
                      </w:r>
                    </w:p>
                    <w:p>
                      <w:pPr>
                        <w:spacing w:before="63"/>
                        <w:ind w:left="106" w:right="0" w:firstLine="0"/>
                        <w:jc w:val="left"/>
                        <w:rPr>
                          <w:rFonts w:ascii="宋体" w:hAnsi="宋体" w:cs="宋体" w:eastAsia="宋体" w:hint="default"/>
                          <w:sz w:val="18"/>
                          <w:szCs w:val="18"/>
                        </w:rPr>
                      </w:pPr>
                      <w:r>
                        <w:rPr>
                          <w:rFonts w:ascii="宋体" w:hAnsi="宋体" w:cs="宋体" w:eastAsia="宋体" w:hint="default"/>
                          <w:sz w:val="18"/>
                          <w:szCs w:val="18"/>
                        </w:rPr>
                        <w:t>益 </w:t>
                      </w:r>
                      <w:r>
                        <w:rPr>
                          <w:rFonts w:ascii="Times New Roman" w:hAnsi="Times New Roman" w:cs="Times New Roman" w:eastAsia="Times New Roman" w:hint="default"/>
                          <w:sz w:val="18"/>
                          <w:szCs w:val="18"/>
                        </w:rPr>
                        <w:t>4,227,383.66  </w:t>
                      </w:r>
                      <w:r>
                        <w:rPr>
                          <w:rFonts w:ascii="宋体" w:hAnsi="宋体" w:cs="宋体" w:eastAsia="宋体" w:hint="default"/>
                          <w:sz w:val="18"/>
                          <w:szCs w:val="18"/>
                        </w:rPr>
                        <w:t>元，理财产品尚未到期金额为 </w:t>
                      </w:r>
                      <w:r>
                        <w:rPr>
                          <w:rFonts w:ascii="Times New Roman" w:hAnsi="Times New Roman" w:cs="Times New Roman" w:eastAsia="Times New Roman" w:hint="default"/>
                          <w:sz w:val="18"/>
                          <w:szCs w:val="18"/>
                        </w:rPr>
                        <w:t>1.05</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亿元。</w:t>
                      </w:r>
                    </w:p>
                    <w:p>
                      <w:pPr>
                        <w:spacing w:line="300" w:lineRule="auto" w:before="63"/>
                        <w:ind w:left="106" w:right="180" w:firstLine="36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日，本公司募集资金余额为</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28,281.98 </w:t>
                      </w:r>
                      <w:r>
                        <w:rPr>
                          <w:rFonts w:ascii="宋体" w:hAnsi="宋体" w:cs="宋体" w:eastAsia="宋体" w:hint="default"/>
                          <w:sz w:val="18"/>
                          <w:szCs w:val="18"/>
                        </w:rPr>
                        <w:t>万元（包括累计收到的银行存款利息扣除银行手续费 等的净额）。</w:t>
                      </w:r>
                    </w:p>
                  </w:txbxContent>
                </v:textbox>
                <w10:wrap type="none"/>
              </v:shape>
            </v:group>
          </v:group>
        </w:pict>
      </w:r>
      <w:r>
        <w:rPr>
          <w:rFonts w:ascii="宋体" w:hAnsi="宋体" w:cs="宋体" w:eastAsia="宋体" w:hint="default"/>
          <w:position w:val="-75"/>
          <w:sz w:val="20"/>
          <w:szCs w:val="20"/>
        </w:rPr>
      </w:r>
    </w:p>
    <w:p>
      <w:pPr>
        <w:spacing w:line="240" w:lineRule="auto" w:before="5"/>
        <w:rPr>
          <w:rFonts w:ascii="宋体" w:hAnsi="宋体" w:cs="宋体" w:eastAsia="宋体" w:hint="default"/>
          <w:sz w:val="18"/>
          <w:szCs w:val="18"/>
        </w:rPr>
      </w:pPr>
    </w:p>
    <w:p>
      <w:pPr>
        <w:spacing w:before="34"/>
        <w:ind w:left="132" w:right="1164" w:firstLine="0"/>
        <w:jc w:val="left"/>
        <w:rPr>
          <w:rFonts w:ascii="宋体" w:hAnsi="宋体" w:cs="宋体" w:eastAsia="宋体" w:hint="default"/>
          <w:sz w:val="21"/>
          <w:szCs w:val="21"/>
        </w:rPr>
      </w:pPr>
      <w:bookmarkStart w:name="（2）募集资金承诺项目情况" w:id="52"/>
      <w:bookmarkEnd w:id="5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）募集资金承诺项目情况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770"/>
        <w:gridCol w:w="779"/>
        <w:gridCol w:w="780"/>
        <w:gridCol w:w="780"/>
        <w:gridCol w:w="779"/>
        <w:gridCol w:w="780"/>
        <w:gridCol w:w="780"/>
        <w:gridCol w:w="780"/>
        <w:gridCol w:w="780"/>
        <w:gridCol w:w="780"/>
        <w:gridCol w:w="780"/>
      </w:tblGrid>
      <w:tr>
        <w:trPr>
          <w:trHeight w:val="1580" w:hRule="exact"/>
        </w:trPr>
        <w:tc>
          <w:tcPr>
            <w:tcW w:w="1770"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421" w:right="158" w:hanging="272"/>
              <w:jc w:val="left"/>
              <w:rPr>
                <w:rFonts w:ascii="宋体" w:hAnsi="宋体" w:cs="宋体" w:eastAsia="宋体" w:hint="default"/>
                <w:sz w:val="18"/>
                <w:szCs w:val="18"/>
              </w:rPr>
            </w:pPr>
            <w:r>
              <w:rPr>
                <w:rFonts w:ascii="宋体" w:hAnsi="宋体" w:cs="宋体" w:eastAsia="宋体" w:hint="default"/>
                <w:sz w:val="18"/>
                <w:szCs w:val="18"/>
              </w:rPr>
              <w:t>承诺投资项目和超 募资金投向</w:t>
            </w:r>
          </w:p>
        </w:tc>
        <w:tc>
          <w:tcPr>
            <w:tcW w:w="77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11"/>
              <w:ind w:left="115" w:right="112"/>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7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16" w:right="112"/>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7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16" w:right="112"/>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 投资总 额</w:t>
            </w:r>
            <w:r>
              <w:rPr>
                <w:rFonts w:ascii="Times New Roman" w:hAnsi="Times New Roman" w:cs="Times New Roman" w:eastAsia="Times New Roman" w:hint="default"/>
                <w:sz w:val="18"/>
                <w:szCs w:val="18"/>
              </w:rPr>
              <w:t>(1)</w:t>
            </w:r>
          </w:p>
        </w:tc>
        <w:tc>
          <w:tcPr>
            <w:tcW w:w="77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13" w:right="113"/>
              <w:jc w:val="both"/>
              <w:rPr>
                <w:rFonts w:ascii="宋体" w:hAnsi="宋体" w:cs="宋体" w:eastAsia="宋体" w:hint="default"/>
                <w:sz w:val="18"/>
                <w:szCs w:val="18"/>
              </w:rPr>
            </w:pPr>
            <w:r>
              <w:rPr>
                <w:rFonts w:ascii="宋体" w:hAnsi="宋体" w:cs="宋体" w:eastAsia="宋体" w:hint="default"/>
                <w:sz w:val="18"/>
                <w:szCs w:val="18"/>
              </w:rPr>
              <w:t>本报告 期投入 金额</w:t>
            </w:r>
          </w:p>
        </w:tc>
        <w:tc>
          <w:tcPr>
            <w:tcW w:w="7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14" w:right="113"/>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11"/>
              <w:ind w:left="114" w:right="11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7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14" w:right="113"/>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7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14" w:right="113"/>
              <w:jc w:val="both"/>
              <w:rPr>
                <w:rFonts w:ascii="宋体" w:hAnsi="宋体" w:cs="宋体" w:eastAsia="宋体" w:hint="default"/>
                <w:sz w:val="18"/>
                <w:szCs w:val="18"/>
              </w:rPr>
            </w:pPr>
            <w:r>
              <w:rPr>
                <w:rFonts w:ascii="宋体" w:hAnsi="宋体" w:cs="宋体" w:eastAsia="宋体" w:hint="default"/>
                <w:sz w:val="18"/>
                <w:szCs w:val="18"/>
              </w:rPr>
              <w:t>本报告 期实现 的效益</w:t>
            </w:r>
          </w:p>
        </w:tc>
        <w:tc>
          <w:tcPr>
            <w:tcW w:w="78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14" w:right="113"/>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780"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316" w:lineRule="auto" w:before="11"/>
              <w:ind w:left="114" w:right="105"/>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322" w:hRule="exact"/>
        </w:trPr>
        <w:tc>
          <w:tcPr>
            <w:tcW w:w="9568" w:type="dxa"/>
            <w:gridSpan w:val="11"/>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946" w:hRule="exact"/>
        </w:trPr>
        <w:tc>
          <w:tcPr>
            <w:tcW w:w="1770" w:type="dxa"/>
            <w:tcBorders>
              <w:top w:val="single" w:sz="4" w:space="0" w:color="000000"/>
              <w:left w:val="single" w:sz="12" w:space="0" w:color="000000"/>
              <w:bottom w:val="single" w:sz="4" w:space="0" w:color="000000"/>
              <w:right w:val="single" w:sz="4" w:space="0" w:color="000000"/>
            </w:tcBorders>
          </w:tcPr>
          <w:p>
            <w:pPr>
              <w:pStyle w:val="TableParagraph"/>
              <w:spacing w:line="309" w:lineRule="auto" w:before="11"/>
              <w:ind w:left="9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I-ChargeNet </w:t>
            </w:r>
            <w:r>
              <w:rPr>
                <w:rFonts w:ascii="宋体" w:hAnsi="宋体" w:cs="宋体" w:eastAsia="宋体" w:hint="default"/>
                <w:sz w:val="18"/>
                <w:szCs w:val="18"/>
              </w:rPr>
              <w:t>智能充 </w:t>
            </w:r>
            <w:r>
              <w:rPr>
                <w:rFonts w:ascii="宋体" w:hAnsi="宋体" w:cs="宋体" w:eastAsia="宋体" w:hint="default"/>
                <w:spacing w:val="-8"/>
                <w:sz w:val="18"/>
                <w:szCs w:val="18"/>
              </w:rPr>
              <w:t>电网络建设项目（一</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期）</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67" w:right="0"/>
              <w:jc w:val="center"/>
              <w:rPr>
                <w:rFonts w:ascii="Times New Roman" w:hAnsi="Times New Roman" w:cs="Times New Roman" w:eastAsia="Times New Roman" w:hint="default"/>
                <w:sz w:val="18"/>
                <w:szCs w:val="18"/>
              </w:rPr>
            </w:pPr>
            <w:r>
              <w:rPr>
                <w:rFonts w:ascii="Times New Roman"/>
                <w:sz w:val="18"/>
              </w:rPr>
              <w:t>96,000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66,162.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14,487.</w:t>
            </w:r>
          </w:p>
          <w:p>
            <w:pPr>
              <w:pStyle w:val="TableParagraph"/>
              <w:spacing w:line="240" w:lineRule="auto" w:before="105"/>
              <w:ind w:left="485" w:right="0"/>
              <w:jc w:val="left"/>
              <w:rPr>
                <w:rFonts w:ascii="Times New Roman" w:hAnsi="Times New Roman" w:cs="Times New Roman" w:eastAsia="Times New Roman" w:hint="default"/>
                <w:sz w:val="18"/>
                <w:szCs w:val="18"/>
              </w:rPr>
            </w:pPr>
            <w:r>
              <w:rPr>
                <w:rFonts w:ascii="Times New Roman"/>
                <w:sz w:val="18"/>
              </w:rPr>
              <w:t>43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6" w:right="0"/>
              <w:jc w:val="left"/>
              <w:rPr>
                <w:rFonts w:ascii="Times New Roman" w:hAnsi="Times New Roman" w:cs="Times New Roman" w:eastAsia="Times New Roman" w:hint="default"/>
                <w:sz w:val="18"/>
                <w:szCs w:val="18"/>
              </w:rPr>
            </w:pPr>
            <w:r>
              <w:rPr>
                <w:rFonts w:ascii="Times New Roman"/>
                <w:sz w:val="18"/>
              </w:rPr>
              <w:t>39,528.</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69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 w:right="0"/>
              <w:jc w:val="center"/>
              <w:rPr>
                <w:rFonts w:ascii="Times New Roman" w:hAnsi="Times New Roman" w:cs="Times New Roman" w:eastAsia="Times New Roman" w:hint="default"/>
                <w:sz w:val="18"/>
                <w:szCs w:val="18"/>
              </w:rPr>
            </w:pPr>
            <w:r>
              <w:rPr>
                <w:rFonts w:ascii="Times New Roman"/>
                <w:sz w:val="18"/>
              </w:rPr>
              <w:t>59.75%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p>
          <w:p>
            <w:pPr>
              <w:pStyle w:val="TableParagraph"/>
              <w:spacing w:line="240" w:lineRule="auto" w:before="63"/>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3"/>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46" w:hRule="exact"/>
        </w:trPr>
        <w:tc>
          <w:tcPr>
            <w:tcW w:w="177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00" w:lineRule="auto"/>
              <w:ind w:left="92" w:right="17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吨新型 环保高分子材料</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61" w:right="0"/>
              <w:jc w:val="center"/>
              <w:rPr>
                <w:rFonts w:ascii="Times New Roman" w:hAnsi="Times New Roman" w:cs="Times New Roman" w:eastAsia="Times New Roman" w:hint="default"/>
                <w:sz w:val="18"/>
                <w:szCs w:val="18"/>
              </w:rPr>
            </w:pPr>
            <w:r>
              <w:rPr>
                <w:rFonts w:ascii="Times New Roman"/>
                <w:sz w:val="18"/>
              </w:rPr>
              <w:t>9,800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61" w:right="0"/>
              <w:jc w:val="center"/>
              <w:rPr>
                <w:rFonts w:ascii="Times New Roman" w:hAnsi="Times New Roman" w:cs="Times New Roman" w:eastAsia="Times New Roman" w:hint="default"/>
                <w:sz w:val="18"/>
                <w:szCs w:val="18"/>
              </w:rPr>
            </w:pPr>
            <w:r>
              <w:rPr>
                <w:rFonts w:ascii="Times New Roman"/>
                <w:sz w:val="18"/>
              </w:rPr>
              <w:t>9,800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9,934.8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101.38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p>
          <w:p>
            <w:pPr>
              <w:pStyle w:val="TableParagraph"/>
              <w:spacing w:line="240" w:lineRule="auto" w:before="63"/>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3"/>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9" w:right="0"/>
              <w:jc w:val="center"/>
              <w:rPr>
                <w:rFonts w:ascii="Times New Roman" w:hAnsi="Times New Roman" w:cs="Times New Roman" w:eastAsia="Times New Roman" w:hint="default"/>
                <w:sz w:val="18"/>
                <w:szCs w:val="18"/>
              </w:rPr>
            </w:pPr>
            <w:r>
              <w:rPr>
                <w:rFonts w:ascii="Times New Roman"/>
                <w:sz w:val="18"/>
              </w:rPr>
              <w:t>26.07%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77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20,000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10,000</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2"/>
              <w:jc w:val="center"/>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770"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125,80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85,962.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5" w:right="0"/>
              <w:jc w:val="left"/>
              <w:rPr>
                <w:rFonts w:ascii="Times New Roman" w:hAnsi="Times New Roman" w:cs="Times New Roman" w:eastAsia="Times New Roman" w:hint="default"/>
                <w:sz w:val="18"/>
                <w:szCs w:val="18"/>
              </w:rPr>
            </w:pPr>
            <w:r>
              <w:rPr>
                <w:rFonts w:ascii="Times New Roman"/>
                <w:sz w:val="18"/>
              </w:rPr>
              <w:t>14,487.</w:t>
            </w:r>
          </w:p>
          <w:p>
            <w:pPr>
              <w:pStyle w:val="TableParagraph"/>
              <w:spacing w:line="240" w:lineRule="auto" w:before="105"/>
              <w:ind w:left="485" w:right="0"/>
              <w:jc w:val="left"/>
              <w:rPr>
                <w:rFonts w:ascii="Times New Roman" w:hAnsi="Times New Roman" w:cs="Times New Roman" w:eastAsia="Times New Roman" w:hint="default"/>
                <w:sz w:val="18"/>
                <w:szCs w:val="18"/>
              </w:rPr>
            </w:pPr>
            <w:r>
              <w:rPr>
                <w:rFonts w:ascii="Times New Roman"/>
                <w:sz w:val="18"/>
              </w:rPr>
              <w:t>43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6" w:right="0"/>
              <w:jc w:val="left"/>
              <w:rPr>
                <w:rFonts w:ascii="Times New Roman" w:hAnsi="Times New Roman" w:cs="Times New Roman" w:eastAsia="Times New Roman" w:hint="default"/>
                <w:sz w:val="18"/>
                <w:szCs w:val="18"/>
              </w:rPr>
            </w:pPr>
            <w:r>
              <w:rPr>
                <w:rFonts w:ascii="Times New Roman"/>
                <w:sz w:val="18"/>
              </w:rPr>
              <w:t>59,463.</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54</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26.07%</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12"/>
              <w:jc w:val="right"/>
              <w:rPr>
                <w:rFonts w:ascii="Times New Roman" w:hAnsi="Times New Roman" w:cs="Times New Roman" w:eastAsia="Times New Roman" w:hint="default"/>
                <w:sz w:val="18"/>
                <w:szCs w:val="18"/>
              </w:rPr>
            </w:pPr>
            <w:r>
              <w:rPr>
                <w:rFonts w:ascii="Times New Roman"/>
                <w:sz w:val="18"/>
              </w:rPr>
              <w:t>--</w:t>
            </w:r>
          </w:p>
        </w:tc>
      </w:tr>
      <w:tr>
        <w:trPr>
          <w:trHeight w:val="322" w:hRule="exact"/>
        </w:trPr>
        <w:tc>
          <w:tcPr>
            <w:tcW w:w="9568" w:type="dxa"/>
            <w:gridSpan w:val="11"/>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322" w:hRule="exact"/>
        </w:trPr>
        <w:tc>
          <w:tcPr>
            <w:tcW w:w="177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12" w:space="0" w:color="000000"/>
            </w:tcBorders>
          </w:tcPr>
          <w:p>
            <w:pPr/>
          </w:p>
        </w:tc>
      </w:tr>
      <w:tr>
        <w:trPr>
          <w:trHeight w:val="634" w:hRule="exact"/>
        </w:trPr>
        <w:tc>
          <w:tcPr>
            <w:tcW w:w="1770"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125,80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85,962.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5" w:right="0"/>
              <w:jc w:val="left"/>
              <w:rPr>
                <w:rFonts w:ascii="Times New Roman" w:hAnsi="Times New Roman" w:cs="Times New Roman" w:eastAsia="Times New Roman" w:hint="default"/>
                <w:sz w:val="18"/>
                <w:szCs w:val="18"/>
              </w:rPr>
            </w:pPr>
            <w:r>
              <w:rPr>
                <w:rFonts w:ascii="Times New Roman"/>
                <w:sz w:val="18"/>
              </w:rPr>
              <w:t>14,487.</w:t>
            </w:r>
          </w:p>
          <w:p>
            <w:pPr>
              <w:pStyle w:val="TableParagraph"/>
              <w:spacing w:line="240" w:lineRule="auto" w:before="105"/>
              <w:ind w:left="485" w:right="0"/>
              <w:jc w:val="left"/>
              <w:rPr>
                <w:rFonts w:ascii="Times New Roman" w:hAnsi="Times New Roman" w:cs="Times New Roman" w:eastAsia="Times New Roman" w:hint="default"/>
                <w:sz w:val="18"/>
                <w:szCs w:val="18"/>
              </w:rPr>
            </w:pPr>
            <w:r>
              <w:rPr>
                <w:rFonts w:ascii="Times New Roman"/>
                <w:sz w:val="18"/>
              </w:rPr>
              <w:t>43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6" w:right="0"/>
              <w:jc w:val="left"/>
              <w:rPr>
                <w:rFonts w:ascii="Times New Roman" w:hAnsi="Times New Roman" w:cs="Times New Roman" w:eastAsia="Times New Roman" w:hint="default"/>
                <w:sz w:val="18"/>
                <w:szCs w:val="18"/>
              </w:rPr>
            </w:pPr>
            <w:r>
              <w:rPr>
                <w:rFonts w:ascii="Times New Roman"/>
                <w:sz w:val="18"/>
              </w:rPr>
              <w:t>59,463.</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54</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26.07%</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12"/>
              <w:jc w:val="right"/>
              <w:rPr>
                <w:rFonts w:ascii="Times New Roman" w:hAnsi="Times New Roman" w:cs="Times New Roman" w:eastAsia="Times New Roman" w:hint="default"/>
                <w:sz w:val="18"/>
                <w:szCs w:val="18"/>
              </w:rPr>
            </w:pPr>
            <w:r>
              <w:rPr>
                <w:rFonts w:ascii="Times New Roman"/>
                <w:sz w:val="18"/>
              </w:rPr>
              <w:t>--</w:t>
            </w:r>
          </w:p>
        </w:tc>
      </w:tr>
      <w:tr>
        <w:trPr>
          <w:trHeight w:val="946" w:hRule="exact"/>
        </w:trPr>
        <w:tc>
          <w:tcPr>
            <w:tcW w:w="1770"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1"/>
              <w:ind w:left="92" w:right="36"/>
              <w:jc w:val="left"/>
              <w:rPr>
                <w:rFonts w:ascii="宋体" w:hAnsi="宋体" w:cs="宋体" w:eastAsia="宋体" w:hint="default"/>
                <w:sz w:val="18"/>
                <w:szCs w:val="18"/>
              </w:rPr>
            </w:pPr>
            <w:r>
              <w:rPr>
                <w:rFonts w:ascii="宋体" w:hAnsi="宋体" w:cs="宋体" w:eastAsia="宋体" w:hint="default"/>
                <w:sz w:val="18"/>
                <w:szCs w:val="18"/>
              </w:rPr>
              <w:t>未达到计划进度或 预计收益的情况和 原因（分具体项目）</w:t>
            </w:r>
          </w:p>
        </w:tc>
        <w:tc>
          <w:tcPr>
            <w:tcW w:w="7798" w:type="dxa"/>
            <w:gridSpan w:val="10"/>
            <w:tcBorders>
              <w:top w:val="single" w:sz="4" w:space="0" w:color="000000"/>
              <w:left w:val="single" w:sz="4" w:space="0" w:color="000000"/>
              <w:bottom w:val="single" w:sz="4" w:space="0" w:color="000000"/>
              <w:right w:val="single" w:sz="12" w:space="0" w:color="000000"/>
            </w:tcBorders>
          </w:tcPr>
          <w:p>
            <w:pPr>
              <w:pStyle w:val="TableParagraph"/>
              <w:spacing w:line="309" w:lineRule="auto" w:before="11"/>
              <w:ind w:left="103" w:right="93"/>
              <w:jc w:val="both"/>
              <w:rPr>
                <w:rFonts w:ascii="宋体" w:hAnsi="宋体" w:cs="宋体" w:eastAsia="宋体" w:hint="default"/>
                <w:sz w:val="18"/>
                <w:szCs w:val="18"/>
              </w:rPr>
            </w:pPr>
            <w:r>
              <w:rPr>
                <w:rFonts w:ascii="宋体" w:hAnsi="宋体" w:cs="宋体" w:eastAsia="宋体" w:hint="default"/>
                <w:spacing w:val="-3"/>
                <w:sz w:val="18"/>
                <w:szCs w:val="18"/>
              </w:rPr>
              <w:t>未达到计划进度的情况和原因：</w:t>
            </w:r>
            <w:r>
              <w:rPr>
                <w:rFonts w:ascii="Times New Roman" w:hAnsi="Times New Roman" w:cs="Times New Roman" w:eastAsia="Times New Roman" w:hint="default"/>
                <w:spacing w:val="-3"/>
                <w:sz w:val="18"/>
                <w:szCs w:val="18"/>
              </w:rPr>
              <w:t>I-Charge</w:t>
            </w:r>
            <w:r>
              <w:rPr>
                <w:rFonts w:ascii="Times New Roman" w:hAnsi="Times New Roman" w:cs="Times New Roman" w:eastAsia="Times New Roman" w:hint="default"/>
                <w:sz w:val="18"/>
                <w:szCs w:val="18"/>
              </w:rPr>
              <w:t> Net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智能充电网络项目</w:t>
            </w:r>
            <w:r>
              <w:rPr>
                <w:rFonts w:ascii="Times New Roman" w:hAnsi="Times New Roman" w:cs="Times New Roman" w:eastAsia="Times New Roman" w:hint="default"/>
                <w:sz w:val="18"/>
                <w:szCs w:val="18"/>
              </w:rPr>
              <w:t>”</w:t>
            </w:r>
            <w:r>
              <w:rPr>
                <w:rFonts w:ascii="宋体" w:hAnsi="宋体" w:cs="宋体" w:eastAsia="宋体" w:hint="default"/>
                <w:sz w:val="18"/>
                <w:szCs w:val="18"/>
              </w:rPr>
              <w:t>募投项目原计划</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年末完成投 资，因行业竞争加剧及充电网络密度增长，导致投建难度增加，出于对投建收益的严格把控，部 分城市和场站投资进度有所放缓。</w:t>
            </w:r>
          </w:p>
        </w:tc>
      </w:tr>
      <w:tr>
        <w:trPr>
          <w:trHeight w:val="634" w:hRule="exact"/>
        </w:trPr>
        <w:tc>
          <w:tcPr>
            <w:tcW w:w="1770"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1"/>
              <w:ind w:left="92" w:right="216"/>
              <w:jc w:val="left"/>
              <w:rPr>
                <w:rFonts w:ascii="宋体" w:hAnsi="宋体" w:cs="宋体" w:eastAsia="宋体" w:hint="default"/>
                <w:sz w:val="18"/>
                <w:szCs w:val="18"/>
              </w:rPr>
            </w:pPr>
            <w:r>
              <w:rPr>
                <w:rFonts w:ascii="宋体" w:hAnsi="宋体" w:cs="宋体" w:eastAsia="宋体" w:hint="default"/>
                <w:sz w:val="18"/>
                <w:szCs w:val="18"/>
              </w:rPr>
              <w:t>项目可行性发生重 大变化的情况说明</w:t>
            </w:r>
          </w:p>
        </w:tc>
        <w:tc>
          <w:tcPr>
            <w:tcW w:w="7798" w:type="dxa"/>
            <w:gridSpan w:val="10"/>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20" w:hRule="exact"/>
        </w:trPr>
        <w:tc>
          <w:tcPr>
            <w:tcW w:w="1770"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pacing w:val="-8"/>
                <w:sz w:val="18"/>
                <w:szCs w:val="18"/>
              </w:rPr>
              <w:t>超募资金的金额、用</w:t>
            </w:r>
          </w:p>
        </w:tc>
        <w:tc>
          <w:tcPr>
            <w:tcW w:w="7798" w:type="dxa"/>
            <w:gridSpan w:val="10"/>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890" w:footer="1053" w:top="1420" w:bottom="1240" w:left="1000" w:right="0"/>
        </w:sectPr>
      </w:pPr>
    </w:p>
    <w:tbl>
      <w:tblPr>
        <w:tblW w:w="0" w:type="auto"/>
        <w:jc w:val="left"/>
        <w:tblInd w:w="119" w:type="dxa"/>
        <w:tblLayout w:type="fixed"/>
        <w:tblCellMar>
          <w:top w:w="0" w:type="dxa"/>
          <w:left w:w="0" w:type="dxa"/>
          <w:bottom w:w="0" w:type="dxa"/>
          <w:right w:w="0" w:type="dxa"/>
        </w:tblCellMar>
        <w:tblLook w:val="01E0"/>
      </w:tblPr>
      <w:tblGrid>
        <w:gridCol w:w="1770"/>
        <w:gridCol w:w="7798"/>
      </w:tblGrid>
      <w:tr>
        <w:trPr>
          <w:trHeight w:val="322" w:hRule="exact"/>
        </w:trPr>
        <w:tc>
          <w:tcPr>
            <w:tcW w:w="1770"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途及使用进展情况</w:t>
            </w:r>
          </w:p>
        </w:tc>
        <w:tc>
          <w:tcPr>
            <w:tcW w:w="7798" w:type="dxa"/>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1770" w:type="dxa"/>
            <w:tcBorders>
              <w:top w:val="single" w:sz="4" w:space="0" w:color="000000"/>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22"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308"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6"/>
              <w:ind w:left="92" w:right="0"/>
              <w:jc w:val="left"/>
              <w:rPr>
                <w:rFonts w:ascii="宋体" w:hAnsi="宋体" w:cs="宋体" w:eastAsia="宋体" w:hint="default"/>
                <w:sz w:val="18"/>
                <w:szCs w:val="18"/>
              </w:rPr>
            </w:pPr>
            <w:r>
              <w:rPr>
                <w:rFonts w:ascii="宋体" w:hAnsi="宋体" w:cs="宋体" w:eastAsia="宋体" w:hint="default"/>
                <w:sz w:val="18"/>
                <w:szCs w:val="18"/>
              </w:rPr>
              <w:t>募集资金投资项目</w:t>
            </w:r>
          </w:p>
        </w:tc>
        <w:tc>
          <w:tcPr>
            <w:tcW w:w="7798" w:type="dxa"/>
            <w:vMerge w:val="restart"/>
            <w:tcBorders>
              <w:top w:val="single" w:sz="4" w:space="0" w:color="000000"/>
              <w:left w:val="single" w:sz="4" w:space="0" w:color="000000"/>
              <w:right w:val="single" w:sz="12" w:space="0" w:color="000000"/>
            </w:tcBorders>
          </w:tcPr>
          <w:p>
            <w:pPr>
              <w:pStyle w:val="TableParagraph"/>
              <w:spacing w:line="300" w:lineRule="auto" w:before="10"/>
              <w:ind w:left="103" w:right="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日，本公司第四届董事会第十七次会议和第四届监事会第十次会议审议通过 了《关于使用募集关于扩大“</w:t>
            </w:r>
            <w:r>
              <w:rPr>
                <w:rFonts w:ascii="Times New Roman" w:hAnsi="Times New Roman" w:cs="Times New Roman" w:eastAsia="Times New Roman" w:hint="default"/>
                <w:sz w:val="18"/>
                <w:szCs w:val="18"/>
              </w:rPr>
              <w:t>I-Charge Net</w:t>
            </w:r>
            <w:r>
              <w:rPr>
                <w:rFonts w:ascii="Times New Roman" w:hAnsi="Times New Roman" w:cs="Times New Roman" w:eastAsia="Times New Roman" w:hint="default"/>
                <w:spacing w:val="-32"/>
                <w:sz w:val="18"/>
                <w:szCs w:val="18"/>
              </w:rPr>
              <w:t> </w:t>
            </w:r>
            <w:r>
              <w:rPr>
                <w:rFonts w:ascii="宋体" w:hAnsi="宋体" w:cs="宋体" w:eastAsia="宋体" w:hint="default"/>
                <w:sz w:val="18"/>
                <w:szCs w:val="18"/>
              </w:rPr>
              <w:t>智能充电网络”募投项目实施范围等的议案》，同意扩 大“</w:t>
            </w:r>
            <w:r>
              <w:rPr>
                <w:rFonts w:ascii="Times New Roman" w:hAnsi="Times New Roman" w:cs="Times New Roman" w:eastAsia="Times New Roman" w:hint="default"/>
                <w:sz w:val="18"/>
                <w:szCs w:val="18"/>
              </w:rPr>
              <w:t>I-Charge Net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智能充电网络项目”募投项目实施范围</w:t>
            </w:r>
            <w:r>
              <w:rPr>
                <w:rFonts w:ascii="Times New Roman" w:hAnsi="Times New Roman" w:cs="Times New Roman" w:eastAsia="Times New Roman" w:hint="default"/>
                <w:sz w:val="18"/>
                <w:szCs w:val="18"/>
              </w:rPr>
              <w:t>,</w:t>
            </w:r>
            <w:r>
              <w:rPr>
                <w:rFonts w:ascii="宋体" w:hAnsi="宋体" w:cs="宋体" w:eastAsia="宋体" w:hint="default"/>
                <w:sz w:val="18"/>
                <w:szCs w:val="18"/>
              </w:rPr>
              <w:t>在原杭州、宁波、湖州等地的基础上扩 大至全国各地主要城市</w:t>
            </w:r>
            <w:r>
              <w:rPr>
                <w:rFonts w:ascii="Times New Roman" w:hAnsi="Times New Roman" w:cs="Times New Roman" w:eastAsia="Times New Roman" w:hint="default"/>
                <w:sz w:val="18"/>
                <w:szCs w:val="18"/>
              </w:rPr>
              <w:t>,</w:t>
            </w:r>
            <w:r>
              <w:rPr>
                <w:rFonts w:ascii="宋体" w:hAnsi="宋体" w:cs="宋体" w:eastAsia="宋体" w:hint="default"/>
                <w:sz w:val="18"/>
                <w:szCs w:val="18"/>
              </w:rPr>
              <w:t>形成基本覆盖主要新能源试点城市的全国性的</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I-ChargeNet</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智能充电网络。</w:t>
            </w:r>
          </w:p>
        </w:tc>
      </w:tr>
      <w:tr>
        <w:trPr>
          <w:trHeight w:val="950" w:hRule="exact"/>
        </w:trPr>
        <w:tc>
          <w:tcPr>
            <w:tcW w:w="1770" w:type="dxa"/>
            <w:tcBorders>
              <w:top w:val="nil" w:sz="6" w:space="0" w:color="auto"/>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实施地点变更情况</w:t>
            </w:r>
          </w:p>
        </w:tc>
        <w:tc>
          <w:tcPr>
            <w:tcW w:w="7798" w:type="dxa"/>
            <w:vMerge/>
            <w:tcBorders>
              <w:left w:val="single" w:sz="4" w:space="0" w:color="000000"/>
              <w:bottom w:val="single" w:sz="4" w:space="0" w:color="000000"/>
              <w:right w:val="single" w:sz="12" w:space="0" w:color="000000"/>
            </w:tcBorders>
          </w:tcPr>
          <w:p>
            <w:pPr/>
          </w:p>
        </w:tc>
      </w:tr>
      <w:tr>
        <w:trPr>
          <w:trHeight w:val="322" w:hRule="exact"/>
        </w:trPr>
        <w:tc>
          <w:tcPr>
            <w:tcW w:w="1770" w:type="dxa"/>
            <w:tcBorders>
              <w:top w:val="single" w:sz="4" w:space="0" w:color="000000"/>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22"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316"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nil" w:sz="6" w:space="0" w:color="auto"/>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宋体" w:hAnsi="宋体" w:cs="宋体" w:eastAsia="宋体" w:hint="default"/>
                <w:spacing w:val="-80"/>
                <w:sz w:val="18"/>
                <w:szCs w:val="18"/>
              </w:rPr>
              <w:t>，</w:t>
            </w:r>
            <w:r>
              <w:rPr>
                <w:rFonts w:ascii="宋体" w:hAnsi="宋体" w:cs="宋体" w:eastAsia="宋体" w:hint="default"/>
                <w:sz w:val="18"/>
                <w:szCs w:val="18"/>
              </w:rPr>
              <w:t>本公司召开第四届董事会第十七次会议审议通</w:t>
            </w:r>
            <w:r>
              <w:rPr>
                <w:rFonts w:ascii="宋体" w:hAnsi="宋体" w:cs="宋体" w:eastAsia="宋体" w:hint="default"/>
                <w:spacing w:val="-77"/>
                <w:sz w:val="18"/>
                <w:szCs w:val="18"/>
              </w:rPr>
              <w:t>过</w:t>
            </w:r>
            <w:r>
              <w:rPr>
                <w:rFonts w:ascii="宋体" w:hAnsi="宋体" w:cs="宋体" w:eastAsia="宋体" w:hint="default"/>
                <w:spacing w:val="-3"/>
                <w:sz w:val="18"/>
                <w:szCs w:val="18"/>
              </w:rPr>
              <w:t>《</w:t>
            </w:r>
            <w:r>
              <w:rPr>
                <w:rFonts w:ascii="宋体" w:hAnsi="宋体" w:cs="宋体" w:eastAsia="宋体" w:hint="default"/>
                <w:sz w:val="18"/>
                <w:szCs w:val="18"/>
              </w:rPr>
              <w:t>关于扩</w:t>
            </w:r>
            <w:r>
              <w:rPr>
                <w:rFonts w:ascii="宋体" w:hAnsi="宋体" w:cs="宋体" w:eastAsia="宋体" w:hint="default"/>
                <w:spacing w:val="-80"/>
                <w:sz w:val="18"/>
                <w:szCs w:val="18"/>
              </w:rPr>
              <w:t>大</w:t>
            </w:r>
            <w:r>
              <w:rPr>
                <w:rFonts w:ascii="宋体" w:hAnsi="宋体" w:cs="宋体" w:eastAsia="宋体" w:hint="default"/>
                <w:sz w:val="18"/>
                <w:szCs w:val="18"/>
              </w:rPr>
              <w:t>“</w:t>
            </w:r>
            <w:r>
              <w:rPr>
                <w:rFonts w:ascii="Times New Roman" w:hAnsi="Times New Roman" w:cs="Times New Roman" w:eastAsia="Times New Roman" w:hint="default"/>
                <w:sz w:val="18"/>
                <w:szCs w:val="18"/>
              </w:rPr>
              <w:t>I-</w:t>
            </w:r>
            <w:r>
              <w:rPr>
                <w:rFonts w:ascii="Times New Roman" w:hAnsi="Times New Roman" w:cs="Times New Roman" w:eastAsia="Times New Roman" w:hint="default"/>
                <w:w w:val="99"/>
                <w:sz w:val="18"/>
                <w:szCs w:val="18"/>
              </w:rPr>
              <w:t>C</w:t>
            </w:r>
            <w:r>
              <w:rPr>
                <w:rFonts w:ascii="Times New Roman" w:hAnsi="Times New Roman" w:cs="Times New Roman" w:eastAsia="Times New Roman" w:hint="default"/>
                <w:spacing w:val="1"/>
                <w:sz w:val="18"/>
                <w:szCs w:val="18"/>
              </w:rPr>
              <w:t>h</w:t>
            </w:r>
            <w:r>
              <w:rPr>
                <w:rFonts w:ascii="Times New Roman" w:hAnsi="Times New Roman" w:cs="Times New Roman" w:eastAsia="Times New Roman" w:hint="default"/>
                <w:spacing w:val="-1"/>
                <w:w w:val="99"/>
                <w:sz w:val="18"/>
                <w:szCs w:val="18"/>
              </w:rPr>
              <w:t>a</w:t>
            </w:r>
            <w:r>
              <w:rPr>
                <w:rFonts w:ascii="Times New Roman" w:hAnsi="Times New Roman" w:cs="Times New Roman" w:eastAsia="Times New Roman" w:hint="default"/>
                <w:spacing w:val="-3"/>
                <w:w w:val="99"/>
                <w:sz w:val="18"/>
                <w:szCs w:val="18"/>
              </w:rPr>
              <w:t>r</w:t>
            </w:r>
            <w:r>
              <w:rPr>
                <w:rFonts w:ascii="Times New Roman" w:hAnsi="Times New Roman" w:cs="Times New Roman" w:eastAsia="Times New Roman" w:hint="default"/>
                <w:spacing w:val="-2"/>
                <w:w w:val="99"/>
                <w:sz w:val="18"/>
                <w:szCs w:val="18"/>
              </w:rPr>
              <w:t>g</w:t>
            </w:r>
            <w:r>
              <w:rPr>
                <w:rFonts w:ascii="Times New Roman" w:hAnsi="Times New Roman" w:cs="Times New Roman" w:eastAsia="Times New Roman" w:hint="default"/>
                <w:w w:val="99"/>
                <w:sz w:val="18"/>
                <w:szCs w:val="18"/>
              </w:rPr>
              <w:t>e</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w w:val="99"/>
                <w:sz w:val="18"/>
                <w:szCs w:val="18"/>
              </w:rPr>
              <w:t>N</w:t>
            </w:r>
            <w:r>
              <w:rPr>
                <w:rFonts w:ascii="Times New Roman" w:hAnsi="Times New Roman" w:cs="Times New Roman" w:eastAsia="Times New Roman" w:hint="default"/>
                <w:spacing w:val="-1"/>
                <w:w w:val="99"/>
                <w:sz w:val="18"/>
                <w:szCs w:val="18"/>
              </w:rPr>
              <w:t>e</w:t>
            </w:r>
            <w:r>
              <w:rPr>
                <w:rFonts w:ascii="Times New Roman" w:hAnsi="Times New Roman" w:cs="Times New Roman" w:eastAsia="Times New Roman" w:hint="default"/>
                <w:w w:val="99"/>
                <w:sz w:val="18"/>
                <w:szCs w:val="18"/>
              </w:rPr>
              <w:t>t</w:t>
            </w:r>
            <w:r>
              <w:rPr>
                <w:rFonts w:ascii="Times New Roman" w:hAnsi="Times New Roman" w:cs="Times New Roman" w:eastAsia="Times New Roman" w:hint="default"/>
                <w:sz w:val="18"/>
                <w:szCs w:val="18"/>
              </w:rPr>
            </w:r>
          </w:p>
        </w:tc>
      </w:tr>
      <w:tr>
        <w:trPr>
          <w:trHeight w:val="308"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募集资金投资项目</w:t>
            </w:r>
          </w:p>
        </w:tc>
        <w:tc>
          <w:tcPr>
            <w:tcW w:w="7798" w:type="dxa"/>
            <w:tcBorders>
              <w:top w:val="nil" w:sz="6" w:space="0" w:color="auto"/>
              <w:left w:val="single" w:sz="4" w:space="0" w:color="000000"/>
              <w:bottom w:val="nil" w:sz="6" w:space="0" w:color="auto"/>
              <w:right w:val="single" w:sz="12"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智能充电网络”募投项目实施范围等的议案》。根据电动车技术发展情况及趋势以及客户使用偏</w:t>
            </w:r>
          </w:p>
        </w:tc>
      </w:tr>
      <w:tr>
        <w:trPr>
          <w:trHeight w:val="318"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4"/>
              <w:ind w:left="92" w:right="0"/>
              <w:jc w:val="left"/>
              <w:rPr>
                <w:rFonts w:ascii="宋体" w:hAnsi="宋体" w:cs="宋体" w:eastAsia="宋体" w:hint="default"/>
                <w:sz w:val="18"/>
                <w:szCs w:val="18"/>
              </w:rPr>
            </w:pPr>
            <w:r>
              <w:rPr>
                <w:rFonts w:ascii="宋体" w:hAnsi="宋体" w:cs="宋体" w:eastAsia="宋体" w:hint="default"/>
                <w:sz w:val="18"/>
                <w:szCs w:val="18"/>
              </w:rPr>
              <w:t>实施方式调整情况</w:t>
            </w:r>
          </w:p>
        </w:tc>
        <w:tc>
          <w:tcPr>
            <w:tcW w:w="7798" w:type="dxa"/>
            <w:tcBorders>
              <w:top w:val="nil" w:sz="6" w:space="0" w:color="auto"/>
              <w:left w:val="single" w:sz="4" w:space="0" w:color="000000"/>
              <w:bottom w:val="nil" w:sz="6" w:space="0" w:color="auto"/>
              <w:right w:val="single" w:sz="12"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好，由原来的慢充为主、快充为辅调整为快充为主，慢充为辅的产品使用方向。实施主体由原来</w:t>
            </w:r>
          </w:p>
        </w:tc>
      </w:tr>
      <w:tr>
        <w:trPr>
          <w:trHeight w:val="312"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
        </w:tc>
        <w:tc>
          <w:tcPr>
            <w:tcW w:w="7798"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的公司全资子公司浙江爱充网络科技有限公司调整为公司控股子公司万马联合新能源投资有限公</w:t>
            </w:r>
          </w:p>
        </w:tc>
      </w:tr>
      <w:tr>
        <w:trPr>
          <w:trHeight w:val="312"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
        </w:tc>
        <w:tc>
          <w:tcPr>
            <w:tcW w:w="7798"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司，该调整是基于公司目前实际均以万马新能源投资公司及其下属各地方城市公司为全国快充网</w:t>
            </w:r>
          </w:p>
        </w:tc>
      </w:tr>
      <w:tr>
        <w:trPr>
          <w:trHeight w:val="316" w:hRule="exact"/>
        </w:trPr>
        <w:tc>
          <w:tcPr>
            <w:tcW w:w="1770" w:type="dxa"/>
            <w:tcBorders>
              <w:top w:val="nil" w:sz="6" w:space="0" w:color="auto"/>
              <w:left w:val="single" w:sz="12" w:space="0" w:color="000000"/>
              <w:bottom w:val="single" w:sz="4" w:space="0" w:color="000000"/>
              <w:right w:val="single" w:sz="4" w:space="0" w:color="000000"/>
            </w:tcBorders>
            <w:shd w:val="clear" w:color="auto" w:fill="D2D2D2"/>
          </w:tcPr>
          <w:p>
            <w:pPr/>
          </w:p>
        </w:tc>
        <w:tc>
          <w:tcPr>
            <w:tcW w:w="7798" w:type="dxa"/>
            <w:tcBorders>
              <w:top w:val="nil" w:sz="6" w:space="0" w:color="auto"/>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络建设的投资主体。</w:t>
            </w:r>
          </w:p>
        </w:tc>
      </w:tr>
      <w:tr>
        <w:trPr>
          <w:trHeight w:val="322" w:hRule="exact"/>
        </w:trPr>
        <w:tc>
          <w:tcPr>
            <w:tcW w:w="1770" w:type="dxa"/>
            <w:tcBorders>
              <w:top w:val="single" w:sz="4" w:space="0" w:color="000000"/>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25"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募集资金投资项目</w:t>
            </w:r>
          </w:p>
        </w:tc>
        <w:tc>
          <w:tcPr>
            <w:tcW w:w="7798" w:type="dxa"/>
            <w:vMerge w:val="restart"/>
            <w:tcBorders>
              <w:top w:val="single" w:sz="4" w:space="0" w:color="000000"/>
              <w:left w:val="single" w:sz="4" w:space="0" w:color="000000"/>
              <w:right w:val="single" w:sz="12" w:space="0" w:color="000000"/>
            </w:tcBorders>
          </w:tcPr>
          <w:p>
            <w:pPr>
              <w:pStyle w:val="TableParagraph"/>
              <w:spacing w:line="304" w:lineRule="auto" w:before="11"/>
              <w:ind w:left="103" w:right="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日，本公司第四届董事会第十一次会议和第四届监事会第六次会议审议通过 了《关于用募集资金置换先期投入的议案》，同意以募集资金置换以自筹资金预先投入募集资金 投资项目款项共计人民币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3,470.60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万元。信永中和会计师事务所（特殊普通合伙）对公司募集资 </w:t>
            </w:r>
            <w:r>
              <w:rPr>
                <w:rFonts w:ascii="宋体" w:hAnsi="宋体" w:cs="宋体" w:eastAsia="宋体" w:hint="default"/>
                <w:spacing w:val="-3"/>
                <w:sz w:val="18"/>
                <w:szCs w:val="18"/>
              </w:rPr>
              <w:t>金投资项目实际使用自筹资金情况进行了专项鉴证，并出具了</w:t>
            </w:r>
            <w:r>
              <w:rPr>
                <w:rFonts w:ascii="宋体" w:hAnsi="宋体" w:cs="宋体" w:eastAsia="宋体" w:hint="default"/>
                <w:spacing w:val="-41"/>
                <w:sz w:val="18"/>
                <w:szCs w:val="18"/>
              </w:rPr>
              <w:t> </w:t>
            </w:r>
            <w:r>
              <w:rPr>
                <w:rFonts w:ascii="Times New Roman" w:hAnsi="Times New Roman" w:cs="Times New Roman" w:eastAsia="Times New Roman" w:hint="default"/>
                <w:spacing w:val="-1"/>
                <w:w w:val="99"/>
                <w:sz w:val="18"/>
                <w:szCs w:val="18"/>
              </w:rPr>
              <w:t>XYZH/2017SHA10234</w:t>
            </w:r>
            <w:r>
              <w:rPr>
                <w:rFonts w:ascii="Times New Roman" w:hAnsi="Times New Roman" w:cs="Times New Roman" w:eastAsia="Times New Roman" w:hint="default"/>
                <w:spacing w:val="3"/>
                <w:w w:val="99"/>
                <w:sz w:val="18"/>
                <w:szCs w:val="18"/>
              </w:rPr>
              <w:t> </w:t>
            </w:r>
            <w:r>
              <w:rPr>
                <w:rFonts w:ascii="宋体" w:hAnsi="宋体" w:cs="宋体" w:eastAsia="宋体" w:hint="default"/>
                <w:sz w:val="18"/>
                <w:szCs w:val="18"/>
              </w:rPr>
              <w:t>号鉴证报告。</w:t>
            </w:r>
            <w:r>
              <w:rPr>
                <w:rFonts w:ascii="宋体" w:hAnsi="宋体" w:cs="宋体" w:eastAsia="宋体" w:hint="default"/>
                <w:spacing w:val="-87"/>
                <w:sz w:val="18"/>
                <w:szCs w:val="18"/>
              </w:rPr>
              <w:t> </w:t>
            </w:r>
            <w:r>
              <w:rPr>
                <w:rFonts w:ascii="宋体" w:hAnsi="宋体" w:cs="宋体" w:eastAsia="宋体" w:hint="default"/>
                <w:sz w:val="18"/>
                <w:szCs w:val="18"/>
              </w:rPr>
              <w:t>截止</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pacing w:val="-7"/>
                <w:sz w:val="18"/>
                <w:szCs w:val="18"/>
              </w:rPr>
              <w:t>日，本公司已完成全部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3,470.60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万元预先投入募集资金投资项目自筹资金的 置换。</w:t>
            </w:r>
          </w:p>
        </w:tc>
      </w:tr>
      <w:tr>
        <w:trPr>
          <w:trHeight w:val="312"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先期投入及置换情</w:t>
            </w:r>
          </w:p>
        </w:tc>
        <w:tc>
          <w:tcPr>
            <w:tcW w:w="7798" w:type="dxa"/>
            <w:vMerge/>
            <w:tcBorders>
              <w:left w:val="single" w:sz="4" w:space="0" w:color="000000"/>
              <w:right w:val="single" w:sz="12" w:space="0" w:color="000000"/>
            </w:tcBorders>
          </w:tcPr>
          <w:p>
            <w:pPr/>
          </w:p>
        </w:tc>
      </w:tr>
      <w:tr>
        <w:trPr>
          <w:trHeight w:val="945" w:hRule="exact"/>
        </w:trPr>
        <w:tc>
          <w:tcPr>
            <w:tcW w:w="1770" w:type="dxa"/>
            <w:tcBorders>
              <w:top w:val="nil" w:sz="6" w:space="0" w:color="auto"/>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况</w:t>
            </w:r>
          </w:p>
        </w:tc>
        <w:tc>
          <w:tcPr>
            <w:tcW w:w="7798" w:type="dxa"/>
            <w:vMerge/>
            <w:tcBorders>
              <w:left w:val="single" w:sz="4" w:space="0" w:color="000000"/>
              <w:bottom w:val="single" w:sz="4" w:space="0" w:color="000000"/>
              <w:right w:val="single" w:sz="12" w:space="0" w:color="000000"/>
            </w:tcBorders>
          </w:tcPr>
          <w:p>
            <w:pPr/>
          </w:p>
        </w:tc>
      </w:tr>
      <w:tr>
        <w:trPr>
          <w:trHeight w:val="322" w:hRule="exact"/>
        </w:trPr>
        <w:tc>
          <w:tcPr>
            <w:tcW w:w="1770" w:type="dxa"/>
            <w:tcBorders>
              <w:top w:val="single" w:sz="4" w:space="0" w:color="000000"/>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560"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用闲置募集资金暂</w:t>
            </w:r>
          </w:p>
        </w:tc>
        <w:tc>
          <w:tcPr>
            <w:tcW w:w="7798" w:type="dxa"/>
            <w:vMerge w:val="restart"/>
            <w:tcBorders>
              <w:top w:val="single" w:sz="4" w:space="0" w:color="000000"/>
              <w:left w:val="single" w:sz="4" w:space="0" w:color="000000"/>
              <w:right w:val="single" w:sz="12" w:space="0" w:color="000000"/>
            </w:tcBorders>
          </w:tcPr>
          <w:p>
            <w:pPr>
              <w:pStyle w:val="TableParagraph"/>
              <w:spacing w:line="309" w:lineRule="auto" w:before="10"/>
              <w:ind w:left="103" w:right="9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日，本公司第四届董事会第十一次会议和第四届监事会第六次会议审议通过</w:t>
            </w:r>
            <w:r>
              <w:rPr>
                <w:rFonts w:ascii="宋体" w:hAnsi="宋体" w:cs="宋体" w:eastAsia="宋体" w:hint="default"/>
                <w:sz w:val="18"/>
                <w:szCs w:val="18"/>
              </w:rPr>
              <w:t> 了《关于使用部分暂时闲置募集资金暂时补充流动资金的议案》，同意公司使用人民币不超过 </w:t>
            </w:r>
            <w:r>
              <w:rPr>
                <w:rFonts w:ascii="Times New Roman" w:hAnsi="Times New Roman" w:cs="Times New Roman" w:eastAsia="Times New Roman" w:hint="default"/>
                <w:sz w:val="18"/>
                <w:szCs w:val="18"/>
              </w:rPr>
              <w:t>30,000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万元的闲置募集资金暂时补充流动资金，截止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日，已累计支付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日，本公司已将上述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万元资金全部归还至募集资金专用账户。</w:t>
            </w:r>
          </w:p>
          <w:p>
            <w:pPr>
              <w:pStyle w:val="TableParagraph"/>
              <w:spacing w:line="240" w:lineRule="auto" w:before="63"/>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日，本公司第四届董事会第二十三次会议审议通过了《关于使用部分闲置募</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集资金暂时补充流动资金的议案》，同意公司使用闲置募集资金人民币</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20,000</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万元暂时补充流动</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资金，使用期限自董事会审议批准之日起不超过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个月，截止</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日，已累计支付</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日，本公司已将上述</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万元资金全部归还至募集资金专用账户。</w:t>
            </w:r>
          </w:p>
          <w:p>
            <w:pPr>
              <w:pStyle w:val="TableParagraph"/>
              <w:spacing w:line="309" w:lineRule="auto" w:before="63"/>
              <w:ind w:left="103" w:right="113"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3.2019 </w:t>
            </w:r>
            <w:r>
              <w:rPr>
                <w:rFonts w:ascii="宋体" w:hAnsi="宋体" w:cs="宋体" w:eastAsia="宋体" w:hint="default"/>
                <w:sz w:val="18"/>
                <w:szCs w:val="18"/>
              </w:rPr>
              <w:t>年 </w:t>
            </w:r>
            <w:r>
              <w:rPr>
                <w:rFonts w:ascii="Times New Roman" w:hAnsi="Times New Roman" w:cs="Times New Roman" w:eastAsia="Times New Roman" w:hint="default"/>
                <w:sz w:val="18"/>
                <w:szCs w:val="18"/>
              </w:rPr>
              <w:t>5 </w:t>
            </w:r>
            <w:r>
              <w:rPr>
                <w:rFonts w:ascii="宋体" w:hAnsi="宋体" w:cs="宋体" w:eastAsia="宋体" w:hint="default"/>
                <w:sz w:val="18"/>
                <w:szCs w:val="18"/>
              </w:rPr>
              <w:t>月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日，公司第四届董事会第三十一次会议和第四届监事会第十九次会议审 议通过《关于使用部分闲置募集资金暂时补充流动资金的议案》，同意公司使用闲置募集资金人 民币 </w:t>
            </w:r>
            <w:r>
              <w:rPr>
                <w:rFonts w:ascii="Times New Roman" w:hAnsi="Times New Roman" w:cs="Times New Roman" w:eastAsia="Times New Roman" w:hint="default"/>
                <w:sz w:val="18"/>
                <w:szCs w:val="18"/>
              </w:rPr>
              <w:t>15,000.00 </w:t>
            </w:r>
            <w:r>
              <w:rPr>
                <w:rFonts w:ascii="宋体" w:hAnsi="宋体" w:cs="宋体" w:eastAsia="宋体" w:hint="default"/>
                <w:sz w:val="18"/>
                <w:szCs w:val="18"/>
              </w:rPr>
              <w:t>万元暂时补充流动资金，使用期限自董事会审议批准之日起不超过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个月。</w:t>
            </w:r>
          </w:p>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日，已累计支付</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312"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时补充流动资金情</w:t>
            </w:r>
          </w:p>
        </w:tc>
        <w:tc>
          <w:tcPr>
            <w:tcW w:w="7798" w:type="dxa"/>
            <w:vMerge/>
            <w:tcBorders>
              <w:left w:val="single" w:sz="4" w:space="0" w:color="000000"/>
              <w:right w:val="single" w:sz="12" w:space="0" w:color="000000"/>
            </w:tcBorders>
          </w:tcPr>
          <w:p>
            <w:pPr/>
          </w:p>
        </w:tc>
      </w:tr>
      <w:tr>
        <w:trPr>
          <w:trHeight w:val="1882" w:hRule="exact"/>
        </w:trPr>
        <w:tc>
          <w:tcPr>
            <w:tcW w:w="1770" w:type="dxa"/>
            <w:tcBorders>
              <w:top w:val="nil" w:sz="6" w:space="0" w:color="auto"/>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况</w:t>
            </w:r>
          </w:p>
        </w:tc>
        <w:tc>
          <w:tcPr>
            <w:tcW w:w="7798" w:type="dxa"/>
            <w:vMerge/>
            <w:tcBorders>
              <w:left w:val="single" w:sz="4" w:space="0" w:color="000000"/>
              <w:bottom w:val="single" w:sz="4" w:space="0" w:color="000000"/>
              <w:right w:val="single" w:sz="12" w:space="0" w:color="000000"/>
            </w:tcBorders>
          </w:tcPr>
          <w:p>
            <w:pPr/>
          </w:p>
        </w:tc>
      </w:tr>
      <w:tr>
        <w:trPr>
          <w:trHeight w:val="322" w:hRule="exact"/>
        </w:trPr>
        <w:tc>
          <w:tcPr>
            <w:tcW w:w="1770" w:type="dxa"/>
            <w:tcBorders>
              <w:top w:val="single" w:sz="4" w:space="0" w:color="000000"/>
              <w:left w:val="single" w:sz="12" w:space="0" w:color="000000"/>
              <w:bottom w:val="nil" w:sz="6" w:space="0" w:color="auto"/>
              <w:right w:val="single" w:sz="4" w:space="0" w:color="000000"/>
            </w:tcBorders>
            <w:shd w:val="clear" w:color="auto" w:fill="D2D2D2"/>
          </w:tcPr>
          <w:p>
            <w:pPr>
              <w:pStyle w:val="TableParagraph"/>
              <w:spacing w:line="240" w:lineRule="auto" w:before="31"/>
              <w:ind w:left="92" w:right="0"/>
              <w:jc w:val="left"/>
              <w:rPr>
                <w:rFonts w:ascii="宋体" w:hAnsi="宋体" w:cs="宋体" w:eastAsia="宋体" w:hint="default"/>
                <w:sz w:val="18"/>
                <w:szCs w:val="18"/>
              </w:rPr>
            </w:pPr>
            <w:r>
              <w:rPr>
                <w:rFonts w:ascii="宋体" w:hAnsi="宋体" w:cs="宋体" w:eastAsia="宋体" w:hint="default"/>
                <w:sz w:val="18"/>
                <w:szCs w:val="18"/>
              </w:rPr>
              <w:t>项目实施出现募集</w:t>
            </w:r>
          </w:p>
        </w:tc>
        <w:tc>
          <w:tcPr>
            <w:tcW w:w="7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10"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14"/>
              <w:ind w:left="92" w:right="0"/>
              <w:jc w:val="left"/>
              <w:rPr>
                <w:rFonts w:ascii="宋体" w:hAnsi="宋体" w:cs="宋体" w:eastAsia="宋体" w:hint="default"/>
                <w:sz w:val="18"/>
                <w:szCs w:val="18"/>
              </w:rPr>
            </w:pPr>
            <w:r>
              <w:rPr>
                <w:rFonts w:ascii="宋体" w:hAnsi="宋体" w:cs="宋体" w:eastAsia="宋体" w:hint="default"/>
                <w:sz w:val="18"/>
                <w:szCs w:val="18"/>
              </w:rPr>
              <w:t>资金结余的金额及</w:t>
            </w:r>
          </w:p>
        </w:tc>
        <w:tc>
          <w:tcPr>
            <w:tcW w:w="7798" w:type="dxa"/>
            <w:vMerge w:val="restart"/>
            <w:tcBorders>
              <w:top w:val="single" w:sz="4" w:space="0" w:color="000000"/>
              <w:left w:val="single" w:sz="4" w:space="0" w:color="000000"/>
              <w:right w:val="single" w:sz="12" w:space="0" w:color="000000"/>
            </w:tcBorders>
          </w:tcPr>
          <w:p>
            <w:pPr/>
          </w:p>
        </w:tc>
      </w:tr>
      <w:tr>
        <w:trPr>
          <w:trHeight w:val="278" w:hRule="exact"/>
        </w:trPr>
        <w:tc>
          <w:tcPr>
            <w:tcW w:w="1770" w:type="dxa"/>
            <w:tcBorders>
              <w:top w:val="nil" w:sz="6" w:space="0" w:color="auto"/>
              <w:left w:val="single" w:sz="12" w:space="0" w:color="000000"/>
              <w:bottom w:val="single" w:sz="4" w:space="0" w:color="000000"/>
              <w:right w:val="single" w:sz="4" w:space="0" w:color="000000"/>
            </w:tcBorders>
            <w:shd w:val="clear" w:color="auto" w:fill="D2D2D2"/>
          </w:tcPr>
          <w:p>
            <w:pPr>
              <w:pStyle w:val="TableParagraph"/>
              <w:spacing w:line="240" w:lineRule="auto" w:before="4"/>
              <w:ind w:left="92" w:right="0"/>
              <w:jc w:val="left"/>
              <w:rPr>
                <w:rFonts w:ascii="宋体" w:hAnsi="宋体" w:cs="宋体" w:eastAsia="宋体" w:hint="default"/>
                <w:sz w:val="18"/>
                <w:szCs w:val="18"/>
              </w:rPr>
            </w:pPr>
            <w:r>
              <w:rPr>
                <w:rFonts w:ascii="宋体" w:hAnsi="宋体" w:cs="宋体" w:eastAsia="宋体" w:hint="default"/>
                <w:sz w:val="18"/>
                <w:szCs w:val="18"/>
              </w:rPr>
              <w:t>原因</w:t>
            </w:r>
          </w:p>
        </w:tc>
        <w:tc>
          <w:tcPr>
            <w:tcW w:w="7798" w:type="dxa"/>
            <w:vMerge/>
            <w:tcBorders>
              <w:left w:val="single" w:sz="4" w:space="0" w:color="000000"/>
              <w:bottom w:val="single" w:sz="4" w:space="0" w:color="000000"/>
              <w:right w:val="single" w:sz="12" w:space="0" w:color="000000"/>
            </w:tcBorders>
          </w:tcPr>
          <w:p>
            <w:pPr/>
          </w:p>
        </w:tc>
      </w:tr>
      <w:tr>
        <w:trPr>
          <w:trHeight w:val="260" w:hRule="exact"/>
        </w:trPr>
        <w:tc>
          <w:tcPr>
            <w:tcW w:w="1770" w:type="dxa"/>
            <w:tcBorders>
              <w:top w:val="single" w:sz="4" w:space="0" w:color="000000"/>
              <w:left w:val="single" w:sz="12" w:space="0" w:color="000000"/>
              <w:bottom w:val="nil" w:sz="6" w:space="0" w:color="auto"/>
              <w:right w:val="single" w:sz="4" w:space="0" w:color="000000"/>
            </w:tcBorders>
            <w:shd w:val="clear" w:color="auto" w:fill="D2D2D2"/>
          </w:tcPr>
          <w:p>
            <w:pPr/>
          </w:p>
        </w:tc>
        <w:tc>
          <w:tcPr>
            <w:tcW w:w="7798" w:type="dxa"/>
            <w:tcBorders>
              <w:top w:val="single" w:sz="4" w:space="0" w:color="000000"/>
              <w:left w:val="single" w:sz="4" w:space="0" w:color="000000"/>
              <w:bottom w:val="nil" w:sz="6" w:space="0" w:color="auto"/>
              <w:right w:val="single" w:sz="12" w:space="0" w:color="000000"/>
            </w:tcBorders>
          </w:tcPr>
          <w:p>
            <w:pPr>
              <w:pStyle w:val="TableParagraph"/>
              <w:spacing w:line="240" w:lineRule="auto" w:before="12"/>
              <w:ind w:right="159"/>
              <w:jc w:val="righ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日，本公司募集资金余额为 </w:t>
            </w:r>
            <w:r>
              <w:rPr>
                <w:rFonts w:ascii="Times New Roman" w:hAnsi="Times New Roman" w:cs="Times New Roman" w:eastAsia="Times New Roman" w:hint="default"/>
                <w:sz w:val="18"/>
                <w:szCs w:val="18"/>
              </w:rPr>
              <w:t>282,819,823.73</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元（包括累计收到的银行</w:t>
            </w:r>
          </w:p>
        </w:tc>
      </w:tr>
      <w:tr>
        <w:trPr>
          <w:trHeight w:val="686" w:hRule="exact"/>
        </w:trPr>
        <w:tc>
          <w:tcPr>
            <w:tcW w:w="1770" w:type="dxa"/>
            <w:tcBorders>
              <w:top w:val="nil" w:sz="6" w:space="0" w:color="auto"/>
              <w:left w:val="single" w:sz="12" w:space="0" w:color="000000"/>
              <w:bottom w:val="single" w:sz="4" w:space="0" w:color="000000"/>
              <w:right w:val="single" w:sz="4" w:space="0" w:color="000000"/>
            </w:tcBorders>
            <w:shd w:val="clear" w:color="auto" w:fill="D2D2D2"/>
          </w:tcPr>
          <w:p>
            <w:pPr>
              <w:pStyle w:val="TableParagraph"/>
              <w:spacing w:line="180" w:lineRule="exact"/>
              <w:ind w:left="92" w:right="0"/>
              <w:jc w:val="left"/>
              <w:rPr>
                <w:rFonts w:ascii="宋体" w:hAnsi="宋体" w:cs="宋体" w:eastAsia="宋体" w:hint="default"/>
                <w:sz w:val="18"/>
                <w:szCs w:val="18"/>
              </w:rPr>
            </w:pPr>
            <w:r>
              <w:rPr>
                <w:rFonts w:ascii="宋体" w:hAnsi="宋体" w:cs="宋体" w:eastAsia="宋体" w:hint="default"/>
                <w:sz w:val="18"/>
                <w:szCs w:val="18"/>
              </w:rPr>
              <w:t>尚未使用的募集资</w:t>
            </w:r>
          </w:p>
          <w:p>
            <w:pPr>
              <w:pStyle w:val="TableParagraph"/>
              <w:spacing w:line="240" w:lineRule="auto" w:before="64"/>
              <w:ind w:left="92" w:right="0"/>
              <w:jc w:val="left"/>
              <w:rPr>
                <w:rFonts w:ascii="宋体" w:hAnsi="宋体" w:cs="宋体" w:eastAsia="宋体" w:hint="default"/>
                <w:sz w:val="18"/>
                <w:szCs w:val="18"/>
              </w:rPr>
            </w:pPr>
            <w:r>
              <w:rPr>
                <w:rFonts w:ascii="宋体" w:hAnsi="宋体" w:cs="宋体" w:eastAsia="宋体" w:hint="default"/>
                <w:sz w:val="18"/>
                <w:szCs w:val="18"/>
              </w:rPr>
              <w:t>金用途及去向</w:t>
            </w:r>
          </w:p>
        </w:tc>
        <w:tc>
          <w:tcPr>
            <w:tcW w:w="7798" w:type="dxa"/>
            <w:tcBorders>
              <w:top w:val="nil" w:sz="6" w:space="0" w:color="auto"/>
              <w:left w:val="single" w:sz="4" w:space="0" w:color="000000"/>
              <w:bottom w:val="single" w:sz="4" w:space="0" w:color="000000"/>
              <w:right w:val="single" w:sz="12" w:space="0" w:color="000000"/>
            </w:tcBorders>
          </w:tcPr>
          <w:p>
            <w:pPr>
              <w:pStyle w:val="TableParagraph"/>
              <w:spacing w:line="240" w:lineRule="auto" w:before="69"/>
              <w:ind w:left="103" w:right="0"/>
              <w:jc w:val="left"/>
              <w:rPr>
                <w:rFonts w:ascii="宋体" w:hAnsi="宋体" w:cs="宋体" w:eastAsia="宋体" w:hint="default"/>
                <w:sz w:val="18"/>
                <w:szCs w:val="18"/>
              </w:rPr>
            </w:pPr>
            <w:r>
              <w:rPr>
                <w:rFonts w:ascii="宋体" w:hAnsi="宋体" w:cs="宋体" w:eastAsia="宋体" w:hint="default"/>
                <w:sz w:val="18"/>
                <w:szCs w:val="18"/>
              </w:rPr>
              <w:t>存款利息扣除银行手续费等的净额），其中银行存款 </w:t>
            </w:r>
            <w:r>
              <w:rPr>
                <w:rFonts w:ascii="Times New Roman" w:hAnsi="Times New Roman" w:cs="Times New Roman" w:eastAsia="Times New Roman" w:hint="default"/>
                <w:sz w:val="18"/>
                <w:szCs w:val="18"/>
              </w:rPr>
              <w:t>27,819,823.73</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元，银行理财产品</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105,000,000.00 </w:t>
            </w:r>
            <w:r>
              <w:rPr>
                <w:rFonts w:ascii="宋体" w:hAnsi="宋体" w:cs="宋体" w:eastAsia="宋体" w:hint="default"/>
                <w:sz w:val="18"/>
                <w:szCs w:val="18"/>
              </w:rPr>
              <w:t>元，暂时补充流动资金 </w:t>
            </w:r>
            <w:r>
              <w:rPr>
                <w:rFonts w:ascii="Times New Roman" w:hAnsi="Times New Roman" w:cs="Times New Roman" w:eastAsia="Times New Roman" w:hint="default"/>
                <w:sz w:val="18"/>
                <w:szCs w:val="18"/>
              </w:rPr>
              <w:t>150,000,000.00</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元。</w:t>
            </w:r>
          </w:p>
        </w:tc>
      </w:tr>
      <w:tr>
        <w:trPr>
          <w:trHeight w:val="318" w:hRule="exact"/>
        </w:trPr>
        <w:tc>
          <w:tcPr>
            <w:tcW w:w="1770" w:type="dxa"/>
            <w:tcBorders>
              <w:top w:val="single" w:sz="4" w:space="0" w:color="000000"/>
              <w:left w:val="single" w:sz="12" w:space="0" w:color="000000"/>
              <w:bottom w:val="nil" w:sz="6" w:space="0" w:color="auto"/>
              <w:right w:val="single" w:sz="4" w:space="0" w:color="000000"/>
            </w:tcBorders>
            <w:shd w:val="clear" w:color="auto" w:fill="D2D2D2"/>
          </w:tcPr>
          <w:p>
            <w:pPr>
              <w:pStyle w:val="TableParagraph"/>
              <w:spacing w:line="240" w:lineRule="auto" w:before="30"/>
              <w:ind w:left="92" w:right="0"/>
              <w:jc w:val="left"/>
              <w:rPr>
                <w:rFonts w:ascii="宋体" w:hAnsi="宋体" w:cs="宋体" w:eastAsia="宋体" w:hint="default"/>
                <w:sz w:val="18"/>
                <w:szCs w:val="18"/>
              </w:rPr>
            </w:pPr>
            <w:r>
              <w:rPr>
                <w:rFonts w:ascii="宋体" w:hAnsi="宋体" w:cs="宋体" w:eastAsia="宋体" w:hint="default"/>
                <w:sz w:val="18"/>
                <w:szCs w:val="18"/>
              </w:rPr>
              <w:t>募集资金使用及披</w:t>
            </w:r>
          </w:p>
        </w:tc>
        <w:tc>
          <w:tcPr>
            <w:tcW w:w="7798" w:type="dxa"/>
            <w:tcBorders>
              <w:top w:val="single" w:sz="4" w:space="0" w:color="000000"/>
              <w:left w:val="single" w:sz="4" w:space="0" w:color="000000"/>
              <w:bottom w:val="nil" w:sz="6" w:space="0" w:color="auto"/>
              <w:right w:val="single" w:sz="12" w:space="0" w:color="000000"/>
            </w:tcBorders>
          </w:tcPr>
          <w:p>
            <w:pPr/>
          </w:p>
        </w:tc>
      </w:tr>
      <w:tr>
        <w:trPr>
          <w:trHeight w:val="313" w:hRule="exact"/>
        </w:trPr>
        <w:tc>
          <w:tcPr>
            <w:tcW w:w="1770"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17"/>
              <w:ind w:left="92" w:right="0"/>
              <w:jc w:val="left"/>
              <w:rPr>
                <w:rFonts w:ascii="宋体" w:hAnsi="宋体" w:cs="宋体" w:eastAsia="宋体" w:hint="default"/>
                <w:sz w:val="18"/>
                <w:szCs w:val="18"/>
              </w:rPr>
            </w:pPr>
            <w:r>
              <w:rPr>
                <w:rFonts w:ascii="宋体" w:hAnsi="宋体" w:cs="宋体" w:eastAsia="宋体" w:hint="default"/>
                <w:sz w:val="18"/>
                <w:szCs w:val="18"/>
              </w:rPr>
              <w:t>露中存在的问题或</w:t>
            </w:r>
          </w:p>
        </w:tc>
        <w:tc>
          <w:tcPr>
            <w:tcW w:w="7798" w:type="dxa"/>
            <w:tcBorders>
              <w:top w:val="nil" w:sz="6" w:space="0" w:color="auto"/>
              <w:left w:val="single" w:sz="4" w:space="0" w:color="000000"/>
              <w:bottom w:val="nil" w:sz="6" w:space="0" w:color="auto"/>
              <w:right w:val="single" w:sz="12"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288" w:hRule="exact"/>
        </w:trPr>
        <w:tc>
          <w:tcPr>
            <w:tcW w:w="1770" w:type="dxa"/>
            <w:tcBorders>
              <w:top w:val="nil" w:sz="6" w:space="0" w:color="auto"/>
              <w:left w:val="single" w:sz="12" w:space="0" w:color="000000"/>
              <w:bottom w:val="single" w:sz="12" w:space="0" w:color="000000"/>
              <w:right w:val="single" w:sz="4" w:space="0" w:color="000000"/>
            </w:tcBorders>
            <w:shd w:val="clear" w:color="auto" w:fill="D2D2D2"/>
          </w:tcPr>
          <w:p>
            <w:pPr>
              <w:pStyle w:val="TableParagraph"/>
              <w:spacing w:line="240" w:lineRule="auto" w:before="4"/>
              <w:ind w:left="92" w:right="0"/>
              <w:jc w:val="left"/>
              <w:rPr>
                <w:rFonts w:ascii="宋体" w:hAnsi="宋体" w:cs="宋体" w:eastAsia="宋体" w:hint="default"/>
                <w:sz w:val="18"/>
                <w:szCs w:val="18"/>
              </w:rPr>
            </w:pPr>
            <w:r>
              <w:rPr>
                <w:rFonts w:ascii="宋体" w:hAnsi="宋体" w:cs="宋体" w:eastAsia="宋体" w:hint="default"/>
                <w:sz w:val="18"/>
                <w:szCs w:val="18"/>
              </w:rPr>
              <w:t>其他情况</w:t>
            </w:r>
          </w:p>
        </w:tc>
        <w:tc>
          <w:tcPr>
            <w:tcW w:w="7798" w:type="dxa"/>
            <w:tcBorders>
              <w:top w:val="nil" w:sz="6" w:space="0" w:color="auto"/>
              <w:left w:val="single" w:sz="4" w:space="0" w:color="000000"/>
              <w:bottom w:val="single" w:sz="12" w:space="0" w:color="000000"/>
              <w:right w:val="single" w:sz="12" w:space="0" w:color="000000"/>
            </w:tcBorders>
          </w:tcPr>
          <w:p>
            <w:pPr/>
          </w:p>
        </w:tc>
      </w:tr>
    </w:tbl>
    <w:p>
      <w:pPr>
        <w:spacing w:after="0"/>
        <w:sectPr>
          <w:pgSz w:w="11910" w:h="16840"/>
          <w:pgMar w:header="890" w:footer="1053" w:top="1480" w:bottom="1240" w:left="1000" w:right="0"/>
        </w:sectPr>
      </w:pPr>
    </w:p>
    <w:p>
      <w:pPr>
        <w:spacing w:before="43"/>
        <w:ind w:left="132" w:right="1164" w:firstLine="0"/>
        <w:jc w:val="left"/>
        <w:rPr>
          <w:rFonts w:ascii="宋体" w:hAnsi="宋体" w:cs="宋体" w:eastAsia="宋体" w:hint="default"/>
          <w:sz w:val="21"/>
          <w:szCs w:val="21"/>
        </w:rPr>
      </w:pPr>
      <w:bookmarkStart w:name="（3）募集资金变更项目情况" w:id="53"/>
      <w:bookmarkEnd w:id="5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）募集资金变更项目情况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60" w:lineRule="auto" w:before="0"/>
        <w:ind w:left="132" w:right="7334"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公司报告期不存在募集资金变更项目情况。</w:t>
      </w:r>
    </w:p>
    <w:p>
      <w:pPr>
        <w:spacing w:line="240" w:lineRule="auto" w:before="2"/>
        <w:rPr>
          <w:rFonts w:ascii="宋体" w:hAnsi="宋体" w:cs="宋体" w:eastAsia="宋体" w:hint="default"/>
          <w:sz w:val="18"/>
          <w:szCs w:val="18"/>
        </w:rPr>
      </w:pPr>
    </w:p>
    <w:p>
      <w:pPr>
        <w:pStyle w:val="Heading2"/>
        <w:spacing w:line="240" w:lineRule="auto"/>
        <w:ind w:right="1164"/>
        <w:jc w:val="left"/>
        <w:rPr>
          <w:b w:val="0"/>
          <w:bCs w:val="0"/>
        </w:rPr>
      </w:pPr>
      <w:bookmarkStart w:name="六、重大资产和股权出售" w:id="54"/>
      <w:bookmarkEnd w:id="54"/>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出售重大资产情况" w:id="55"/>
      <w:bookmarkEnd w:id="55"/>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、出售重大资产情况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60" w:lineRule="auto" w:before="0"/>
        <w:ind w:left="132" w:right="8414"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公司报告期未出售重大资产。</w:t>
      </w:r>
    </w:p>
    <w:p>
      <w:pPr>
        <w:spacing w:line="240" w:lineRule="auto" w:before="2"/>
        <w:rPr>
          <w:rFonts w:ascii="宋体" w:hAnsi="宋体" w:cs="宋体" w:eastAsia="宋体" w:hint="default"/>
          <w:sz w:val="20"/>
          <w:szCs w:val="20"/>
        </w:rPr>
      </w:pPr>
    </w:p>
    <w:p>
      <w:pPr>
        <w:spacing w:before="0"/>
        <w:ind w:left="132" w:right="1164" w:firstLine="0"/>
        <w:jc w:val="left"/>
        <w:rPr>
          <w:rFonts w:ascii="宋体" w:hAnsi="宋体" w:cs="宋体" w:eastAsia="宋体" w:hint="default"/>
          <w:sz w:val="21"/>
          <w:szCs w:val="21"/>
        </w:rPr>
      </w:pPr>
      <w:bookmarkStart w:name="2、出售重大股权情况" w:id="56"/>
      <w:bookmarkEnd w:id="56"/>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、出售重大股权情况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七、主要控股参股公司分析" w:id="57"/>
      <w:bookmarkEnd w:id="57"/>
      <w:r>
        <w:rPr>
          <w:b w:val="0"/>
          <w:bCs w:val="0"/>
        </w:rPr>
      </w: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90" w:footer="1053" w:top="1420" w:bottom="1240" w:left="1000" w:right="0"/>
        </w:sectPr>
      </w:pPr>
    </w:p>
    <w:p>
      <w:pPr>
        <w:spacing w:before="44"/>
        <w:ind w:left="132" w:right="-17"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132" w:right="-17"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before="0"/>
        <w:ind w:left="1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660" w:bottom="700" w:left="1000" w:right="0"/>
          <w:cols w:num="2" w:equalWidth="0">
            <w:col w:w="4828" w:space="4091"/>
            <w:col w:w="1991"/>
          </w:cols>
        </w:sectPr>
      </w:pP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306"/>
        <w:gridCol w:w="433"/>
        <w:gridCol w:w="1556"/>
        <w:gridCol w:w="1045"/>
        <w:gridCol w:w="1046"/>
        <w:gridCol w:w="1045"/>
        <w:gridCol w:w="1045"/>
        <w:gridCol w:w="1045"/>
        <w:gridCol w:w="1046"/>
      </w:tblGrid>
      <w:tr>
        <w:trPr>
          <w:trHeight w:val="1268" w:hRule="exact"/>
        </w:trPr>
        <w:tc>
          <w:tcPr>
            <w:tcW w:w="1306"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43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20" w:right="120"/>
              <w:jc w:val="both"/>
              <w:rPr>
                <w:rFonts w:ascii="宋体" w:hAnsi="宋体" w:cs="宋体" w:eastAsia="宋体" w:hint="default"/>
                <w:sz w:val="18"/>
                <w:szCs w:val="18"/>
              </w:rPr>
            </w:pPr>
            <w:r>
              <w:rPr>
                <w:rFonts w:ascii="宋体" w:hAnsi="宋体" w:cs="宋体" w:eastAsia="宋体" w:hint="default"/>
                <w:sz w:val="18"/>
                <w:szCs w:val="18"/>
              </w:rPr>
              <w:t>公 司 类 型</w:t>
            </w:r>
          </w:p>
        </w:tc>
        <w:tc>
          <w:tcPr>
            <w:tcW w:w="155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5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946" w:hRule="exact"/>
        </w:trPr>
        <w:tc>
          <w:tcPr>
            <w:tcW w:w="1306"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0"/>
              <w:ind w:left="92" w:right="112"/>
              <w:jc w:val="both"/>
              <w:rPr>
                <w:rFonts w:ascii="宋体" w:hAnsi="宋体" w:cs="宋体" w:eastAsia="宋体" w:hint="default"/>
                <w:sz w:val="18"/>
                <w:szCs w:val="18"/>
              </w:rPr>
            </w:pPr>
            <w:r>
              <w:rPr>
                <w:rFonts w:ascii="宋体" w:hAnsi="宋体" w:cs="宋体" w:eastAsia="宋体" w:hint="default"/>
                <w:sz w:val="18"/>
                <w:szCs w:val="18"/>
              </w:rPr>
              <w:t>浙江万马高分 子材料集团有 限公司</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4" w:right="137"/>
              <w:jc w:val="both"/>
              <w:rPr>
                <w:rFonts w:ascii="宋体" w:hAnsi="宋体" w:cs="宋体" w:eastAsia="宋体" w:hint="default"/>
                <w:sz w:val="18"/>
                <w:szCs w:val="18"/>
              </w:rPr>
            </w:pPr>
            <w:r>
              <w:rPr>
                <w:rFonts w:ascii="宋体" w:hAnsi="宋体" w:cs="宋体" w:eastAsia="宋体" w:hint="default"/>
                <w:sz w:val="18"/>
                <w:szCs w:val="18"/>
              </w:rPr>
              <w:t>子 公 司</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81"/>
              <w:jc w:val="both"/>
              <w:rPr>
                <w:rFonts w:ascii="宋体" w:hAnsi="宋体" w:cs="宋体" w:eastAsia="宋体" w:hint="default"/>
                <w:sz w:val="18"/>
                <w:szCs w:val="18"/>
              </w:rPr>
            </w:pPr>
            <w:r>
              <w:rPr>
                <w:rFonts w:ascii="宋体" w:hAnsi="宋体" w:cs="宋体" w:eastAsia="宋体" w:hint="default"/>
                <w:sz w:val="18"/>
                <w:szCs w:val="18"/>
              </w:rPr>
              <w:t>电线电缆用绝缘 料、屏蔽料、护 套料等</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22390.19</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万人民币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z w:val="18"/>
              </w:rPr>
              <w:t>1,846,735,</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923.46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Times New Roman" w:hAnsi="Times New Roman" w:cs="Times New Roman" w:eastAsia="Times New Roman" w:hint="default"/>
                <w:sz w:val="18"/>
                <w:szCs w:val="18"/>
              </w:rPr>
            </w:pPr>
            <w:r>
              <w:rPr>
                <w:rFonts w:ascii="Times New Roman"/>
                <w:sz w:val="18"/>
              </w:rPr>
              <w:t>1,149,893,</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712.34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2,960,003,</w:t>
            </w:r>
          </w:p>
          <w:p>
            <w:pPr>
              <w:pStyle w:val="TableParagraph"/>
              <w:spacing w:line="240" w:lineRule="auto" w:before="105"/>
              <w:ind w:left="436" w:right="0"/>
              <w:jc w:val="left"/>
              <w:rPr>
                <w:rFonts w:ascii="Times New Roman" w:hAnsi="Times New Roman" w:cs="Times New Roman" w:eastAsia="Times New Roman" w:hint="default"/>
                <w:sz w:val="18"/>
                <w:szCs w:val="18"/>
              </w:rPr>
            </w:pPr>
            <w:r>
              <w:rPr>
                <w:rFonts w:ascii="Times New Roman"/>
                <w:sz w:val="18"/>
              </w:rPr>
              <w:t>638.58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1" w:right="0"/>
              <w:jc w:val="left"/>
              <w:rPr>
                <w:rFonts w:ascii="Times New Roman" w:hAnsi="Times New Roman" w:cs="Times New Roman" w:eastAsia="Times New Roman" w:hint="default"/>
                <w:sz w:val="18"/>
                <w:szCs w:val="18"/>
              </w:rPr>
            </w:pPr>
            <w:r>
              <w:rPr>
                <w:rFonts w:ascii="Times New Roman"/>
                <w:sz w:val="18"/>
              </w:rPr>
              <w:t>210,643,21</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7.23</w:t>
            </w:r>
          </w:p>
        </w:tc>
        <w:tc>
          <w:tcPr>
            <w:tcW w:w="104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195,791,40</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4.35</w:t>
            </w:r>
          </w:p>
        </w:tc>
      </w:tr>
      <w:tr>
        <w:trPr>
          <w:trHeight w:val="946" w:hRule="exact"/>
        </w:trPr>
        <w:tc>
          <w:tcPr>
            <w:tcW w:w="1306"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9"/>
              <w:ind w:left="92" w:right="112"/>
              <w:jc w:val="both"/>
              <w:rPr>
                <w:rFonts w:ascii="宋体" w:hAnsi="宋体" w:cs="宋体" w:eastAsia="宋体" w:hint="default"/>
                <w:sz w:val="18"/>
                <w:szCs w:val="18"/>
              </w:rPr>
            </w:pPr>
            <w:r>
              <w:rPr>
                <w:rFonts w:ascii="宋体" w:hAnsi="宋体" w:cs="宋体" w:eastAsia="宋体" w:hint="default"/>
                <w:sz w:val="18"/>
                <w:szCs w:val="18"/>
              </w:rPr>
              <w:t>浙江万马天屹 通信线缆有限 公司</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
              <w:ind w:left="104" w:right="137"/>
              <w:jc w:val="both"/>
              <w:rPr>
                <w:rFonts w:ascii="宋体" w:hAnsi="宋体" w:cs="宋体" w:eastAsia="宋体" w:hint="default"/>
                <w:sz w:val="18"/>
                <w:szCs w:val="18"/>
              </w:rPr>
            </w:pPr>
            <w:r>
              <w:rPr>
                <w:rFonts w:ascii="宋体" w:hAnsi="宋体" w:cs="宋体" w:eastAsia="宋体" w:hint="default"/>
                <w:sz w:val="18"/>
                <w:szCs w:val="18"/>
              </w:rPr>
              <w:t>子 公 司</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181"/>
              <w:jc w:val="left"/>
              <w:rPr>
                <w:rFonts w:ascii="宋体" w:hAnsi="宋体" w:cs="宋体" w:eastAsia="宋体" w:hint="default"/>
                <w:sz w:val="18"/>
                <w:szCs w:val="18"/>
              </w:rPr>
            </w:pPr>
            <w:r>
              <w:rPr>
                <w:rFonts w:ascii="宋体" w:hAnsi="宋体" w:cs="宋体" w:eastAsia="宋体" w:hint="default"/>
                <w:sz w:val="18"/>
                <w:szCs w:val="18"/>
              </w:rPr>
              <w:t>同轴电缆、光缆 及光电复合缆</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414,772,67</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1.29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282,174,51</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5.26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361,547,90</w:t>
            </w:r>
          </w:p>
          <w:p>
            <w:pPr>
              <w:pStyle w:val="TableParagraph"/>
              <w:spacing w:line="240" w:lineRule="auto" w:before="105"/>
              <w:ind w:left="616" w:right="0"/>
              <w:jc w:val="left"/>
              <w:rPr>
                <w:rFonts w:ascii="Times New Roman" w:hAnsi="Times New Roman" w:cs="Times New Roman" w:eastAsia="Times New Roman" w:hint="default"/>
                <w:sz w:val="18"/>
                <w:szCs w:val="18"/>
              </w:rPr>
            </w:pPr>
            <w:r>
              <w:rPr>
                <w:rFonts w:ascii="Times New Roman"/>
                <w:sz w:val="18"/>
              </w:rPr>
              <w:t>4.90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8,552,117.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58</w:t>
            </w:r>
          </w:p>
        </w:tc>
        <w:tc>
          <w:tcPr>
            <w:tcW w:w="104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1"/>
              <w:jc w:val="right"/>
              <w:rPr>
                <w:rFonts w:ascii="Times New Roman" w:hAnsi="Times New Roman" w:cs="Times New Roman" w:eastAsia="Times New Roman" w:hint="default"/>
                <w:sz w:val="18"/>
                <w:szCs w:val="18"/>
              </w:rPr>
            </w:pPr>
            <w:r>
              <w:rPr>
                <w:rFonts w:ascii="Times New Roman"/>
                <w:spacing w:val="-1"/>
                <w:sz w:val="18"/>
              </w:rPr>
              <w:t>9,080,120.</w:t>
            </w:r>
          </w:p>
          <w:p>
            <w:pPr>
              <w:pStyle w:val="TableParagraph"/>
              <w:spacing w:line="240" w:lineRule="auto" w:before="105"/>
              <w:ind w:right="89"/>
              <w:jc w:val="right"/>
              <w:rPr>
                <w:rFonts w:ascii="Times New Roman" w:hAnsi="Times New Roman" w:cs="Times New Roman" w:eastAsia="Times New Roman" w:hint="default"/>
                <w:sz w:val="18"/>
                <w:szCs w:val="18"/>
              </w:rPr>
            </w:pPr>
            <w:r>
              <w:rPr>
                <w:rFonts w:ascii="Times New Roman"/>
                <w:sz w:val="18"/>
              </w:rPr>
              <w:t>93</w:t>
            </w:r>
          </w:p>
        </w:tc>
      </w:tr>
      <w:tr>
        <w:trPr>
          <w:trHeight w:val="946" w:hRule="exact"/>
        </w:trPr>
        <w:tc>
          <w:tcPr>
            <w:tcW w:w="1306"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9"/>
              <w:ind w:left="92" w:right="112"/>
              <w:jc w:val="both"/>
              <w:rPr>
                <w:rFonts w:ascii="宋体" w:hAnsi="宋体" w:cs="宋体" w:eastAsia="宋体" w:hint="default"/>
                <w:sz w:val="18"/>
                <w:szCs w:val="18"/>
              </w:rPr>
            </w:pPr>
            <w:r>
              <w:rPr>
                <w:rFonts w:ascii="宋体" w:hAnsi="宋体" w:cs="宋体" w:eastAsia="宋体" w:hint="default"/>
                <w:sz w:val="18"/>
                <w:szCs w:val="18"/>
              </w:rPr>
              <w:t>浙江万马集团 特种电子电缆 有限公司</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
              <w:ind w:left="104" w:right="137"/>
              <w:jc w:val="both"/>
              <w:rPr>
                <w:rFonts w:ascii="宋体" w:hAnsi="宋体" w:cs="宋体" w:eastAsia="宋体" w:hint="default"/>
                <w:sz w:val="18"/>
                <w:szCs w:val="18"/>
              </w:rPr>
            </w:pPr>
            <w:r>
              <w:rPr>
                <w:rFonts w:ascii="宋体" w:hAnsi="宋体" w:cs="宋体" w:eastAsia="宋体" w:hint="default"/>
                <w:sz w:val="18"/>
                <w:szCs w:val="18"/>
              </w:rPr>
              <w:t>子 公 司</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2" w:right="181"/>
              <w:jc w:val="left"/>
              <w:rPr>
                <w:rFonts w:ascii="宋体" w:hAnsi="宋体" w:cs="宋体" w:eastAsia="宋体" w:hint="default"/>
                <w:sz w:val="18"/>
                <w:szCs w:val="18"/>
              </w:rPr>
            </w:pPr>
            <w:r>
              <w:rPr>
                <w:rFonts w:ascii="宋体" w:hAnsi="宋体" w:cs="宋体" w:eastAsia="宋体" w:hint="default"/>
                <w:sz w:val="18"/>
                <w:szCs w:val="18"/>
              </w:rPr>
              <w:t>卫星电视用同轴 电缆</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00" w:lineRule="auto"/>
              <w:ind w:left="102" w:right="165"/>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 民币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486,598,12</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8.28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396,446,48</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3.74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205,236,25</w:t>
            </w:r>
          </w:p>
          <w:p>
            <w:pPr>
              <w:pStyle w:val="TableParagraph"/>
              <w:spacing w:line="240" w:lineRule="auto" w:before="105"/>
              <w:ind w:left="616" w:right="0"/>
              <w:jc w:val="left"/>
              <w:rPr>
                <w:rFonts w:ascii="Times New Roman" w:hAnsi="Times New Roman" w:cs="Times New Roman" w:eastAsia="Times New Roman" w:hint="default"/>
                <w:sz w:val="18"/>
                <w:szCs w:val="18"/>
              </w:rPr>
            </w:pPr>
            <w:r>
              <w:rPr>
                <w:rFonts w:ascii="Times New Roman"/>
                <w:sz w:val="18"/>
              </w:rPr>
              <w:t>1.99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65,272,792</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.04</w:t>
            </w:r>
          </w:p>
        </w:tc>
        <w:tc>
          <w:tcPr>
            <w:tcW w:w="104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2"/>
              <w:jc w:val="right"/>
              <w:rPr>
                <w:rFonts w:ascii="Times New Roman" w:hAnsi="Times New Roman" w:cs="Times New Roman" w:eastAsia="Times New Roman" w:hint="default"/>
                <w:sz w:val="18"/>
                <w:szCs w:val="18"/>
              </w:rPr>
            </w:pPr>
            <w:r>
              <w:rPr>
                <w:rFonts w:ascii="Times New Roman"/>
                <w:spacing w:val="-1"/>
                <w:sz w:val="18"/>
              </w:rPr>
              <w:t>62,348,864</w:t>
            </w:r>
          </w:p>
          <w:p>
            <w:pPr>
              <w:pStyle w:val="TableParagraph"/>
              <w:spacing w:line="240" w:lineRule="auto" w:before="105"/>
              <w:ind w:right="89"/>
              <w:jc w:val="right"/>
              <w:rPr>
                <w:rFonts w:ascii="Times New Roman" w:hAnsi="Times New Roman" w:cs="Times New Roman" w:eastAsia="Times New Roman" w:hint="default"/>
                <w:sz w:val="18"/>
                <w:szCs w:val="18"/>
              </w:rPr>
            </w:pPr>
            <w:r>
              <w:rPr>
                <w:rFonts w:ascii="Times New Roman"/>
                <w:sz w:val="18"/>
              </w:rPr>
              <w:t>.88</w:t>
            </w:r>
          </w:p>
        </w:tc>
      </w:tr>
      <w:tr>
        <w:trPr>
          <w:trHeight w:val="1258" w:hRule="exact"/>
        </w:trPr>
        <w:tc>
          <w:tcPr>
            <w:tcW w:w="13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92" w:right="112"/>
              <w:jc w:val="both"/>
              <w:rPr>
                <w:rFonts w:ascii="宋体" w:hAnsi="宋体" w:cs="宋体" w:eastAsia="宋体" w:hint="default"/>
                <w:sz w:val="18"/>
                <w:szCs w:val="18"/>
              </w:rPr>
            </w:pPr>
            <w:r>
              <w:rPr>
                <w:rFonts w:ascii="宋体" w:hAnsi="宋体" w:cs="宋体" w:eastAsia="宋体" w:hint="default"/>
                <w:sz w:val="18"/>
                <w:szCs w:val="18"/>
              </w:rPr>
              <w:t>浙江万马专用 线缆科技有限 公司</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4" w:right="137"/>
              <w:jc w:val="both"/>
              <w:rPr>
                <w:rFonts w:ascii="宋体" w:hAnsi="宋体" w:cs="宋体" w:eastAsia="宋体" w:hint="default"/>
                <w:sz w:val="18"/>
                <w:szCs w:val="18"/>
              </w:rPr>
            </w:pPr>
            <w:r>
              <w:rPr>
                <w:rFonts w:ascii="宋体" w:hAnsi="宋体" w:cs="宋体" w:eastAsia="宋体" w:hint="default"/>
                <w:sz w:val="18"/>
                <w:szCs w:val="18"/>
              </w:rPr>
              <w:t>子 公 司</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
              <w:ind w:left="102" w:right="181"/>
              <w:jc w:val="both"/>
              <w:rPr>
                <w:rFonts w:ascii="宋体" w:hAnsi="宋体" w:cs="宋体" w:eastAsia="宋体" w:hint="default"/>
                <w:sz w:val="18"/>
                <w:szCs w:val="18"/>
              </w:rPr>
            </w:pPr>
            <w:r>
              <w:rPr>
                <w:rFonts w:ascii="宋体" w:hAnsi="宋体" w:cs="宋体" w:eastAsia="宋体" w:hint="default"/>
                <w:sz w:val="18"/>
                <w:szCs w:val="18"/>
              </w:rPr>
              <w:t>各类电力电缆、 特种电缆、民用 及电气装备用线 缆</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300" w:lineRule="auto"/>
              <w:ind w:left="102" w:right="165"/>
              <w:jc w:val="left"/>
              <w:rPr>
                <w:rFonts w:ascii="宋体" w:hAnsi="宋体" w:cs="宋体" w:eastAsia="宋体" w:hint="default"/>
                <w:sz w:val="18"/>
                <w:szCs w:val="18"/>
              </w:rPr>
            </w:pP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万人 民币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22" w:right="0"/>
              <w:jc w:val="left"/>
              <w:rPr>
                <w:rFonts w:ascii="Times New Roman" w:hAnsi="Times New Roman" w:cs="Times New Roman" w:eastAsia="Times New Roman" w:hint="default"/>
                <w:sz w:val="18"/>
                <w:szCs w:val="18"/>
              </w:rPr>
            </w:pPr>
            <w:r>
              <w:rPr>
                <w:rFonts w:ascii="Times New Roman"/>
                <w:sz w:val="18"/>
              </w:rPr>
              <w:t>210,102,46</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0.61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59,621,214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22" w:right="0"/>
              <w:jc w:val="left"/>
              <w:rPr>
                <w:rFonts w:ascii="Times New Roman" w:hAnsi="Times New Roman" w:cs="Times New Roman" w:eastAsia="Times New Roman" w:hint="default"/>
                <w:sz w:val="18"/>
                <w:szCs w:val="18"/>
              </w:rPr>
            </w:pPr>
            <w:r>
              <w:rPr>
                <w:rFonts w:ascii="Times New Roman"/>
                <w:sz w:val="18"/>
              </w:rPr>
              <w:t>279,283,61</w:t>
            </w:r>
          </w:p>
          <w:p>
            <w:pPr>
              <w:pStyle w:val="TableParagraph"/>
              <w:spacing w:line="240" w:lineRule="auto" w:before="105"/>
              <w:ind w:left="616" w:right="0"/>
              <w:jc w:val="left"/>
              <w:rPr>
                <w:rFonts w:ascii="Times New Roman" w:hAnsi="Times New Roman" w:cs="Times New Roman" w:eastAsia="Times New Roman" w:hint="default"/>
                <w:sz w:val="18"/>
                <w:szCs w:val="18"/>
              </w:rPr>
            </w:pPr>
            <w:r>
              <w:rPr>
                <w:rFonts w:ascii="Times New Roman"/>
                <w:sz w:val="18"/>
              </w:rPr>
              <w:t>0.07</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2"/>
              <w:jc w:val="right"/>
              <w:rPr>
                <w:rFonts w:ascii="Times New Roman" w:hAnsi="Times New Roman" w:cs="Times New Roman" w:eastAsia="Times New Roman" w:hint="default"/>
                <w:sz w:val="18"/>
                <w:szCs w:val="18"/>
              </w:rPr>
            </w:pPr>
            <w:r>
              <w:rPr>
                <w:rFonts w:ascii="Times New Roman"/>
                <w:spacing w:val="-1"/>
                <w:sz w:val="18"/>
              </w:rPr>
              <w:t>26,100,093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.64</w:t>
            </w:r>
          </w:p>
        </w:tc>
        <w:tc>
          <w:tcPr>
            <w:tcW w:w="104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2"/>
              <w:jc w:val="right"/>
              <w:rPr>
                <w:rFonts w:ascii="Times New Roman" w:hAnsi="Times New Roman" w:cs="Times New Roman" w:eastAsia="Times New Roman" w:hint="default"/>
                <w:sz w:val="18"/>
                <w:szCs w:val="18"/>
              </w:rPr>
            </w:pPr>
            <w:r>
              <w:rPr>
                <w:rFonts w:ascii="Times New Roman"/>
                <w:spacing w:val="-1"/>
                <w:sz w:val="18"/>
              </w:rPr>
              <w:t>24,495,175</w:t>
            </w:r>
          </w:p>
          <w:p>
            <w:pPr>
              <w:pStyle w:val="TableParagraph"/>
              <w:spacing w:line="240" w:lineRule="auto" w:before="105"/>
              <w:ind w:right="89"/>
              <w:jc w:val="right"/>
              <w:rPr>
                <w:rFonts w:ascii="Times New Roman" w:hAnsi="Times New Roman" w:cs="Times New Roman" w:eastAsia="Times New Roman" w:hint="default"/>
                <w:sz w:val="18"/>
                <w:szCs w:val="18"/>
              </w:rPr>
            </w:pPr>
            <w:r>
              <w:rPr>
                <w:rFonts w:ascii="Times New Roman"/>
                <w:sz w:val="18"/>
              </w:rPr>
              <w:t>.50</w:t>
            </w:r>
          </w:p>
        </w:tc>
      </w:tr>
      <w:tr>
        <w:trPr>
          <w:trHeight w:val="944" w:hRule="exact"/>
        </w:trPr>
        <w:tc>
          <w:tcPr>
            <w:tcW w:w="13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92" w:right="112"/>
              <w:jc w:val="left"/>
              <w:rPr>
                <w:rFonts w:ascii="宋体" w:hAnsi="宋体" w:cs="宋体" w:eastAsia="宋体" w:hint="default"/>
                <w:sz w:val="18"/>
                <w:szCs w:val="18"/>
              </w:rPr>
            </w:pPr>
            <w:r>
              <w:rPr>
                <w:rFonts w:ascii="宋体" w:hAnsi="宋体" w:cs="宋体" w:eastAsia="宋体" w:hint="default"/>
                <w:sz w:val="18"/>
                <w:szCs w:val="18"/>
              </w:rPr>
              <w:t>浙江万马电缆 有限公司</w:t>
            </w:r>
          </w:p>
        </w:tc>
        <w:tc>
          <w:tcPr>
            <w:tcW w:w="4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4" w:right="137"/>
              <w:jc w:val="both"/>
              <w:rPr>
                <w:rFonts w:ascii="宋体" w:hAnsi="宋体" w:cs="宋体" w:eastAsia="宋体" w:hint="default"/>
                <w:sz w:val="18"/>
                <w:szCs w:val="18"/>
              </w:rPr>
            </w:pPr>
            <w:r>
              <w:rPr>
                <w:rFonts w:ascii="宋体" w:hAnsi="宋体" w:cs="宋体" w:eastAsia="宋体" w:hint="default"/>
                <w:sz w:val="18"/>
                <w:szCs w:val="18"/>
              </w:rPr>
              <w:t>子 公 司</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81"/>
              <w:jc w:val="both"/>
              <w:rPr>
                <w:rFonts w:ascii="宋体" w:hAnsi="宋体" w:cs="宋体" w:eastAsia="宋体" w:hint="default"/>
                <w:sz w:val="18"/>
                <w:szCs w:val="18"/>
              </w:rPr>
            </w:pPr>
            <w:r>
              <w:rPr>
                <w:rFonts w:ascii="宋体" w:hAnsi="宋体" w:cs="宋体" w:eastAsia="宋体" w:hint="default"/>
                <w:sz w:val="18"/>
                <w:szCs w:val="18"/>
              </w:rPr>
              <w:t>电力电缆、控制 电缆和架空电缆 等</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109,517,96</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2.59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5,809,684.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80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998,276,90</w:t>
            </w:r>
          </w:p>
          <w:p>
            <w:pPr>
              <w:pStyle w:val="TableParagraph"/>
              <w:spacing w:line="240" w:lineRule="auto" w:before="105"/>
              <w:ind w:left="616" w:right="0"/>
              <w:jc w:val="left"/>
              <w:rPr>
                <w:rFonts w:ascii="Times New Roman" w:hAnsi="Times New Roman" w:cs="Times New Roman" w:eastAsia="Times New Roman" w:hint="default"/>
                <w:sz w:val="18"/>
                <w:szCs w:val="18"/>
              </w:rPr>
            </w:pPr>
            <w:r>
              <w:rPr>
                <w:rFonts w:ascii="Times New Roman"/>
                <w:sz w:val="18"/>
              </w:rPr>
              <w:t>4.19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21" w:right="0"/>
              <w:jc w:val="left"/>
              <w:rPr>
                <w:rFonts w:ascii="Times New Roman" w:hAnsi="Times New Roman" w:cs="Times New Roman" w:eastAsia="Times New Roman" w:hint="default"/>
                <w:sz w:val="18"/>
                <w:szCs w:val="18"/>
              </w:rPr>
            </w:pPr>
            <w:r>
              <w:rPr>
                <w:rFonts w:ascii="Times New Roman"/>
                <w:sz w:val="18"/>
              </w:rPr>
              <w:t>537,845.78</w:t>
            </w:r>
          </w:p>
        </w:tc>
        <w:tc>
          <w:tcPr>
            <w:tcW w:w="104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1"/>
              <w:jc w:val="right"/>
              <w:rPr>
                <w:rFonts w:ascii="Times New Roman" w:hAnsi="Times New Roman" w:cs="Times New Roman" w:eastAsia="Times New Roman" w:hint="default"/>
                <w:sz w:val="18"/>
                <w:szCs w:val="18"/>
              </w:rPr>
            </w:pPr>
            <w:r>
              <w:rPr>
                <w:rFonts w:ascii="Times New Roman"/>
                <w:spacing w:val="-1"/>
                <w:sz w:val="18"/>
              </w:rPr>
              <w:t>1,391,693.</w:t>
            </w:r>
          </w:p>
          <w:p>
            <w:pPr>
              <w:pStyle w:val="TableParagraph"/>
              <w:spacing w:line="240" w:lineRule="auto" w:before="105"/>
              <w:ind w:right="89"/>
              <w:jc w:val="right"/>
              <w:rPr>
                <w:rFonts w:ascii="Times New Roman" w:hAnsi="Times New Roman" w:cs="Times New Roman" w:eastAsia="Times New Roman" w:hint="default"/>
                <w:sz w:val="18"/>
                <w:szCs w:val="18"/>
              </w:rPr>
            </w:pPr>
            <w:r>
              <w:rPr>
                <w:rFonts w:ascii="Times New Roman"/>
                <w:sz w:val="18"/>
              </w:rPr>
              <w:t>96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660" w:bottom="700" w:left="1000" w:right="0"/>
        </w:sectPr>
      </w:pP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1306"/>
        <w:gridCol w:w="433"/>
        <w:gridCol w:w="1556"/>
        <w:gridCol w:w="1045"/>
        <w:gridCol w:w="1046"/>
        <w:gridCol w:w="1045"/>
        <w:gridCol w:w="1045"/>
        <w:gridCol w:w="1045"/>
        <w:gridCol w:w="1046"/>
      </w:tblGrid>
      <w:tr>
        <w:trPr>
          <w:trHeight w:val="1580" w:hRule="exact"/>
        </w:trPr>
        <w:tc>
          <w:tcPr>
            <w:tcW w:w="130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92" w:right="112"/>
              <w:jc w:val="both"/>
              <w:rPr>
                <w:rFonts w:ascii="宋体" w:hAnsi="宋体" w:cs="宋体" w:eastAsia="宋体" w:hint="default"/>
                <w:sz w:val="18"/>
                <w:szCs w:val="18"/>
              </w:rPr>
            </w:pPr>
            <w:r>
              <w:rPr>
                <w:rFonts w:ascii="宋体" w:hAnsi="宋体" w:cs="宋体" w:eastAsia="宋体" w:hint="default"/>
                <w:sz w:val="18"/>
                <w:szCs w:val="18"/>
              </w:rPr>
              <w:t>万马奔腾新能 源产业集团有 限公司</w:t>
            </w:r>
          </w:p>
        </w:tc>
        <w:tc>
          <w:tcPr>
            <w:tcW w:w="4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04" w:right="137"/>
              <w:jc w:val="both"/>
              <w:rPr>
                <w:rFonts w:ascii="宋体" w:hAnsi="宋体" w:cs="宋体" w:eastAsia="宋体" w:hint="default"/>
                <w:sz w:val="18"/>
                <w:szCs w:val="18"/>
              </w:rPr>
            </w:pPr>
            <w:r>
              <w:rPr>
                <w:rFonts w:ascii="宋体" w:hAnsi="宋体" w:cs="宋体" w:eastAsia="宋体" w:hint="default"/>
                <w:sz w:val="18"/>
                <w:szCs w:val="18"/>
              </w:rPr>
              <w:t>子 公 司</w:t>
            </w:r>
          </w:p>
        </w:tc>
        <w:tc>
          <w:tcPr>
            <w:tcW w:w="1556" w:type="dxa"/>
            <w:tcBorders>
              <w:top w:val="single" w:sz="4" w:space="0" w:color="000000"/>
              <w:left w:val="single" w:sz="4" w:space="0" w:color="000000"/>
              <w:bottom w:val="single" w:sz="12" w:space="0" w:color="000000"/>
              <w:right w:val="single" w:sz="4" w:space="0" w:color="000000"/>
            </w:tcBorders>
          </w:tcPr>
          <w:p>
            <w:pPr>
              <w:pStyle w:val="TableParagraph"/>
              <w:spacing w:line="316" w:lineRule="auto" w:before="12"/>
              <w:ind w:left="102" w:right="11"/>
              <w:jc w:val="left"/>
              <w:rPr>
                <w:rFonts w:ascii="宋体" w:hAnsi="宋体" w:cs="宋体" w:eastAsia="宋体" w:hint="default"/>
                <w:sz w:val="18"/>
                <w:szCs w:val="18"/>
              </w:rPr>
            </w:pPr>
            <w:r>
              <w:rPr>
                <w:rFonts w:ascii="宋体" w:hAnsi="宋体" w:cs="宋体" w:eastAsia="宋体" w:hint="default"/>
                <w:sz w:val="18"/>
                <w:szCs w:val="18"/>
              </w:rPr>
              <w:t>实业投资，投资 </w:t>
            </w:r>
            <w:r>
              <w:rPr>
                <w:rFonts w:ascii="宋体" w:hAnsi="宋体" w:cs="宋体" w:eastAsia="宋体" w:hint="default"/>
                <w:spacing w:val="-2"/>
                <w:sz w:val="18"/>
                <w:szCs w:val="18"/>
              </w:rPr>
              <w:t>管理，投资咨询；</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电动汽车充电站 的系统设计、运 营管理</w:t>
            </w:r>
          </w:p>
        </w:tc>
        <w:tc>
          <w:tcPr>
            <w:tcW w:w="10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998,193,26</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3.69</w:t>
            </w:r>
          </w:p>
        </w:tc>
        <w:tc>
          <w:tcPr>
            <w:tcW w:w="10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205,962,15</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0.30</w:t>
            </w:r>
          </w:p>
        </w:tc>
        <w:tc>
          <w:tcPr>
            <w:tcW w:w="10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254,069,30</w:t>
            </w:r>
          </w:p>
          <w:p>
            <w:pPr>
              <w:pStyle w:val="TableParagraph"/>
              <w:spacing w:line="240" w:lineRule="auto" w:before="105"/>
              <w:ind w:left="616" w:right="0"/>
              <w:jc w:val="left"/>
              <w:rPr>
                <w:rFonts w:ascii="Times New Roman" w:hAnsi="Times New Roman" w:cs="Times New Roman" w:eastAsia="Times New Roman" w:hint="default"/>
                <w:sz w:val="18"/>
                <w:szCs w:val="18"/>
              </w:rPr>
            </w:pPr>
            <w:r>
              <w:rPr>
                <w:rFonts w:ascii="Times New Roman"/>
                <w:sz w:val="18"/>
              </w:rPr>
              <w:t>2.16</w:t>
            </w:r>
          </w:p>
        </w:tc>
        <w:tc>
          <w:tcPr>
            <w:tcW w:w="10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-112,602,1</w:t>
            </w:r>
          </w:p>
          <w:p>
            <w:pPr>
              <w:pStyle w:val="TableParagraph"/>
              <w:spacing w:line="240" w:lineRule="auto" w:before="105"/>
              <w:ind w:left="526" w:right="0"/>
              <w:jc w:val="left"/>
              <w:rPr>
                <w:rFonts w:ascii="Times New Roman" w:hAnsi="Times New Roman" w:cs="Times New Roman" w:eastAsia="Times New Roman" w:hint="default"/>
                <w:sz w:val="18"/>
                <w:szCs w:val="18"/>
              </w:rPr>
            </w:pPr>
            <w:r>
              <w:rPr>
                <w:rFonts w:ascii="Times New Roman"/>
                <w:sz w:val="18"/>
              </w:rPr>
              <w:t>29.64</w:t>
            </w:r>
          </w:p>
        </w:tc>
        <w:tc>
          <w:tcPr>
            <w:tcW w:w="104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-112,312,4</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16.83</w:t>
            </w:r>
          </w:p>
        </w:tc>
      </w:tr>
    </w:tbl>
    <w:p>
      <w:pPr>
        <w:spacing w:before="52"/>
        <w:ind w:left="132" w:right="1164"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line="360" w:lineRule="auto" w:before="115"/>
        <w:ind w:left="132" w:right="8594" w:firstLine="0"/>
        <w:jc w:val="left"/>
        <w:rPr>
          <w:rFonts w:ascii="宋体" w:hAnsi="宋体" w:cs="宋体" w:eastAsia="宋体" w:hint="default"/>
          <w:sz w:val="18"/>
          <w:szCs w:val="18"/>
        </w:rPr>
      </w:pPr>
      <w:r>
        <w:rPr>
          <w:rFonts w:ascii="宋体" w:hAnsi="宋体" w:cs="宋体" w:eastAsia="宋体" w:hint="default"/>
          <w:sz w:val="18"/>
          <w:szCs w:val="18"/>
        </w:rPr>
        <w:t>□ 适用 √ 不适用 主要控股参股公司情况说明</w:t>
      </w:r>
    </w:p>
    <w:p>
      <w:pPr>
        <w:spacing w:line="316" w:lineRule="auto" w:before="27"/>
        <w:ind w:left="132" w:right="1124" w:firstLine="0"/>
        <w:jc w:val="left"/>
        <w:rPr>
          <w:rFonts w:ascii="宋体" w:hAnsi="宋体" w:cs="宋体" w:eastAsia="宋体" w:hint="default"/>
          <w:sz w:val="18"/>
          <w:szCs w:val="18"/>
        </w:rPr>
      </w:pPr>
      <w:r>
        <w:rPr>
          <w:rFonts w:ascii="宋体" w:hAnsi="宋体" w:cs="宋体" w:eastAsia="宋体" w:hint="default"/>
          <w:sz w:val="18"/>
          <w:szCs w:val="18"/>
        </w:rPr>
        <w:t>1.万马高分子总资产同比增长22.87%，主要系：（1）按照新金融准则将信用级别较低的年末未到期且已经背书或贴现的票 据不终止确认，导致应收票据增加1.33亿元；（2）本期营业收入增加，应收票据、应收账款及固定资产、无形资产投资同 </w:t>
      </w:r>
      <w:r>
        <w:rPr>
          <w:rFonts w:ascii="宋体" w:hAnsi="宋体" w:cs="宋体" w:eastAsia="宋体" w:hint="default"/>
          <w:spacing w:val="-2"/>
          <w:sz w:val="18"/>
          <w:szCs w:val="18"/>
        </w:rPr>
        <w:t>比增加；净资产同比增长20.52%，主要系本期利润增长所致；营业利润同比增长55.99%，净利润同比增长57.01%，主要系高</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分子本期订单量增加，毛利率提升所致。 </w:t>
      </w:r>
      <w:r>
        <w:rPr>
          <w:rFonts w:ascii="宋体" w:hAnsi="宋体" w:cs="宋体" w:eastAsia="宋体" w:hint="default"/>
          <w:spacing w:val="-2"/>
          <w:sz w:val="18"/>
          <w:szCs w:val="18"/>
        </w:rPr>
        <w:t>2.万马天屹营业收入同比下降24.21%，营业利润同比下降51.57%，净利润同比下降51.08%，主要受市场供求关系影响，国内</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市场销量及产品价格下降，导致销售及利润下降。 </w:t>
      </w:r>
      <w:r>
        <w:rPr>
          <w:rFonts w:ascii="宋体" w:hAnsi="宋体" w:cs="宋体" w:eastAsia="宋体" w:hint="default"/>
          <w:spacing w:val="-2"/>
          <w:sz w:val="18"/>
          <w:szCs w:val="18"/>
        </w:rPr>
        <w:t>3.万马特缆营业收入下降32.30%，主要系受贸易摩擦影响，产品销量下降所致；营业利润同比增长38.77%，净利润同比增长</w:t>
      </w:r>
    </w:p>
    <w:p>
      <w:pPr>
        <w:spacing w:before="19"/>
        <w:ind w:left="132" w:right="1164" w:firstLine="0"/>
        <w:jc w:val="left"/>
        <w:rPr>
          <w:rFonts w:ascii="宋体" w:hAnsi="宋体" w:cs="宋体" w:eastAsia="宋体" w:hint="default"/>
          <w:sz w:val="18"/>
          <w:szCs w:val="18"/>
        </w:rPr>
      </w:pPr>
      <w:r>
        <w:rPr>
          <w:rFonts w:ascii="宋体" w:hAnsi="宋体" w:cs="宋体" w:eastAsia="宋体" w:hint="default"/>
          <w:sz w:val="18"/>
          <w:szCs w:val="18"/>
        </w:rPr>
        <w:t>38.51%，主要系本期对高分子投资收益增加所致。</w:t>
      </w:r>
    </w:p>
    <w:p>
      <w:pPr>
        <w:spacing w:line="316" w:lineRule="auto" w:before="76"/>
        <w:ind w:left="132" w:right="1124" w:firstLine="0"/>
        <w:jc w:val="left"/>
        <w:rPr>
          <w:rFonts w:ascii="宋体" w:hAnsi="宋体" w:cs="宋体" w:eastAsia="宋体" w:hint="default"/>
          <w:sz w:val="18"/>
          <w:szCs w:val="18"/>
        </w:rPr>
      </w:pPr>
      <w:r>
        <w:rPr>
          <w:rFonts w:ascii="宋体" w:hAnsi="宋体" w:cs="宋体" w:eastAsia="宋体" w:hint="default"/>
          <w:sz w:val="18"/>
          <w:szCs w:val="18"/>
        </w:rPr>
        <w:t>4.专用线缆总资产同比增长190.05%，主要系本期营业收入增长，应收账款同比增长所致；净资产同比增长72.18%，主要系 本期利润增加所致；营业收入同比增长102.15%，营业利润同比增长1268.83%，净利润同比增长1087.11%，主要系本期订单 量增加，营业收入同比增长，毛利率大幅提升所致。 </w:t>
      </w:r>
      <w:r>
        <w:rPr>
          <w:rFonts w:ascii="宋体" w:hAnsi="宋体" w:cs="宋体" w:eastAsia="宋体" w:hint="default"/>
          <w:spacing w:val="-2"/>
          <w:sz w:val="18"/>
          <w:szCs w:val="18"/>
        </w:rPr>
        <w:t>5.万马电缆总资产同比下降56.37%，主要系：（1）应收账款周转率提高，应收账款回款改善；（2）付现比例提高，货币资</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金减少；净资产同比上升31.50%，主要系本期利润增加所致；营业利润同比上升101.67%，净利润同比上升104.57%，主要系</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本期毛利率提高所致。 </w:t>
      </w:r>
      <w:r>
        <w:rPr>
          <w:rFonts w:ascii="宋体" w:hAnsi="宋体" w:cs="宋体" w:eastAsia="宋体" w:hint="default"/>
          <w:spacing w:val="-2"/>
          <w:sz w:val="18"/>
          <w:szCs w:val="18"/>
        </w:rPr>
        <w:t>6.新能源产业集团营业收入同比增长90.38%，主要系本期充电量持续增长所致；营业利润同比下降33.81%，净利润同比下降</w:t>
      </w:r>
    </w:p>
    <w:p>
      <w:pPr>
        <w:spacing w:before="19"/>
        <w:ind w:left="132" w:right="1164" w:firstLine="0"/>
        <w:jc w:val="left"/>
        <w:rPr>
          <w:rFonts w:ascii="宋体" w:hAnsi="宋体" w:cs="宋体" w:eastAsia="宋体" w:hint="default"/>
          <w:sz w:val="18"/>
          <w:szCs w:val="18"/>
        </w:rPr>
      </w:pPr>
      <w:r>
        <w:rPr>
          <w:rFonts w:ascii="宋体" w:hAnsi="宋体" w:cs="宋体" w:eastAsia="宋体" w:hint="default"/>
          <w:sz w:val="18"/>
          <w:szCs w:val="18"/>
        </w:rPr>
        <w:t>44.81%，主要系物流车折旧和工程物资减值损失的计提，新能源建站投入计提的折旧和运营管理费、研发投入增加所致。</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八、公司控制的结构化主体情况" w:id="58"/>
      <w:bookmarkEnd w:id="58"/>
      <w:r>
        <w:rPr>
          <w:b w:val="0"/>
          <w:bCs w:val="0"/>
        </w:rPr>
      </w:r>
      <w:r>
        <w:rPr/>
        <w:t>八、公司控制的结构化主体情况</w:t>
      </w:r>
      <w:r>
        <w:rPr>
          <w:b w:val="0"/>
          <w:bCs w:val="0"/>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九、公司未来发展的展望" w:id="59"/>
      <w:bookmarkEnd w:id="59"/>
      <w:r>
        <w:rPr>
          <w:b w:val="0"/>
          <w:bCs w:val="0"/>
        </w:rPr>
      </w:r>
      <w:r>
        <w:rPr/>
        <w:t>九、公司未来发展的展望</w:t>
      </w:r>
      <w:r>
        <w:rPr>
          <w:b w:val="0"/>
          <w:bCs w:val="0"/>
        </w:rPr>
      </w:r>
    </w:p>
    <w:p>
      <w:pPr>
        <w:spacing w:line="240" w:lineRule="auto" w:before="8"/>
        <w:rPr>
          <w:rFonts w:ascii="宋体" w:hAnsi="宋体" w:cs="宋体" w:eastAsia="宋体" w:hint="default"/>
          <w:b/>
          <w:bCs/>
          <w:sz w:val="30"/>
          <w:szCs w:val="30"/>
        </w:rPr>
      </w:pPr>
    </w:p>
    <w:p>
      <w:pPr>
        <w:spacing w:before="0"/>
        <w:ind w:left="552" w:right="1164" w:firstLine="0"/>
        <w:jc w:val="left"/>
        <w:rPr>
          <w:rFonts w:ascii="宋体" w:hAnsi="宋体" w:cs="宋体" w:eastAsia="宋体" w:hint="default"/>
          <w:sz w:val="21"/>
          <w:szCs w:val="21"/>
        </w:rPr>
      </w:pPr>
      <w:r>
        <w:rPr>
          <w:rFonts w:ascii="宋体" w:hAnsi="宋体" w:cs="宋体" w:eastAsia="宋体" w:hint="default"/>
          <w:b/>
          <w:bCs/>
          <w:sz w:val="21"/>
          <w:szCs w:val="21"/>
        </w:rPr>
        <w:t>（一）行业格局和趋势</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93" w:lineRule="auto" w:before="0"/>
        <w:ind w:left="132" w:right="1130"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2020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月，中共中央政治局常务委员会提出，加快</w:t>
      </w:r>
      <w:r>
        <w:rPr>
          <w:rFonts w:ascii="Times New Roman" w:hAnsi="Times New Roman" w:cs="Times New Roman" w:eastAsia="Times New Roman" w:hint="default"/>
          <w:sz w:val="21"/>
          <w:szCs w:val="21"/>
        </w:rPr>
        <w:t>5G</w:t>
      </w:r>
      <w:r>
        <w:rPr>
          <w:rFonts w:ascii="宋体" w:hAnsi="宋体" w:cs="宋体" w:eastAsia="宋体" w:hint="default"/>
          <w:sz w:val="21"/>
          <w:szCs w:val="21"/>
        </w:rPr>
        <w:t>网络、数据中心等新型基础设施建设进度。新</w:t>
      </w:r>
      <w:r>
        <w:rPr>
          <w:rFonts w:ascii="宋体" w:hAnsi="宋体" w:cs="宋体" w:eastAsia="宋体" w:hint="default"/>
          <w:w w:val="99"/>
          <w:sz w:val="21"/>
          <w:szCs w:val="21"/>
        </w:rPr>
        <w:t> </w:t>
      </w:r>
      <w:r>
        <w:rPr>
          <w:rFonts w:ascii="宋体" w:hAnsi="宋体" w:cs="宋体" w:eastAsia="宋体" w:hint="default"/>
          <w:spacing w:val="-1"/>
          <w:w w:val="95"/>
          <w:sz w:val="21"/>
          <w:szCs w:val="21"/>
        </w:rPr>
        <w:t>型基础设施建设，一般认为包括</w:t>
      </w:r>
      <w:r>
        <w:rPr>
          <w:rFonts w:ascii="Times New Roman" w:hAnsi="Times New Roman" w:cs="Times New Roman" w:eastAsia="Times New Roman" w:hint="default"/>
          <w:spacing w:val="-1"/>
          <w:w w:val="95"/>
          <w:sz w:val="21"/>
          <w:szCs w:val="21"/>
        </w:rPr>
        <w:t>5G</w:t>
      </w:r>
      <w:r>
        <w:rPr>
          <w:rFonts w:ascii="宋体" w:hAnsi="宋体" w:cs="宋体" w:eastAsia="宋体" w:hint="default"/>
          <w:spacing w:val="-1"/>
          <w:w w:val="95"/>
          <w:sz w:val="21"/>
          <w:szCs w:val="21"/>
        </w:rPr>
        <w:t>基建、特高压、城际高速铁路和城际轨道交通、新能源汽车充电桩、大</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w w:val="95"/>
          <w:sz w:val="21"/>
          <w:szCs w:val="21"/>
        </w:rPr>
        <w:t>数据中心、人工智能、工业互联网等七大领域。公司各板块业务与国家新基建战略契合度较高，且在相关</w:t>
      </w:r>
      <w:r>
        <w:rPr>
          <w:rFonts w:ascii="宋体" w:hAnsi="宋体" w:cs="宋体" w:eastAsia="宋体" w:hint="default"/>
          <w:spacing w:val="44"/>
          <w:w w:val="95"/>
          <w:sz w:val="21"/>
          <w:szCs w:val="21"/>
        </w:rPr>
        <w:t> </w:t>
      </w:r>
      <w:r>
        <w:rPr>
          <w:rFonts w:ascii="宋体" w:hAnsi="宋体" w:cs="宋体" w:eastAsia="宋体" w:hint="default"/>
          <w:spacing w:val="44"/>
          <w:w w:val="95"/>
          <w:sz w:val="21"/>
          <w:szCs w:val="21"/>
        </w:rPr>
      </w:r>
      <w:r>
        <w:rPr>
          <w:rFonts w:ascii="宋体" w:hAnsi="宋体" w:cs="宋体" w:eastAsia="宋体" w:hint="default"/>
          <w:sz w:val="21"/>
          <w:szCs w:val="21"/>
        </w:rPr>
        <w:t>业务领域走在行业前列。公司将抓住机遇，匠心制造精品，助力国家发展，践行社会责任。</w:t>
      </w:r>
    </w:p>
    <w:p>
      <w:pPr>
        <w:spacing w:line="240" w:lineRule="auto" w:before="5"/>
        <w:rPr>
          <w:rFonts w:ascii="宋体" w:hAnsi="宋体" w:cs="宋体" w:eastAsia="宋体" w:hint="default"/>
          <w:sz w:val="16"/>
          <w:szCs w:val="16"/>
        </w:rPr>
      </w:pPr>
    </w:p>
    <w:p>
      <w:pPr>
        <w:spacing w:line="516" w:lineRule="auto" w:before="0"/>
        <w:ind w:left="552" w:right="116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电线电缆行业</w:t>
      </w:r>
      <w:r>
        <w:rPr>
          <w:rFonts w:ascii="宋体" w:hAnsi="宋体" w:cs="宋体" w:eastAsia="宋体" w:hint="default"/>
          <w:b/>
          <w:bCs/>
          <w:w w:val="99"/>
          <w:sz w:val="21"/>
          <w:szCs w:val="21"/>
        </w:rPr>
        <w:t> </w:t>
      </w:r>
      <w:r>
        <w:rPr>
          <w:rFonts w:ascii="宋体" w:hAnsi="宋体" w:cs="宋体" w:eastAsia="宋体" w:hint="default"/>
          <w:w w:val="95"/>
          <w:sz w:val="21"/>
          <w:szCs w:val="21"/>
        </w:rPr>
        <w:t>公开数据显示，</w:t>
      </w:r>
      <w:r>
        <w:rPr>
          <w:rFonts w:ascii="Times New Roman" w:hAnsi="Times New Roman" w:cs="Times New Roman" w:eastAsia="Times New Roman" w:hint="default"/>
          <w:w w:val="95"/>
          <w:sz w:val="21"/>
          <w:szCs w:val="21"/>
        </w:rPr>
        <w:t>2020</w:t>
      </w:r>
      <w:r>
        <w:rPr>
          <w:rFonts w:ascii="宋体" w:hAnsi="宋体" w:cs="宋体" w:eastAsia="宋体" w:hint="default"/>
          <w:w w:val="95"/>
          <w:sz w:val="21"/>
          <w:szCs w:val="21"/>
        </w:rPr>
        <w:t>年，国家电网的电网投资计划约</w:t>
      </w:r>
      <w:r>
        <w:rPr>
          <w:rFonts w:ascii="Times New Roman" w:hAnsi="Times New Roman" w:cs="Times New Roman" w:eastAsia="Times New Roman" w:hint="default"/>
          <w:w w:val="95"/>
          <w:sz w:val="21"/>
          <w:szCs w:val="21"/>
        </w:rPr>
        <w:t>4080</w:t>
      </w:r>
      <w:r>
        <w:rPr>
          <w:rFonts w:ascii="宋体" w:hAnsi="宋体" w:cs="宋体" w:eastAsia="宋体" w:hint="default"/>
          <w:w w:val="95"/>
          <w:sz w:val="21"/>
          <w:szCs w:val="21"/>
        </w:rPr>
        <w:t>亿元，为</w:t>
      </w:r>
      <w:r>
        <w:rPr>
          <w:rFonts w:ascii="Times New Roman" w:hAnsi="Times New Roman" w:cs="Times New Roman" w:eastAsia="Times New Roman" w:hint="default"/>
          <w:w w:val="95"/>
          <w:sz w:val="21"/>
          <w:szCs w:val="21"/>
        </w:rPr>
        <w:t>2020</w:t>
      </w:r>
      <w:r>
        <w:rPr>
          <w:rFonts w:ascii="宋体" w:hAnsi="宋体" w:cs="宋体" w:eastAsia="宋体" w:hint="default"/>
          <w:w w:val="95"/>
          <w:sz w:val="21"/>
          <w:szCs w:val="21"/>
        </w:rPr>
        <w:t>年电线电缆行业的发展提供了</w:t>
      </w:r>
      <w:r>
        <w:rPr>
          <w:rFonts w:ascii="宋体" w:hAnsi="宋体" w:cs="宋体" w:eastAsia="宋体" w:hint="default"/>
          <w:sz w:val="21"/>
          <w:szCs w:val="21"/>
        </w:rPr>
      </w:r>
    </w:p>
    <w:p>
      <w:pPr>
        <w:spacing w:after="0" w:line="516" w:lineRule="auto"/>
        <w:jc w:val="left"/>
        <w:rPr>
          <w:rFonts w:ascii="宋体" w:hAnsi="宋体" w:cs="宋体" w:eastAsia="宋体" w:hint="default"/>
          <w:sz w:val="21"/>
          <w:szCs w:val="21"/>
        </w:rPr>
        <w:sectPr>
          <w:footerReference w:type="default" r:id="rId25"/>
          <w:pgSz w:w="11910" w:h="16840"/>
          <w:pgMar w:footer="1053" w:header="890" w:top="1420" w:bottom="1240" w:left="1000" w:right="0"/>
          <w:pgNumType w:start="30"/>
        </w:sectPr>
      </w:pPr>
    </w:p>
    <w:p>
      <w:pPr>
        <w:spacing w:line="386" w:lineRule="auto" w:before="120"/>
        <w:ind w:left="112" w:right="1028" w:firstLine="0"/>
        <w:jc w:val="both"/>
        <w:rPr>
          <w:rFonts w:ascii="宋体" w:hAnsi="宋体" w:cs="宋体" w:eastAsia="宋体" w:hint="default"/>
          <w:sz w:val="21"/>
          <w:szCs w:val="21"/>
        </w:rPr>
      </w:pPr>
      <w:r>
        <w:rPr>
          <w:rFonts w:ascii="宋体" w:hAnsi="宋体" w:cs="宋体" w:eastAsia="宋体" w:hint="default"/>
          <w:sz w:val="21"/>
          <w:szCs w:val="21"/>
        </w:rPr>
        <w:t>充足的市场需求。《国家电网有限公司</w:t>
      </w:r>
      <w:r>
        <w:rPr>
          <w:rFonts w:ascii="Times New Roman" w:hAnsi="Times New Roman" w:cs="Times New Roman" w:eastAsia="Times New Roman" w:hint="default"/>
          <w:sz w:val="21"/>
          <w:szCs w:val="21"/>
        </w:rPr>
        <w:t>2020</w:t>
      </w:r>
      <w:r>
        <w:rPr>
          <w:rFonts w:ascii="宋体" w:hAnsi="宋体" w:cs="宋体" w:eastAsia="宋体" w:hint="default"/>
          <w:sz w:val="21"/>
          <w:szCs w:val="21"/>
        </w:rPr>
        <w:t>年重点工作任务》要求年内开工建设华中特高压交流环网等工</w:t>
      </w:r>
      <w:r>
        <w:rPr>
          <w:rFonts w:ascii="宋体" w:hAnsi="宋体" w:cs="宋体" w:eastAsia="宋体" w:hint="default"/>
          <w:w w:val="99"/>
          <w:sz w:val="21"/>
          <w:szCs w:val="21"/>
        </w:rPr>
        <w:t> </w:t>
      </w:r>
      <w:r>
        <w:rPr>
          <w:rFonts w:ascii="宋体" w:hAnsi="宋体" w:cs="宋体" w:eastAsia="宋体" w:hint="default"/>
          <w:sz w:val="21"/>
          <w:szCs w:val="21"/>
        </w:rPr>
        <w:t>程，年内核准南阳</w:t>
      </w:r>
      <w:r>
        <w:rPr>
          <w:rFonts w:ascii="Times New Roman" w:hAnsi="Times New Roman" w:cs="Times New Roman" w:eastAsia="Times New Roman" w:hint="default"/>
          <w:sz w:val="21"/>
          <w:szCs w:val="21"/>
        </w:rPr>
        <w:t>-</w:t>
      </w:r>
      <w:r>
        <w:rPr>
          <w:rFonts w:ascii="宋体" w:hAnsi="宋体" w:cs="宋体" w:eastAsia="宋体" w:hint="default"/>
          <w:sz w:val="21"/>
          <w:szCs w:val="21"/>
        </w:rPr>
        <w:t>荆门</w:t>
      </w:r>
      <w:r>
        <w:rPr>
          <w:rFonts w:ascii="Times New Roman" w:hAnsi="Times New Roman" w:cs="Times New Roman" w:eastAsia="Times New Roman" w:hint="default"/>
          <w:sz w:val="21"/>
          <w:szCs w:val="21"/>
        </w:rPr>
        <w:t>-</w:t>
      </w:r>
      <w:r>
        <w:rPr>
          <w:rFonts w:ascii="宋体" w:hAnsi="宋体" w:cs="宋体" w:eastAsia="宋体" w:hint="default"/>
          <w:sz w:val="21"/>
          <w:szCs w:val="21"/>
        </w:rPr>
        <w:t>长沙等</w:t>
      </w:r>
      <w:r>
        <w:rPr>
          <w:rFonts w:ascii="Times New Roman" w:hAnsi="Times New Roman" w:cs="Times New Roman" w:eastAsia="Times New Roman" w:hint="default"/>
          <w:sz w:val="21"/>
          <w:szCs w:val="21"/>
        </w:rPr>
        <w:t>2</w:t>
      </w:r>
      <w:r>
        <w:rPr>
          <w:rFonts w:ascii="宋体" w:hAnsi="宋体" w:cs="宋体" w:eastAsia="宋体" w:hint="default"/>
          <w:sz w:val="21"/>
          <w:szCs w:val="21"/>
        </w:rPr>
        <w:t>直</w:t>
      </w:r>
      <w:r>
        <w:rPr>
          <w:rFonts w:ascii="Times New Roman" w:hAnsi="Times New Roman" w:cs="Times New Roman" w:eastAsia="Times New Roman" w:hint="default"/>
          <w:sz w:val="21"/>
          <w:szCs w:val="21"/>
        </w:rPr>
        <w:t>5</w:t>
      </w:r>
      <w:r>
        <w:rPr>
          <w:rFonts w:ascii="宋体" w:hAnsi="宋体" w:cs="宋体" w:eastAsia="宋体" w:hint="default"/>
          <w:sz w:val="21"/>
          <w:szCs w:val="21"/>
        </w:rPr>
        <w:t>交共</w:t>
      </w:r>
      <w:r>
        <w:rPr>
          <w:rFonts w:ascii="Times New Roman" w:hAnsi="Times New Roman" w:cs="Times New Roman" w:eastAsia="Times New Roman" w:hint="default"/>
          <w:sz w:val="21"/>
          <w:szCs w:val="21"/>
        </w:rPr>
        <w:t>7</w:t>
      </w:r>
      <w:r>
        <w:rPr>
          <w:rFonts w:ascii="宋体" w:hAnsi="宋体" w:cs="宋体" w:eastAsia="宋体" w:hint="default"/>
          <w:sz w:val="21"/>
          <w:szCs w:val="21"/>
        </w:rPr>
        <w:t>条特高压工程，力度超预期。特高压电网作为新型基础设施建设</w:t>
      </w:r>
      <w:r>
        <w:rPr>
          <w:rFonts w:ascii="宋体" w:hAnsi="宋体" w:cs="宋体" w:eastAsia="宋体" w:hint="default"/>
          <w:w w:val="99"/>
          <w:sz w:val="21"/>
          <w:szCs w:val="21"/>
        </w:rPr>
        <w:t> </w:t>
      </w:r>
      <w:r>
        <w:rPr>
          <w:rFonts w:ascii="宋体" w:hAnsi="宋体" w:cs="宋体" w:eastAsia="宋体" w:hint="default"/>
          <w:spacing w:val="-4"/>
          <w:sz w:val="21"/>
          <w:szCs w:val="21"/>
        </w:rPr>
        <w:t>的七大领域之一，将带动电网投资保持较大投入。</w:t>
      </w:r>
      <w:r>
        <w:rPr>
          <w:rFonts w:ascii="Times New Roman" w:hAnsi="Times New Roman" w:cs="Times New Roman" w:eastAsia="Times New Roman" w:hint="default"/>
          <w:spacing w:val="-4"/>
          <w:sz w:val="21"/>
          <w:szCs w:val="21"/>
        </w:rPr>
        <w:t>5G</w:t>
      </w:r>
      <w:r>
        <w:rPr>
          <w:rFonts w:ascii="宋体" w:hAnsi="宋体" w:cs="宋体" w:eastAsia="宋体" w:hint="default"/>
          <w:spacing w:val="-4"/>
          <w:sz w:val="21"/>
          <w:szCs w:val="21"/>
        </w:rPr>
        <w:t>产业的发展，或将带动通信线缆领域市场需求的增长。</w:t>
      </w:r>
    </w:p>
    <w:p>
      <w:pPr>
        <w:spacing w:before="191"/>
        <w:ind w:left="532" w:right="111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新材料领域</w:t>
      </w:r>
      <w:r>
        <w:rPr>
          <w:rFonts w:ascii="宋体" w:hAnsi="宋体" w:cs="宋体" w:eastAsia="宋体" w:hint="default"/>
          <w:sz w:val="21"/>
          <w:szCs w:val="21"/>
        </w:rPr>
      </w:r>
    </w:p>
    <w:p>
      <w:pPr>
        <w:spacing w:line="240" w:lineRule="auto" w:before="6"/>
        <w:rPr>
          <w:rFonts w:ascii="宋体" w:hAnsi="宋体" w:cs="宋体" w:eastAsia="宋体" w:hint="default"/>
          <w:b/>
          <w:bCs/>
          <w:sz w:val="25"/>
          <w:szCs w:val="25"/>
        </w:rPr>
      </w:pPr>
    </w:p>
    <w:p>
      <w:pPr>
        <w:spacing w:line="408" w:lineRule="auto" w:before="0"/>
        <w:ind w:left="112" w:right="1115" w:firstLine="420"/>
        <w:jc w:val="left"/>
        <w:rPr>
          <w:rFonts w:ascii="宋体" w:hAnsi="宋体" w:cs="宋体" w:eastAsia="宋体" w:hint="default"/>
          <w:sz w:val="21"/>
          <w:szCs w:val="21"/>
        </w:rPr>
      </w:pPr>
      <w:r>
        <w:rPr>
          <w:rFonts w:ascii="宋体" w:hAnsi="宋体" w:cs="宋体" w:eastAsia="宋体" w:hint="default"/>
          <w:w w:val="95"/>
          <w:sz w:val="21"/>
          <w:szCs w:val="21"/>
        </w:rPr>
        <w:t>绿色环保成为线缆材料发展趋势，市场开始逐步接受并积极应用环保型线缆材料，环保型电力电缆的</w:t>
      </w:r>
      <w:r>
        <w:rPr>
          <w:rFonts w:ascii="宋体" w:hAnsi="宋体" w:cs="宋体" w:eastAsia="宋体" w:hint="default"/>
          <w:w w:val="99"/>
          <w:sz w:val="21"/>
          <w:szCs w:val="21"/>
        </w:rPr>
        <w:t> </w:t>
      </w:r>
      <w:r>
        <w:rPr>
          <w:rFonts w:ascii="宋体" w:hAnsi="宋体" w:cs="宋体" w:eastAsia="宋体" w:hint="default"/>
          <w:sz w:val="21"/>
          <w:szCs w:val="21"/>
        </w:rPr>
        <w:t>使用率越来越高。无卤低烟阻燃聚烯烃线缆材料和交联聚乙烯线缆材料的市场份额持续提升。</w:t>
      </w:r>
    </w:p>
    <w:p>
      <w:pPr>
        <w:spacing w:line="240" w:lineRule="auto" w:before="6"/>
        <w:rPr>
          <w:rFonts w:ascii="宋体" w:hAnsi="宋体" w:cs="宋体" w:eastAsia="宋体" w:hint="default"/>
          <w:sz w:val="15"/>
          <w:szCs w:val="15"/>
        </w:rPr>
      </w:pPr>
    </w:p>
    <w:p>
      <w:pPr>
        <w:spacing w:line="408" w:lineRule="auto" w:before="0"/>
        <w:ind w:left="112" w:right="1130" w:firstLine="420"/>
        <w:jc w:val="both"/>
        <w:rPr>
          <w:rFonts w:ascii="宋体" w:hAnsi="宋体" w:cs="宋体" w:eastAsia="宋体" w:hint="default"/>
          <w:sz w:val="21"/>
          <w:szCs w:val="21"/>
        </w:rPr>
      </w:pPr>
      <w:r>
        <w:rPr>
          <w:rFonts w:ascii="宋体" w:hAnsi="宋体" w:cs="宋体" w:eastAsia="宋体" w:hint="default"/>
          <w:w w:val="95"/>
          <w:sz w:val="21"/>
          <w:szCs w:val="21"/>
        </w:rPr>
        <w:t>超光滑屏蔽料、抗水树电缆料、超高压直流电缆料等高端产品市场空间大，国内只有包括公司在内的</w:t>
      </w:r>
      <w:r>
        <w:rPr>
          <w:rFonts w:ascii="宋体" w:hAnsi="宋体" w:cs="宋体" w:eastAsia="宋体" w:hint="default"/>
          <w:w w:val="99"/>
          <w:sz w:val="21"/>
          <w:szCs w:val="21"/>
        </w:rPr>
        <w:t> </w:t>
      </w:r>
      <w:r>
        <w:rPr>
          <w:rFonts w:ascii="宋体" w:hAnsi="宋体" w:cs="宋体" w:eastAsia="宋体" w:hint="default"/>
          <w:w w:val="95"/>
          <w:sz w:val="21"/>
          <w:szCs w:val="21"/>
        </w:rPr>
        <w:t>少数厂家可以供货，大部分的市场份额还为国外厂商所占据。未来，我国在高端材料研发方面的发展空间</w:t>
      </w:r>
      <w:r>
        <w:rPr>
          <w:rFonts w:ascii="宋体" w:hAnsi="宋体" w:cs="宋体" w:eastAsia="宋体" w:hint="default"/>
          <w:spacing w:val="43"/>
          <w:w w:val="95"/>
          <w:sz w:val="21"/>
          <w:szCs w:val="21"/>
        </w:rPr>
        <w:t> </w:t>
      </w:r>
      <w:r>
        <w:rPr>
          <w:rFonts w:ascii="宋体" w:hAnsi="宋体" w:cs="宋体" w:eastAsia="宋体" w:hint="default"/>
          <w:spacing w:val="43"/>
          <w:w w:val="95"/>
          <w:sz w:val="21"/>
          <w:szCs w:val="21"/>
        </w:rPr>
      </w:r>
      <w:r>
        <w:rPr>
          <w:rFonts w:ascii="宋体" w:hAnsi="宋体" w:cs="宋体" w:eastAsia="宋体" w:hint="default"/>
          <w:sz w:val="21"/>
          <w:szCs w:val="21"/>
        </w:rPr>
        <w:t>还很大。</w:t>
      </w:r>
    </w:p>
    <w:p>
      <w:pPr>
        <w:spacing w:line="240" w:lineRule="auto" w:before="6"/>
        <w:rPr>
          <w:rFonts w:ascii="宋体" w:hAnsi="宋体" w:cs="宋体" w:eastAsia="宋体" w:hint="default"/>
          <w:sz w:val="15"/>
          <w:szCs w:val="15"/>
        </w:rPr>
      </w:pPr>
    </w:p>
    <w:p>
      <w:pPr>
        <w:spacing w:line="408" w:lineRule="auto" w:before="0"/>
        <w:ind w:left="112" w:right="1019" w:firstLine="420"/>
        <w:jc w:val="left"/>
        <w:rPr>
          <w:rFonts w:ascii="宋体" w:hAnsi="宋体" w:cs="宋体" w:eastAsia="宋体" w:hint="default"/>
          <w:sz w:val="21"/>
          <w:szCs w:val="21"/>
        </w:rPr>
      </w:pPr>
      <w:r>
        <w:rPr>
          <w:rFonts w:ascii="宋体" w:hAnsi="宋体" w:cs="宋体" w:eastAsia="宋体" w:hint="default"/>
          <w:spacing w:val="-3"/>
          <w:sz w:val="21"/>
          <w:szCs w:val="21"/>
        </w:rPr>
        <w:t>特种线缆材料发展前景广阔。核电、石油开采钻井、高速铁路、铁路信号电缆、船用电缆、汽车电线、</w:t>
      </w:r>
      <w:r>
        <w:rPr>
          <w:rFonts w:ascii="宋体" w:hAnsi="宋体" w:cs="宋体" w:eastAsia="宋体" w:hint="default"/>
          <w:w w:val="99"/>
          <w:sz w:val="21"/>
          <w:szCs w:val="21"/>
        </w:rPr>
        <w:t> </w:t>
      </w:r>
      <w:r>
        <w:rPr>
          <w:rFonts w:ascii="宋体" w:hAnsi="宋体" w:cs="宋体" w:eastAsia="宋体" w:hint="default"/>
          <w:sz w:val="21"/>
          <w:szCs w:val="21"/>
        </w:rPr>
        <w:t>矿用电缆、飞机电缆等特种电缆，需求每年高速增长。特种电缆市场的高速发展，将带动对特种线缆材料</w:t>
      </w:r>
      <w:r>
        <w:rPr>
          <w:rFonts w:ascii="宋体" w:hAnsi="宋体" w:cs="宋体" w:eastAsia="宋体" w:hint="default"/>
          <w:w w:val="99"/>
          <w:sz w:val="21"/>
          <w:szCs w:val="21"/>
        </w:rPr>
        <w:t> </w:t>
      </w:r>
      <w:r>
        <w:rPr>
          <w:rFonts w:ascii="宋体" w:hAnsi="宋体" w:cs="宋体" w:eastAsia="宋体" w:hint="default"/>
          <w:sz w:val="21"/>
          <w:szCs w:val="21"/>
        </w:rPr>
        <w:t>的大量需求。</w:t>
      </w:r>
    </w:p>
    <w:p>
      <w:pPr>
        <w:spacing w:line="240" w:lineRule="auto" w:before="6"/>
        <w:rPr>
          <w:rFonts w:ascii="宋体" w:hAnsi="宋体" w:cs="宋体" w:eastAsia="宋体" w:hint="default"/>
          <w:sz w:val="15"/>
          <w:szCs w:val="15"/>
        </w:rPr>
      </w:pPr>
    </w:p>
    <w:p>
      <w:pPr>
        <w:spacing w:before="0"/>
        <w:ind w:left="532" w:right="111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新能源领域</w:t>
      </w:r>
      <w:r>
        <w:rPr>
          <w:rFonts w:ascii="宋体" w:hAnsi="宋体" w:cs="宋体" w:eastAsia="宋体" w:hint="default"/>
          <w:sz w:val="21"/>
          <w:szCs w:val="21"/>
        </w:rPr>
      </w:r>
    </w:p>
    <w:p>
      <w:pPr>
        <w:spacing w:line="240" w:lineRule="auto" w:before="6"/>
        <w:rPr>
          <w:rFonts w:ascii="宋体" w:hAnsi="宋体" w:cs="宋体" w:eastAsia="宋体" w:hint="default"/>
          <w:b/>
          <w:bCs/>
          <w:sz w:val="25"/>
          <w:szCs w:val="25"/>
        </w:rPr>
      </w:pPr>
    </w:p>
    <w:p>
      <w:pPr>
        <w:spacing w:line="386" w:lineRule="auto" w:before="0"/>
        <w:ind w:left="112" w:right="1130" w:firstLine="420"/>
        <w:jc w:val="both"/>
        <w:rPr>
          <w:rFonts w:ascii="宋体" w:hAnsi="宋体" w:cs="宋体" w:eastAsia="宋体" w:hint="default"/>
          <w:sz w:val="21"/>
          <w:szCs w:val="21"/>
        </w:rPr>
      </w:pPr>
      <w:r>
        <w:rPr>
          <w:rFonts w:ascii="宋体" w:hAnsi="宋体" w:cs="宋体" w:eastAsia="宋体" w:hint="default"/>
          <w:w w:val="95"/>
          <w:sz w:val="21"/>
          <w:szCs w:val="21"/>
        </w:rPr>
        <w:t>截至</w:t>
      </w:r>
      <w:r>
        <w:rPr>
          <w:rFonts w:ascii="Times New Roman" w:hAnsi="Times New Roman" w:cs="Times New Roman" w:eastAsia="Times New Roman" w:hint="default"/>
          <w:w w:val="95"/>
          <w:sz w:val="21"/>
          <w:szCs w:val="21"/>
        </w:rPr>
        <w:t>2019</w:t>
      </w:r>
      <w:r>
        <w:rPr>
          <w:rFonts w:ascii="宋体" w:hAnsi="宋体" w:cs="宋体" w:eastAsia="宋体" w:hint="default"/>
          <w:w w:val="95"/>
          <w:sz w:val="21"/>
          <w:szCs w:val="21"/>
        </w:rPr>
        <w:t>年底，我国已建成充电桩</w:t>
      </w:r>
      <w:r>
        <w:rPr>
          <w:rFonts w:ascii="Times New Roman" w:hAnsi="Times New Roman" w:cs="Times New Roman" w:eastAsia="Times New Roman" w:hint="default"/>
          <w:w w:val="95"/>
          <w:sz w:val="21"/>
          <w:szCs w:val="21"/>
        </w:rPr>
        <w:t>121.91</w:t>
      </w:r>
      <w:r>
        <w:rPr>
          <w:rFonts w:ascii="宋体" w:hAnsi="宋体" w:cs="宋体" w:eastAsia="宋体" w:hint="default"/>
          <w:w w:val="95"/>
          <w:sz w:val="21"/>
          <w:szCs w:val="21"/>
        </w:rPr>
        <w:t>万台，其中公共充电桩仅</w:t>
      </w:r>
      <w:r>
        <w:rPr>
          <w:rFonts w:ascii="Times New Roman" w:hAnsi="Times New Roman" w:cs="Times New Roman" w:eastAsia="Times New Roman" w:hint="default"/>
          <w:w w:val="95"/>
          <w:sz w:val="21"/>
          <w:szCs w:val="21"/>
        </w:rPr>
        <w:t>51.64</w:t>
      </w:r>
      <w:r>
        <w:rPr>
          <w:rFonts w:ascii="宋体" w:hAnsi="宋体" w:cs="宋体" w:eastAsia="宋体" w:hint="default"/>
          <w:w w:val="95"/>
          <w:sz w:val="21"/>
          <w:szCs w:val="21"/>
        </w:rPr>
        <w:t>万台，充电桩建设需求仍有较</w:t>
      </w:r>
      <w:r>
        <w:rPr>
          <w:rFonts w:ascii="宋体" w:hAnsi="宋体" w:cs="宋体" w:eastAsia="宋体" w:hint="default"/>
          <w:w w:val="99"/>
          <w:sz w:val="21"/>
          <w:szCs w:val="21"/>
        </w:rPr>
        <w:t> </w:t>
      </w:r>
      <w:r>
        <w:rPr>
          <w:rFonts w:ascii="宋体" w:hAnsi="宋体" w:cs="宋体" w:eastAsia="宋体" w:hint="default"/>
          <w:w w:val="95"/>
          <w:sz w:val="21"/>
          <w:szCs w:val="21"/>
        </w:rPr>
        <w:t>大空间。据中国电动汽车充电基础设施促进联盟预测，</w:t>
      </w:r>
      <w:r>
        <w:rPr>
          <w:rFonts w:ascii="Times New Roman" w:hAnsi="Times New Roman" w:cs="Times New Roman" w:eastAsia="Times New Roman" w:hint="default"/>
          <w:w w:val="95"/>
          <w:sz w:val="21"/>
          <w:szCs w:val="21"/>
        </w:rPr>
        <w:t>2020</w:t>
      </w:r>
      <w:r>
        <w:rPr>
          <w:rFonts w:ascii="宋体" w:hAnsi="宋体" w:cs="宋体" w:eastAsia="宋体" w:hint="default"/>
          <w:w w:val="95"/>
          <w:sz w:val="21"/>
          <w:szCs w:val="21"/>
        </w:rPr>
        <w:t>年，我国将新增充电桩</w:t>
      </w:r>
      <w:r>
        <w:rPr>
          <w:rFonts w:ascii="Times New Roman" w:hAnsi="Times New Roman" w:cs="Times New Roman" w:eastAsia="Times New Roman" w:hint="default"/>
          <w:w w:val="95"/>
          <w:sz w:val="21"/>
          <w:szCs w:val="21"/>
        </w:rPr>
        <w:t>45</w:t>
      </w:r>
      <w:r>
        <w:rPr>
          <w:rFonts w:ascii="宋体" w:hAnsi="宋体" w:cs="宋体" w:eastAsia="宋体" w:hint="default"/>
          <w:w w:val="95"/>
          <w:sz w:val="21"/>
          <w:szCs w:val="21"/>
        </w:rPr>
        <w:t>万台，其中私人充电</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sz w:val="21"/>
          <w:szCs w:val="21"/>
        </w:rPr>
        <w:t>桩约</w:t>
      </w:r>
      <w:r>
        <w:rPr>
          <w:rFonts w:ascii="Times New Roman" w:hAnsi="Times New Roman" w:cs="Times New Roman" w:eastAsia="Times New Roman" w:hint="default"/>
          <w:sz w:val="21"/>
          <w:szCs w:val="21"/>
        </w:rPr>
        <w:t>30</w:t>
      </w:r>
      <w:r>
        <w:rPr>
          <w:rFonts w:ascii="宋体" w:hAnsi="宋体" w:cs="宋体" w:eastAsia="宋体" w:hint="default"/>
          <w:sz w:val="21"/>
          <w:szCs w:val="21"/>
        </w:rPr>
        <w:t>万台，公共充电桩约</w:t>
      </w:r>
      <w:r>
        <w:rPr>
          <w:rFonts w:ascii="Times New Roman" w:hAnsi="Times New Roman" w:cs="Times New Roman" w:eastAsia="Times New Roman" w:hint="default"/>
          <w:sz w:val="21"/>
          <w:szCs w:val="21"/>
        </w:rPr>
        <w:t>15</w:t>
      </w:r>
      <w:r>
        <w:rPr>
          <w:rFonts w:ascii="宋体" w:hAnsi="宋体" w:cs="宋体" w:eastAsia="宋体" w:hint="default"/>
          <w:sz w:val="21"/>
          <w:szCs w:val="21"/>
        </w:rPr>
        <w:t>万台。</w:t>
      </w:r>
    </w:p>
    <w:p>
      <w:pPr>
        <w:spacing w:line="393" w:lineRule="auto" w:before="191"/>
        <w:ind w:left="112" w:right="0"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2020</w:t>
      </w:r>
      <w:r>
        <w:rPr>
          <w:rFonts w:ascii="宋体" w:hAnsi="宋体" w:cs="宋体" w:eastAsia="宋体" w:hint="default"/>
          <w:sz w:val="21"/>
          <w:szCs w:val="21"/>
        </w:rPr>
        <w:t>年初，国家多部门推出促进汽车消费的组合政策。发改委产业发展司副司长蔡荣华表示，新能源</w:t>
      </w:r>
      <w:r>
        <w:rPr>
          <w:rFonts w:ascii="宋体" w:hAnsi="宋体" w:cs="宋体" w:eastAsia="宋体" w:hint="default"/>
          <w:w w:val="99"/>
          <w:sz w:val="21"/>
          <w:szCs w:val="21"/>
        </w:rPr>
        <w:t> </w:t>
      </w:r>
      <w:r>
        <w:rPr>
          <w:rFonts w:ascii="宋体" w:hAnsi="宋体" w:cs="宋体" w:eastAsia="宋体" w:hint="default"/>
          <w:sz w:val="21"/>
          <w:szCs w:val="21"/>
        </w:rPr>
        <w:t>汽车的发展离不开充电设施的支撑，目前一些充电设施建设项目已陆续开工，预计今年全年能够完成投资</w:t>
      </w:r>
      <w:r>
        <w:rPr>
          <w:rFonts w:ascii="宋体" w:hAnsi="宋体" w:cs="宋体" w:eastAsia="宋体" w:hint="default"/>
          <w:w w:val="99"/>
          <w:sz w:val="21"/>
          <w:szCs w:val="21"/>
        </w:rPr>
        <w:t> </w:t>
      </w:r>
      <w:r>
        <w:rPr>
          <w:rFonts w:ascii="Times New Roman" w:hAnsi="Times New Roman" w:cs="Times New Roman" w:eastAsia="Times New Roman" w:hint="default"/>
          <w:w w:val="95"/>
          <w:sz w:val="21"/>
          <w:szCs w:val="21"/>
        </w:rPr>
        <w:t>100</w:t>
      </w:r>
      <w:r>
        <w:rPr>
          <w:rFonts w:ascii="宋体" w:hAnsi="宋体" w:cs="宋体" w:eastAsia="宋体" w:hint="default"/>
          <w:w w:val="95"/>
          <w:sz w:val="21"/>
          <w:szCs w:val="21"/>
        </w:rPr>
        <w:t>亿元左右。财政部经济建设司司长孙光奇表示，下一步将优化充电设施的奖补政策，调动地方积极性，</w:t>
      </w:r>
      <w:r>
        <w:rPr>
          <w:rFonts w:ascii="宋体" w:hAnsi="宋体" w:cs="宋体" w:eastAsia="宋体" w:hint="default"/>
          <w:spacing w:val="46"/>
          <w:w w:val="95"/>
          <w:sz w:val="21"/>
          <w:szCs w:val="21"/>
        </w:rPr>
        <w:t> </w:t>
      </w:r>
      <w:r>
        <w:rPr>
          <w:rFonts w:ascii="宋体" w:hAnsi="宋体" w:cs="宋体" w:eastAsia="宋体" w:hint="default"/>
          <w:spacing w:val="46"/>
          <w:w w:val="95"/>
          <w:sz w:val="21"/>
          <w:szCs w:val="21"/>
        </w:rPr>
      </w:r>
      <w:r>
        <w:rPr>
          <w:rFonts w:ascii="宋体" w:hAnsi="宋体" w:cs="宋体" w:eastAsia="宋体" w:hint="default"/>
          <w:spacing w:val="-3"/>
          <w:sz w:val="21"/>
          <w:szCs w:val="21"/>
        </w:rPr>
        <w:t>加快建设进程，尽快改变车多桩少的局面。预计</w:t>
      </w:r>
      <w:r>
        <w:rPr>
          <w:rFonts w:ascii="Times New Roman" w:hAnsi="Times New Roman" w:cs="Times New Roman" w:eastAsia="Times New Roman" w:hint="default"/>
          <w:spacing w:val="-3"/>
          <w:sz w:val="21"/>
          <w:szCs w:val="21"/>
        </w:rPr>
        <w:t>2020</w:t>
      </w:r>
      <w:r>
        <w:rPr>
          <w:rFonts w:ascii="宋体" w:hAnsi="宋体" w:cs="宋体" w:eastAsia="宋体" w:hint="default"/>
          <w:spacing w:val="-3"/>
          <w:sz w:val="21"/>
          <w:szCs w:val="21"/>
        </w:rPr>
        <w:t>年，充电设备市场需求空间较大，投建运营需求增长。</w:t>
      </w:r>
    </w:p>
    <w:p>
      <w:pPr>
        <w:spacing w:line="544" w:lineRule="auto" w:before="184"/>
        <w:ind w:left="532" w:right="3554" w:firstLine="2"/>
        <w:jc w:val="left"/>
        <w:rPr>
          <w:rFonts w:ascii="宋体" w:hAnsi="宋体" w:cs="宋体" w:eastAsia="宋体" w:hint="default"/>
          <w:sz w:val="21"/>
          <w:szCs w:val="21"/>
        </w:rPr>
      </w:pPr>
      <w:r>
        <w:rPr>
          <w:rFonts w:ascii="宋体" w:hAnsi="宋体" w:cs="宋体" w:eastAsia="宋体" w:hint="default"/>
          <w:b/>
          <w:bCs/>
          <w:sz w:val="21"/>
          <w:szCs w:val="21"/>
        </w:rPr>
        <w:t>（二）公司发展战略</w:t>
      </w:r>
      <w:r>
        <w:rPr>
          <w:rFonts w:ascii="宋体" w:hAnsi="宋体" w:cs="宋体" w:eastAsia="宋体" w:hint="default"/>
          <w:b/>
          <w:bCs/>
          <w:w w:val="99"/>
          <w:sz w:val="21"/>
          <w:szCs w:val="21"/>
        </w:rPr>
        <w:t> </w:t>
      </w:r>
      <w:r>
        <w:rPr>
          <w:rFonts w:ascii="宋体" w:hAnsi="宋体" w:cs="宋体" w:eastAsia="宋体" w:hint="default"/>
          <w:w w:val="95"/>
          <w:sz w:val="21"/>
          <w:szCs w:val="21"/>
        </w:rPr>
        <w:t>公司的战略目标：立足线缆主业，力拓新材料业务，持续投资新能源产业。</w:t>
      </w:r>
      <w:r>
        <w:rPr>
          <w:rFonts w:ascii="宋体" w:hAnsi="宋体" w:cs="宋体" w:eastAsia="宋体" w:hint="default"/>
          <w:sz w:val="21"/>
          <w:szCs w:val="21"/>
        </w:rPr>
      </w:r>
    </w:p>
    <w:p>
      <w:pPr>
        <w:spacing w:line="386" w:lineRule="auto" w:before="82"/>
        <w:ind w:left="112" w:right="1115" w:firstLine="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线缆业务：精细管理。</w:t>
      </w:r>
      <w:r>
        <w:rPr>
          <w:rFonts w:ascii="宋体" w:hAnsi="宋体" w:cs="宋体" w:eastAsia="宋体" w:hint="default"/>
          <w:sz w:val="21"/>
          <w:szCs w:val="21"/>
        </w:rPr>
        <w:t>以客户需求为导向，丰富产品线，加强市场响应能力，匠心制造，严把质量</w:t>
      </w:r>
      <w:r>
        <w:rPr>
          <w:rFonts w:ascii="宋体" w:hAnsi="宋体" w:cs="宋体" w:eastAsia="宋体" w:hint="default"/>
          <w:w w:val="99"/>
          <w:sz w:val="21"/>
          <w:szCs w:val="21"/>
        </w:rPr>
        <w:t> </w:t>
      </w:r>
      <w:r>
        <w:rPr>
          <w:rFonts w:ascii="宋体" w:hAnsi="宋体" w:cs="宋体" w:eastAsia="宋体" w:hint="default"/>
          <w:sz w:val="21"/>
          <w:szCs w:val="21"/>
        </w:rPr>
        <w:t>关，控制经营风险、降低运营成本、提升盈利能力。</w:t>
      </w:r>
    </w:p>
    <w:p>
      <w:pPr>
        <w:spacing w:line="240" w:lineRule="auto" w:before="12"/>
        <w:rPr>
          <w:rFonts w:ascii="宋体" w:hAnsi="宋体" w:cs="宋体" w:eastAsia="宋体" w:hint="default"/>
          <w:sz w:val="16"/>
          <w:szCs w:val="16"/>
        </w:rPr>
      </w:pPr>
    </w:p>
    <w:p>
      <w:pPr>
        <w:spacing w:line="386" w:lineRule="auto" w:before="0"/>
        <w:ind w:left="112" w:right="1115" w:firstLine="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新材料业务：重点发展。</w:t>
      </w:r>
      <w:r>
        <w:rPr>
          <w:rFonts w:ascii="宋体" w:hAnsi="宋体" w:cs="宋体" w:eastAsia="宋体" w:hint="default"/>
          <w:sz w:val="21"/>
          <w:szCs w:val="21"/>
        </w:rPr>
        <w:t>贴近客户组织生产，推动制造、销售及服务等本地化；重研发，推动产品</w:t>
      </w:r>
      <w:r>
        <w:rPr>
          <w:rFonts w:ascii="宋体" w:hAnsi="宋体" w:cs="宋体" w:eastAsia="宋体" w:hint="default"/>
          <w:w w:val="99"/>
          <w:sz w:val="21"/>
          <w:szCs w:val="21"/>
        </w:rPr>
        <w:t> </w:t>
      </w:r>
      <w:r>
        <w:rPr>
          <w:rFonts w:ascii="宋体" w:hAnsi="宋体" w:cs="宋体" w:eastAsia="宋体" w:hint="default"/>
          <w:sz w:val="21"/>
          <w:szCs w:val="21"/>
        </w:rPr>
        <w:t>技术专业化；服务市场，内部运营管理精细化；拓展国际市场，逐步实现国际化。</w:t>
      </w:r>
    </w:p>
    <w:p>
      <w:pPr>
        <w:spacing w:after="0" w:line="386" w:lineRule="auto"/>
        <w:jc w:val="left"/>
        <w:rPr>
          <w:rFonts w:ascii="宋体" w:hAnsi="宋体" w:cs="宋体" w:eastAsia="宋体" w:hint="default"/>
          <w:sz w:val="21"/>
          <w:szCs w:val="21"/>
        </w:rPr>
        <w:sectPr>
          <w:pgSz w:w="11910" w:h="16840"/>
          <w:pgMar w:header="890" w:footer="1053" w:top="1420" w:bottom="1240" w:left="1020" w:right="0"/>
        </w:sectPr>
      </w:pPr>
    </w:p>
    <w:p>
      <w:pPr>
        <w:spacing w:line="398" w:lineRule="auto" w:before="120"/>
        <w:ind w:left="112" w:right="1028" w:firstLine="420"/>
        <w:jc w:val="left"/>
        <w:rPr>
          <w:rFonts w:ascii="宋体" w:hAnsi="宋体" w:cs="宋体" w:eastAsia="宋体" w:hint="default"/>
          <w:sz w:val="21"/>
          <w:szCs w:val="21"/>
        </w:rPr>
      </w:pPr>
      <w:r>
        <w:rPr>
          <w:rFonts w:ascii="Times New Roman" w:hAnsi="Times New Roman" w:cs="Times New Roman" w:eastAsia="Times New Roman" w:hint="default"/>
          <w:b/>
          <w:bCs/>
          <w:spacing w:val="-1"/>
          <w:w w:val="95"/>
          <w:sz w:val="21"/>
          <w:szCs w:val="21"/>
        </w:rPr>
        <w:t>3.</w:t>
      </w:r>
      <w:r>
        <w:rPr>
          <w:rFonts w:ascii="宋体" w:hAnsi="宋体" w:cs="宋体" w:eastAsia="宋体" w:hint="default"/>
          <w:b/>
          <w:bCs/>
          <w:spacing w:val="-1"/>
          <w:w w:val="95"/>
          <w:sz w:val="21"/>
          <w:szCs w:val="21"/>
        </w:rPr>
        <w:t>新能源业务：售建结合。</w:t>
      </w:r>
      <w:r>
        <w:rPr>
          <w:rFonts w:ascii="宋体" w:hAnsi="宋体" w:cs="宋体" w:eastAsia="宋体" w:hint="default"/>
          <w:spacing w:val="-1"/>
          <w:w w:val="95"/>
          <w:sz w:val="21"/>
          <w:szCs w:val="21"/>
        </w:rPr>
        <w:t>推动现有场站精细化运营，有序投建城市充电站，提高城市公司盈利能力，</w:t>
      </w:r>
      <w:r>
        <w:rPr>
          <w:rFonts w:ascii="宋体" w:hAnsi="宋体" w:cs="宋体" w:eastAsia="宋体" w:hint="default"/>
          <w:spacing w:val="-97"/>
          <w:w w:val="95"/>
          <w:sz w:val="21"/>
          <w:szCs w:val="21"/>
        </w:rPr>
        <w:t> </w:t>
      </w:r>
      <w:r>
        <w:rPr>
          <w:rFonts w:ascii="宋体" w:hAnsi="宋体" w:cs="宋体" w:eastAsia="宋体" w:hint="default"/>
          <w:spacing w:val="-97"/>
          <w:w w:val="95"/>
          <w:sz w:val="21"/>
          <w:szCs w:val="21"/>
        </w:rPr>
      </w:r>
      <w:r>
        <w:rPr>
          <w:rFonts w:ascii="宋体" w:hAnsi="宋体" w:cs="宋体" w:eastAsia="宋体" w:hint="default"/>
          <w:sz w:val="21"/>
          <w:szCs w:val="21"/>
        </w:rPr>
        <w:t>提升平台运营服务水平。同时结合售桩和代运营业务，在增加城市快充网密度的同时，增加新的利润增长</w:t>
      </w:r>
      <w:r>
        <w:rPr>
          <w:rFonts w:ascii="宋体" w:hAnsi="宋体" w:cs="宋体" w:eastAsia="宋体" w:hint="default"/>
          <w:w w:val="99"/>
          <w:sz w:val="21"/>
          <w:szCs w:val="21"/>
        </w:rPr>
        <w:t> </w:t>
      </w:r>
      <w:r>
        <w:rPr>
          <w:rFonts w:ascii="宋体" w:hAnsi="宋体" w:cs="宋体" w:eastAsia="宋体" w:hint="default"/>
          <w:sz w:val="21"/>
          <w:szCs w:val="21"/>
        </w:rPr>
        <w:t>点。</w:t>
      </w:r>
    </w:p>
    <w:p>
      <w:pPr>
        <w:spacing w:line="240" w:lineRule="auto" w:before="1"/>
        <w:rPr>
          <w:rFonts w:ascii="宋体" w:hAnsi="宋体" w:cs="宋体" w:eastAsia="宋体" w:hint="default"/>
          <w:sz w:val="16"/>
          <w:szCs w:val="16"/>
        </w:rPr>
      </w:pPr>
    </w:p>
    <w:p>
      <w:pPr>
        <w:spacing w:before="0"/>
        <w:ind w:left="532" w:right="111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以公司发展战略为指导，围绕主营业务，多渠道推动产业持续健康发展。</w:t>
      </w:r>
    </w:p>
    <w:p>
      <w:pPr>
        <w:spacing w:line="624" w:lineRule="exact" w:before="79"/>
        <w:ind w:left="532" w:right="1115" w:firstLine="2"/>
        <w:jc w:val="left"/>
        <w:rPr>
          <w:rFonts w:ascii="宋体" w:hAnsi="宋体" w:cs="宋体" w:eastAsia="宋体" w:hint="default"/>
          <w:sz w:val="21"/>
          <w:szCs w:val="21"/>
        </w:rPr>
      </w:pPr>
      <w:r>
        <w:rPr>
          <w:rFonts w:ascii="宋体" w:hAnsi="宋体" w:cs="宋体" w:eastAsia="宋体" w:hint="default"/>
          <w:b/>
          <w:bCs/>
          <w:sz w:val="21"/>
          <w:szCs w:val="21"/>
        </w:rPr>
        <w:t>（三）经营计划</w:t>
      </w:r>
      <w:r>
        <w:rPr>
          <w:rFonts w:ascii="宋体" w:hAnsi="宋体" w:cs="宋体" w:eastAsia="宋体" w:hint="default"/>
          <w:b/>
          <w:bCs/>
          <w:w w:val="99"/>
          <w:sz w:val="21"/>
          <w:szCs w:val="21"/>
        </w:rPr>
        <w:t> </w:t>
      </w:r>
      <w:r>
        <w:rPr>
          <w:rFonts w:ascii="宋体" w:hAnsi="宋体" w:cs="宋体" w:eastAsia="宋体" w:hint="default"/>
          <w:spacing w:val="-5"/>
          <w:sz w:val="21"/>
          <w:szCs w:val="21"/>
        </w:rPr>
        <w:t>2019年，公司实现营业收入97.45亿元，完成年度预算目标的102%，归属于上市公司股东的净利润</w:t>
      </w:r>
      <w:r>
        <w:rPr>
          <w:rFonts w:ascii="宋体" w:hAnsi="宋体" w:cs="宋体" w:eastAsia="宋体" w:hint="default"/>
          <w:spacing w:val="-7"/>
          <w:sz w:val="21"/>
          <w:szCs w:val="21"/>
        </w:rPr>
        <w:t> </w:t>
      </w:r>
      <w:r>
        <w:rPr>
          <w:rFonts w:ascii="宋体" w:hAnsi="宋体" w:cs="宋体" w:eastAsia="宋体" w:hint="default"/>
          <w:sz w:val="21"/>
          <w:szCs w:val="21"/>
        </w:rPr>
        <w:t>2.21</w:t>
      </w:r>
    </w:p>
    <w:p>
      <w:pPr>
        <w:spacing w:before="98"/>
        <w:ind w:left="112" w:right="1115" w:firstLine="0"/>
        <w:jc w:val="left"/>
        <w:rPr>
          <w:rFonts w:ascii="宋体" w:hAnsi="宋体" w:cs="宋体" w:eastAsia="宋体" w:hint="default"/>
          <w:sz w:val="21"/>
          <w:szCs w:val="21"/>
        </w:rPr>
      </w:pPr>
      <w:r>
        <w:rPr>
          <w:rFonts w:ascii="宋体" w:hAnsi="宋体" w:cs="宋体" w:eastAsia="宋体" w:hint="default"/>
          <w:sz w:val="21"/>
          <w:szCs w:val="21"/>
        </w:rPr>
        <w:t>亿元，较上年增长97.72%，经营业绩向好。</w:t>
      </w:r>
    </w:p>
    <w:p>
      <w:pPr>
        <w:spacing w:line="240" w:lineRule="auto" w:before="9"/>
        <w:rPr>
          <w:rFonts w:ascii="宋体" w:hAnsi="宋体" w:cs="宋体" w:eastAsia="宋体" w:hint="default"/>
          <w:sz w:val="26"/>
          <w:szCs w:val="26"/>
        </w:rPr>
      </w:pPr>
    </w:p>
    <w:p>
      <w:pPr>
        <w:spacing w:line="408" w:lineRule="auto" w:before="0"/>
        <w:ind w:left="112" w:right="1132" w:firstLine="420"/>
        <w:jc w:val="both"/>
        <w:rPr>
          <w:rFonts w:ascii="宋体" w:hAnsi="宋体" w:cs="宋体" w:eastAsia="宋体" w:hint="default"/>
          <w:sz w:val="21"/>
          <w:szCs w:val="21"/>
        </w:rPr>
      </w:pPr>
      <w:r>
        <w:rPr>
          <w:rFonts w:ascii="宋体" w:hAnsi="宋体" w:cs="宋体" w:eastAsia="宋体" w:hint="default"/>
          <w:spacing w:val="-3"/>
          <w:sz w:val="21"/>
          <w:szCs w:val="21"/>
        </w:rPr>
        <w:t>2020年，根据公司战略目标，结合新的经济形势和公司经营实际，力争实现营业收入100亿元目标（该</w:t>
      </w:r>
      <w:r>
        <w:rPr>
          <w:rFonts w:ascii="宋体" w:hAnsi="宋体" w:cs="宋体" w:eastAsia="宋体" w:hint="default"/>
          <w:w w:val="99"/>
          <w:sz w:val="21"/>
          <w:szCs w:val="21"/>
        </w:rPr>
        <w:t> </w:t>
      </w:r>
      <w:r>
        <w:rPr>
          <w:rFonts w:ascii="宋体" w:hAnsi="宋体" w:cs="宋体" w:eastAsia="宋体" w:hint="default"/>
          <w:w w:val="95"/>
          <w:sz w:val="21"/>
          <w:szCs w:val="21"/>
        </w:rPr>
        <w:t>经营目标并不代表公司对2020年度的盈利预测，能否实现取决于市场状况变化、经营团队的努力程度等多</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z w:val="21"/>
          <w:szCs w:val="21"/>
        </w:rPr>
        <w:t>种因素，存在很大的不确定性，请投资者特别注意）。</w:t>
      </w:r>
    </w:p>
    <w:p>
      <w:pPr>
        <w:spacing w:line="240" w:lineRule="auto" w:before="6"/>
        <w:rPr>
          <w:rFonts w:ascii="宋体" w:hAnsi="宋体" w:cs="宋体" w:eastAsia="宋体" w:hint="default"/>
          <w:sz w:val="15"/>
          <w:szCs w:val="15"/>
        </w:rPr>
      </w:pPr>
    </w:p>
    <w:p>
      <w:pPr>
        <w:spacing w:line="408" w:lineRule="auto" w:before="0"/>
        <w:ind w:left="112" w:right="1131" w:firstLine="420"/>
        <w:jc w:val="both"/>
        <w:rPr>
          <w:rFonts w:ascii="宋体" w:hAnsi="宋体" w:cs="宋体" w:eastAsia="宋体" w:hint="default"/>
          <w:sz w:val="21"/>
          <w:szCs w:val="21"/>
        </w:rPr>
      </w:pPr>
      <w:r>
        <w:rPr>
          <w:rFonts w:ascii="宋体" w:hAnsi="宋体" w:cs="宋体" w:eastAsia="宋体" w:hint="default"/>
          <w:spacing w:val="-5"/>
          <w:sz w:val="21"/>
          <w:szCs w:val="21"/>
        </w:rPr>
        <w:t>2020年，全球经济形势不确定性增加，我国经济下行压力加大，经济运行面临的困难和风险增多。2020</w:t>
      </w:r>
      <w:r>
        <w:rPr>
          <w:rFonts w:ascii="宋体" w:hAnsi="宋体" w:cs="宋体" w:eastAsia="宋体" w:hint="default"/>
          <w:w w:val="99"/>
          <w:sz w:val="21"/>
          <w:szCs w:val="21"/>
        </w:rPr>
        <w:t> </w:t>
      </w:r>
      <w:r>
        <w:rPr>
          <w:rFonts w:ascii="宋体" w:hAnsi="宋体" w:cs="宋体" w:eastAsia="宋体" w:hint="default"/>
          <w:w w:val="95"/>
          <w:sz w:val="21"/>
          <w:szCs w:val="21"/>
        </w:rPr>
        <w:t>年，公司将审时度势，稳健经营，勤练内功，狠抓精细管理，加大应收账款及风险管控力度，细化客户管</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z w:val="21"/>
          <w:szCs w:val="21"/>
        </w:rPr>
        <w:t>理方案，保持合理充足的现金流，关注员工健康和安全，关注环境保护，实现可持续发展。</w:t>
      </w:r>
    </w:p>
    <w:p>
      <w:pPr>
        <w:spacing w:line="240" w:lineRule="auto" w:before="6"/>
        <w:rPr>
          <w:rFonts w:ascii="宋体" w:hAnsi="宋体" w:cs="宋体" w:eastAsia="宋体" w:hint="default"/>
          <w:sz w:val="15"/>
          <w:szCs w:val="15"/>
        </w:rPr>
      </w:pPr>
    </w:p>
    <w:p>
      <w:pPr>
        <w:spacing w:before="0"/>
        <w:ind w:left="535" w:right="1115" w:firstLine="0"/>
        <w:jc w:val="left"/>
        <w:rPr>
          <w:rFonts w:ascii="宋体" w:hAnsi="宋体" w:cs="宋体" w:eastAsia="宋体" w:hint="default"/>
          <w:sz w:val="21"/>
          <w:szCs w:val="21"/>
        </w:rPr>
      </w:pPr>
      <w:r>
        <w:rPr>
          <w:rFonts w:ascii="宋体" w:hAnsi="宋体" w:cs="宋体" w:eastAsia="宋体" w:hint="default"/>
          <w:b/>
          <w:bCs/>
          <w:sz w:val="21"/>
          <w:szCs w:val="21"/>
        </w:rPr>
        <w:t>（四）因维持当前业务并完成在建投资项目公司所需的资金需求</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405" w:lineRule="auto" w:before="0"/>
        <w:ind w:left="112" w:right="1025"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2020</w:t>
      </w:r>
      <w:r>
        <w:rPr>
          <w:rFonts w:ascii="宋体" w:hAnsi="宋体" w:cs="宋体" w:eastAsia="宋体" w:hint="default"/>
          <w:sz w:val="21"/>
          <w:szCs w:val="21"/>
        </w:rPr>
        <w:t>年度，为满足公司经营发展和资本支出的需要，并结合企业年度经营计划，公司将积极采取诸如</w:t>
      </w:r>
      <w:r>
        <w:rPr>
          <w:rFonts w:ascii="宋体" w:hAnsi="宋体" w:cs="宋体" w:eastAsia="宋体" w:hint="default"/>
          <w:w w:val="99"/>
          <w:sz w:val="21"/>
          <w:szCs w:val="21"/>
        </w:rPr>
        <w:t> </w:t>
      </w:r>
      <w:r>
        <w:rPr>
          <w:rFonts w:ascii="宋体" w:hAnsi="宋体" w:cs="宋体" w:eastAsia="宋体" w:hint="default"/>
          <w:sz w:val="21"/>
          <w:szCs w:val="21"/>
        </w:rPr>
        <w:t>银行债务融资、银行间交易市场融资和债券融资等多种融资方式结合的形式，取得资金成本较低的外部资</w:t>
      </w:r>
      <w:r>
        <w:rPr>
          <w:rFonts w:ascii="宋体" w:hAnsi="宋体" w:cs="宋体" w:eastAsia="宋体" w:hint="default"/>
          <w:w w:val="99"/>
          <w:sz w:val="21"/>
          <w:szCs w:val="21"/>
        </w:rPr>
        <w:t> </w:t>
      </w:r>
      <w:r>
        <w:rPr>
          <w:rFonts w:ascii="宋体" w:hAnsi="宋体" w:cs="宋体" w:eastAsia="宋体" w:hint="default"/>
          <w:sz w:val="21"/>
          <w:szCs w:val="21"/>
        </w:rPr>
        <w:t>金，更好的满足企业持续发展的需要。除此之外，公司将继续加强对下属公司的财务管理和风险控制，全</w:t>
      </w:r>
      <w:r>
        <w:rPr>
          <w:rFonts w:ascii="宋体" w:hAnsi="宋体" w:cs="宋体" w:eastAsia="宋体" w:hint="default"/>
          <w:w w:val="99"/>
          <w:sz w:val="21"/>
          <w:szCs w:val="21"/>
        </w:rPr>
        <w:t> </w:t>
      </w:r>
      <w:r>
        <w:rPr>
          <w:rFonts w:ascii="宋体" w:hAnsi="宋体" w:cs="宋体" w:eastAsia="宋体" w:hint="default"/>
          <w:sz w:val="21"/>
          <w:szCs w:val="21"/>
        </w:rPr>
        <w:t>面实现预算管理的各项指标并优化，进一步加强应收账款管理，运用合适的供应链金融工具，提高资金使</w:t>
      </w:r>
      <w:r>
        <w:rPr>
          <w:rFonts w:ascii="宋体" w:hAnsi="宋体" w:cs="宋体" w:eastAsia="宋体" w:hint="default"/>
          <w:w w:val="99"/>
          <w:sz w:val="21"/>
          <w:szCs w:val="21"/>
        </w:rPr>
        <w:t> </w:t>
      </w:r>
      <w:r>
        <w:rPr>
          <w:rFonts w:ascii="宋体" w:hAnsi="宋体" w:cs="宋体" w:eastAsia="宋体" w:hint="default"/>
          <w:spacing w:val="-3"/>
          <w:sz w:val="21"/>
          <w:szCs w:val="21"/>
        </w:rPr>
        <w:t>用效率，降低融资成本，改善经营性现金流，优化企业债务结构，确保公司全年生产经营目标的顺利实现。</w:t>
      </w:r>
      <w:r>
        <w:rPr>
          <w:rFonts w:ascii="宋体" w:hAnsi="宋体" w:cs="宋体" w:eastAsia="宋体" w:hint="default"/>
          <w:w w:val="99"/>
          <w:sz w:val="21"/>
          <w:szCs w:val="21"/>
        </w:rPr>
        <w:t> </w:t>
      </w:r>
      <w:r>
        <w:rPr>
          <w:rFonts w:ascii="宋体" w:hAnsi="宋体" w:cs="宋体" w:eastAsia="宋体" w:hint="default"/>
          <w:sz w:val="21"/>
          <w:szCs w:val="21"/>
        </w:rPr>
        <w:t>资金成本受国家货币政策、本单位资信状况、银行关系以及融资方式等多种因素的影响，存在一定的不确</w:t>
      </w:r>
      <w:r>
        <w:rPr>
          <w:rFonts w:ascii="宋体" w:hAnsi="宋体" w:cs="宋体" w:eastAsia="宋体" w:hint="default"/>
          <w:w w:val="99"/>
          <w:sz w:val="21"/>
          <w:szCs w:val="21"/>
        </w:rPr>
        <w:t> </w:t>
      </w:r>
      <w:r>
        <w:rPr>
          <w:rFonts w:ascii="宋体" w:hAnsi="宋体" w:cs="宋体" w:eastAsia="宋体" w:hint="default"/>
          <w:sz w:val="21"/>
          <w:szCs w:val="21"/>
        </w:rPr>
        <w:t>定性，敬请投资者关注风险。</w:t>
      </w:r>
    </w:p>
    <w:p>
      <w:pPr>
        <w:spacing w:line="240" w:lineRule="auto" w:before="8"/>
        <w:rPr>
          <w:rFonts w:ascii="宋体" w:hAnsi="宋体" w:cs="宋体" w:eastAsia="宋体" w:hint="default"/>
          <w:sz w:val="15"/>
          <w:szCs w:val="15"/>
        </w:rPr>
      </w:pPr>
    </w:p>
    <w:p>
      <w:pPr>
        <w:spacing w:before="0"/>
        <w:ind w:left="535" w:right="1115" w:firstLine="0"/>
        <w:jc w:val="left"/>
        <w:rPr>
          <w:rFonts w:ascii="宋体" w:hAnsi="宋体" w:cs="宋体" w:eastAsia="宋体" w:hint="default"/>
          <w:sz w:val="21"/>
          <w:szCs w:val="21"/>
        </w:rPr>
      </w:pPr>
      <w:r>
        <w:rPr>
          <w:rFonts w:ascii="宋体" w:hAnsi="宋体" w:cs="宋体" w:eastAsia="宋体" w:hint="default"/>
          <w:b/>
          <w:bCs/>
          <w:sz w:val="21"/>
          <w:szCs w:val="21"/>
        </w:rPr>
        <w:t>（五）风险因素</w:t>
      </w:r>
      <w:r>
        <w:rPr>
          <w:rFonts w:ascii="宋体" w:hAnsi="宋体" w:cs="宋体" w:eastAsia="宋体" w:hint="default"/>
          <w:sz w:val="21"/>
          <w:szCs w:val="21"/>
        </w:rPr>
      </w:r>
    </w:p>
    <w:p>
      <w:pPr>
        <w:spacing w:line="610" w:lineRule="atLeast" w:before="30"/>
        <w:ind w:left="532" w:right="111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行业政策性风险</w:t>
      </w:r>
      <w:r>
        <w:rPr>
          <w:rFonts w:ascii="宋体" w:hAnsi="宋体" w:cs="宋体" w:eastAsia="宋体" w:hint="default"/>
          <w:b/>
          <w:bCs/>
          <w:w w:val="99"/>
          <w:sz w:val="21"/>
          <w:szCs w:val="21"/>
        </w:rPr>
        <w:t> </w:t>
      </w:r>
      <w:r>
        <w:rPr>
          <w:rFonts w:ascii="宋体" w:hAnsi="宋体" w:cs="宋体" w:eastAsia="宋体" w:hint="default"/>
          <w:w w:val="95"/>
          <w:sz w:val="21"/>
          <w:szCs w:val="21"/>
        </w:rPr>
        <w:t>公司主要涉及电线电缆行业、新材料行业、电动汽车充电桩行业等。各行业的发展受到国家宏观政策</w:t>
      </w:r>
      <w:r>
        <w:rPr>
          <w:rFonts w:ascii="宋体" w:hAnsi="宋体" w:cs="宋体" w:eastAsia="宋体" w:hint="default"/>
          <w:sz w:val="21"/>
          <w:szCs w:val="21"/>
        </w:rPr>
      </w:r>
    </w:p>
    <w:p>
      <w:pPr>
        <w:spacing w:line="240" w:lineRule="auto" w:before="10"/>
        <w:rPr>
          <w:rFonts w:ascii="宋体" w:hAnsi="宋体" w:cs="宋体" w:eastAsia="宋体" w:hint="default"/>
          <w:sz w:val="14"/>
          <w:szCs w:val="14"/>
        </w:rPr>
      </w:pPr>
    </w:p>
    <w:p>
      <w:pPr>
        <w:spacing w:line="408" w:lineRule="auto" w:before="0"/>
        <w:ind w:left="112" w:right="1115" w:firstLine="0"/>
        <w:jc w:val="left"/>
        <w:rPr>
          <w:rFonts w:ascii="宋体" w:hAnsi="宋体" w:cs="宋体" w:eastAsia="宋体" w:hint="default"/>
          <w:sz w:val="21"/>
          <w:szCs w:val="21"/>
        </w:rPr>
      </w:pPr>
      <w:r>
        <w:rPr>
          <w:rFonts w:ascii="宋体" w:hAnsi="宋体" w:cs="宋体" w:eastAsia="宋体" w:hint="default"/>
          <w:w w:val="95"/>
          <w:sz w:val="21"/>
          <w:szCs w:val="21"/>
        </w:rPr>
        <w:t>的影响。国务院、国家发改委等相关部门发布政策继续优化产业结构，强力推进节能减排工作，加快发展</w:t>
      </w:r>
      <w:r>
        <w:rPr>
          <w:rFonts w:ascii="宋体" w:hAnsi="宋体" w:cs="宋体" w:eastAsia="宋体" w:hint="default"/>
          <w:spacing w:val="44"/>
          <w:w w:val="95"/>
          <w:sz w:val="21"/>
          <w:szCs w:val="21"/>
        </w:rPr>
        <w:t> </w:t>
      </w:r>
      <w:r>
        <w:rPr>
          <w:rFonts w:ascii="宋体" w:hAnsi="宋体" w:cs="宋体" w:eastAsia="宋体" w:hint="default"/>
          <w:spacing w:val="44"/>
          <w:w w:val="95"/>
          <w:sz w:val="21"/>
          <w:szCs w:val="21"/>
        </w:rPr>
      </w:r>
      <w:r>
        <w:rPr>
          <w:rFonts w:ascii="宋体" w:hAnsi="宋体" w:cs="宋体" w:eastAsia="宋体" w:hint="default"/>
          <w:w w:val="95"/>
          <w:sz w:val="21"/>
          <w:szCs w:val="21"/>
        </w:rPr>
        <w:t>低碳经济，大力发展新能源、智能电网、电动汽车、能源互联网等战略性新兴产业。国家政策为公司发展</w:t>
      </w:r>
      <w:r>
        <w:rPr>
          <w:rFonts w:ascii="宋体" w:hAnsi="宋体" w:cs="宋体" w:eastAsia="宋体" w:hint="default"/>
          <w:sz w:val="21"/>
          <w:szCs w:val="21"/>
        </w:rPr>
      </w:r>
    </w:p>
    <w:p>
      <w:pPr>
        <w:spacing w:after="0" w:line="408" w:lineRule="auto"/>
        <w:jc w:val="left"/>
        <w:rPr>
          <w:rFonts w:ascii="宋体" w:hAnsi="宋体" w:cs="宋体" w:eastAsia="宋体" w:hint="default"/>
          <w:sz w:val="21"/>
          <w:szCs w:val="21"/>
        </w:rPr>
        <w:sectPr>
          <w:pgSz w:w="11910" w:h="16840"/>
          <w:pgMar w:header="890" w:footer="1053" w:top="1420" w:bottom="1240" w:left="1020" w:right="0"/>
        </w:sectPr>
      </w:pPr>
    </w:p>
    <w:p>
      <w:pPr>
        <w:spacing w:before="120"/>
        <w:ind w:left="132" w:right="0" w:firstLine="0"/>
        <w:jc w:val="both"/>
        <w:rPr>
          <w:rFonts w:ascii="宋体" w:hAnsi="宋体" w:cs="宋体" w:eastAsia="宋体" w:hint="default"/>
          <w:sz w:val="21"/>
          <w:szCs w:val="21"/>
        </w:rPr>
      </w:pPr>
      <w:r>
        <w:rPr>
          <w:rFonts w:ascii="宋体" w:hAnsi="宋体" w:cs="宋体" w:eastAsia="宋体" w:hint="default"/>
          <w:sz w:val="21"/>
          <w:szCs w:val="21"/>
        </w:rPr>
        <w:t>带来机遇，同时也带来一定的政策变动的风险。</w:t>
      </w:r>
    </w:p>
    <w:p>
      <w:pPr>
        <w:spacing w:line="610" w:lineRule="atLeast" w:before="30"/>
        <w:ind w:left="552" w:right="116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原材料价格大幅波动带来的经营风险</w:t>
      </w:r>
      <w:r>
        <w:rPr>
          <w:rFonts w:ascii="宋体" w:hAnsi="宋体" w:cs="宋体" w:eastAsia="宋体" w:hint="default"/>
          <w:b/>
          <w:bCs/>
          <w:w w:val="99"/>
          <w:sz w:val="21"/>
          <w:szCs w:val="21"/>
        </w:rPr>
        <w:t> </w:t>
      </w:r>
      <w:r>
        <w:rPr>
          <w:rFonts w:ascii="宋体" w:hAnsi="宋体" w:cs="宋体" w:eastAsia="宋体" w:hint="default"/>
          <w:w w:val="95"/>
          <w:sz w:val="21"/>
          <w:szCs w:val="21"/>
        </w:rPr>
        <w:t>电线电缆的最主要原材料为铜材，公司与客户签订的销售合同通常为闭口合同，即在签订合同时便锁</w:t>
      </w:r>
      <w:r>
        <w:rPr>
          <w:rFonts w:ascii="宋体" w:hAnsi="宋体" w:cs="宋体" w:eastAsia="宋体" w:hint="default"/>
          <w:sz w:val="21"/>
          <w:szCs w:val="21"/>
        </w:rPr>
      </w:r>
    </w:p>
    <w:p>
      <w:pPr>
        <w:spacing w:line="240" w:lineRule="auto" w:before="10"/>
        <w:rPr>
          <w:rFonts w:ascii="宋体" w:hAnsi="宋体" w:cs="宋体" w:eastAsia="宋体" w:hint="default"/>
          <w:sz w:val="14"/>
          <w:szCs w:val="14"/>
        </w:rPr>
      </w:pPr>
    </w:p>
    <w:p>
      <w:pPr>
        <w:spacing w:line="408" w:lineRule="auto" w:before="0"/>
        <w:ind w:left="132" w:right="1130" w:firstLine="0"/>
        <w:jc w:val="both"/>
        <w:rPr>
          <w:rFonts w:ascii="宋体" w:hAnsi="宋体" w:cs="宋体" w:eastAsia="宋体" w:hint="default"/>
          <w:sz w:val="21"/>
          <w:szCs w:val="21"/>
        </w:rPr>
      </w:pPr>
      <w:r>
        <w:rPr>
          <w:rFonts w:ascii="宋体" w:hAnsi="宋体" w:cs="宋体" w:eastAsia="宋体" w:hint="default"/>
          <w:w w:val="95"/>
          <w:sz w:val="21"/>
          <w:szCs w:val="21"/>
        </w:rPr>
        <w:t>定销货价格，铜价格波动会直接影响到公司经营业绩。尽管公司通过定价机制（依据当前铜价，通过公司</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spacing w:val="2"/>
          <w:w w:val="95"/>
          <w:sz w:val="21"/>
          <w:szCs w:val="21"/>
        </w:rPr>
        <w:t>ERP系统快速调整对外报价）、锁铜（与铜材供应商签订远期合约）、套期保值、按订单生产等方式，有</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w w:val="95"/>
          <w:sz w:val="21"/>
          <w:szCs w:val="21"/>
        </w:rPr>
        <w:t>效地降低了铜价波动带来的经营风险，并且公司始终坚持“获取经营利润、远离铜材投机”的原则，但是</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sz w:val="21"/>
          <w:szCs w:val="21"/>
        </w:rPr>
        <w:t>铜材价格大幅波动仍可能对本公司产生不利影响。</w:t>
      </w:r>
    </w:p>
    <w:p>
      <w:pPr>
        <w:spacing w:line="240" w:lineRule="auto" w:before="6"/>
        <w:rPr>
          <w:rFonts w:ascii="宋体" w:hAnsi="宋体" w:cs="宋体" w:eastAsia="宋体" w:hint="default"/>
          <w:sz w:val="15"/>
          <w:szCs w:val="15"/>
        </w:rPr>
      </w:pPr>
    </w:p>
    <w:p>
      <w:pPr>
        <w:spacing w:before="0"/>
        <w:ind w:left="552" w:right="116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应收账款余额较高带来的财务风险</w:t>
      </w:r>
      <w:r>
        <w:rPr>
          <w:rFonts w:ascii="宋体" w:hAnsi="宋体" w:cs="宋体" w:eastAsia="宋体" w:hint="default"/>
          <w:sz w:val="21"/>
          <w:szCs w:val="21"/>
        </w:rPr>
      </w:r>
    </w:p>
    <w:p>
      <w:pPr>
        <w:spacing w:line="240" w:lineRule="auto" w:before="6"/>
        <w:rPr>
          <w:rFonts w:ascii="宋体" w:hAnsi="宋体" w:cs="宋体" w:eastAsia="宋体" w:hint="default"/>
          <w:b/>
          <w:bCs/>
          <w:sz w:val="25"/>
          <w:szCs w:val="25"/>
        </w:rPr>
      </w:pPr>
    </w:p>
    <w:p>
      <w:pPr>
        <w:spacing w:line="408" w:lineRule="auto" w:before="0"/>
        <w:ind w:left="132" w:right="1135" w:firstLine="420"/>
        <w:jc w:val="both"/>
        <w:rPr>
          <w:rFonts w:ascii="宋体" w:hAnsi="宋体" w:cs="宋体" w:eastAsia="宋体" w:hint="default"/>
          <w:sz w:val="21"/>
          <w:szCs w:val="21"/>
        </w:rPr>
      </w:pPr>
      <w:r>
        <w:rPr>
          <w:rFonts w:ascii="宋体" w:hAnsi="宋体" w:cs="宋体" w:eastAsia="宋体" w:hint="default"/>
          <w:w w:val="95"/>
          <w:sz w:val="21"/>
          <w:szCs w:val="21"/>
        </w:rPr>
        <w:t>公司应收账款余额及占流动资产的比重较高。虽然主要客户的信用状况良好，公司历史产生的坏账较</w:t>
      </w:r>
      <w:r>
        <w:rPr>
          <w:rFonts w:ascii="宋体" w:hAnsi="宋体" w:cs="宋体" w:eastAsia="宋体" w:hint="default"/>
          <w:w w:val="99"/>
          <w:sz w:val="21"/>
          <w:szCs w:val="21"/>
        </w:rPr>
        <w:t> </w:t>
      </w:r>
      <w:r>
        <w:rPr>
          <w:rFonts w:ascii="宋体" w:hAnsi="宋体" w:cs="宋体" w:eastAsia="宋体" w:hint="default"/>
          <w:w w:val="95"/>
          <w:sz w:val="21"/>
          <w:szCs w:val="21"/>
        </w:rPr>
        <w:t>少，但一旦客户的财务状况恶化或信用状况发生重大变化，将对公司的生产经营及未来偿债能力产生不利</w:t>
      </w:r>
      <w:r>
        <w:rPr>
          <w:rFonts w:ascii="宋体" w:hAnsi="宋体" w:cs="宋体" w:eastAsia="宋体" w:hint="default"/>
          <w:spacing w:val="38"/>
          <w:w w:val="95"/>
          <w:sz w:val="21"/>
          <w:szCs w:val="21"/>
        </w:rPr>
        <w:t> </w:t>
      </w:r>
      <w:r>
        <w:rPr>
          <w:rFonts w:ascii="宋体" w:hAnsi="宋体" w:cs="宋体" w:eastAsia="宋体" w:hint="default"/>
          <w:spacing w:val="38"/>
          <w:w w:val="95"/>
          <w:sz w:val="21"/>
          <w:szCs w:val="21"/>
        </w:rPr>
      </w:r>
      <w:r>
        <w:rPr>
          <w:rFonts w:ascii="宋体" w:hAnsi="宋体" w:cs="宋体" w:eastAsia="宋体" w:hint="default"/>
          <w:sz w:val="21"/>
          <w:szCs w:val="21"/>
        </w:rPr>
        <w:t>影响。公司将采取有效措施以加强应收账款回收、控制应收账款金额。</w:t>
      </w:r>
    </w:p>
    <w:p>
      <w:pPr>
        <w:spacing w:line="240" w:lineRule="auto" w:before="6"/>
        <w:rPr>
          <w:rFonts w:ascii="宋体" w:hAnsi="宋体" w:cs="宋体" w:eastAsia="宋体" w:hint="default"/>
          <w:sz w:val="15"/>
          <w:szCs w:val="15"/>
        </w:rPr>
      </w:pPr>
    </w:p>
    <w:p>
      <w:pPr>
        <w:spacing w:before="0"/>
        <w:ind w:left="552" w:right="116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产品质量风险</w:t>
      </w:r>
      <w:r>
        <w:rPr>
          <w:rFonts w:ascii="宋体" w:hAnsi="宋体" w:cs="宋体" w:eastAsia="宋体" w:hint="default"/>
          <w:sz w:val="21"/>
          <w:szCs w:val="21"/>
        </w:rPr>
      </w:r>
    </w:p>
    <w:p>
      <w:pPr>
        <w:spacing w:line="240" w:lineRule="auto" w:before="6"/>
        <w:rPr>
          <w:rFonts w:ascii="宋体" w:hAnsi="宋体" w:cs="宋体" w:eastAsia="宋体" w:hint="default"/>
          <w:b/>
          <w:bCs/>
          <w:sz w:val="25"/>
          <w:szCs w:val="25"/>
        </w:rPr>
      </w:pPr>
    </w:p>
    <w:p>
      <w:pPr>
        <w:spacing w:line="408" w:lineRule="auto" w:before="0"/>
        <w:ind w:left="132" w:right="1130" w:firstLine="420"/>
        <w:jc w:val="both"/>
        <w:rPr>
          <w:rFonts w:ascii="宋体" w:hAnsi="宋体" w:cs="宋体" w:eastAsia="宋体" w:hint="default"/>
          <w:sz w:val="21"/>
          <w:szCs w:val="21"/>
        </w:rPr>
      </w:pPr>
      <w:r>
        <w:rPr>
          <w:rFonts w:ascii="宋体" w:hAnsi="宋体" w:cs="宋体" w:eastAsia="宋体" w:hint="default"/>
          <w:w w:val="95"/>
          <w:sz w:val="21"/>
          <w:szCs w:val="21"/>
        </w:rPr>
        <w:t>公司主要产品为电线电缆产品，产品质量非常关键，一旦出现故障，有可能造成用户电力系统严重事</w:t>
      </w:r>
      <w:r>
        <w:rPr>
          <w:rFonts w:ascii="宋体" w:hAnsi="宋体" w:cs="宋体" w:eastAsia="宋体" w:hint="default"/>
          <w:spacing w:val="-97"/>
          <w:w w:val="95"/>
          <w:sz w:val="21"/>
          <w:szCs w:val="21"/>
        </w:rPr>
        <w:t> </w:t>
      </w:r>
      <w:r>
        <w:rPr>
          <w:rFonts w:ascii="宋体" w:hAnsi="宋体" w:cs="宋体" w:eastAsia="宋体" w:hint="default"/>
          <w:spacing w:val="-97"/>
          <w:w w:val="95"/>
          <w:sz w:val="21"/>
          <w:szCs w:val="21"/>
        </w:rPr>
      </w:r>
      <w:r>
        <w:rPr>
          <w:rFonts w:ascii="宋体" w:hAnsi="宋体" w:cs="宋体" w:eastAsia="宋体" w:hint="default"/>
          <w:w w:val="95"/>
          <w:sz w:val="21"/>
          <w:szCs w:val="21"/>
        </w:rPr>
        <w:t>故，甚至危及电网的安全，给公司信誉带来重大损害，影响公司生产经营。公司产品出厂后，如果下游用</w:t>
      </w:r>
      <w:r>
        <w:rPr>
          <w:rFonts w:ascii="宋体" w:hAnsi="宋体" w:cs="宋体" w:eastAsia="宋体" w:hint="default"/>
          <w:spacing w:val="44"/>
          <w:w w:val="95"/>
          <w:sz w:val="21"/>
          <w:szCs w:val="21"/>
        </w:rPr>
        <w:t> </w:t>
      </w:r>
      <w:r>
        <w:rPr>
          <w:rFonts w:ascii="宋体" w:hAnsi="宋体" w:cs="宋体" w:eastAsia="宋体" w:hint="default"/>
          <w:spacing w:val="44"/>
          <w:w w:val="95"/>
          <w:sz w:val="21"/>
          <w:szCs w:val="21"/>
        </w:rPr>
      </w:r>
      <w:r>
        <w:rPr>
          <w:rFonts w:ascii="宋体" w:hAnsi="宋体" w:cs="宋体" w:eastAsia="宋体" w:hint="default"/>
          <w:w w:val="95"/>
          <w:sz w:val="21"/>
          <w:szCs w:val="21"/>
        </w:rPr>
        <w:t>户在安装检验过程中发现质量问题，要求公司返工或退货，将会直接影响公司的经济效益。公司一贯重视</w:t>
      </w:r>
      <w:r>
        <w:rPr>
          <w:rFonts w:ascii="宋体" w:hAnsi="宋体" w:cs="宋体" w:eastAsia="宋体" w:hint="default"/>
          <w:spacing w:val="43"/>
          <w:w w:val="95"/>
          <w:sz w:val="21"/>
          <w:szCs w:val="21"/>
        </w:rPr>
        <w:t> </w:t>
      </w:r>
      <w:r>
        <w:rPr>
          <w:rFonts w:ascii="宋体" w:hAnsi="宋体" w:cs="宋体" w:eastAsia="宋体" w:hint="default"/>
          <w:spacing w:val="43"/>
          <w:w w:val="95"/>
          <w:sz w:val="21"/>
          <w:szCs w:val="21"/>
        </w:rPr>
      </w:r>
      <w:r>
        <w:rPr>
          <w:rFonts w:ascii="宋体" w:hAnsi="宋体" w:cs="宋体" w:eastAsia="宋体" w:hint="default"/>
          <w:w w:val="95"/>
          <w:sz w:val="21"/>
          <w:szCs w:val="21"/>
        </w:rPr>
        <w:t>产品质量，对客户提供安全承诺，报告期内未因产品质量问题与客户发生诉讼纠纷。但是，如果公司产品</w:t>
      </w:r>
      <w:r>
        <w:rPr>
          <w:rFonts w:ascii="宋体" w:hAnsi="宋体" w:cs="宋体" w:eastAsia="宋体" w:hint="default"/>
          <w:spacing w:val="44"/>
          <w:w w:val="95"/>
          <w:sz w:val="21"/>
          <w:szCs w:val="21"/>
        </w:rPr>
        <w:t> </w:t>
      </w:r>
      <w:r>
        <w:rPr>
          <w:rFonts w:ascii="宋体" w:hAnsi="宋体" w:cs="宋体" w:eastAsia="宋体" w:hint="default"/>
          <w:spacing w:val="44"/>
          <w:w w:val="95"/>
          <w:sz w:val="21"/>
          <w:szCs w:val="21"/>
        </w:rPr>
      </w:r>
      <w:r>
        <w:rPr>
          <w:rFonts w:ascii="宋体" w:hAnsi="宋体" w:cs="宋体" w:eastAsia="宋体" w:hint="default"/>
          <w:sz w:val="21"/>
          <w:szCs w:val="21"/>
        </w:rPr>
        <w:t>出现质量缺陷，将会对公司生产经营产生不利影响。</w:t>
      </w:r>
    </w:p>
    <w:p>
      <w:pPr>
        <w:spacing w:line="240" w:lineRule="auto" w:before="6"/>
        <w:rPr>
          <w:rFonts w:ascii="宋体" w:hAnsi="宋体" w:cs="宋体" w:eastAsia="宋体" w:hint="default"/>
          <w:sz w:val="15"/>
          <w:szCs w:val="15"/>
        </w:rPr>
      </w:pPr>
    </w:p>
    <w:p>
      <w:pPr>
        <w:spacing w:before="0"/>
        <w:ind w:left="552" w:right="1164"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全球新冠肺炎疫情风险</w:t>
      </w:r>
      <w:r>
        <w:rPr>
          <w:rFonts w:ascii="宋体" w:hAnsi="宋体" w:cs="宋体" w:eastAsia="宋体" w:hint="default"/>
          <w:sz w:val="21"/>
          <w:szCs w:val="21"/>
        </w:rPr>
      </w:r>
    </w:p>
    <w:p>
      <w:pPr>
        <w:spacing w:line="240" w:lineRule="auto" w:before="6"/>
        <w:rPr>
          <w:rFonts w:ascii="宋体" w:hAnsi="宋体" w:cs="宋体" w:eastAsia="宋体" w:hint="default"/>
          <w:b/>
          <w:bCs/>
          <w:sz w:val="25"/>
          <w:szCs w:val="25"/>
        </w:rPr>
      </w:pPr>
    </w:p>
    <w:p>
      <w:pPr>
        <w:spacing w:line="408" w:lineRule="auto" w:before="0"/>
        <w:ind w:left="132" w:right="1025" w:firstLine="420"/>
        <w:jc w:val="left"/>
        <w:rPr>
          <w:rFonts w:ascii="宋体" w:hAnsi="宋体" w:cs="宋体" w:eastAsia="宋体" w:hint="default"/>
          <w:sz w:val="21"/>
          <w:szCs w:val="21"/>
        </w:rPr>
      </w:pPr>
      <w:r>
        <w:rPr>
          <w:rFonts w:ascii="宋体" w:hAnsi="宋体" w:cs="宋体" w:eastAsia="宋体" w:hint="default"/>
          <w:sz w:val="21"/>
          <w:szCs w:val="21"/>
        </w:rPr>
        <w:t>新冠肺炎疫情全球蔓延，全球需求阶段性下降，客户需求递延或减少，产品出口或将面临下降风险；</w:t>
      </w:r>
      <w:r>
        <w:rPr>
          <w:rFonts w:ascii="宋体" w:hAnsi="宋体" w:cs="宋体" w:eastAsia="宋体" w:hint="default"/>
          <w:w w:val="99"/>
          <w:sz w:val="21"/>
          <w:szCs w:val="21"/>
        </w:rPr>
        <w:t> </w:t>
      </w:r>
      <w:r>
        <w:rPr>
          <w:rFonts w:ascii="宋体" w:hAnsi="宋体" w:cs="宋体" w:eastAsia="宋体" w:hint="default"/>
          <w:sz w:val="21"/>
          <w:szCs w:val="21"/>
        </w:rPr>
        <w:t>国内业务方面，受春节以来的疫情和防控措施的影响，人员延迟复工，上游物料供应、物流运转也受到影</w:t>
      </w:r>
      <w:r>
        <w:rPr>
          <w:rFonts w:ascii="宋体" w:hAnsi="宋体" w:cs="宋体" w:eastAsia="宋体" w:hint="default"/>
          <w:w w:val="99"/>
          <w:sz w:val="21"/>
          <w:szCs w:val="21"/>
        </w:rPr>
        <w:t> </w:t>
      </w:r>
      <w:r>
        <w:rPr>
          <w:rFonts w:ascii="宋体" w:hAnsi="宋体" w:cs="宋体" w:eastAsia="宋体" w:hint="default"/>
          <w:spacing w:val="-3"/>
          <w:sz w:val="21"/>
          <w:szCs w:val="21"/>
        </w:rPr>
        <w:t>响，疫情带来的供应链风险还存在一些不确定性，各地工程建设项目进度受到不同程度影响，总需求不足；</w:t>
      </w:r>
      <w:r>
        <w:rPr>
          <w:rFonts w:ascii="宋体" w:hAnsi="宋体" w:cs="宋体" w:eastAsia="宋体" w:hint="default"/>
          <w:w w:val="99"/>
          <w:sz w:val="21"/>
          <w:szCs w:val="21"/>
        </w:rPr>
        <w:t> </w:t>
      </w:r>
      <w:r>
        <w:rPr>
          <w:rFonts w:ascii="宋体" w:hAnsi="宋体" w:cs="宋体" w:eastAsia="宋体" w:hint="default"/>
          <w:sz w:val="21"/>
          <w:szCs w:val="21"/>
        </w:rPr>
        <w:t>同时，疫情完全结束后社会经济活动的恢复也需要时间，公司国内外业务量存在下降风险。</w:t>
      </w:r>
    </w:p>
    <w:p>
      <w:pPr>
        <w:spacing w:line="240" w:lineRule="auto" w:before="11"/>
        <w:rPr>
          <w:rFonts w:ascii="宋体" w:hAnsi="宋体" w:cs="宋体" w:eastAsia="宋体" w:hint="default"/>
          <w:sz w:val="18"/>
          <w:szCs w:val="18"/>
        </w:rPr>
      </w:pPr>
    </w:p>
    <w:p>
      <w:pPr>
        <w:pStyle w:val="Heading2"/>
        <w:spacing w:line="240" w:lineRule="auto"/>
        <w:ind w:right="0"/>
        <w:jc w:val="both"/>
        <w:rPr>
          <w:b w:val="0"/>
          <w:bCs w:val="0"/>
        </w:rPr>
      </w:pPr>
      <w:bookmarkStart w:name="十、接待调研、沟通、采访等活动" w:id="60"/>
      <w:bookmarkEnd w:id="60"/>
      <w:r>
        <w:rPr>
          <w:b w:val="0"/>
          <w:bCs w:val="0"/>
        </w:rPr>
      </w:r>
      <w:r>
        <w:rPr/>
        <w:t>十、接待调研、沟通、采访等活动</w:t>
      </w:r>
      <w:r>
        <w:rPr>
          <w:b w:val="0"/>
          <w:bCs w:val="0"/>
        </w:rPr>
      </w:r>
    </w:p>
    <w:p>
      <w:pPr>
        <w:spacing w:line="240" w:lineRule="auto" w:before="7"/>
        <w:rPr>
          <w:rFonts w:ascii="宋体" w:hAnsi="宋体" w:cs="宋体" w:eastAsia="宋体" w:hint="default"/>
          <w:b/>
          <w:bCs/>
          <w:sz w:val="24"/>
          <w:szCs w:val="24"/>
        </w:rPr>
      </w:pPr>
    </w:p>
    <w:p>
      <w:pPr>
        <w:spacing w:before="0"/>
        <w:ind w:left="132" w:right="0" w:firstLine="0"/>
        <w:jc w:val="both"/>
        <w:rPr>
          <w:rFonts w:ascii="宋体" w:hAnsi="宋体" w:cs="宋体" w:eastAsia="宋体" w:hint="default"/>
          <w:sz w:val="21"/>
          <w:szCs w:val="21"/>
        </w:rPr>
      </w:pPr>
      <w:bookmarkStart w:name="1、报告期内接待调研、沟通、采访等活动登记表" w:id="61"/>
      <w:bookmarkEnd w:id="61"/>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、报告期内接待调研、沟通、采访等活动登记表</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32"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959"/>
        <w:gridCol w:w="1420"/>
        <w:gridCol w:w="1470"/>
        <w:gridCol w:w="4720"/>
      </w:tblGrid>
      <w:tr>
        <w:trPr>
          <w:trHeight w:val="330" w:hRule="exact"/>
        </w:trPr>
        <w:tc>
          <w:tcPr>
            <w:tcW w:w="1959"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left="603"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142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46"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147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90"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4720"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9"/>
              <w:ind w:left="1545"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bl>
    <w:p>
      <w:pPr>
        <w:spacing w:after="0" w:line="240" w:lineRule="auto"/>
        <w:jc w:val="left"/>
        <w:rPr>
          <w:rFonts w:ascii="宋体" w:hAnsi="宋体" w:cs="宋体" w:eastAsia="宋体" w:hint="default"/>
          <w:sz w:val="18"/>
          <w:szCs w:val="18"/>
        </w:rPr>
        <w:sectPr>
          <w:pgSz w:w="11910" w:h="16840"/>
          <w:pgMar w:header="890" w:footer="1053" w:top="1420" w:bottom="1240" w:left="1000" w:right="0"/>
        </w:sectPr>
      </w:pPr>
    </w:p>
    <w:p>
      <w:pPr>
        <w:spacing w:line="240" w:lineRule="auto" w:before="11"/>
        <w:rPr>
          <w:rFonts w:ascii="Times New Roman" w:hAnsi="Times New Roman" w:cs="Times New Roman" w:eastAsia="Times New Roman"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1959"/>
        <w:gridCol w:w="1420"/>
        <w:gridCol w:w="1470"/>
        <w:gridCol w:w="4720"/>
      </w:tblGrid>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2"/>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股份投资者关系管理档案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20190114</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1"/>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股份投资者关系管理档案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20190123</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1"/>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股份投资者关系管理档案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20190315</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0"/>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股份投资者关系管理档案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20190523</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0"/>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股份调研活动信息</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20190613</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0"/>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股份投资者关系管理制度</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20190715</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2"/>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股份投资者关系管理制度</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20190919</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1"/>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股份投资者关系管理档案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20191016</w:t>
            </w:r>
            <w:r>
              <w:rPr>
                <w:rFonts w:ascii="宋体" w:hAnsi="宋体" w:cs="宋体" w:eastAsia="宋体" w:hint="default"/>
                <w:sz w:val="18"/>
                <w:szCs w:val="18"/>
              </w:rPr>
              <w:t>》</w:t>
            </w:r>
          </w:p>
        </w:tc>
      </w:tr>
      <w:tr>
        <w:trPr>
          <w:trHeight w:val="634" w:hRule="exact"/>
        </w:trPr>
        <w:tc>
          <w:tcPr>
            <w:tcW w:w="195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4" w:space="0" w:color="000000"/>
              <w:right w:val="single" w:sz="12" w:space="0" w:color="000000"/>
            </w:tcBorders>
          </w:tcPr>
          <w:p>
            <w:pPr>
              <w:pStyle w:val="TableParagraph"/>
              <w:spacing w:line="300" w:lineRule="auto" w:before="11"/>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股份投资者关系管理档案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20191031</w:t>
            </w:r>
            <w:r>
              <w:rPr>
                <w:rFonts w:ascii="宋体" w:hAnsi="宋体" w:cs="宋体" w:eastAsia="宋体" w:hint="default"/>
                <w:sz w:val="18"/>
                <w:szCs w:val="18"/>
              </w:rPr>
              <w:t>》</w:t>
            </w:r>
          </w:p>
        </w:tc>
      </w:tr>
      <w:tr>
        <w:trPr>
          <w:trHeight w:val="644" w:hRule="exact"/>
        </w:trPr>
        <w:tc>
          <w:tcPr>
            <w:tcW w:w="1959"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4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4720" w:type="dxa"/>
            <w:tcBorders>
              <w:top w:val="single" w:sz="4" w:space="0" w:color="000000"/>
              <w:left w:val="single" w:sz="4" w:space="0" w:color="000000"/>
              <w:bottom w:val="single" w:sz="12" w:space="0" w:color="000000"/>
              <w:right w:val="single" w:sz="12" w:space="0" w:color="000000"/>
            </w:tcBorders>
          </w:tcPr>
          <w:p>
            <w:pPr>
              <w:pStyle w:val="TableParagraph"/>
              <w:spacing w:line="300" w:lineRule="auto" w:before="10"/>
              <w:ind w:left="103" w:right="174"/>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54"/>
                <w:sz w:val="18"/>
                <w:szCs w:val="18"/>
              </w:rPr>
              <w:t> </w:t>
            </w:r>
            <w:hyperlink r:id="rId1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《万马股份：</w:t>
            </w:r>
            <w:r>
              <w:rPr>
                <w:rFonts w:ascii="Times New Roman" w:hAnsi="Times New Roman" w:cs="Times New Roman" w:eastAsia="Times New Roman" w:hint="default"/>
                <w:sz w:val="18"/>
                <w:szCs w:val="18"/>
              </w:rPr>
              <w:t>002276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万马 股份投资者关系管理档案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20191216</w:t>
            </w:r>
            <w:r>
              <w:rPr>
                <w:rFonts w:ascii="宋体" w:hAnsi="宋体" w:cs="宋体" w:eastAsia="宋体" w:hint="default"/>
                <w:sz w:val="18"/>
                <w:szCs w:val="18"/>
              </w:rPr>
              <w:t>》</w:t>
            </w:r>
          </w:p>
        </w:tc>
      </w:tr>
    </w:tbl>
    <w:p>
      <w:pPr>
        <w:spacing w:after="0" w:line="300" w:lineRule="auto"/>
        <w:jc w:val="left"/>
        <w:rPr>
          <w:rFonts w:ascii="宋体" w:hAnsi="宋体" w:cs="宋体" w:eastAsia="宋体" w:hint="default"/>
          <w:sz w:val="18"/>
          <w:szCs w:val="18"/>
        </w:rPr>
        <w:sectPr>
          <w:pgSz w:w="11910" w:h="16840"/>
          <w:pgMar w:header="890" w:footer="1053" w:top="1420" w:bottom="1240" w:left="1000" w:right="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1"/>
          <w:szCs w:val="21"/>
        </w:rPr>
      </w:pPr>
    </w:p>
    <w:p>
      <w:pPr>
        <w:pStyle w:val="Heading1"/>
        <w:spacing w:line="240" w:lineRule="auto"/>
        <w:ind w:left="3454" w:right="4823"/>
        <w:jc w:val="center"/>
        <w:rPr>
          <w:b w:val="0"/>
          <w:bCs w:val="0"/>
        </w:rPr>
      </w:pPr>
      <w:bookmarkStart w:name="第五节重要事项" w:id="62"/>
      <w:bookmarkEnd w:id="62"/>
      <w:r>
        <w:rPr>
          <w:b w:val="0"/>
          <w:bCs w:val="0"/>
        </w:rPr>
      </w:r>
      <w:bookmarkStart w:name="_bookmark4" w:id="63"/>
      <w:bookmarkEnd w:id="63"/>
      <w:r>
        <w:rPr>
          <w:b w:val="0"/>
          <w:bCs w:val="0"/>
        </w:rPr>
      </w:r>
      <w:r>
        <w:rPr/>
        <w:t>第五节重要事项</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left="104" w:right="0"/>
        <w:jc w:val="both"/>
        <w:rPr>
          <w:b w:val="0"/>
          <w:bCs w:val="0"/>
        </w:rPr>
      </w:pPr>
      <w:bookmarkStart w:name="一、公司普通股利润分配及资本公积金转增股本情况" w:id="64"/>
      <w:bookmarkEnd w:id="64"/>
      <w:r>
        <w:rPr>
          <w:b w:val="0"/>
          <w:bCs w:val="0"/>
        </w:rPr>
      </w:r>
      <w:r>
        <w:rPr/>
        <w:t>一、公司普通股利润分配及资本公积金转增股本情况</w:t>
      </w:r>
      <w:r>
        <w:rPr>
          <w:b w:val="0"/>
          <w:bCs w:val="0"/>
        </w:rPr>
      </w:r>
    </w:p>
    <w:p>
      <w:pPr>
        <w:spacing w:line="240" w:lineRule="auto" w:before="6"/>
        <w:rPr>
          <w:rFonts w:ascii="宋体" w:hAnsi="宋体" w:cs="宋体" w:eastAsia="宋体" w:hint="default"/>
          <w:b/>
          <w:bCs/>
          <w:sz w:val="26"/>
          <w:szCs w:val="26"/>
        </w:rPr>
      </w:pPr>
    </w:p>
    <w:p>
      <w:pPr>
        <w:spacing w:before="0"/>
        <w:ind w:left="104" w:right="0" w:firstLine="0"/>
        <w:jc w:val="both"/>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04"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104" w:right="0" w:firstLine="0"/>
        <w:jc w:val="both"/>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年（包括本报告期）的普通股股利分配方案（预案）、资本公积金转增股本方案（预案）情况</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spacing w:before="0"/>
        <w:ind w:left="587"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2019</w:t>
      </w:r>
      <w:r>
        <w:rPr>
          <w:rFonts w:ascii="宋体" w:hAnsi="宋体" w:cs="宋体" w:eastAsia="宋体" w:hint="default"/>
          <w:b/>
          <w:bCs/>
          <w:sz w:val="21"/>
          <w:szCs w:val="21"/>
        </w:rPr>
        <w:t>年度利润分配预案</w:t>
      </w:r>
      <w:r>
        <w:rPr>
          <w:rFonts w:ascii="宋体" w:hAnsi="宋体" w:cs="宋体" w:eastAsia="宋体" w:hint="default"/>
          <w:sz w:val="21"/>
          <w:szCs w:val="21"/>
        </w:rPr>
      </w:r>
    </w:p>
    <w:p>
      <w:pPr>
        <w:spacing w:before="21"/>
        <w:ind w:left="587" w:right="0" w:firstLine="0"/>
        <w:jc w:val="left"/>
        <w:rPr>
          <w:rFonts w:ascii="宋体" w:hAnsi="宋体" w:cs="宋体" w:eastAsia="宋体" w:hint="default"/>
          <w:sz w:val="21"/>
          <w:szCs w:val="21"/>
        </w:rPr>
      </w:pPr>
      <w:r>
        <w:rPr>
          <w:rFonts w:ascii="宋体" w:hAnsi="宋体" w:cs="宋体" w:eastAsia="宋体" w:hint="default"/>
          <w:sz w:val="21"/>
          <w:szCs w:val="21"/>
        </w:rPr>
        <w:t>经</w:t>
      </w:r>
      <w:r>
        <w:rPr>
          <w:rFonts w:ascii="宋体" w:hAnsi="宋体" w:cs="宋体" w:eastAsia="宋体" w:hint="default"/>
          <w:spacing w:val="-71"/>
          <w:sz w:val="21"/>
          <w:szCs w:val="21"/>
        </w:rPr>
        <w:t> </w:t>
      </w:r>
      <w:r>
        <w:rPr>
          <w:rFonts w:ascii="宋体" w:hAnsi="宋体" w:cs="宋体" w:eastAsia="宋体" w:hint="default"/>
          <w:sz w:val="21"/>
          <w:szCs w:val="21"/>
        </w:rPr>
        <w:t>信</w:t>
      </w:r>
      <w:r>
        <w:rPr>
          <w:rFonts w:ascii="宋体" w:hAnsi="宋体" w:cs="宋体" w:eastAsia="宋体" w:hint="default"/>
          <w:spacing w:val="-71"/>
          <w:sz w:val="21"/>
          <w:szCs w:val="21"/>
        </w:rPr>
        <w:t> </w:t>
      </w:r>
      <w:r>
        <w:rPr>
          <w:rFonts w:ascii="宋体" w:hAnsi="宋体" w:cs="宋体" w:eastAsia="宋体" w:hint="default"/>
          <w:sz w:val="21"/>
          <w:szCs w:val="21"/>
        </w:rPr>
        <w:t>永</w:t>
      </w:r>
      <w:r>
        <w:rPr>
          <w:rFonts w:ascii="宋体" w:hAnsi="宋体" w:cs="宋体" w:eastAsia="宋体" w:hint="default"/>
          <w:spacing w:val="-71"/>
          <w:sz w:val="21"/>
          <w:szCs w:val="21"/>
        </w:rPr>
        <w:t> </w:t>
      </w:r>
      <w:r>
        <w:rPr>
          <w:rFonts w:ascii="宋体" w:hAnsi="宋体" w:cs="宋体" w:eastAsia="宋体" w:hint="default"/>
          <w:sz w:val="21"/>
          <w:szCs w:val="21"/>
        </w:rPr>
        <w:t>中</w:t>
      </w:r>
      <w:r>
        <w:rPr>
          <w:rFonts w:ascii="宋体" w:hAnsi="宋体" w:cs="宋体" w:eastAsia="宋体" w:hint="default"/>
          <w:spacing w:val="-71"/>
          <w:sz w:val="21"/>
          <w:szCs w:val="21"/>
        </w:rPr>
        <w:t> </w:t>
      </w:r>
      <w:r>
        <w:rPr>
          <w:rFonts w:ascii="宋体" w:hAnsi="宋体" w:cs="宋体" w:eastAsia="宋体" w:hint="default"/>
          <w:sz w:val="21"/>
          <w:szCs w:val="21"/>
        </w:rPr>
        <w:t>和</w:t>
      </w:r>
      <w:r>
        <w:rPr>
          <w:rFonts w:ascii="宋体" w:hAnsi="宋体" w:cs="宋体" w:eastAsia="宋体" w:hint="default"/>
          <w:spacing w:val="-71"/>
          <w:sz w:val="21"/>
          <w:szCs w:val="21"/>
        </w:rPr>
        <w:t> </w:t>
      </w:r>
      <w:r>
        <w:rPr>
          <w:rFonts w:ascii="宋体" w:hAnsi="宋体" w:cs="宋体" w:eastAsia="宋体" w:hint="default"/>
          <w:sz w:val="21"/>
          <w:szCs w:val="21"/>
        </w:rPr>
        <w:t>会</w:t>
      </w:r>
      <w:r>
        <w:rPr>
          <w:rFonts w:ascii="宋体" w:hAnsi="宋体" w:cs="宋体" w:eastAsia="宋体" w:hint="default"/>
          <w:spacing w:val="-71"/>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师</w:t>
      </w:r>
      <w:r>
        <w:rPr>
          <w:rFonts w:ascii="宋体" w:hAnsi="宋体" w:cs="宋体" w:eastAsia="宋体" w:hint="default"/>
          <w:spacing w:val="-69"/>
          <w:sz w:val="21"/>
          <w:szCs w:val="21"/>
        </w:rPr>
        <w:t> </w:t>
      </w:r>
      <w:r>
        <w:rPr>
          <w:rFonts w:ascii="宋体" w:hAnsi="宋体" w:cs="宋体" w:eastAsia="宋体" w:hint="default"/>
          <w:sz w:val="21"/>
          <w:szCs w:val="21"/>
        </w:rPr>
        <w:t>事</w:t>
      </w:r>
      <w:r>
        <w:rPr>
          <w:rFonts w:ascii="宋体" w:hAnsi="宋体" w:cs="宋体" w:eastAsia="宋体" w:hint="default"/>
          <w:spacing w:val="-71"/>
          <w:sz w:val="21"/>
          <w:szCs w:val="21"/>
        </w:rPr>
        <w:t> </w:t>
      </w:r>
      <w:r>
        <w:rPr>
          <w:rFonts w:ascii="宋体" w:hAnsi="宋体" w:cs="宋体" w:eastAsia="宋体" w:hint="default"/>
          <w:sz w:val="21"/>
          <w:szCs w:val="21"/>
        </w:rPr>
        <w:t>务</w:t>
      </w:r>
      <w:r>
        <w:rPr>
          <w:rFonts w:ascii="宋体" w:hAnsi="宋体" w:cs="宋体" w:eastAsia="宋体" w:hint="default"/>
          <w:spacing w:val="-71"/>
          <w:sz w:val="21"/>
          <w:szCs w:val="21"/>
        </w:rPr>
        <w:t> </w:t>
      </w:r>
      <w:r>
        <w:rPr>
          <w:rFonts w:ascii="宋体" w:hAnsi="宋体" w:cs="宋体" w:eastAsia="宋体" w:hint="default"/>
          <w:sz w:val="21"/>
          <w:szCs w:val="21"/>
        </w:rPr>
        <w:t>所</w:t>
      </w:r>
      <w:r>
        <w:rPr>
          <w:rFonts w:ascii="宋体" w:hAnsi="宋体" w:cs="宋体" w:eastAsia="宋体" w:hint="default"/>
          <w:spacing w:val="-71"/>
          <w:sz w:val="21"/>
          <w:szCs w:val="21"/>
        </w:rPr>
        <w:t> </w:t>
      </w:r>
      <w:r>
        <w:rPr>
          <w:rFonts w:ascii="宋体" w:hAnsi="宋体" w:cs="宋体" w:eastAsia="宋体" w:hint="default"/>
          <w:sz w:val="21"/>
          <w:szCs w:val="21"/>
        </w:rPr>
        <w:t>审</w:t>
      </w:r>
      <w:r>
        <w:rPr>
          <w:rFonts w:ascii="宋体" w:hAnsi="宋体" w:cs="宋体" w:eastAsia="宋体" w:hint="default"/>
          <w:spacing w:val="-71"/>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1"/>
          <w:sz w:val="21"/>
          <w:szCs w:val="21"/>
        </w:rPr>
        <w:t> </w:t>
      </w:r>
      <w:r>
        <w:rPr>
          <w:rFonts w:ascii="宋体" w:hAnsi="宋体" w:cs="宋体" w:eastAsia="宋体" w:hint="default"/>
          <w:sz w:val="21"/>
          <w:szCs w:val="21"/>
        </w:rPr>
        <w:t>司</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2019</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度</w:t>
      </w:r>
      <w:r>
        <w:rPr>
          <w:rFonts w:ascii="宋体" w:hAnsi="宋体" w:cs="宋体" w:eastAsia="宋体" w:hint="default"/>
          <w:spacing w:val="-71"/>
          <w:sz w:val="21"/>
          <w:szCs w:val="21"/>
        </w:rPr>
        <w:t> </w:t>
      </w:r>
      <w:r>
        <w:rPr>
          <w:rFonts w:ascii="宋体" w:hAnsi="宋体" w:cs="宋体" w:eastAsia="宋体" w:hint="default"/>
          <w:sz w:val="21"/>
          <w:szCs w:val="21"/>
        </w:rPr>
        <w:t>实</w:t>
      </w:r>
      <w:r>
        <w:rPr>
          <w:rFonts w:ascii="宋体" w:hAnsi="宋体" w:cs="宋体" w:eastAsia="宋体" w:hint="default"/>
          <w:spacing w:val="-71"/>
          <w:sz w:val="21"/>
          <w:szCs w:val="21"/>
        </w:rPr>
        <w:t> </w:t>
      </w:r>
      <w:r>
        <w:rPr>
          <w:rFonts w:ascii="宋体" w:hAnsi="宋体" w:cs="宋体" w:eastAsia="宋体" w:hint="default"/>
          <w:sz w:val="21"/>
          <w:szCs w:val="21"/>
        </w:rPr>
        <w:t>现</w:t>
      </w:r>
      <w:r>
        <w:rPr>
          <w:rFonts w:ascii="宋体" w:hAnsi="宋体" w:cs="宋体" w:eastAsia="宋体" w:hint="default"/>
          <w:spacing w:val="-71"/>
          <w:sz w:val="21"/>
          <w:szCs w:val="21"/>
        </w:rPr>
        <w:t> </w:t>
      </w:r>
      <w:r>
        <w:rPr>
          <w:rFonts w:ascii="宋体" w:hAnsi="宋体" w:cs="宋体" w:eastAsia="宋体" w:hint="default"/>
          <w:sz w:val="21"/>
          <w:szCs w:val="21"/>
        </w:rPr>
        <w:t>归</w:t>
      </w:r>
      <w:r>
        <w:rPr>
          <w:rFonts w:ascii="宋体" w:hAnsi="宋体" w:cs="宋体" w:eastAsia="宋体" w:hint="default"/>
          <w:spacing w:val="-71"/>
          <w:sz w:val="21"/>
          <w:szCs w:val="21"/>
        </w:rPr>
        <w:t> </w:t>
      </w:r>
      <w:r>
        <w:rPr>
          <w:rFonts w:ascii="宋体" w:hAnsi="宋体" w:cs="宋体" w:eastAsia="宋体" w:hint="default"/>
          <w:sz w:val="21"/>
          <w:szCs w:val="21"/>
        </w:rPr>
        <w:t>属</w:t>
      </w:r>
      <w:r>
        <w:rPr>
          <w:rFonts w:ascii="宋体" w:hAnsi="宋体" w:cs="宋体" w:eastAsia="宋体" w:hint="default"/>
          <w:spacing w:val="-71"/>
          <w:sz w:val="21"/>
          <w:szCs w:val="21"/>
        </w:rPr>
        <w:t> </w:t>
      </w:r>
      <w:r>
        <w:rPr>
          <w:rFonts w:ascii="宋体" w:hAnsi="宋体" w:cs="宋体" w:eastAsia="宋体" w:hint="default"/>
          <w:sz w:val="21"/>
          <w:szCs w:val="21"/>
        </w:rPr>
        <w:t>于</w:t>
      </w:r>
      <w:r>
        <w:rPr>
          <w:rFonts w:ascii="宋体" w:hAnsi="宋体" w:cs="宋体" w:eastAsia="宋体" w:hint="default"/>
          <w:spacing w:val="-71"/>
          <w:sz w:val="21"/>
          <w:szCs w:val="21"/>
        </w:rPr>
        <w:t> </w:t>
      </w:r>
      <w:r>
        <w:rPr>
          <w:rFonts w:ascii="宋体" w:hAnsi="宋体" w:cs="宋体" w:eastAsia="宋体" w:hint="default"/>
          <w:sz w:val="21"/>
          <w:szCs w:val="21"/>
        </w:rPr>
        <w:t>上</w:t>
      </w:r>
      <w:r>
        <w:rPr>
          <w:rFonts w:ascii="宋体" w:hAnsi="宋体" w:cs="宋体" w:eastAsia="宋体" w:hint="default"/>
          <w:spacing w:val="-69"/>
          <w:sz w:val="21"/>
          <w:szCs w:val="21"/>
        </w:rPr>
        <w:t> </w:t>
      </w:r>
      <w:r>
        <w:rPr>
          <w:rFonts w:ascii="宋体" w:hAnsi="宋体" w:cs="宋体" w:eastAsia="宋体" w:hint="default"/>
          <w:sz w:val="21"/>
          <w:szCs w:val="21"/>
        </w:rPr>
        <w:t>市</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1"/>
          <w:sz w:val="21"/>
          <w:szCs w:val="21"/>
        </w:rPr>
        <w:t> </w:t>
      </w:r>
      <w:r>
        <w:rPr>
          <w:rFonts w:ascii="宋体" w:hAnsi="宋体" w:cs="宋体" w:eastAsia="宋体" w:hint="default"/>
          <w:sz w:val="21"/>
          <w:szCs w:val="21"/>
        </w:rPr>
        <w:t>司</w:t>
      </w:r>
      <w:r>
        <w:rPr>
          <w:rFonts w:ascii="宋体" w:hAnsi="宋体" w:cs="宋体" w:eastAsia="宋体" w:hint="default"/>
          <w:spacing w:val="-71"/>
          <w:sz w:val="21"/>
          <w:szCs w:val="21"/>
        </w:rPr>
        <w:t> </w:t>
      </w:r>
      <w:r>
        <w:rPr>
          <w:rFonts w:ascii="宋体" w:hAnsi="宋体" w:cs="宋体" w:eastAsia="宋体" w:hint="default"/>
          <w:sz w:val="21"/>
          <w:szCs w:val="21"/>
        </w:rPr>
        <w:t>股</w:t>
      </w:r>
      <w:r>
        <w:rPr>
          <w:rFonts w:ascii="宋体" w:hAnsi="宋体" w:cs="宋体" w:eastAsia="宋体" w:hint="default"/>
          <w:spacing w:val="-71"/>
          <w:sz w:val="21"/>
          <w:szCs w:val="21"/>
        </w:rPr>
        <w:t> </w:t>
      </w:r>
      <w:r>
        <w:rPr>
          <w:rFonts w:ascii="宋体" w:hAnsi="宋体" w:cs="宋体" w:eastAsia="宋体" w:hint="default"/>
          <w:sz w:val="21"/>
          <w:szCs w:val="21"/>
        </w:rPr>
        <w:t>东</w:t>
      </w:r>
      <w:r>
        <w:rPr>
          <w:rFonts w:ascii="宋体" w:hAnsi="宋体" w:cs="宋体" w:eastAsia="宋体" w:hint="default"/>
          <w:spacing w:val="-71"/>
          <w:sz w:val="21"/>
          <w:szCs w:val="21"/>
        </w:rPr>
        <w:t> </w:t>
      </w:r>
      <w:r>
        <w:rPr>
          <w:rFonts w:ascii="宋体" w:hAnsi="宋体" w:cs="宋体" w:eastAsia="宋体" w:hint="default"/>
          <w:sz w:val="21"/>
          <w:szCs w:val="21"/>
        </w:rPr>
        <w:t>的</w:t>
      </w:r>
      <w:r>
        <w:rPr>
          <w:rFonts w:ascii="宋体" w:hAnsi="宋体" w:cs="宋体" w:eastAsia="宋体" w:hint="default"/>
          <w:spacing w:val="-71"/>
          <w:sz w:val="21"/>
          <w:szCs w:val="21"/>
        </w:rPr>
        <w:t> </w:t>
      </w:r>
      <w:r>
        <w:rPr>
          <w:rFonts w:ascii="宋体" w:hAnsi="宋体" w:cs="宋体" w:eastAsia="宋体" w:hint="default"/>
          <w:sz w:val="21"/>
          <w:szCs w:val="21"/>
        </w:rPr>
        <w:t>净</w:t>
      </w:r>
      <w:r>
        <w:rPr>
          <w:rFonts w:ascii="宋体" w:hAnsi="宋体" w:cs="宋体" w:eastAsia="宋体" w:hint="default"/>
          <w:spacing w:val="-71"/>
          <w:sz w:val="21"/>
          <w:szCs w:val="21"/>
        </w:rPr>
        <w:t> </w:t>
      </w:r>
      <w:r>
        <w:rPr>
          <w:rFonts w:ascii="宋体" w:hAnsi="宋体" w:cs="宋体" w:eastAsia="宋体" w:hint="default"/>
          <w:sz w:val="21"/>
          <w:szCs w:val="21"/>
        </w:rPr>
        <w:t>利</w:t>
      </w:r>
      <w:r>
        <w:rPr>
          <w:rFonts w:ascii="宋体" w:hAnsi="宋体" w:cs="宋体" w:eastAsia="宋体" w:hint="default"/>
          <w:spacing w:val="-71"/>
          <w:sz w:val="21"/>
          <w:szCs w:val="21"/>
        </w:rPr>
        <w:t> </w:t>
      </w:r>
      <w:r>
        <w:rPr>
          <w:rFonts w:ascii="宋体" w:hAnsi="宋体" w:cs="宋体" w:eastAsia="宋体" w:hint="default"/>
          <w:sz w:val="21"/>
          <w:szCs w:val="21"/>
        </w:rPr>
        <w:t>润</w:t>
      </w:r>
    </w:p>
    <w:p>
      <w:pPr>
        <w:spacing w:before="21"/>
        <w:ind w:left="104"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220,879,359.32  </w:t>
      </w:r>
      <w:r>
        <w:rPr>
          <w:rFonts w:ascii="宋体" w:hAnsi="宋体" w:cs="宋体" w:eastAsia="宋体" w:hint="default"/>
          <w:spacing w:val="-5"/>
          <w:sz w:val="21"/>
          <w:szCs w:val="21"/>
        </w:rPr>
        <w:t>元，提取法定盈余公积 </w:t>
      </w:r>
      <w:r>
        <w:rPr>
          <w:rFonts w:ascii="Times New Roman" w:hAnsi="Times New Roman" w:cs="Times New Roman" w:eastAsia="Times New Roman" w:hint="default"/>
          <w:sz w:val="21"/>
          <w:szCs w:val="21"/>
        </w:rPr>
        <w:t>36,944,075.43  </w:t>
      </w:r>
      <w:r>
        <w:rPr>
          <w:rFonts w:ascii="宋体" w:hAnsi="宋体" w:cs="宋体" w:eastAsia="宋体" w:hint="default"/>
          <w:spacing w:val="-4"/>
          <w:sz w:val="21"/>
          <w:szCs w:val="21"/>
        </w:rPr>
        <w:t>元后，减去应付普通股股利</w:t>
      </w:r>
      <w:r>
        <w:rPr>
          <w:rFonts w:ascii="宋体" w:hAnsi="宋体" w:cs="宋体" w:eastAsia="宋体" w:hint="default"/>
          <w:spacing w:val="-12"/>
          <w:sz w:val="21"/>
          <w:szCs w:val="21"/>
        </w:rPr>
        <w:t> </w:t>
      </w:r>
      <w:r>
        <w:rPr>
          <w:rFonts w:ascii="Times New Roman" w:hAnsi="Times New Roman" w:cs="Times New Roman" w:eastAsia="Times New Roman" w:hint="default"/>
          <w:sz w:val="21"/>
          <w:szCs w:val="21"/>
        </w:rPr>
        <w:t>20,709,781.96</w:t>
      </w:r>
      <w:r>
        <w:rPr>
          <w:rFonts w:ascii="宋体" w:hAnsi="宋体" w:cs="宋体" w:eastAsia="宋体" w:hint="default"/>
          <w:sz w:val="21"/>
          <w:szCs w:val="21"/>
        </w:rPr>
        <w:t>元，</w:t>
      </w:r>
    </w:p>
    <w:p>
      <w:pPr>
        <w:spacing w:line="256" w:lineRule="auto" w:before="21"/>
        <w:ind w:left="104" w:right="1468" w:firstLine="0"/>
        <w:jc w:val="both"/>
        <w:rPr>
          <w:rFonts w:ascii="宋体" w:hAnsi="宋体" w:cs="宋体" w:eastAsia="宋体" w:hint="default"/>
          <w:sz w:val="21"/>
          <w:szCs w:val="21"/>
        </w:rPr>
      </w:pPr>
      <w:r>
        <w:rPr>
          <w:rFonts w:ascii="宋体" w:hAnsi="宋体" w:cs="宋体" w:eastAsia="宋体" w:hint="default"/>
          <w:sz w:val="21"/>
          <w:szCs w:val="21"/>
        </w:rPr>
        <w:t>加上上年结存未分配利润 </w:t>
      </w:r>
      <w:r>
        <w:rPr>
          <w:rFonts w:ascii="Times New Roman" w:hAnsi="Times New Roman" w:cs="Times New Roman" w:eastAsia="Times New Roman" w:hint="default"/>
          <w:sz w:val="21"/>
          <w:szCs w:val="21"/>
        </w:rPr>
        <w:t>1,237,510,327.67 </w:t>
      </w:r>
      <w:r>
        <w:rPr>
          <w:rFonts w:ascii="宋体" w:hAnsi="宋体" w:cs="宋体" w:eastAsia="宋体" w:hint="default"/>
          <w:sz w:val="21"/>
          <w:szCs w:val="21"/>
        </w:rPr>
        <w:t>元，本年度可供分配的利润 </w:t>
      </w:r>
      <w:r>
        <w:rPr>
          <w:rFonts w:ascii="Times New Roman" w:hAnsi="Times New Roman" w:cs="Times New Roman" w:eastAsia="Times New Roman" w:hint="default"/>
          <w:sz w:val="21"/>
          <w:szCs w:val="21"/>
        </w:rPr>
        <w:t>1,400,735,829.60</w:t>
      </w:r>
      <w:r>
        <w:rPr>
          <w:rFonts w:ascii="Times New Roman" w:hAnsi="Times New Roman" w:cs="Times New Roman" w:eastAsia="Times New Roman" w:hint="default"/>
          <w:spacing w:val="14"/>
          <w:sz w:val="21"/>
          <w:szCs w:val="21"/>
        </w:rPr>
        <w:t> </w:t>
      </w:r>
      <w:r>
        <w:rPr>
          <w:rFonts w:ascii="宋体" w:hAnsi="宋体" w:cs="宋体" w:eastAsia="宋体" w:hint="default"/>
          <w:spacing w:val="-5"/>
          <w:sz w:val="21"/>
          <w:szCs w:val="21"/>
        </w:rPr>
        <w:t>元。母公</w:t>
      </w:r>
      <w:r>
        <w:rPr>
          <w:rFonts w:ascii="宋体" w:hAnsi="宋体" w:cs="宋体" w:eastAsia="宋体" w:hint="default"/>
          <w:w w:val="99"/>
          <w:sz w:val="21"/>
          <w:szCs w:val="21"/>
        </w:rPr>
        <w:t> </w:t>
      </w:r>
      <w:r>
        <w:rPr>
          <w:rFonts w:ascii="宋体" w:hAnsi="宋体" w:cs="宋体" w:eastAsia="宋体" w:hint="default"/>
          <w:sz w:val="21"/>
          <w:szCs w:val="21"/>
        </w:rPr>
        <w:t>司</w:t>
      </w:r>
      <w:r>
        <w:rPr>
          <w:rFonts w:ascii="Times New Roman" w:hAnsi="Times New Roman" w:cs="Times New Roman" w:eastAsia="Times New Roman" w:hint="default"/>
          <w:sz w:val="21"/>
          <w:szCs w:val="21"/>
        </w:rPr>
        <w:t>2019</w:t>
      </w:r>
      <w:r>
        <w:rPr>
          <w:rFonts w:ascii="宋体" w:hAnsi="宋体" w:cs="宋体" w:eastAsia="宋体" w:hint="default"/>
          <w:sz w:val="21"/>
          <w:szCs w:val="21"/>
        </w:rPr>
        <w:t>年度实现净利润</w:t>
      </w:r>
      <w:r>
        <w:rPr>
          <w:rFonts w:ascii="Times New Roman" w:hAnsi="Times New Roman" w:cs="Times New Roman" w:eastAsia="Times New Roman" w:hint="default"/>
          <w:sz w:val="21"/>
          <w:szCs w:val="21"/>
        </w:rPr>
        <w:t>143,226,092.06</w:t>
      </w:r>
      <w:r>
        <w:rPr>
          <w:rFonts w:ascii="宋体" w:hAnsi="宋体" w:cs="宋体" w:eastAsia="宋体" w:hint="default"/>
          <w:sz w:val="21"/>
          <w:szCs w:val="21"/>
        </w:rPr>
        <w:t>元，提取法定盈余公积</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14,322,609.21</w:t>
      </w:r>
      <w:r>
        <w:rPr>
          <w:rFonts w:ascii="宋体" w:hAnsi="宋体" w:cs="宋体" w:eastAsia="宋体" w:hint="default"/>
          <w:sz w:val="21"/>
          <w:szCs w:val="21"/>
        </w:rPr>
        <w:t>元后，减去应付普通股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8"/>
          <w:sz w:val="21"/>
          <w:szCs w:val="21"/>
        </w:rPr>
        <w:t>股利 </w:t>
      </w:r>
      <w:r>
        <w:rPr>
          <w:rFonts w:ascii="Times New Roman" w:hAnsi="Times New Roman" w:cs="Times New Roman" w:eastAsia="Times New Roman" w:hint="default"/>
          <w:spacing w:val="8"/>
          <w:sz w:val="21"/>
          <w:szCs w:val="21"/>
        </w:rPr>
        <w:t>20,709,781.96</w:t>
      </w:r>
      <w:r>
        <w:rPr>
          <w:rFonts w:ascii="宋体" w:hAnsi="宋体" w:cs="宋体" w:eastAsia="宋体" w:hint="default"/>
          <w:spacing w:val="8"/>
          <w:sz w:val="21"/>
          <w:szCs w:val="21"/>
        </w:rPr>
        <w:t>元，加上上年结存未分配利润 </w:t>
      </w:r>
      <w:r>
        <w:rPr>
          <w:rFonts w:ascii="Times New Roman" w:hAnsi="Times New Roman" w:cs="Times New Roman" w:eastAsia="Times New Roman" w:hint="default"/>
          <w:sz w:val="21"/>
          <w:szCs w:val="21"/>
        </w:rPr>
        <w:t>657,286,101.07</w:t>
      </w:r>
      <w:r>
        <w:rPr>
          <w:rFonts w:ascii="Times New Roman" w:hAnsi="Times New Roman" w:cs="Times New Roman" w:eastAsia="Times New Roman" w:hint="default"/>
          <w:spacing w:val="44"/>
          <w:sz w:val="21"/>
          <w:szCs w:val="21"/>
        </w:rPr>
        <w:t> </w:t>
      </w:r>
      <w:r>
        <w:rPr>
          <w:rFonts w:ascii="宋体" w:hAnsi="宋体" w:cs="宋体" w:eastAsia="宋体" w:hint="default"/>
          <w:spacing w:val="15"/>
          <w:sz w:val="21"/>
          <w:szCs w:val="21"/>
        </w:rPr>
        <w:t>元，本年度可供分配的利润</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765,479,801.96</w:t>
      </w:r>
      <w:r>
        <w:rPr>
          <w:rFonts w:ascii="Times New Roman" w:hAnsi="Times New Roman" w:cs="Times New Roman" w:eastAsia="Times New Roman" w:hint="default"/>
          <w:spacing w:val="46"/>
          <w:sz w:val="21"/>
          <w:szCs w:val="21"/>
        </w:rPr>
        <w:t> </w:t>
      </w:r>
      <w:r>
        <w:rPr>
          <w:rFonts w:ascii="宋体" w:hAnsi="宋体" w:cs="宋体" w:eastAsia="宋体" w:hint="default"/>
          <w:sz w:val="21"/>
          <w:szCs w:val="21"/>
        </w:rPr>
        <w:t>元。</w:t>
      </w:r>
    </w:p>
    <w:p>
      <w:pPr>
        <w:spacing w:line="261" w:lineRule="auto" w:before="5"/>
        <w:ind w:left="104" w:right="1468" w:firstLine="482"/>
        <w:jc w:val="both"/>
        <w:rPr>
          <w:rFonts w:ascii="宋体" w:hAnsi="宋体" w:cs="宋体" w:eastAsia="宋体" w:hint="default"/>
          <w:sz w:val="21"/>
          <w:szCs w:val="21"/>
        </w:rPr>
      </w:pPr>
      <w:r>
        <w:rPr>
          <w:rFonts w:ascii="宋体" w:hAnsi="宋体" w:cs="宋体" w:eastAsia="宋体" w:hint="default"/>
          <w:spacing w:val="-1"/>
          <w:w w:val="95"/>
          <w:sz w:val="21"/>
          <w:szCs w:val="21"/>
        </w:rPr>
        <w:t>公司</w:t>
      </w:r>
      <w:r>
        <w:rPr>
          <w:rFonts w:ascii="Times New Roman" w:hAnsi="Times New Roman" w:cs="Times New Roman" w:eastAsia="Times New Roman" w:hint="default"/>
          <w:spacing w:val="-1"/>
          <w:w w:val="95"/>
          <w:sz w:val="21"/>
          <w:szCs w:val="21"/>
        </w:rPr>
        <w:t>2019</w:t>
      </w:r>
      <w:r>
        <w:rPr>
          <w:rFonts w:ascii="宋体" w:hAnsi="宋体" w:cs="宋体" w:eastAsia="宋体" w:hint="default"/>
          <w:spacing w:val="-1"/>
          <w:w w:val="95"/>
          <w:sz w:val="21"/>
          <w:szCs w:val="21"/>
        </w:rPr>
        <w:t>年度利润分配预案：以公司总股本</w:t>
      </w:r>
      <w:r>
        <w:rPr>
          <w:rFonts w:ascii="Times New Roman" w:hAnsi="Times New Roman" w:cs="Times New Roman" w:eastAsia="Times New Roman" w:hint="default"/>
          <w:spacing w:val="-1"/>
          <w:w w:val="95"/>
          <w:sz w:val="21"/>
          <w:szCs w:val="21"/>
        </w:rPr>
        <w:t>1,035,489,098</w:t>
      </w:r>
      <w:r>
        <w:rPr>
          <w:rFonts w:ascii="宋体" w:hAnsi="宋体" w:cs="宋体" w:eastAsia="宋体" w:hint="default"/>
          <w:spacing w:val="-1"/>
          <w:w w:val="95"/>
          <w:sz w:val="21"/>
          <w:szCs w:val="21"/>
        </w:rPr>
        <w:t>股为基数向全体股东每</w:t>
      </w:r>
      <w:r>
        <w:rPr>
          <w:rFonts w:ascii="Times New Roman" w:hAnsi="Times New Roman" w:cs="Times New Roman" w:eastAsia="Times New Roman" w:hint="default"/>
          <w:spacing w:val="-1"/>
          <w:w w:val="95"/>
          <w:sz w:val="21"/>
          <w:szCs w:val="21"/>
        </w:rPr>
        <w:t>10</w:t>
      </w:r>
      <w:r>
        <w:rPr>
          <w:rFonts w:ascii="宋体" w:hAnsi="宋体" w:cs="宋体" w:eastAsia="宋体" w:hint="default"/>
          <w:spacing w:val="-1"/>
          <w:w w:val="95"/>
          <w:sz w:val="21"/>
          <w:szCs w:val="21"/>
        </w:rPr>
        <w:t>股派发现金</w:t>
      </w:r>
      <w:r>
        <w:rPr>
          <w:rFonts w:ascii="宋体" w:hAnsi="宋体" w:cs="宋体" w:eastAsia="宋体" w:hint="default"/>
          <w:w w:val="99"/>
          <w:sz w:val="21"/>
          <w:szCs w:val="21"/>
        </w:rPr>
        <w:t> </w:t>
      </w:r>
      <w:r>
        <w:rPr>
          <w:rFonts w:ascii="宋体" w:hAnsi="宋体" w:cs="宋体" w:eastAsia="宋体" w:hint="default"/>
          <w:spacing w:val="-1"/>
          <w:w w:val="95"/>
          <w:sz w:val="21"/>
          <w:szCs w:val="21"/>
        </w:rPr>
        <w:t>股利人民币</w:t>
      </w:r>
      <w:r>
        <w:rPr>
          <w:rFonts w:ascii="Times New Roman" w:hAnsi="Times New Roman" w:cs="Times New Roman" w:eastAsia="Times New Roman" w:hint="default"/>
          <w:spacing w:val="-1"/>
          <w:w w:val="95"/>
          <w:sz w:val="21"/>
          <w:szCs w:val="21"/>
        </w:rPr>
        <w:t>0.35</w:t>
      </w:r>
      <w:r>
        <w:rPr>
          <w:rFonts w:ascii="宋体" w:hAnsi="宋体" w:cs="宋体" w:eastAsia="宋体" w:hint="default"/>
          <w:spacing w:val="-1"/>
          <w:w w:val="95"/>
          <w:sz w:val="21"/>
          <w:szCs w:val="21"/>
        </w:rPr>
        <w:t>元</w:t>
      </w:r>
      <w:r>
        <w:rPr>
          <w:rFonts w:ascii="Times New Roman" w:hAnsi="Times New Roman" w:cs="Times New Roman" w:eastAsia="Times New Roman" w:hint="default"/>
          <w:spacing w:val="-1"/>
          <w:w w:val="95"/>
          <w:sz w:val="21"/>
          <w:szCs w:val="21"/>
        </w:rPr>
        <w:t>(</w:t>
      </w:r>
      <w:r>
        <w:rPr>
          <w:rFonts w:ascii="宋体" w:hAnsi="宋体" w:cs="宋体" w:eastAsia="宋体" w:hint="default"/>
          <w:spacing w:val="-1"/>
          <w:w w:val="95"/>
          <w:sz w:val="21"/>
          <w:szCs w:val="21"/>
        </w:rPr>
        <w:t>含税</w:t>
      </w:r>
      <w:r>
        <w:rPr>
          <w:rFonts w:ascii="Times New Roman" w:hAnsi="Times New Roman" w:cs="Times New Roman" w:eastAsia="Times New Roman" w:hint="default"/>
          <w:spacing w:val="-1"/>
          <w:w w:val="95"/>
          <w:sz w:val="21"/>
          <w:szCs w:val="21"/>
        </w:rPr>
        <w:t>)</w:t>
      </w:r>
      <w:r>
        <w:rPr>
          <w:rFonts w:ascii="宋体" w:hAnsi="宋体" w:cs="宋体" w:eastAsia="宋体" w:hint="default"/>
          <w:spacing w:val="-1"/>
          <w:w w:val="95"/>
          <w:sz w:val="21"/>
          <w:szCs w:val="21"/>
        </w:rPr>
        <w:t>，合计派发现金红利</w:t>
      </w:r>
      <w:r>
        <w:rPr>
          <w:rFonts w:ascii="Times New Roman" w:hAnsi="Times New Roman" w:cs="Times New Roman" w:eastAsia="Times New Roman" w:hint="default"/>
          <w:spacing w:val="-1"/>
          <w:w w:val="95"/>
          <w:sz w:val="21"/>
          <w:szCs w:val="21"/>
        </w:rPr>
        <w:t>36,242,118.43</w:t>
      </w:r>
      <w:r>
        <w:rPr>
          <w:rFonts w:ascii="宋体" w:hAnsi="宋体" w:cs="宋体" w:eastAsia="宋体" w:hint="default"/>
          <w:spacing w:val="-1"/>
          <w:w w:val="95"/>
          <w:sz w:val="21"/>
          <w:szCs w:val="21"/>
        </w:rPr>
        <w:t>元，不送红股，不以公积金转增股本，其</w:t>
      </w:r>
      <w:r>
        <w:rPr>
          <w:rFonts w:ascii="宋体" w:hAnsi="宋体" w:cs="宋体" w:eastAsia="宋体" w:hint="default"/>
          <w:spacing w:val="12"/>
          <w:w w:val="95"/>
          <w:sz w:val="21"/>
          <w:szCs w:val="21"/>
        </w:rPr>
        <w:t> </w:t>
      </w:r>
      <w:r>
        <w:rPr>
          <w:rFonts w:ascii="宋体" w:hAnsi="宋体" w:cs="宋体" w:eastAsia="宋体" w:hint="default"/>
          <w:spacing w:val="12"/>
          <w:w w:val="95"/>
          <w:sz w:val="21"/>
          <w:szCs w:val="21"/>
        </w:rPr>
      </w:r>
      <w:r>
        <w:rPr>
          <w:rFonts w:ascii="宋体" w:hAnsi="宋体" w:cs="宋体" w:eastAsia="宋体" w:hint="default"/>
          <w:spacing w:val="-1"/>
          <w:w w:val="95"/>
          <w:sz w:val="21"/>
          <w:szCs w:val="21"/>
        </w:rPr>
        <w:t>余未分配利润结转以后年度进行分配。若分红派息方案实施时公司总股本发生变化，将按照分配总</w:t>
      </w:r>
      <w:r>
        <w:rPr>
          <w:rFonts w:ascii="宋体" w:hAnsi="宋体" w:cs="宋体" w:eastAsia="宋体" w:hint="default"/>
          <w:spacing w:val="29"/>
          <w:w w:val="95"/>
          <w:sz w:val="21"/>
          <w:szCs w:val="21"/>
        </w:rPr>
        <w:t> </w:t>
      </w:r>
      <w:r>
        <w:rPr>
          <w:rFonts w:ascii="宋体" w:hAnsi="宋体" w:cs="宋体" w:eastAsia="宋体" w:hint="default"/>
          <w:spacing w:val="29"/>
          <w:w w:val="95"/>
          <w:sz w:val="21"/>
          <w:szCs w:val="21"/>
        </w:rPr>
      </w:r>
      <w:r>
        <w:rPr>
          <w:rFonts w:ascii="宋体" w:hAnsi="宋体" w:cs="宋体" w:eastAsia="宋体" w:hint="default"/>
          <w:sz w:val="21"/>
          <w:szCs w:val="21"/>
        </w:rPr>
        <w:t>额不变的原则对分配比例进行调整。</w:t>
      </w:r>
    </w:p>
    <w:p>
      <w:pPr>
        <w:spacing w:line="240" w:lineRule="auto" w:before="3"/>
        <w:rPr>
          <w:rFonts w:ascii="宋体" w:hAnsi="宋体" w:cs="宋体" w:eastAsia="宋体" w:hint="default"/>
          <w:sz w:val="25"/>
          <w:szCs w:val="25"/>
        </w:rPr>
      </w:pPr>
    </w:p>
    <w:p>
      <w:pPr>
        <w:spacing w:before="0"/>
        <w:ind w:left="587"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2018</w:t>
      </w:r>
      <w:r>
        <w:rPr>
          <w:rFonts w:ascii="宋体" w:hAnsi="宋体" w:cs="宋体" w:eastAsia="宋体" w:hint="default"/>
          <w:b/>
          <w:bCs/>
          <w:sz w:val="21"/>
          <w:szCs w:val="21"/>
        </w:rPr>
        <w:t>年度利润分配方案</w:t>
      </w:r>
      <w:r>
        <w:rPr>
          <w:rFonts w:ascii="宋体" w:hAnsi="宋体" w:cs="宋体" w:eastAsia="宋体" w:hint="default"/>
          <w:sz w:val="21"/>
          <w:szCs w:val="21"/>
        </w:rPr>
      </w:r>
    </w:p>
    <w:p>
      <w:pPr>
        <w:spacing w:line="256" w:lineRule="auto" w:before="21"/>
        <w:ind w:left="104" w:right="1465" w:firstLine="482"/>
        <w:jc w:val="both"/>
        <w:rPr>
          <w:rFonts w:ascii="宋体" w:hAnsi="宋体" w:cs="宋体" w:eastAsia="宋体" w:hint="default"/>
          <w:sz w:val="21"/>
          <w:szCs w:val="21"/>
        </w:rPr>
      </w:pPr>
      <w:r>
        <w:rPr>
          <w:rFonts w:ascii="宋体" w:hAnsi="宋体" w:cs="宋体" w:eastAsia="宋体" w:hint="default"/>
          <w:sz w:val="21"/>
          <w:szCs w:val="21"/>
        </w:rPr>
        <w:t>经</w:t>
      </w:r>
      <w:r>
        <w:rPr>
          <w:rFonts w:ascii="宋体" w:hAnsi="宋体" w:cs="宋体" w:eastAsia="宋体" w:hint="default"/>
          <w:spacing w:val="-71"/>
          <w:sz w:val="21"/>
          <w:szCs w:val="21"/>
        </w:rPr>
        <w:t> </w:t>
      </w:r>
      <w:r>
        <w:rPr>
          <w:rFonts w:ascii="宋体" w:hAnsi="宋体" w:cs="宋体" w:eastAsia="宋体" w:hint="default"/>
          <w:sz w:val="21"/>
          <w:szCs w:val="21"/>
        </w:rPr>
        <w:t>信</w:t>
      </w:r>
      <w:r>
        <w:rPr>
          <w:rFonts w:ascii="宋体" w:hAnsi="宋体" w:cs="宋体" w:eastAsia="宋体" w:hint="default"/>
          <w:spacing w:val="-71"/>
          <w:sz w:val="21"/>
          <w:szCs w:val="21"/>
        </w:rPr>
        <w:t> </w:t>
      </w:r>
      <w:r>
        <w:rPr>
          <w:rFonts w:ascii="宋体" w:hAnsi="宋体" w:cs="宋体" w:eastAsia="宋体" w:hint="default"/>
          <w:sz w:val="21"/>
          <w:szCs w:val="21"/>
        </w:rPr>
        <w:t>永</w:t>
      </w:r>
      <w:r>
        <w:rPr>
          <w:rFonts w:ascii="宋体" w:hAnsi="宋体" w:cs="宋体" w:eastAsia="宋体" w:hint="default"/>
          <w:spacing w:val="-71"/>
          <w:sz w:val="21"/>
          <w:szCs w:val="21"/>
        </w:rPr>
        <w:t> </w:t>
      </w:r>
      <w:r>
        <w:rPr>
          <w:rFonts w:ascii="宋体" w:hAnsi="宋体" w:cs="宋体" w:eastAsia="宋体" w:hint="default"/>
          <w:sz w:val="21"/>
          <w:szCs w:val="21"/>
        </w:rPr>
        <w:t>中</w:t>
      </w:r>
      <w:r>
        <w:rPr>
          <w:rFonts w:ascii="宋体" w:hAnsi="宋体" w:cs="宋体" w:eastAsia="宋体" w:hint="default"/>
          <w:spacing w:val="-71"/>
          <w:sz w:val="21"/>
          <w:szCs w:val="21"/>
        </w:rPr>
        <w:t> </w:t>
      </w:r>
      <w:r>
        <w:rPr>
          <w:rFonts w:ascii="宋体" w:hAnsi="宋体" w:cs="宋体" w:eastAsia="宋体" w:hint="default"/>
          <w:sz w:val="21"/>
          <w:szCs w:val="21"/>
        </w:rPr>
        <w:t>和</w:t>
      </w:r>
      <w:r>
        <w:rPr>
          <w:rFonts w:ascii="宋体" w:hAnsi="宋体" w:cs="宋体" w:eastAsia="宋体" w:hint="default"/>
          <w:spacing w:val="-71"/>
          <w:sz w:val="21"/>
          <w:szCs w:val="21"/>
        </w:rPr>
        <w:t> </w:t>
      </w:r>
      <w:r>
        <w:rPr>
          <w:rFonts w:ascii="宋体" w:hAnsi="宋体" w:cs="宋体" w:eastAsia="宋体" w:hint="default"/>
          <w:sz w:val="21"/>
          <w:szCs w:val="21"/>
        </w:rPr>
        <w:t>会</w:t>
      </w:r>
      <w:r>
        <w:rPr>
          <w:rFonts w:ascii="宋体" w:hAnsi="宋体" w:cs="宋体" w:eastAsia="宋体" w:hint="default"/>
          <w:spacing w:val="-71"/>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师</w:t>
      </w:r>
      <w:r>
        <w:rPr>
          <w:rFonts w:ascii="宋体" w:hAnsi="宋体" w:cs="宋体" w:eastAsia="宋体" w:hint="default"/>
          <w:spacing w:val="-68"/>
          <w:sz w:val="21"/>
          <w:szCs w:val="21"/>
        </w:rPr>
        <w:t> </w:t>
      </w:r>
      <w:r>
        <w:rPr>
          <w:rFonts w:ascii="宋体" w:hAnsi="宋体" w:cs="宋体" w:eastAsia="宋体" w:hint="default"/>
          <w:sz w:val="21"/>
          <w:szCs w:val="21"/>
        </w:rPr>
        <w:t>事</w:t>
      </w:r>
      <w:r>
        <w:rPr>
          <w:rFonts w:ascii="宋体" w:hAnsi="宋体" w:cs="宋体" w:eastAsia="宋体" w:hint="default"/>
          <w:spacing w:val="-71"/>
          <w:sz w:val="21"/>
          <w:szCs w:val="21"/>
        </w:rPr>
        <w:t> </w:t>
      </w:r>
      <w:r>
        <w:rPr>
          <w:rFonts w:ascii="宋体" w:hAnsi="宋体" w:cs="宋体" w:eastAsia="宋体" w:hint="default"/>
          <w:sz w:val="21"/>
          <w:szCs w:val="21"/>
        </w:rPr>
        <w:t>务</w:t>
      </w:r>
      <w:r>
        <w:rPr>
          <w:rFonts w:ascii="宋体" w:hAnsi="宋体" w:cs="宋体" w:eastAsia="宋体" w:hint="default"/>
          <w:spacing w:val="-71"/>
          <w:sz w:val="21"/>
          <w:szCs w:val="21"/>
        </w:rPr>
        <w:t> </w:t>
      </w:r>
      <w:r>
        <w:rPr>
          <w:rFonts w:ascii="宋体" w:hAnsi="宋体" w:cs="宋体" w:eastAsia="宋体" w:hint="default"/>
          <w:sz w:val="21"/>
          <w:szCs w:val="21"/>
        </w:rPr>
        <w:t>所</w:t>
      </w:r>
      <w:r>
        <w:rPr>
          <w:rFonts w:ascii="宋体" w:hAnsi="宋体" w:cs="宋体" w:eastAsia="宋体" w:hint="default"/>
          <w:spacing w:val="-71"/>
          <w:sz w:val="21"/>
          <w:szCs w:val="21"/>
        </w:rPr>
        <w:t> </w:t>
      </w:r>
      <w:r>
        <w:rPr>
          <w:rFonts w:ascii="宋体" w:hAnsi="宋体" w:cs="宋体" w:eastAsia="宋体" w:hint="default"/>
          <w:sz w:val="21"/>
          <w:szCs w:val="21"/>
        </w:rPr>
        <w:t>审</w:t>
      </w:r>
      <w:r>
        <w:rPr>
          <w:rFonts w:ascii="宋体" w:hAnsi="宋体" w:cs="宋体" w:eastAsia="宋体" w:hint="default"/>
          <w:spacing w:val="-71"/>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1"/>
          <w:sz w:val="21"/>
          <w:szCs w:val="21"/>
        </w:rPr>
        <w:t> </w:t>
      </w:r>
      <w:r>
        <w:rPr>
          <w:rFonts w:ascii="宋体" w:hAnsi="宋体" w:cs="宋体" w:eastAsia="宋体" w:hint="default"/>
          <w:sz w:val="21"/>
          <w:szCs w:val="21"/>
        </w:rPr>
        <w:t>司</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2018</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度</w:t>
      </w:r>
      <w:r>
        <w:rPr>
          <w:rFonts w:ascii="宋体" w:hAnsi="宋体" w:cs="宋体" w:eastAsia="宋体" w:hint="default"/>
          <w:spacing w:val="-71"/>
          <w:sz w:val="21"/>
          <w:szCs w:val="21"/>
        </w:rPr>
        <w:t> </w:t>
      </w:r>
      <w:r>
        <w:rPr>
          <w:rFonts w:ascii="宋体" w:hAnsi="宋体" w:cs="宋体" w:eastAsia="宋体" w:hint="default"/>
          <w:sz w:val="21"/>
          <w:szCs w:val="21"/>
        </w:rPr>
        <w:t>实</w:t>
      </w:r>
      <w:r>
        <w:rPr>
          <w:rFonts w:ascii="宋体" w:hAnsi="宋体" w:cs="宋体" w:eastAsia="宋体" w:hint="default"/>
          <w:spacing w:val="-71"/>
          <w:sz w:val="21"/>
          <w:szCs w:val="21"/>
        </w:rPr>
        <w:t> </w:t>
      </w:r>
      <w:r>
        <w:rPr>
          <w:rFonts w:ascii="宋体" w:hAnsi="宋体" w:cs="宋体" w:eastAsia="宋体" w:hint="default"/>
          <w:sz w:val="21"/>
          <w:szCs w:val="21"/>
        </w:rPr>
        <w:t>现</w:t>
      </w:r>
      <w:r>
        <w:rPr>
          <w:rFonts w:ascii="宋体" w:hAnsi="宋体" w:cs="宋体" w:eastAsia="宋体" w:hint="default"/>
          <w:spacing w:val="-71"/>
          <w:sz w:val="21"/>
          <w:szCs w:val="21"/>
        </w:rPr>
        <w:t> </w:t>
      </w:r>
      <w:r>
        <w:rPr>
          <w:rFonts w:ascii="宋体" w:hAnsi="宋体" w:cs="宋体" w:eastAsia="宋体" w:hint="default"/>
          <w:sz w:val="21"/>
          <w:szCs w:val="21"/>
        </w:rPr>
        <w:t>归</w:t>
      </w:r>
      <w:r>
        <w:rPr>
          <w:rFonts w:ascii="宋体" w:hAnsi="宋体" w:cs="宋体" w:eastAsia="宋体" w:hint="default"/>
          <w:spacing w:val="-71"/>
          <w:sz w:val="21"/>
          <w:szCs w:val="21"/>
        </w:rPr>
        <w:t> </w:t>
      </w:r>
      <w:r>
        <w:rPr>
          <w:rFonts w:ascii="宋体" w:hAnsi="宋体" w:cs="宋体" w:eastAsia="宋体" w:hint="default"/>
          <w:sz w:val="21"/>
          <w:szCs w:val="21"/>
        </w:rPr>
        <w:t>属</w:t>
      </w:r>
      <w:r>
        <w:rPr>
          <w:rFonts w:ascii="宋体" w:hAnsi="宋体" w:cs="宋体" w:eastAsia="宋体" w:hint="default"/>
          <w:spacing w:val="-71"/>
          <w:sz w:val="21"/>
          <w:szCs w:val="21"/>
        </w:rPr>
        <w:t> </w:t>
      </w:r>
      <w:r>
        <w:rPr>
          <w:rFonts w:ascii="宋体" w:hAnsi="宋体" w:cs="宋体" w:eastAsia="宋体" w:hint="default"/>
          <w:sz w:val="21"/>
          <w:szCs w:val="21"/>
        </w:rPr>
        <w:t>于</w:t>
      </w:r>
      <w:r>
        <w:rPr>
          <w:rFonts w:ascii="宋体" w:hAnsi="宋体" w:cs="宋体" w:eastAsia="宋体" w:hint="default"/>
          <w:spacing w:val="-71"/>
          <w:sz w:val="21"/>
          <w:szCs w:val="21"/>
        </w:rPr>
        <w:t> </w:t>
      </w:r>
      <w:r>
        <w:rPr>
          <w:rFonts w:ascii="宋体" w:hAnsi="宋体" w:cs="宋体" w:eastAsia="宋体" w:hint="default"/>
          <w:sz w:val="21"/>
          <w:szCs w:val="21"/>
        </w:rPr>
        <w:t>上</w:t>
      </w:r>
      <w:r>
        <w:rPr>
          <w:rFonts w:ascii="宋体" w:hAnsi="宋体" w:cs="宋体" w:eastAsia="宋体" w:hint="default"/>
          <w:spacing w:val="-68"/>
          <w:sz w:val="21"/>
          <w:szCs w:val="21"/>
        </w:rPr>
        <w:t> </w:t>
      </w:r>
      <w:r>
        <w:rPr>
          <w:rFonts w:ascii="宋体" w:hAnsi="宋体" w:cs="宋体" w:eastAsia="宋体" w:hint="default"/>
          <w:sz w:val="21"/>
          <w:szCs w:val="21"/>
        </w:rPr>
        <w:t>市</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1"/>
          <w:sz w:val="21"/>
          <w:szCs w:val="21"/>
        </w:rPr>
        <w:t> </w:t>
      </w:r>
      <w:r>
        <w:rPr>
          <w:rFonts w:ascii="宋体" w:hAnsi="宋体" w:cs="宋体" w:eastAsia="宋体" w:hint="default"/>
          <w:sz w:val="21"/>
          <w:szCs w:val="21"/>
        </w:rPr>
        <w:t>司</w:t>
      </w:r>
      <w:r>
        <w:rPr>
          <w:rFonts w:ascii="宋体" w:hAnsi="宋体" w:cs="宋体" w:eastAsia="宋体" w:hint="default"/>
          <w:spacing w:val="-71"/>
          <w:sz w:val="21"/>
          <w:szCs w:val="21"/>
        </w:rPr>
        <w:t> </w:t>
      </w:r>
      <w:r>
        <w:rPr>
          <w:rFonts w:ascii="宋体" w:hAnsi="宋体" w:cs="宋体" w:eastAsia="宋体" w:hint="default"/>
          <w:sz w:val="21"/>
          <w:szCs w:val="21"/>
        </w:rPr>
        <w:t>股</w:t>
      </w:r>
      <w:r>
        <w:rPr>
          <w:rFonts w:ascii="宋体" w:hAnsi="宋体" w:cs="宋体" w:eastAsia="宋体" w:hint="default"/>
          <w:spacing w:val="-71"/>
          <w:sz w:val="21"/>
          <w:szCs w:val="21"/>
        </w:rPr>
        <w:t> </w:t>
      </w:r>
      <w:r>
        <w:rPr>
          <w:rFonts w:ascii="宋体" w:hAnsi="宋体" w:cs="宋体" w:eastAsia="宋体" w:hint="default"/>
          <w:sz w:val="21"/>
          <w:szCs w:val="21"/>
        </w:rPr>
        <w:t>东</w:t>
      </w:r>
      <w:r>
        <w:rPr>
          <w:rFonts w:ascii="宋体" w:hAnsi="宋体" w:cs="宋体" w:eastAsia="宋体" w:hint="default"/>
          <w:spacing w:val="-71"/>
          <w:sz w:val="21"/>
          <w:szCs w:val="21"/>
        </w:rPr>
        <w:t> </w:t>
      </w:r>
      <w:r>
        <w:rPr>
          <w:rFonts w:ascii="宋体" w:hAnsi="宋体" w:cs="宋体" w:eastAsia="宋体" w:hint="default"/>
          <w:sz w:val="21"/>
          <w:szCs w:val="21"/>
        </w:rPr>
        <w:t>的</w:t>
      </w:r>
      <w:r>
        <w:rPr>
          <w:rFonts w:ascii="宋体" w:hAnsi="宋体" w:cs="宋体" w:eastAsia="宋体" w:hint="default"/>
          <w:spacing w:val="-71"/>
          <w:sz w:val="21"/>
          <w:szCs w:val="21"/>
        </w:rPr>
        <w:t> </w:t>
      </w:r>
      <w:r>
        <w:rPr>
          <w:rFonts w:ascii="宋体" w:hAnsi="宋体" w:cs="宋体" w:eastAsia="宋体" w:hint="default"/>
          <w:sz w:val="21"/>
          <w:szCs w:val="21"/>
        </w:rPr>
        <w:t>净</w:t>
      </w:r>
      <w:r>
        <w:rPr>
          <w:rFonts w:ascii="宋体" w:hAnsi="宋体" w:cs="宋体" w:eastAsia="宋体" w:hint="default"/>
          <w:spacing w:val="-71"/>
          <w:sz w:val="21"/>
          <w:szCs w:val="21"/>
        </w:rPr>
        <w:t> </w:t>
      </w:r>
      <w:r>
        <w:rPr>
          <w:rFonts w:ascii="宋体" w:hAnsi="宋体" w:cs="宋体" w:eastAsia="宋体" w:hint="default"/>
          <w:sz w:val="21"/>
          <w:szCs w:val="21"/>
        </w:rPr>
        <w:t>利</w:t>
      </w:r>
      <w:r>
        <w:rPr>
          <w:rFonts w:ascii="宋体" w:hAnsi="宋体" w:cs="宋体" w:eastAsia="宋体" w:hint="default"/>
          <w:spacing w:val="-71"/>
          <w:sz w:val="21"/>
          <w:szCs w:val="21"/>
        </w:rPr>
        <w:t> </w:t>
      </w:r>
      <w:r>
        <w:rPr>
          <w:rFonts w:ascii="宋体" w:hAnsi="宋体" w:cs="宋体" w:eastAsia="宋体" w:hint="default"/>
          <w:sz w:val="21"/>
          <w:szCs w:val="21"/>
        </w:rPr>
        <w:t>润</w:t>
      </w:r>
      <w:r>
        <w:rPr>
          <w:rFonts w:ascii="宋体" w:hAnsi="宋体" w:cs="宋体" w:eastAsia="宋体" w:hint="default"/>
          <w:w w:val="99"/>
          <w:sz w:val="21"/>
          <w:szCs w:val="21"/>
        </w:rPr>
        <w:t> </w:t>
      </w:r>
      <w:r>
        <w:rPr>
          <w:rFonts w:ascii="Times New Roman" w:hAnsi="Times New Roman" w:cs="Times New Roman" w:eastAsia="Times New Roman" w:hint="default"/>
          <w:w w:val="95"/>
          <w:sz w:val="21"/>
          <w:szCs w:val="21"/>
        </w:rPr>
        <w:t>111,714,711.22</w:t>
      </w:r>
      <w:r>
        <w:rPr>
          <w:rFonts w:ascii="宋体" w:hAnsi="宋体" w:cs="宋体" w:eastAsia="宋体" w:hint="default"/>
          <w:w w:val="95"/>
          <w:sz w:val="21"/>
          <w:szCs w:val="21"/>
        </w:rPr>
        <w:t>元，提取法定盈余公积</w:t>
      </w:r>
      <w:r>
        <w:rPr>
          <w:rFonts w:ascii="Times New Roman" w:hAnsi="Times New Roman" w:cs="Times New Roman" w:eastAsia="Times New Roman" w:hint="default"/>
          <w:w w:val="95"/>
          <w:sz w:val="21"/>
          <w:szCs w:val="21"/>
        </w:rPr>
        <w:t>21,922,726.66</w:t>
      </w:r>
      <w:r>
        <w:rPr>
          <w:rFonts w:ascii="宋体" w:hAnsi="宋体" w:cs="宋体" w:eastAsia="宋体" w:hint="default"/>
          <w:w w:val="95"/>
          <w:sz w:val="21"/>
          <w:szCs w:val="21"/>
        </w:rPr>
        <w:t>元后，加上上年结存未分配利润</w:t>
      </w:r>
      <w:r>
        <w:rPr>
          <w:rFonts w:ascii="Times New Roman" w:hAnsi="Times New Roman" w:cs="Times New Roman" w:eastAsia="Times New Roman" w:hint="default"/>
          <w:w w:val="95"/>
          <w:sz w:val="21"/>
          <w:szCs w:val="21"/>
        </w:rPr>
        <w:t>1,148,281,471.50</w:t>
      </w:r>
      <w:r>
        <w:rPr>
          <w:rFonts w:ascii="Times New Roman" w:hAnsi="Times New Roman" w:cs="Times New Roman" w:eastAsia="Times New Roman" w:hint="default"/>
          <w:spacing w:val="42"/>
          <w:w w:val="95"/>
          <w:sz w:val="21"/>
          <w:szCs w:val="21"/>
        </w:rPr>
        <w:t> </w:t>
      </w:r>
      <w:r>
        <w:rPr>
          <w:rFonts w:ascii="Times New Roman" w:hAnsi="Times New Roman" w:cs="Times New Roman" w:eastAsia="Times New Roman" w:hint="default"/>
          <w:spacing w:val="42"/>
          <w:w w:val="95"/>
          <w:sz w:val="21"/>
          <w:szCs w:val="21"/>
        </w:rPr>
      </w:r>
      <w:r>
        <w:rPr>
          <w:rFonts w:ascii="宋体" w:hAnsi="宋体" w:cs="宋体" w:eastAsia="宋体" w:hint="default"/>
          <w:sz w:val="21"/>
          <w:szCs w:val="21"/>
        </w:rPr>
        <w:t>元，本年度可供投资者分配的利润</w:t>
      </w:r>
      <w:r>
        <w:rPr>
          <w:rFonts w:ascii="Times New Roman" w:hAnsi="Times New Roman" w:cs="Times New Roman" w:eastAsia="Times New Roman" w:hint="default"/>
          <w:sz w:val="21"/>
          <w:szCs w:val="21"/>
        </w:rPr>
        <w:t>1,238,073,456.06</w:t>
      </w:r>
      <w:r>
        <w:rPr>
          <w:rFonts w:ascii="宋体" w:hAnsi="宋体" w:cs="宋体" w:eastAsia="宋体" w:hint="default"/>
          <w:sz w:val="21"/>
          <w:szCs w:val="21"/>
        </w:rPr>
        <w:t>元。</w:t>
      </w:r>
    </w:p>
    <w:p>
      <w:pPr>
        <w:spacing w:line="256" w:lineRule="auto" w:before="5"/>
        <w:ind w:left="104" w:right="1468" w:firstLine="482"/>
        <w:jc w:val="both"/>
        <w:rPr>
          <w:rFonts w:ascii="宋体" w:hAnsi="宋体" w:cs="宋体" w:eastAsia="宋体" w:hint="default"/>
          <w:sz w:val="21"/>
          <w:szCs w:val="21"/>
        </w:rPr>
      </w:pPr>
      <w:r>
        <w:rPr>
          <w:rFonts w:ascii="宋体" w:hAnsi="宋体" w:cs="宋体" w:eastAsia="宋体" w:hint="default"/>
          <w:spacing w:val="-1"/>
          <w:w w:val="95"/>
          <w:sz w:val="21"/>
          <w:szCs w:val="21"/>
        </w:rPr>
        <w:t>公司</w:t>
      </w:r>
      <w:r>
        <w:rPr>
          <w:rFonts w:ascii="Times New Roman" w:hAnsi="Times New Roman" w:cs="Times New Roman" w:eastAsia="Times New Roman" w:hint="default"/>
          <w:spacing w:val="-1"/>
          <w:w w:val="95"/>
          <w:sz w:val="21"/>
          <w:szCs w:val="21"/>
        </w:rPr>
        <w:t>2018</w:t>
      </w:r>
      <w:r>
        <w:rPr>
          <w:rFonts w:ascii="宋体" w:hAnsi="宋体" w:cs="宋体" w:eastAsia="宋体" w:hint="default"/>
          <w:spacing w:val="-1"/>
          <w:w w:val="95"/>
          <w:sz w:val="21"/>
          <w:szCs w:val="21"/>
        </w:rPr>
        <w:t>年度利润分配预案：以公司总股本</w:t>
      </w:r>
      <w:r>
        <w:rPr>
          <w:rFonts w:ascii="Times New Roman" w:hAnsi="Times New Roman" w:cs="Times New Roman" w:eastAsia="Times New Roman" w:hint="default"/>
          <w:spacing w:val="-1"/>
          <w:w w:val="95"/>
          <w:sz w:val="21"/>
          <w:szCs w:val="21"/>
        </w:rPr>
        <w:t>1,035,489,098</w:t>
      </w:r>
      <w:r>
        <w:rPr>
          <w:rFonts w:ascii="宋体" w:hAnsi="宋体" w:cs="宋体" w:eastAsia="宋体" w:hint="default"/>
          <w:spacing w:val="-1"/>
          <w:w w:val="95"/>
          <w:sz w:val="21"/>
          <w:szCs w:val="21"/>
        </w:rPr>
        <w:t>股为基数向全体股东每</w:t>
      </w:r>
      <w:r>
        <w:rPr>
          <w:rFonts w:ascii="Times New Roman" w:hAnsi="Times New Roman" w:cs="Times New Roman" w:eastAsia="Times New Roman" w:hint="default"/>
          <w:spacing w:val="-1"/>
          <w:w w:val="95"/>
          <w:sz w:val="21"/>
          <w:szCs w:val="21"/>
        </w:rPr>
        <w:t>10</w:t>
      </w:r>
      <w:r>
        <w:rPr>
          <w:rFonts w:ascii="宋体" w:hAnsi="宋体" w:cs="宋体" w:eastAsia="宋体" w:hint="default"/>
          <w:spacing w:val="-1"/>
          <w:w w:val="95"/>
          <w:sz w:val="21"/>
          <w:szCs w:val="21"/>
        </w:rPr>
        <w:t>股派发现金</w:t>
      </w:r>
      <w:r>
        <w:rPr>
          <w:rFonts w:ascii="宋体" w:hAnsi="宋体" w:cs="宋体" w:eastAsia="宋体" w:hint="default"/>
          <w:w w:val="99"/>
          <w:sz w:val="21"/>
          <w:szCs w:val="21"/>
        </w:rPr>
        <w:t> </w:t>
      </w:r>
      <w:r>
        <w:rPr>
          <w:rFonts w:ascii="宋体" w:hAnsi="宋体" w:cs="宋体" w:eastAsia="宋体" w:hint="default"/>
          <w:spacing w:val="-1"/>
          <w:w w:val="95"/>
          <w:sz w:val="21"/>
          <w:szCs w:val="21"/>
        </w:rPr>
        <w:t>股利人民币</w:t>
      </w:r>
      <w:r>
        <w:rPr>
          <w:rFonts w:ascii="Times New Roman" w:hAnsi="Times New Roman" w:cs="Times New Roman" w:eastAsia="Times New Roman" w:hint="default"/>
          <w:spacing w:val="-1"/>
          <w:w w:val="95"/>
          <w:sz w:val="21"/>
          <w:szCs w:val="21"/>
        </w:rPr>
        <w:t>0.20</w:t>
      </w:r>
      <w:r>
        <w:rPr>
          <w:rFonts w:ascii="宋体" w:hAnsi="宋体" w:cs="宋体" w:eastAsia="宋体" w:hint="default"/>
          <w:spacing w:val="-1"/>
          <w:w w:val="95"/>
          <w:sz w:val="21"/>
          <w:szCs w:val="21"/>
        </w:rPr>
        <w:t>元</w:t>
      </w:r>
      <w:r>
        <w:rPr>
          <w:rFonts w:ascii="Times New Roman" w:hAnsi="Times New Roman" w:cs="Times New Roman" w:eastAsia="Times New Roman" w:hint="default"/>
          <w:spacing w:val="-1"/>
          <w:w w:val="95"/>
          <w:sz w:val="21"/>
          <w:szCs w:val="21"/>
        </w:rPr>
        <w:t>(</w:t>
      </w:r>
      <w:r>
        <w:rPr>
          <w:rFonts w:ascii="宋体" w:hAnsi="宋体" w:cs="宋体" w:eastAsia="宋体" w:hint="default"/>
          <w:spacing w:val="-1"/>
          <w:w w:val="95"/>
          <w:sz w:val="21"/>
          <w:szCs w:val="21"/>
        </w:rPr>
        <w:t>含税</w:t>
      </w:r>
      <w:r>
        <w:rPr>
          <w:rFonts w:ascii="Times New Roman" w:hAnsi="Times New Roman" w:cs="Times New Roman" w:eastAsia="Times New Roman" w:hint="default"/>
          <w:spacing w:val="-1"/>
          <w:w w:val="95"/>
          <w:sz w:val="21"/>
          <w:szCs w:val="21"/>
        </w:rPr>
        <w:t>)</w:t>
      </w:r>
      <w:r>
        <w:rPr>
          <w:rFonts w:ascii="宋体" w:hAnsi="宋体" w:cs="宋体" w:eastAsia="宋体" w:hint="default"/>
          <w:spacing w:val="-1"/>
          <w:w w:val="95"/>
          <w:sz w:val="21"/>
          <w:szCs w:val="21"/>
        </w:rPr>
        <w:t>，合计派发现金红利</w:t>
      </w:r>
      <w:r>
        <w:rPr>
          <w:rFonts w:ascii="Times New Roman" w:hAnsi="Times New Roman" w:cs="Times New Roman" w:eastAsia="Times New Roman" w:hint="default"/>
          <w:spacing w:val="-1"/>
          <w:w w:val="95"/>
          <w:sz w:val="21"/>
          <w:szCs w:val="21"/>
        </w:rPr>
        <w:t>20,709,781.96</w:t>
      </w:r>
      <w:r>
        <w:rPr>
          <w:rFonts w:ascii="宋体" w:hAnsi="宋体" w:cs="宋体" w:eastAsia="宋体" w:hint="default"/>
          <w:spacing w:val="-1"/>
          <w:w w:val="95"/>
          <w:sz w:val="21"/>
          <w:szCs w:val="21"/>
        </w:rPr>
        <w:t>元，其余未分配利润结转以后年度进行分</w:t>
      </w:r>
      <w:r>
        <w:rPr>
          <w:rFonts w:ascii="宋体" w:hAnsi="宋体" w:cs="宋体" w:eastAsia="宋体" w:hint="default"/>
          <w:w w:val="95"/>
          <w:sz w:val="21"/>
          <w:szCs w:val="21"/>
        </w:rPr>
        <w:t>   </w:t>
      </w:r>
      <w:r>
        <w:rPr>
          <w:rFonts w:ascii="宋体" w:hAnsi="宋体" w:cs="宋体" w:eastAsia="宋体" w:hint="default"/>
          <w:spacing w:val="12"/>
          <w:w w:val="95"/>
          <w:sz w:val="21"/>
          <w:szCs w:val="21"/>
        </w:rPr>
        <w:t> </w:t>
      </w:r>
      <w:r>
        <w:rPr>
          <w:rFonts w:ascii="宋体" w:hAnsi="宋体" w:cs="宋体" w:eastAsia="宋体" w:hint="default"/>
          <w:spacing w:val="12"/>
          <w:w w:val="95"/>
          <w:sz w:val="21"/>
          <w:szCs w:val="21"/>
        </w:rPr>
      </w:r>
      <w:r>
        <w:rPr>
          <w:rFonts w:ascii="宋体" w:hAnsi="宋体" w:cs="宋体" w:eastAsia="宋体" w:hint="default"/>
          <w:sz w:val="21"/>
          <w:szCs w:val="21"/>
        </w:rPr>
        <w:t>配。</w:t>
      </w:r>
    </w:p>
    <w:p>
      <w:pPr>
        <w:spacing w:line="240" w:lineRule="auto" w:before="7"/>
        <w:rPr>
          <w:rFonts w:ascii="宋体" w:hAnsi="宋体" w:cs="宋体" w:eastAsia="宋体" w:hint="default"/>
          <w:sz w:val="25"/>
          <w:szCs w:val="25"/>
        </w:rPr>
      </w:pPr>
    </w:p>
    <w:p>
      <w:pPr>
        <w:spacing w:before="0"/>
        <w:ind w:left="524"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2017</w:t>
      </w:r>
      <w:r>
        <w:rPr>
          <w:rFonts w:ascii="宋体" w:hAnsi="宋体" w:cs="宋体" w:eastAsia="宋体" w:hint="default"/>
          <w:b/>
          <w:bCs/>
          <w:sz w:val="21"/>
          <w:szCs w:val="21"/>
        </w:rPr>
        <w:t>年度利润分配方案</w:t>
      </w:r>
      <w:r>
        <w:rPr>
          <w:rFonts w:ascii="宋体" w:hAnsi="宋体" w:cs="宋体" w:eastAsia="宋体" w:hint="default"/>
          <w:sz w:val="21"/>
          <w:szCs w:val="21"/>
        </w:rPr>
      </w:r>
    </w:p>
    <w:p>
      <w:pPr>
        <w:spacing w:line="256" w:lineRule="auto" w:before="21"/>
        <w:ind w:left="104" w:right="1467" w:firstLine="482"/>
        <w:jc w:val="both"/>
        <w:rPr>
          <w:rFonts w:ascii="宋体" w:hAnsi="宋体" w:cs="宋体" w:eastAsia="宋体" w:hint="default"/>
          <w:sz w:val="21"/>
          <w:szCs w:val="21"/>
        </w:rPr>
      </w:pPr>
      <w:r>
        <w:rPr>
          <w:rFonts w:ascii="宋体" w:hAnsi="宋体" w:cs="宋体" w:eastAsia="宋体" w:hint="default"/>
          <w:sz w:val="21"/>
          <w:szCs w:val="21"/>
        </w:rPr>
        <w:t>经</w:t>
      </w:r>
      <w:r>
        <w:rPr>
          <w:rFonts w:ascii="宋体" w:hAnsi="宋体" w:cs="宋体" w:eastAsia="宋体" w:hint="default"/>
          <w:spacing w:val="-71"/>
          <w:sz w:val="21"/>
          <w:szCs w:val="21"/>
        </w:rPr>
        <w:t> </w:t>
      </w:r>
      <w:r>
        <w:rPr>
          <w:rFonts w:ascii="宋体" w:hAnsi="宋体" w:cs="宋体" w:eastAsia="宋体" w:hint="default"/>
          <w:sz w:val="21"/>
          <w:szCs w:val="21"/>
        </w:rPr>
        <w:t>信</w:t>
      </w:r>
      <w:r>
        <w:rPr>
          <w:rFonts w:ascii="宋体" w:hAnsi="宋体" w:cs="宋体" w:eastAsia="宋体" w:hint="default"/>
          <w:spacing w:val="-71"/>
          <w:sz w:val="21"/>
          <w:szCs w:val="21"/>
        </w:rPr>
        <w:t> </w:t>
      </w:r>
      <w:r>
        <w:rPr>
          <w:rFonts w:ascii="宋体" w:hAnsi="宋体" w:cs="宋体" w:eastAsia="宋体" w:hint="default"/>
          <w:sz w:val="21"/>
          <w:szCs w:val="21"/>
        </w:rPr>
        <w:t>永</w:t>
      </w:r>
      <w:r>
        <w:rPr>
          <w:rFonts w:ascii="宋体" w:hAnsi="宋体" w:cs="宋体" w:eastAsia="宋体" w:hint="default"/>
          <w:spacing w:val="-71"/>
          <w:sz w:val="21"/>
          <w:szCs w:val="21"/>
        </w:rPr>
        <w:t> </w:t>
      </w:r>
      <w:r>
        <w:rPr>
          <w:rFonts w:ascii="宋体" w:hAnsi="宋体" w:cs="宋体" w:eastAsia="宋体" w:hint="default"/>
          <w:sz w:val="21"/>
          <w:szCs w:val="21"/>
        </w:rPr>
        <w:t>中</w:t>
      </w:r>
      <w:r>
        <w:rPr>
          <w:rFonts w:ascii="宋体" w:hAnsi="宋体" w:cs="宋体" w:eastAsia="宋体" w:hint="default"/>
          <w:spacing w:val="-71"/>
          <w:sz w:val="21"/>
          <w:szCs w:val="21"/>
        </w:rPr>
        <w:t> </w:t>
      </w:r>
      <w:r>
        <w:rPr>
          <w:rFonts w:ascii="宋体" w:hAnsi="宋体" w:cs="宋体" w:eastAsia="宋体" w:hint="default"/>
          <w:sz w:val="21"/>
          <w:szCs w:val="21"/>
        </w:rPr>
        <w:t>和</w:t>
      </w:r>
      <w:r>
        <w:rPr>
          <w:rFonts w:ascii="宋体" w:hAnsi="宋体" w:cs="宋体" w:eastAsia="宋体" w:hint="default"/>
          <w:spacing w:val="-71"/>
          <w:sz w:val="21"/>
          <w:szCs w:val="21"/>
        </w:rPr>
        <w:t> </w:t>
      </w:r>
      <w:r>
        <w:rPr>
          <w:rFonts w:ascii="宋体" w:hAnsi="宋体" w:cs="宋体" w:eastAsia="宋体" w:hint="default"/>
          <w:sz w:val="21"/>
          <w:szCs w:val="21"/>
        </w:rPr>
        <w:t>会</w:t>
      </w:r>
      <w:r>
        <w:rPr>
          <w:rFonts w:ascii="宋体" w:hAnsi="宋体" w:cs="宋体" w:eastAsia="宋体" w:hint="default"/>
          <w:spacing w:val="-71"/>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师</w:t>
      </w:r>
      <w:r>
        <w:rPr>
          <w:rFonts w:ascii="宋体" w:hAnsi="宋体" w:cs="宋体" w:eastAsia="宋体" w:hint="default"/>
          <w:spacing w:val="-68"/>
          <w:sz w:val="21"/>
          <w:szCs w:val="21"/>
        </w:rPr>
        <w:t> </w:t>
      </w:r>
      <w:r>
        <w:rPr>
          <w:rFonts w:ascii="宋体" w:hAnsi="宋体" w:cs="宋体" w:eastAsia="宋体" w:hint="default"/>
          <w:sz w:val="21"/>
          <w:szCs w:val="21"/>
        </w:rPr>
        <w:t>事</w:t>
      </w:r>
      <w:r>
        <w:rPr>
          <w:rFonts w:ascii="宋体" w:hAnsi="宋体" w:cs="宋体" w:eastAsia="宋体" w:hint="default"/>
          <w:spacing w:val="-71"/>
          <w:sz w:val="21"/>
          <w:szCs w:val="21"/>
        </w:rPr>
        <w:t> </w:t>
      </w:r>
      <w:r>
        <w:rPr>
          <w:rFonts w:ascii="宋体" w:hAnsi="宋体" w:cs="宋体" w:eastAsia="宋体" w:hint="default"/>
          <w:sz w:val="21"/>
          <w:szCs w:val="21"/>
        </w:rPr>
        <w:t>务</w:t>
      </w:r>
      <w:r>
        <w:rPr>
          <w:rFonts w:ascii="宋体" w:hAnsi="宋体" w:cs="宋体" w:eastAsia="宋体" w:hint="default"/>
          <w:spacing w:val="-71"/>
          <w:sz w:val="21"/>
          <w:szCs w:val="21"/>
        </w:rPr>
        <w:t> </w:t>
      </w:r>
      <w:r>
        <w:rPr>
          <w:rFonts w:ascii="宋体" w:hAnsi="宋体" w:cs="宋体" w:eastAsia="宋体" w:hint="default"/>
          <w:sz w:val="21"/>
          <w:szCs w:val="21"/>
        </w:rPr>
        <w:t>所</w:t>
      </w:r>
      <w:r>
        <w:rPr>
          <w:rFonts w:ascii="宋体" w:hAnsi="宋体" w:cs="宋体" w:eastAsia="宋体" w:hint="default"/>
          <w:spacing w:val="-71"/>
          <w:sz w:val="21"/>
          <w:szCs w:val="21"/>
        </w:rPr>
        <w:t> </w:t>
      </w:r>
      <w:r>
        <w:rPr>
          <w:rFonts w:ascii="宋体" w:hAnsi="宋体" w:cs="宋体" w:eastAsia="宋体" w:hint="default"/>
          <w:sz w:val="21"/>
          <w:szCs w:val="21"/>
        </w:rPr>
        <w:t>审</w:t>
      </w:r>
      <w:r>
        <w:rPr>
          <w:rFonts w:ascii="宋体" w:hAnsi="宋体" w:cs="宋体" w:eastAsia="宋体" w:hint="default"/>
          <w:spacing w:val="-71"/>
          <w:sz w:val="21"/>
          <w:szCs w:val="21"/>
        </w:rPr>
        <w:t> </w:t>
      </w:r>
      <w:r>
        <w:rPr>
          <w:rFonts w:ascii="宋体" w:hAnsi="宋体" w:cs="宋体" w:eastAsia="宋体" w:hint="default"/>
          <w:sz w:val="21"/>
          <w:szCs w:val="21"/>
        </w:rPr>
        <w:t>计</w:t>
      </w:r>
      <w:r>
        <w:rPr>
          <w:rFonts w:ascii="宋体" w:hAnsi="宋体" w:cs="宋体" w:eastAsia="宋体" w:hint="default"/>
          <w:spacing w:val="-71"/>
          <w:sz w:val="21"/>
          <w:szCs w:val="21"/>
        </w:rPr>
        <w:t> </w:t>
      </w:r>
      <w:r>
        <w:rPr>
          <w:rFonts w:ascii="宋体" w:hAnsi="宋体" w:cs="宋体" w:eastAsia="宋体" w:hint="default"/>
          <w:sz w:val="21"/>
          <w:szCs w:val="21"/>
        </w:rPr>
        <w:t>，</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1"/>
          <w:sz w:val="21"/>
          <w:szCs w:val="21"/>
        </w:rPr>
        <w:t> </w:t>
      </w:r>
      <w:r>
        <w:rPr>
          <w:rFonts w:ascii="宋体" w:hAnsi="宋体" w:cs="宋体" w:eastAsia="宋体" w:hint="default"/>
          <w:sz w:val="21"/>
          <w:szCs w:val="21"/>
        </w:rPr>
        <w:t>司</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宋体" w:hAnsi="宋体" w:cs="宋体" w:eastAsia="宋体" w:hint="default"/>
          <w:sz w:val="21"/>
          <w:szCs w:val="21"/>
        </w:rPr>
        <w:t>度</w:t>
      </w:r>
      <w:r>
        <w:rPr>
          <w:rFonts w:ascii="宋体" w:hAnsi="宋体" w:cs="宋体" w:eastAsia="宋体" w:hint="default"/>
          <w:spacing w:val="-71"/>
          <w:sz w:val="21"/>
          <w:szCs w:val="21"/>
        </w:rPr>
        <w:t> </w:t>
      </w:r>
      <w:r>
        <w:rPr>
          <w:rFonts w:ascii="宋体" w:hAnsi="宋体" w:cs="宋体" w:eastAsia="宋体" w:hint="default"/>
          <w:sz w:val="21"/>
          <w:szCs w:val="21"/>
        </w:rPr>
        <w:t>实</w:t>
      </w:r>
      <w:r>
        <w:rPr>
          <w:rFonts w:ascii="宋体" w:hAnsi="宋体" w:cs="宋体" w:eastAsia="宋体" w:hint="default"/>
          <w:spacing w:val="-71"/>
          <w:sz w:val="21"/>
          <w:szCs w:val="21"/>
        </w:rPr>
        <w:t> </w:t>
      </w:r>
      <w:r>
        <w:rPr>
          <w:rFonts w:ascii="宋体" w:hAnsi="宋体" w:cs="宋体" w:eastAsia="宋体" w:hint="default"/>
          <w:sz w:val="21"/>
          <w:szCs w:val="21"/>
        </w:rPr>
        <w:t>现</w:t>
      </w:r>
      <w:r>
        <w:rPr>
          <w:rFonts w:ascii="宋体" w:hAnsi="宋体" w:cs="宋体" w:eastAsia="宋体" w:hint="default"/>
          <w:spacing w:val="-71"/>
          <w:sz w:val="21"/>
          <w:szCs w:val="21"/>
        </w:rPr>
        <w:t> </w:t>
      </w:r>
      <w:r>
        <w:rPr>
          <w:rFonts w:ascii="宋体" w:hAnsi="宋体" w:cs="宋体" w:eastAsia="宋体" w:hint="default"/>
          <w:sz w:val="21"/>
          <w:szCs w:val="21"/>
        </w:rPr>
        <w:t>归</w:t>
      </w:r>
      <w:r>
        <w:rPr>
          <w:rFonts w:ascii="宋体" w:hAnsi="宋体" w:cs="宋体" w:eastAsia="宋体" w:hint="default"/>
          <w:spacing w:val="-71"/>
          <w:sz w:val="21"/>
          <w:szCs w:val="21"/>
        </w:rPr>
        <w:t> </w:t>
      </w:r>
      <w:r>
        <w:rPr>
          <w:rFonts w:ascii="宋体" w:hAnsi="宋体" w:cs="宋体" w:eastAsia="宋体" w:hint="default"/>
          <w:sz w:val="21"/>
          <w:szCs w:val="21"/>
        </w:rPr>
        <w:t>属</w:t>
      </w:r>
      <w:r>
        <w:rPr>
          <w:rFonts w:ascii="宋体" w:hAnsi="宋体" w:cs="宋体" w:eastAsia="宋体" w:hint="default"/>
          <w:spacing w:val="-71"/>
          <w:sz w:val="21"/>
          <w:szCs w:val="21"/>
        </w:rPr>
        <w:t> </w:t>
      </w:r>
      <w:r>
        <w:rPr>
          <w:rFonts w:ascii="宋体" w:hAnsi="宋体" w:cs="宋体" w:eastAsia="宋体" w:hint="default"/>
          <w:sz w:val="21"/>
          <w:szCs w:val="21"/>
        </w:rPr>
        <w:t>于</w:t>
      </w:r>
      <w:r>
        <w:rPr>
          <w:rFonts w:ascii="宋体" w:hAnsi="宋体" w:cs="宋体" w:eastAsia="宋体" w:hint="default"/>
          <w:spacing w:val="-71"/>
          <w:sz w:val="21"/>
          <w:szCs w:val="21"/>
        </w:rPr>
        <w:t> </w:t>
      </w:r>
      <w:r>
        <w:rPr>
          <w:rFonts w:ascii="宋体" w:hAnsi="宋体" w:cs="宋体" w:eastAsia="宋体" w:hint="default"/>
          <w:sz w:val="21"/>
          <w:szCs w:val="21"/>
        </w:rPr>
        <w:t>上</w:t>
      </w:r>
      <w:r>
        <w:rPr>
          <w:rFonts w:ascii="宋体" w:hAnsi="宋体" w:cs="宋体" w:eastAsia="宋体" w:hint="default"/>
          <w:spacing w:val="-68"/>
          <w:sz w:val="21"/>
          <w:szCs w:val="21"/>
        </w:rPr>
        <w:t> </w:t>
      </w:r>
      <w:r>
        <w:rPr>
          <w:rFonts w:ascii="宋体" w:hAnsi="宋体" w:cs="宋体" w:eastAsia="宋体" w:hint="default"/>
          <w:sz w:val="21"/>
          <w:szCs w:val="21"/>
        </w:rPr>
        <w:t>市</w:t>
      </w:r>
      <w:r>
        <w:rPr>
          <w:rFonts w:ascii="宋体" w:hAnsi="宋体" w:cs="宋体" w:eastAsia="宋体" w:hint="default"/>
          <w:spacing w:val="-71"/>
          <w:sz w:val="21"/>
          <w:szCs w:val="21"/>
        </w:rPr>
        <w:t> </w:t>
      </w:r>
      <w:r>
        <w:rPr>
          <w:rFonts w:ascii="宋体" w:hAnsi="宋体" w:cs="宋体" w:eastAsia="宋体" w:hint="default"/>
          <w:sz w:val="21"/>
          <w:szCs w:val="21"/>
        </w:rPr>
        <w:t>公</w:t>
      </w:r>
      <w:r>
        <w:rPr>
          <w:rFonts w:ascii="宋体" w:hAnsi="宋体" w:cs="宋体" w:eastAsia="宋体" w:hint="default"/>
          <w:spacing w:val="-71"/>
          <w:sz w:val="21"/>
          <w:szCs w:val="21"/>
        </w:rPr>
        <w:t> </w:t>
      </w:r>
      <w:r>
        <w:rPr>
          <w:rFonts w:ascii="宋体" w:hAnsi="宋体" w:cs="宋体" w:eastAsia="宋体" w:hint="default"/>
          <w:sz w:val="21"/>
          <w:szCs w:val="21"/>
        </w:rPr>
        <w:t>司</w:t>
      </w:r>
      <w:r>
        <w:rPr>
          <w:rFonts w:ascii="宋体" w:hAnsi="宋体" w:cs="宋体" w:eastAsia="宋体" w:hint="default"/>
          <w:spacing w:val="-71"/>
          <w:sz w:val="21"/>
          <w:szCs w:val="21"/>
        </w:rPr>
        <w:t> </w:t>
      </w:r>
      <w:r>
        <w:rPr>
          <w:rFonts w:ascii="宋体" w:hAnsi="宋体" w:cs="宋体" w:eastAsia="宋体" w:hint="default"/>
          <w:sz w:val="21"/>
          <w:szCs w:val="21"/>
        </w:rPr>
        <w:t>股</w:t>
      </w:r>
      <w:r>
        <w:rPr>
          <w:rFonts w:ascii="宋体" w:hAnsi="宋体" w:cs="宋体" w:eastAsia="宋体" w:hint="default"/>
          <w:spacing w:val="-71"/>
          <w:sz w:val="21"/>
          <w:szCs w:val="21"/>
        </w:rPr>
        <w:t> </w:t>
      </w:r>
      <w:r>
        <w:rPr>
          <w:rFonts w:ascii="宋体" w:hAnsi="宋体" w:cs="宋体" w:eastAsia="宋体" w:hint="default"/>
          <w:sz w:val="21"/>
          <w:szCs w:val="21"/>
        </w:rPr>
        <w:t>东</w:t>
      </w:r>
      <w:r>
        <w:rPr>
          <w:rFonts w:ascii="宋体" w:hAnsi="宋体" w:cs="宋体" w:eastAsia="宋体" w:hint="default"/>
          <w:spacing w:val="-71"/>
          <w:sz w:val="21"/>
          <w:szCs w:val="21"/>
        </w:rPr>
        <w:t> </w:t>
      </w:r>
      <w:r>
        <w:rPr>
          <w:rFonts w:ascii="宋体" w:hAnsi="宋体" w:cs="宋体" w:eastAsia="宋体" w:hint="default"/>
          <w:sz w:val="21"/>
          <w:szCs w:val="21"/>
        </w:rPr>
        <w:t>的</w:t>
      </w:r>
      <w:r>
        <w:rPr>
          <w:rFonts w:ascii="宋体" w:hAnsi="宋体" w:cs="宋体" w:eastAsia="宋体" w:hint="default"/>
          <w:spacing w:val="-71"/>
          <w:sz w:val="21"/>
          <w:szCs w:val="21"/>
        </w:rPr>
        <w:t> </w:t>
      </w:r>
      <w:r>
        <w:rPr>
          <w:rFonts w:ascii="宋体" w:hAnsi="宋体" w:cs="宋体" w:eastAsia="宋体" w:hint="default"/>
          <w:sz w:val="21"/>
          <w:szCs w:val="21"/>
        </w:rPr>
        <w:t>净</w:t>
      </w:r>
      <w:r>
        <w:rPr>
          <w:rFonts w:ascii="宋体" w:hAnsi="宋体" w:cs="宋体" w:eastAsia="宋体" w:hint="default"/>
          <w:spacing w:val="-71"/>
          <w:sz w:val="21"/>
          <w:szCs w:val="21"/>
        </w:rPr>
        <w:t> </w:t>
      </w:r>
      <w:r>
        <w:rPr>
          <w:rFonts w:ascii="宋体" w:hAnsi="宋体" w:cs="宋体" w:eastAsia="宋体" w:hint="default"/>
          <w:sz w:val="21"/>
          <w:szCs w:val="21"/>
        </w:rPr>
        <w:t>利</w:t>
      </w:r>
      <w:r>
        <w:rPr>
          <w:rFonts w:ascii="宋体" w:hAnsi="宋体" w:cs="宋体" w:eastAsia="宋体" w:hint="default"/>
          <w:spacing w:val="-71"/>
          <w:sz w:val="21"/>
          <w:szCs w:val="21"/>
        </w:rPr>
        <w:t> </w:t>
      </w:r>
      <w:r>
        <w:rPr>
          <w:rFonts w:ascii="宋体" w:hAnsi="宋体" w:cs="宋体" w:eastAsia="宋体" w:hint="default"/>
          <w:sz w:val="21"/>
          <w:szCs w:val="21"/>
        </w:rPr>
        <w:t>润</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114,951,714.07</w:t>
      </w:r>
      <w:r>
        <w:rPr>
          <w:rFonts w:ascii="宋体" w:hAnsi="宋体" w:cs="宋体" w:eastAsia="宋体" w:hint="default"/>
          <w:sz w:val="21"/>
          <w:szCs w:val="21"/>
        </w:rPr>
        <w:t>元，提取法定盈余公积</w:t>
      </w:r>
      <w:r>
        <w:rPr>
          <w:rFonts w:ascii="Times New Roman" w:hAnsi="Times New Roman" w:cs="Times New Roman" w:eastAsia="Times New Roman" w:hint="default"/>
          <w:sz w:val="21"/>
          <w:szCs w:val="21"/>
        </w:rPr>
        <w:t>19,173,233.72</w:t>
      </w:r>
      <w:r>
        <w:rPr>
          <w:rFonts w:ascii="宋体" w:hAnsi="宋体" w:cs="宋体" w:eastAsia="宋体" w:hint="default"/>
          <w:sz w:val="21"/>
          <w:szCs w:val="21"/>
        </w:rPr>
        <w:t>元后，减去</w:t>
      </w:r>
      <w:r>
        <w:rPr>
          <w:rFonts w:ascii="Times New Roman" w:hAnsi="Times New Roman" w:cs="Times New Roman" w:eastAsia="Times New Roman" w:hint="default"/>
          <w:sz w:val="21"/>
          <w:szCs w:val="21"/>
        </w:rPr>
        <w:t>2017</w:t>
      </w:r>
      <w:r>
        <w:rPr>
          <w:rFonts w:ascii="宋体" w:hAnsi="宋体" w:cs="宋体" w:eastAsia="宋体" w:hint="default"/>
          <w:sz w:val="21"/>
          <w:szCs w:val="21"/>
        </w:rPr>
        <w:t>年中期股东分配</w:t>
      </w:r>
      <w:r>
        <w:rPr>
          <w:rFonts w:ascii="宋体" w:hAnsi="宋体" w:cs="宋体" w:eastAsia="宋体" w:hint="default"/>
          <w:spacing w:val="-3"/>
          <w:sz w:val="21"/>
          <w:szCs w:val="21"/>
        </w:rPr>
        <w:t> </w:t>
      </w:r>
      <w:r>
        <w:rPr>
          <w:rFonts w:ascii="Times New Roman" w:hAnsi="Times New Roman" w:cs="Times New Roman" w:eastAsia="Times New Roman" w:hint="default"/>
          <w:sz w:val="21"/>
          <w:szCs w:val="21"/>
        </w:rPr>
        <w:t>103,548,909.80</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元</w:t>
      </w:r>
      <w:r>
        <w:rPr>
          <w:rFonts w:ascii="宋体" w:hAnsi="宋体" w:cs="宋体" w:eastAsia="宋体" w:hint="default"/>
          <w:spacing w:val="-67"/>
          <w:sz w:val="21"/>
          <w:szCs w:val="21"/>
        </w:rPr>
        <w:t> </w:t>
      </w:r>
      <w:r>
        <w:rPr>
          <w:rFonts w:ascii="宋体" w:hAnsi="宋体" w:cs="宋体" w:eastAsia="宋体" w:hint="default"/>
          <w:sz w:val="21"/>
          <w:szCs w:val="21"/>
        </w:rPr>
        <w:t>后</w:t>
      </w:r>
      <w:r>
        <w:rPr>
          <w:rFonts w:ascii="宋体" w:hAnsi="宋体" w:cs="宋体" w:eastAsia="宋体" w:hint="default"/>
          <w:spacing w:val="-64"/>
          <w:sz w:val="21"/>
          <w:szCs w:val="21"/>
        </w:rPr>
        <w:t> </w:t>
      </w:r>
      <w:r>
        <w:rPr>
          <w:rFonts w:ascii="宋体" w:hAnsi="宋体" w:cs="宋体" w:eastAsia="宋体" w:hint="default"/>
          <w:sz w:val="21"/>
          <w:szCs w:val="21"/>
        </w:rPr>
        <w:t>，</w:t>
      </w:r>
      <w:r>
        <w:rPr>
          <w:rFonts w:ascii="宋体" w:hAnsi="宋体" w:cs="宋体" w:eastAsia="宋体" w:hint="default"/>
          <w:spacing w:val="-67"/>
          <w:sz w:val="21"/>
          <w:szCs w:val="21"/>
        </w:rPr>
        <w:t> </w:t>
      </w:r>
      <w:r>
        <w:rPr>
          <w:rFonts w:ascii="宋体" w:hAnsi="宋体" w:cs="宋体" w:eastAsia="宋体" w:hint="default"/>
          <w:sz w:val="21"/>
          <w:szCs w:val="21"/>
        </w:rPr>
        <w:t>加</w:t>
      </w:r>
      <w:r>
        <w:rPr>
          <w:rFonts w:ascii="宋体" w:hAnsi="宋体" w:cs="宋体" w:eastAsia="宋体" w:hint="default"/>
          <w:spacing w:val="-64"/>
          <w:sz w:val="21"/>
          <w:szCs w:val="21"/>
        </w:rPr>
        <w:t> </w:t>
      </w:r>
      <w:r>
        <w:rPr>
          <w:rFonts w:ascii="宋体" w:hAnsi="宋体" w:cs="宋体" w:eastAsia="宋体" w:hint="default"/>
          <w:sz w:val="21"/>
          <w:szCs w:val="21"/>
        </w:rPr>
        <w:t>上</w:t>
      </w:r>
      <w:r>
        <w:rPr>
          <w:rFonts w:ascii="宋体" w:hAnsi="宋体" w:cs="宋体" w:eastAsia="宋体" w:hint="default"/>
          <w:spacing w:val="-67"/>
          <w:sz w:val="21"/>
          <w:szCs w:val="21"/>
        </w:rPr>
        <w:t> </w:t>
      </w:r>
      <w:r>
        <w:rPr>
          <w:rFonts w:ascii="宋体" w:hAnsi="宋体" w:cs="宋体" w:eastAsia="宋体" w:hint="default"/>
          <w:sz w:val="21"/>
          <w:szCs w:val="21"/>
        </w:rPr>
        <w:t>上</w:t>
      </w:r>
      <w:r>
        <w:rPr>
          <w:rFonts w:ascii="宋体" w:hAnsi="宋体" w:cs="宋体" w:eastAsia="宋体" w:hint="default"/>
          <w:spacing w:val="-67"/>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结</w:t>
      </w:r>
      <w:r>
        <w:rPr>
          <w:rFonts w:ascii="宋体" w:hAnsi="宋体" w:cs="宋体" w:eastAsia="宋体" w:hint="default"/>
          <w:spacing w:val="-67"/>
          <w:sz w:val="21"/>
          <w:szCs w:val="21"/>
        </w:rPr>
        <w:t> </w:t>
      </w:r>
      <w:r>
        <w:rPr>
          <w:rFonts w:ascii="宋体" w:hAnsi="宋体" w:cs="宋体" w:eastAsia="宋体" w:hint="default"/>
          <w:sz w:val="21"/>
          <w:szCs w:val="21"/>
        </w:rPr>
        <w:t>存</w:t>
      </w:r>
      <w:r>
        <w:rPr>
          <w:rFonts w:ascii="宋体" w:hAnsi="宋体" w:cs="宋体" w:eastAsia="宋体" w:hint="default"/>
          <w:spacing w:val="-64"/>
          <w:sz w:val="21"/>
          <w:szCs w:val="21"/>
        </w:rPr>
        <w:t> </w:t>
      </w:r>
      <w:r>
        <w:rPr>
          <w:rFonts w:ascii="宋体" w:hAnsi="宋体" w:cs="宋体" w:eastAsia="宋体" w:hint="default"/>
          <w:sz w:val="21"/>
          <w:szCs w:val="21"/>
        </w:rPr>
        <w:t>未</w:t>
      </w:r>
      <w:r>
        <w:rPr>
          <w:rFonts w:ascii="宋体" w:hAnsi="宋体" w:cs="宋体" w:eastAsia="宋体" w:hint="default"/>
          <w:spacing w:val="-67"/>
          <w:sz w:val="21"/>
          <w:szCs w:val="21"/>
        </w:rPr>
        <w:t> </w:t>
      </w:r>
      <w:r>
        <w:rPr>
          <w:rFonts w:ascii="宋体" w:hAnsi="宋体" w:cs="宋体" w:eastAsia="宋体" w:hint="default"/>
          <w:sz w:val="21"/>
          <w:szCs w:val="21"/>
        </w:rPr>
        <w:t>分</w:t>
      </w:r>
      <w:r>
        <w:rPr>
          <w:rFonts w:ascii="宋体" w:hAnsi="宋体" w:cs="宋体" w:eastAsia="宋体" w:hint="default"/>
          <w:spacing w:val="-64"/>
          <w:sz w:val="21"/>
          <w:szCs w:val="21"/>
        </w:rPr>
        <w:t> </w:t>
      </w:r>
      <w:r>
        <w:rPr>
          <w:rFonts w:ascii="宋体" w:hAnsi="宋体" w:cs="宋体" w:eastAsia="宋体" w:hint="default"/>
          <w:sz w:val="21"/>
          <w:szCs w:val="21"/>
        </w:rPr>
        <w:t>配</w:t>
      </w:r>
      <w:r>
        <w:rPr>
          <w:rFonts w:ascii="宋体" w:hAnsi="宋体" w:cs="宋体" w:eastAsia="宋体" w:hint="default"/>
          <w:spacing w:val="-67"/>
          <w:sz w:val="21"/>
          <w:szCs w:val="21"/>
        </w:rPr>
        <w:t> </w:t>
      </w:r>
      <w:r>
        <w:rPr>
          <w:rFonts w:ascii="宋体" w:hAnsi="宋体" w:cs="宋体" w:eastAsia="宋体" w:hint="default"/>
          <w:sz w:val="21"/>
          <w:szCs w:val="21"/>
        </w:rPr>
        <w:t>利</w:t>
      </w:r>
      <w:r>
        <w:rPr>
          <w:rFonts w:ascii="宋体" w:hAnsi="宋体" w:cs="宋体" w:eastAsia="宋体" w:hint="default"/>
          <w:spacing w:val="-67"/>
          <w:sz w:val="21"/>
          <w:szCs w:val="21"/>
        </w:rPr>
        <w:t> </w:t>
      </w:r>
      <w:r>
        <w:rPr>
          <w:rFonts w:ascii="宋体" w:hAnsi="宋体" w:cs="宋体" w:eastAsia="宋体" w:hint="default"/>
          <w:sz w:val="21"/>
          <w:szCs w:val="21"/>
        </w:rPr>
        <w:t>润</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1,156,051,900.95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r>
        <w:rPr>
          <w:rFonts w:ascii="宋体" w:hAnsi="宋体" w:cs="宋体" w:eastAsia="宋体" w:hint="default"/>
          <w:spacing w:val="-67"/>
          <w:sz w:val="21"/>
          <w:szCs w:val="21"/>
        </w:rPr>
        <w:t> </w:t>
      </w:r>
      <w:r>
        <w:rPr>
          <w:rFonts w:ascii="宋体" w:hAnsi="宋体" w:cs="宋体" w:eastAsia="宋体" w:hint="default"/>
          <w:sz w:val="21"/>
          <w:szCs w:val="21"/>
        </w:rPr>
        <w:t>，</w:t>
      </w:r>
      <w:r>
        <w:rPr>
          <w:rFonts w:ascii="宋体" w:hAnsi="宋体" w:cs="宋体" w:eastAsia="宋体" w:hint="default"/>
          <w:spacing w:val="-64"/>
          <w:sz w:val="21"/>
          <w:szCs w:val="21"/>
        </w:rPr>
        <w:t> </w:t>
      </w:r>
      <w:r>
        <w:rPr>
          <w:rFonts w:ascii="宋体" w:hAnsi="宋体" w:cs="宋体" w:eastAsia="宋体" w:hint="default"/>
          <w:sz w:val="21"/>
          <w:szCs w:val="21"/>
        </w:rPr>
        <w:t>本</w:t>
      </w:r>
      <w:r>
        <w:rPr>
          <w:rFonts w:ascii="宋体" w:hAnsi="宋体" w:cs="宋体" w:eastAsia="宋体" w:hint="default"/>
          <w:spacing w:val="-67"/>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度</w:t>
      </w:r>
      <w:r>
        <w:rPr>
          <w:rFonts w:ascii="宋体" w:hAnsi="宋体" w:cs="宋体" w:eastAsia="宋体" w:hint="default"/>
          <w:spacing w:val="-67"/>
          <w:sz w:val="21"/>
          <w:szCs w:val="21"/>
        </w:rPr>
        <w:t> </w:t>
      </w:r>
      <w:r>
        <w:rPr>
          <w:rFonts w:ascii="宋体" w:hAnsi="宋体" w:cs="宋体" w:eastAsia="宋体" w:hint="default"/>
          <w:sz w:val="21"/>
          <w:szCs w:val="21"/>
        </w:rPr>
        <w:t>可</w:t>
      </w:r>
      <w:r>
        <w:rPr>
          <w:rFonts w:ascii="宋体" w:hAnsi="宋体" w:cs="宋体" w:eastAsia="宋体" w:hint="default"/>
          <w:spacing w:val="-67"/>
          <w:sz w:val="21"/>
          <w:szCs w:val="21"/>
        </w:rPr>
        <w:t> </w:t>
      </w:r>
      <w:r>
        <w:rPr>
          <w:rFonts w:ascii="宋体" w:hAnsi="宋体" w:cs="宋体" w:eastAsia="宋体" w:hint="default"/>
          <w:sz w:val="21"/>
          <w:szCs w:val="21"/>
        </w:rPr>
        <w:t>供</w:t>
      </w:r>
      <w:r>
        <w:rPr>
          <w:rFonts w:ascii="宋体" w:hAnsi="宋体" w:cs="宋体" w:eastAsia="宋体" w:hint="default"/>
          <w:spacing w:val="-64"/>
          <w:sz w:val="21"/>
          <w:szCs w:val="21"/>
        </w:rPr>
        <w:t> </w:t>
      </w:r>
      <w:r>
        <w:rPr>
          <w:rFonts w:ascii="宋体" w:hAnsi="宋体" w:cs="宋体" w:eastAsia="宋体" w:hint="default"/>
          <w:sz w:val="21"/>
          <w:szCs w:val="21"/>
        </w:rPr>
        <w:t>投</w:t>
      </w:r>
      <w:r>
        <w:rPr>
          <w:rFonts w:ascii="宋体" w:hAnsi="宋体" w:cs="宋体" w:eastAsia="宋体" w:hint="default"/>
          <w:spacing w:val="-67"/>
          <w:sz w:val="21"/>
          <w:szCs w:val="21"/>
        </w:rPr>
        <w:t> </w:t>
      </w:r>
      <w:r>
        <w:rPr>
          <w:rFonts w:ascii="宋体" w:hAnsi="宋体" w:cs="宋体" w:eastAsia="宋体" w:hint="default"/>
          <w:sz w:val="21"/>
          <w:szCs w:val="21"/>
        </w:rPr>
        <w:t>资</w:t>
      </w:r>
      <w:r>
        <w:rPr>
          <w:rFonts w:ascii="宋体" w:hAnsi="宋体" w:cs="宋体" w:eastAsia="宋体" w:hint="default"/>
          <w:spacing w:val="-64"/>
          <w:sz w:val="21"/>
          <w:szCs w:val="21"/>
        </w:rPr>
        <w:t> </w:t>
      </w:r>
      <w:r>
        <w:rPr>
          <w:rFonts w:ascii="宋体" w:hAnsi="宋体" w:cs="宋体" w:eastAsia="宋体" w:hint="default"/>
          <w:sz w:val="21"/>
          <w:szCs w:val="21"/>
        </w:rPr>
        <w:t>者</w:t>
      </w:r>
      <w:r>
        <w:rPr>
          <w:rFonts w:ascii="宋体" w:hAnsi="宋体" w:cs="宋体" w:eastAsia="宋体" w:hint="default"/>
          <w:spacing w:val="-67"/>
          <w:sz w:val="21"/>
          <w:szCs w:val="21"/>
        </w:rPr>
        <w:t> </w:t>
      </w:r>
      <w:r>
        <w:rPr>
          <w:rFonts w:ascii="宋体" w:hAnsi="宋体" w:cs="宋体" w:eastAsia="宋体" w:hint="default"/>
          <w:sz w:val="21"/>
          <w:szCs w:val="21"/>
        </w:rPr>
        <w:t>分</w:t>
      </w:r>
      <w:r>
        <w:rPr>
          <w:rFonts w:ascii="宋体" w:hAnsi="宋体" w:cs="宋体" w:eastAsia="宋体" w:hint="default"/>
          <w:spacing w:val="-64"/>
          <w:sz w:val="21"/>
          <w:szCs w:val="21"/>
        </w:rPr>
        <w:t> </w:t>
      </w:r>
      <w:r>
        <w:rPr>
          <w:rFonts w:ascii="宋体" w:hAnsi="宋体" w:cs="宋体" w:eastAsia="宋体" w:hint="default"/>
          <w:sz w:val="21"/>
          <w:szCs w:val="21"/>
        </w:rPr>
        <w:t>配</w:t>
      </w:r>
      <w:r>
        <w:rPr>
          <w:rFonts w:ascii="宋体" w:hAnsi="宋体" w:cs="宋体" w:eastAsia="宋体" w:hint="default"/>
          <w:spacing w:val="-67"/>
          <w:sz w:val="21"/>
          <w:szCs w:val="21"/>
        </w:rPr>
        <w:t> </w:t>
      </w:r>
      <w:r>
        <w:rPr>
          <w:rFonts w:ascii="宋体" w:hAnsi="宋体" w:cs="宋体" w:eastAsia="宋体" w:hint="default"/>
          <w:sz w:val="21"/>
          <w:szCs w:val="21"/>
        </w:rPr>
        <w:t>的</w:t>
      </w:r>
      <w:r>
        <w:rPr>
          <w:rFonts w:ascii="宋体" w:hAnsi="宋体" w:cs="宋体" w:eastAsia="宋体" w:hint="default"/>
          <w:spacing w:val="-67"/>
          <w:sz w:val="21"/>
          <w:szCs w:val="21"/>
        </w:rPr>
        <w:t> </w:t>
      </w:r>
      <w:r>
        <w:rPr>
          <w:rFonts w:ascii="宋体" w:hAnsi="宋体" w:cs="宋体" w:eastAsia="宋体" w:hint="default"/>
          <w:sz w:val="21"/>
          <w:szCs w:val="21"/>
        </w:rPr>
        <w:t>利</w:t>
      </w:r>
      <w:r>
        <w:rPr>
          <w:rFonts w:ascii="宋体" w:hAnsi="宋体" w:cs="宋体" w:eastAsia="宋体" w:hint="default"/>
          <w:spacing w:val="-64"/>
          <w:sz w:val="21"/>
          <w:szCs w:val="21"/>
        </w:rPr>
        <w:t> </w:t>
      </w:r>
      <w:r>
        <w:rPr>
          <w:rFonts w:ascii="宋体" w:hAnsi="宋体" w:cs="宋体" w:eastAsia="宋体" w:hint="default"/>
          <w:sz w:val="21"/>
          <w:szCs w:val="21"/>
        </w:rPr>
        <w:t>润</w:t>
      </w:r>
      <w:r>
        <w:rPr>
          <w:rFonts w:ascii="宋体" w:hAnsi="宋体" w:cs="宋体" w:eastAsia="宋体" w:hint="default"/>
          <w:spacing w:val="-67"/>
          <w:sz w:val="21"/>
          <w:szCs w:val="21"/>
        </w:rPr>
        <w:t> </w:t>
      </w:r>
      <w:r>
        <w:rPr>
          <w:rFonts w:ascii="宋体" w:hAnsi="宋体" w:cs="宋体" w:eastAsia="宋体" w:hint="default"/>
          <w:sz w:val="21"/>
          <w:szCs w:val="21"/>
        </w:rPr>
        <w:t>为</w:t>
      </w:r>
      <w:r>
        <w:rPr>
          <w:rFonts w:ascii="宋体" w:hAnsi="宋体" w:cs="宋体" w:eastAsia="宋体" w:hint="default"/>
          <w:w w:val="99"/>
          <w:sz w:val="21"/>
          <w:szCs w:val="21"/>
        </w:rPr>
        <w:t> </w:t>
      </w:r>
      <w:r>
        <w:rPr>
          <w:rFonts w:ascii="Times New Roman" w:hAnsi="Times New Roman" w:cs="Times New Roman" w:eastAsia="Times New Roman" w:hint="default"/>
          <w:sz w:val="21"/>
          <w:szCs w:val="21"/>
        </w:rPr>
        <w:t>1,148,281,471.50</w:t>
      </w:r>
      <w:r>
        <w:rPr>
          <w:rFonts w:ascii="宋体" w:hAnsi="宋体" w:cs="宋体" w:eastAsia="宋体" w:hint="default"/>
          <w:sz w:val="21"/>
          <w:szCs w:val="21"/>
        </w:rPr>
        <w:t>元。</w:t>
      </w:r>
    </w:p>
    <w:p>
      <w:pPr>
        <w:spacing w:before="5"/>
        <w:ind w:left="587" w:right="0" w:firstLine="0"/>
        <w:jc w:val="left"/>
        <w:rPr>
          <w:rFonts w:ascii="宋体" w:hAnsi="宋体" w:cs="宋体" w:eastAsia="宋体" w:hint="default"/>
          <w:sz w:val="21"/>
          <w:szCs w:val="21"/>
        </w:rPr>
      </w:pPr>
      <w:r>
        <w:rPr>
          <w:rFonts w:ascii="宋体" w:hAnsi="宋体" w:cs="宋体" w:eastAsia="宋体" w:hint="default"/>
          <w:sz w:val="21"/>
          <w:szCs w:val="21"/>
        </w:rPr>
        <w:t>公司</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年度利润分配方案：公司本年度不派发现金红利、不送红股，不以公积金转增股本。</w:t>
      </w:r>
    </w:p>
    <w:p>
      <w:pPr>
        <w:spacing w:line="240" w:lineRule="auto" w:before="6"/>
        <w:rPr>
          <w:rFonts w:ascii="宋体" w:hAnsi="宋体" w:cs="宋体" w:eastAsia="宋体" w:hint="default"/>
          <w:sz w:val="25"/>
          <w:szCs w:val="25"/>
        </w:rPr>
      </w:pPr>
    </w:p>
    <w:p>
      <w:pPr>
        <w:spacing w:before="0"/>
        <w:ind w:left="524"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2017</w:t>
      </w:r>
      <w:r>
        <w:rPr>
          <w:rFonts w:ascii="宋体" w:hAnsi="宋体" w:cs="宋体" w:eastAsia="宋体" w:hint="default"/>
          <w:b/>
          <w:bCs/>
          <w:sz w:val="21"/>
          <w:szCs w:val="21"/>
        </w:rPr>
        <w:t>年中期利润分配方案</w:t>
      </w:r>
      <w:r>
        <w:rPr>
          <w:rFonts w:ascii="宋体" w:hAnsi="宋体" w:cs="宋体" w:eastAsia="宋体" w:hint="default"/>
          <w:sz w:val="21"/>
          <w:szCs w:val="21"/>
        </w:rPr>
      </w:r>
    </w:p>
    <w:p>
      <w:pPr>
        <w:spacing w:line="256" w:lineRule="auto" w:before="21"/>
        <w:ind w:left="104" w:right="0" w:firstLine="420"/>
        <w:jc w:val="left"/>
        <w:rPr>
          <w:rFonts w:ascii="宋体" w:hAnsi="宋体" w:cs="宋体" w:eastAsia="宋体" w:hint="default"/>
          <w:sz w:val="21"/>
          <w:szCs w:val="21"/>
        </w:rPr>
      </w:pPr>
      <w:r>
        <w:rPr>
          <w:rFonts w:ascii="宋体" w:hAnsi="宋体" w:cs="宋体" w:eastAsia="宋体" w:hint="default"/>
          <w:sz w:val="21"/>
          <w:szCs w:val="21"/>
        </w:rPr>
        <w:t>公司</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1-6</w:t>
      </w:r>
      <w:r>
        <w:rPr>
          <w:rFonts w:ascii="宋体" w:hAnsi="宋体" w:cs="宋体" w:eastAsia="宋体" w:hint="default"/>
          <w:sz w:val="21"/>
          <w:szCs w:val="21"/>
        </w:rPr>
        <w:t>月实现归属于上市公司股东的净利润</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57,186,646.32</w:t>
      </w:r>
      <w:r>
        <w:rPr>
          <w:rFonts w:ascii="宋体" w:hAnsi="宋体" w:cs="宋体" w:eastAsia="宋体" w:hint="default"/>
          <w:sz w:val="21"/>
          <w:szCs w:val="21"/>
        </w:rPr>
        <w:t>元，提取法定盈余公积</w:t>
      </w:r>
      <w:r>
        <w:rPr>
          <w:rFonts w:ascii="Times New Roman" w:hAnsi="Times New Roman" w:cs="Times New Roman" w:eastAsia="Times New Roman" w:hint="default"/>
          <w:sz w:val="21"/>
          <w:szCs w:val="21"/>
        </w:rPr>
        <w:t>0.00</w:t>
      </w:r>
      <w:r>
        <w:rPr>
          <w:rFonts w:ascii="Times New Roman" w:hAnsi="Times New Roman" w:cs="Times New Roman" w:eastAsia="Times New Roman" w:hint="default"/>
          <w:w w:val="99"/>
          <w:sz w:val="21"/>
          <w:szCs w:val="21"/>
        </w:rPr>
        <w:t> </w:t>
      </w:r>
      <w:r>
        <w:rPr>
          <w:rFonts w:ascii="宋体" w:hAnsi="宋体" w:cs="宋体" w:eastAsia="宋体" w:hint="default"/>
          <w:sz w:val="21"/>
          <w:szCs w:val="21"/>
        </w:rPr>
        <w:t>元后，加上上年结存未分配 </w:t>
      </w:r>
      <w:r>
        <w:rPr>
          <w:rFonts w:ascii="Times New Roman" w:hAnsi="Times New Roman" w:cs="Times New Roman" w:eastAsia="Times New Roman" w:hint="default"/>
          <w:sz w:val="21"/>
          <w:szCs w:val="21"/>
        </w:rPr>
        <w:t>1,156,051,900.95</w:t>
      </w:r>
      <w:r>
        <w:rPr>
          <w:rFonts w:ascii="宋体" w:hAnsi="宋体" w:cs="宋体" w:eastAsia="宋体" w:hint="default"/>
          <w:sz w:val="21"/>
          <w:szCs w:val="21"/>
        </w:rPr>
        <w:t>元，减去上年股东分配</w:t>
      </w:r>
      <w:r>
        <w:rPr>
          <w:rFonts w:ascii="宋体" w:hAnsi="宋体" w:cs="宋体" w:eastAsia="宋体" w:hint="default"/>
          <w:spacing w:val="-21"/>
          <w:sz w:val="21"/>
          <w:szCs w:val="21"/>
        </w:rPr>
        <w:t> </w:t>
      </w:r>
      <w:r>
        <w:rPr>
          <w:rFonts w:ascii="Times New Roman" w:hAnsi="Times New Roman" w:cs="Times New Roman" w:eastAsia="Times New Roman" w:hint="default"/>
          <w:sz w:val="21"/>
          <w:szCs w:val="21"/>
        </w:rPr>
        <w:t>0.00</w:t>
      </w:r>
      <w:r>
        <w:rPr>
          <w:rFonts w:ascii="宋体" w:hAnsi="宋体" w:cs="宋体" w:eastAsia="宋体" w:hint="default"/>
          <w:sz w:val="21"/>
          <w:szCs w:val="21"/>
        </w:rPr>
        <w:t>元后，</w:t>
      </w:r>
      <w:r>
        <w:rPr>
          <w:rFonts w:ascii="Times New Roman" w:hAnsi="Times New Roman" w:cs="Times New Roman" w:eastAsia="Times New Roman" w:hint="default"/>
          <w:sz w:val="21"/>
          <w:szCs w:val="21"/>
        </w:rPr>
        <w:t>2017</w:t>
      </w:r>
      <w:r>
        <w:rPr>
          <w:rFonts w:ascii="宋体" w:hAnsi="宋体" w:cs="宋体" w:eastAsia="宋体" w:hint="default"/>
          <w:sz w:val="21"/>
          <w:szCs w:val="21"/>
        </w:rPr>
        <w:t>年中期可供投</w:t>
      </w:r>
      <w:r>
        <w:rPr>
          <w:rFonts w:ascii="宋体" w:hAnsi="宋体" w:cs="宋体" w:eastAsia="宋体" w:hint="default"/>
          <w:w w:val="99"/>
          <w:sz w:val="21"/>
          <w:szCs w:val="21"/>
        </w:rPr>
        <w:t> </w:t>
      </w:r>
      <w:r>
        <w:rPr>
          <w:rFonts w:ascii="宋体" w:hAnsi="宋体" w:cs="宋体" w:eastAsia="宋体" w:hint="default"/>
          <w:sz w:val="21"/>
          <w:szCs w:val="21"/>
        </w:rPr>
        <w:t>资者分配的利润为</w:t>
      </w:r>
      <w:r>
        <w:rPr>
          <w:rFonts w:ascii="宋体" w:hAnsi="宋体" w:cs="宋体" w:eastAsia="宋体" w:hint="default"/>
          <w:spacing w:val="-11"/>
          <w:sz w:val="21"/>
          <w:szCs w:val="21"/>
        </w:rPr>
        <w:t> </w:t>
      </w:r>
      <w:r>
        <w:rPr>
          <w:rFonts w:ascii="Times New Roman" w:hAnsi="Times New Roman" w:cs="Times New Roman" w:eastAsia="Times New Roman" w:hint="default"/>
          <w:sz w:val="21"/>
          <w:szCs w:val="21"/>
        </w:rPr>
        <w:t>1,213,238,547.27</w:t>
      </w:r>
      <w:r>
        <w:rPr>
          <w:rFonts w:ascii="宋体" w:hAnsi="宋体" w:cs="宋体" w:eastAsia="宋体" w:hint="default"/>
          <w:sz w:val="21"/>
          <w:szCs w:val="21"/>
        </w:rPr>
        <w:t>元。</w:t>
      </w:r>
    </w:p>
    <w:p>
      <w:pPr>
        <w:spacing w:line="256" w:lineRule="auto" w:before="5"/>
        <w:ind w:left="104" w:right="1473" w:firstLine="480"/>
        <w:jc w:val="both"/>
        <w:rPr>
          <w:rFonts w:ascii="宋体" w:hAnsi="宋体" w:cs="宋体" w:eastAsia="宋体" w:hint="default"/>
          <w:sz w:val="21"/>
          <w:szCs w:val="21"/>
        </w:rPr>
      </w:pPr>
      <w:r>
        <w:rPr>
          <w:rFonts w:ascii="宋体" w:hAnsi="宋体" w:cs="宋体" w:eastAsia="宋体" w:hint="default"/>
          <w:sz w:val="21"/>
          <w:szCs w:val="21"/>
        </w:rPr>
        <w:t>公司 </w:t>
      </w:r>
      <w:r>
        <w:rPr>
          <w:rFonts w:ascii="Times New Roman" w:hAnsi="Times New Roman" w:cs="Times New Roman" w:eastAsia="Times New Roman" w:hint="default"/>
          <w:sz w:val="21"/>
          <w:szCs w:val="21"/>
        </w:rPr>
        <w:t>2017</w:t>
      </w:r>
      <w:r>
        <w:rPr>
          <w:rFonts w:ascii="宋体" w:hAnsi="宋体" w:cs="宋体" w:eastAsia="宋体" w:hint="default"/>
          <w:sz w:val="21"/>
          <w:szCs w:val="21"/>
        </w:rPr>
        <w:t>年中期利润分配方案：以公司总股本</w:t>
      </w:r>
      <w:r>
        <w:rPr>
          <w:rFonts w:ascii="Times New Roman" w:hAnsi="Times New Roman" w:cs="Times New Roman" w:eastAsia="Times New Roman" w:hint="default"/>
          <w:sz w:val="21"/>
          <w:szCs w:val="21"/>
        </w:rPr>
        <w:t>1,035,489,098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股为基数向全体股东每</w:t>
      </w:r>
      <w:r>
        <w:rPr>
          <w:rFonts w:ascii="Times New Roman" w:hAnsi="Times New Roman" w:cs="Times New Roman" w:eastAsia="Times New Roman" w:hint="default"/>
          <w:sz w:val="21"/>
          <w:szCs w:val="21"/>
        </w:rPr>
        <w:t>10</w:t>
      </w:r>
      <w:r>
        <w:rPr>
          <w:rFonts w:ascii="宋体" w:hAnsi="宋体" w:cs="宋体" w:eastAsia="宋体" w:hint="default"/>
          <w:sz w:val="21"/>
          <w:szCs w:val="21"/>
        </w:rPr>
        <w:t>股派发</w:t>
      </w:r>
      <w:r>
        <w:rPr>
          <w:rFonts w:ascii="宋体" w:hAnsi="宋体" w:cs="宋体" w:eastAsia="宋体" w:hint="default"/>
          <w:w w:val="99"/>
          <w:sz w:val="21"/>
          <w:szCs w:val="21"/>
        </w:rPr>
        <w:t> </w:t>
      </w:r>
      <w:r>
        <w:rPr>
          <w:rFonts w:ascii="宋体" w:hAnsi="宋体" w:cs="宋体" w:eastAsia="宋体" w:hint="default"/>
          <w:sz w:val="21"/>
          <w:szCs w:val="21"/>
        </w:rPr>
        <w:t>现金股利人民币</w:t>
      </w:r>
      <w:r>
        <w:rPr>
          <w:rFonts w:ascii="Times New Roman" w:hAnsi="Times New Roman" w:cs="Times New Roman" w:eastAsia="Times New Roman" w:hint="default"/>
          <w:sz w:val="21"/>
          <w:szCs w:val="21"/>
        </w:rPr>
        <w:t>1</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含税</w:t>
      </w:r>
      <w:r>
        <w:rPr>
          <w:rFonts w:ascii="Times New Roman" w:hAnsi="Times New Roman" w:cs="Times New Roman" w:eastAsia="Times New Roman" w:hint="default"/>
          <w:sz w:val="21"/>
          <w:szCs w:val="21"/>
        </w:rPr>
        <w:t>)</w:t>
      </w:r>
      <w:r>
        <w:rPr>
          <w:rFonts w:ascii="宋体" w:hAnsi="宋体" w:cs="宋体" w:eastAsia="宋体" w:hint="default"/>
          <w:sz w:val="21"/>
          <w:szCs w:val="21"/>
        </w:rPr>
        <w:t>，合计派发现金红利</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103,548,909.80</w:t>
      </w:r>
      <w:r>
        <w:rPr>
          <w:rFonts w:ascii="宋体" w:hAnsi="宋体" w:cs="宋体" w:eastAsia="宋体" w:hint="default"/>
          <w:sz w:val="21"/>
          <w:szCs w:val="21"/>
        </w:rPr>
        <w:t>元，其余未分配利润结转以后年度进</w:t>
      </w:r>
    </w:p>
    <w:p>
      <w:pPr>
        <w:spacing w:after="0" w:line="256" w:lineRule="auto"/>
        <w:jc w:val="both"/>
        <w:rPr>
          <w:rFonts w:ascii="宋体" w:hAnsi="宋体" w:cs="宋体" w:eastAsia="宋体" w:hint="default"/>
          <w:sz w:val="21"/>
          <w:szCs w:val="21"/>
        </w:rPr>
        <w:sectPr>
          <w:headerReference w:type="default" r:id="rId26"/>
          <w:pgSz w:w="11910" w:h="16840"/>
          <w:pgMar w:header="890" w:footer="1053" w:top="1420" w:bottom="1240" w:left="1340" w:right="0"/>
        </w:sectPr>
      </w:pPr>
    </w:p>
    <w:p>
      <w:pPr>
        <w:spacing w:before="43"/>
        <w:ind w:left="124" w:right="1473" w:firstLine="0"/>
        <w:jc w:val="left"/>
        <w:rPr>
          <w:rFonts w:ascii="宋体" w:hAnsi="宋体" w:cs="宋体" w:eastAsia="宋体" w:hint="default"/>
          <w:sz w:val="21"/>
          <w:szCs w:val="21"/>
        </w:rPr>
      </w:pPr>
      <w:r>
        <w:rPr>
          <w:rFonts w:ascii="宋体" w:hAnsi="宋体" w:cs="宋体" w:eastAsia="宋体" w:hint="default"/>
          <w:sz w:val="21"/>
          <w:szCs w:val="21"/>
        </w:rPr>
        <w:t>行分配。</w:t>
      </w:r>
    </w:p>
    <w:p>
      <w:pPr>
        <w:spacing w:line="240" w:lineRule="auto" w:before="2"/>
        <w:rPr>
          <w:rFonts w:ascii="宋体" w:hAnsi="宋体" w:cs="宋体" w:eastAsia="宋体" w:hint="default"/>
          <w:sz w:val="28"/>
          <w:szCs w:val="28"/>
        </w:rPr>
      </w:pPr>
    </w:p>
    <w:p>
      <w:pPr>
        <w:spacing w:before="44"/>
        <w:ind w:left="124" w:right="1473"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7"/>
        <w:ind w:left="0" w:right="147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837"/>
        <w:gridCol w:w="1368"/>
        <w:gridCol w:w="1516"/>
        <w:gridCol w:w="1063"/>
        <w:gridCol w:w="1196"/>
        <w:gridCol w:w="1196"/>
        <w:gridCol w:w="1271"/>
        <w:gridCol w:w="1121"/>
      </w:tblGrid>
      <w:tr>
        <w:trPr>
          <w:trHeight w:val="2596" w:hRule="exact"/>
        </w:trPr>
        <w:tc>
          <w:tcPr>
            <w:tcW w:w="837"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313" w:right="142" w:hanging="180"/>
              <w:jc w:val="left"/>
              <w:rPr>
                <w:rFonts w:ascii="宋体" w:hAnsi="宋体" w:cs="宋体" w:eastAsia="宋体" w:hint="default"/>
                <w:sz w:val="18"/>
                <w:szCs w:val="18"/>
              </w:rPr>
            </w:pPr>
            <w:r>
              <w:rPr>
                <w:rFonts w:ascii="宋体" w:hAnsi="宋体" w:cs="宋体" w:eastAsia="宋体" w:hint="default"/>
                <w:sz w:val="18"/>
                <w:szCs w:val="18"/>
              </w:rPr>
              <w:t>分红年 度</w:t>
            </w:r>
          </w:p>
        </w:tc>
        <w:tc>
          <w:tcPr>
            <w:tcW w:w="136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（含税）</w:t>
            </w:r>
          </w:p>
        </w:tc>
        <w:tc>
          <w:tcPr>
            <w:tcW w:w="151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24" w:right="120"/>
              <w:jc w:val="center"/>
              <w:rPr>
                <w:rFonts w:ascii="宋体" w:hAnsi="宋体" w:cs="宋体" w:eastAsia="宋体" w:hint="default"/>
                <w:sz w:val="18"/>
                <w:szCs w:val="18"/>
              </w:rPr>
            </w:pPr>
            <w:r>
              <w:rPr>
                <w:rFonts w:ascii="宋体" w:hAnsi="宋体" w:cs="宋体" w:eastAsia="宋体" w:hint="default"/>
                <w:sz w:val="18"/>
                <w:szCs w:val="18"/>
              </w:rPr>
              <w:t>分红年度合并报 表中归属于上市 公司普通股股东 的净利润</w:t>
            </w:r>
          </w:p>
        </w:tc>
        <w:tc>
          <w:tcPr>
            <w:tcW w:w="106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5" w:right="165"/>
              <w:jc w:val="both"/>
              <w:rPr>
                <w:rFonts w:ascii="宋体" w:hAnsi="宋体" w:cs="宋体" w:eastAsia="宋体" w:hint="default"/>
                <w:sz w:val="18"/>
                <w:szCs w:val="18"/>
              </w:rPr>
            </w:pPr>
            <w:r>
              <w:rPr>
                <w:rFonts w:ascii="宋体" w:hAnsi="宋体" w:cs="宋体" w:eastAsia="宋体" w:hint="default"/>
                <w:sz w:val="18"/>
                <w:szCs w:val="18"/>
              </w:rPr>
              <w:t>现金分红 金额占合 并报表中 归属于上 市公司普 通股股东 的净利润 的比率</w:t>
            </w:r>
          </w:p>
        </w:tc>
        <w:tc>
          <w:tcPr>
            <w:tcW w:w="119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1"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6"/>
              <w:ind w:left="141" w:right="142"/>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19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43" w:right="140"/>
              <w:jc w:val="center"/>
              <w:rPr>
                <w:rFonts w:ascii="宋体" w:hAnsi="宋体" w:cs="宋体" w:eastAsia="宋体" w:hint="default"/>
                <w:sz w:val="18"/>
                <w:szCs w:val="18"/>
              </w:rPr>
            </w:pPr>
            <w:r>
              <w:rPr>
                <w:rFonts w:ascii="宋体" w:hAnsi="宋体" w:cs="宋体" w:eastAsia="宋体" w:hint="default"/>
                <w:sz w:val="18"/>
                <w:szCs w:val="18"/>
              </w:rPr>
              <w:t>以其他方式 现金分红金 额占合并报 表中归属于 上市公司普 通股股东的 净利润的比 例</w:t>
            </w:r>
          </w:p>
        </w:tc>
        <w:tc>
          <w:tcPr>
            <w:tcW w:w="1271"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2" w:right="101" w:firstLine="2"/>
              <w:jc w:val="center"/>
              <w:rPr>
                <w:rFonts w:ascii="宋体" w:hAnsi="宋体" w:cs="宋体" w:eastAsia="宋体" w:hint="default"/>
                <w:sz w:val="18"/>
                <w:szCs w:val="18"/>
              </w:rPr>
            </w:pPr>
            <w:r>
              <w:rPr>
                <w:rFonts w:ascii="宋体" w:hAnsi="宋体" w:cs="宋体" w:eastAsia="宋体" w:hint="default"/>
                <w:sz w:val="18"/>
                <w:szCs w:val="18"/>
              </w:rPr>
              <w:t>现金分红总 </w:t>
            </w:r>
            <w:r>
              <w:rPr>
                <w:rFonts w:ascii="宋体" w:hAnsi="宋体" w:cs="宋体" w:eastAsia="宋体" w:hint="default"/>
                <w:spacing w:val="-4"/>
                <w:sz w:val="18"/>
                <w:szCs w:val="18"/>
              </w:rPr>
              <w:t>额（含其他方</w:t>
            </w:r>
            <w:r>
              <w:rPr>
                <w:rFonts w:ascii="宋体" w:hAnsi="宋体" w:cs="宋体" w:eastAsia="宋体" w:hint="default"/>
                <w:sz w:val="18"/>
                <w:szCs w:val="18"/>
              </w:rPr>
              <w:t> 式）</w:t>
            </w:r>
          </w:p>
        </w:tc>
        <w:tc>
          <w:tcPr>
            <w:tcW w:w="1121"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316" w:lineRule="auto" w:before="52"/>
              <w:ind w:left="105" w:right="94"/>
              <w:jc w:val="center"/>
              <w:rPr>
                <w:rFonts w:ascii="宋体" w:hAnsi="宋体" w:cs="宋体" w:eastAsia="宋体" w:hint="default"/>
                <w:sz w:val="18"/>
                <w:szCs w:val="18"/>
              </w:rPr>
            </w:pPr>
            <w:r>
              <w:rPr>
                <w:rFonts w:ascii="宋体" w:hAnsi="宋体" w:cs="宋体" w:eastAsia="宋体" w:hint="default"/>
                <w:sz w:val="18"/>
                <w:szCs w:val="18"/>
              </w:rPr>
              <w:t>现金分红总 额（含其他 方式）占合 并报表中归 属于上市公 司普通股股 东的净利润 的比率</w:t>
            </w:r>
          </w:p>
        </w:tc>
      </w:tr>
      <w:tr>
        <w:trPr>
          <w:trHeight w:val="402" w:hRule="exact"/>
        </w:trPr>
        <w:tc>
          <w:tcPr>
            <w:tcW w:w="83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0"/>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36,242,118.43</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220,879,359.32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16.41%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0.00%</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0" w:right="0"/>
              <w:jc w:val="left"/>
              <w:rPr>
                <w:rFonts w:ascii="Times New Roman" w:hAnsi="Times New Roman" w:cs="Times New Roman" w:eastAsia="Times New Roman" w:hint="default"/>
                <w:sz w:val="18"/>
                <w:szCs w:val="18"/>
              </w:rPr>
            </w:pPr>
            <w:r>
              <w:rPr>
                <w:rFonts w:ascii="Times New Roman"/>
                <w:sz w:val="18"/>
              </w:rPr>
              <w:t>36,242,118.43</w:t>
            </w:r>
          </w:p>
        </w:tc>
        <w:tc>
          <w:tcPr>
            <w:tcW w:w="112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3"/>
              <w:ind w:right="90"/>
              <w:jc w:val="right"/>
              <w:rPr>
                <w:rFonts w:ascii="Times New Roman" w:hAnsi="Times New Roman" w:cs="Times New Roman" w:eastAsia="Times New Roman" w:hint="default"/>
                <w:sz w:val="18"/>
                <w:szCs w:val="18"/>
              </w:rPr>
            </w:pPr>
            <w:r>
              <w:rPr>
                <w:rFonts w:ascii="Times New Roman"/>
                <w:spacing w:val="-1"/>
                <w:sz w:val="18"/>
              </w:rPr>
              <w:t>16.41%</w:t>
            </w:r>
          </w:p>
        </w:tc>
      </w:tr>
      <w:tr>
        <w:trPr>
          <w:trHeight w:val="402" w:hRule="exact"/>
        </w:trPr>
        <w:tc>
          <w:tcPr>
            <w:tcW w:w="83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52"/>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20,709,781.96</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111,714,711.22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18.54%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0.00%</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20,709,781.96</w:t>
            </w:r>
          </w:p>
        </w:tc>
        <w:tc>
          <w:tcPr>
            <w:tcW w:w="112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1"/>
              <w:ind w:right="90"/>
              <w:jc w:val="right"/>
              <w:rPr>
                <w:rFonts w:ascii="Times New Roman" w:hAnsi="Times New Roman" w:cs="Times New Roman" w:eastAsia="Times New Roman" w:hint="default"/>
                <w:sz w:val="18"/>
                <w:szCs w:val="18"/>
              </w:rPr>
            </w:pPr>
            <w:r>
              <w:rPr>
                <w:rFonts w:ascii="Times New Roman"/>
                <w:spacing w:val="-1"/>
                <w:sz w:val="18"/>
              </w:rPr>
              <w:t>18.54%</w:t>
            </w:r>
          </w:p>
        </w:tc>
      </w:tr>
      <w:tr>
        <w:trPr>
          <w:trHeight w:val="724" w:hRule="exact"/>
        </w:trPr>
        <w:tc>
          <w:tcPr>
            <w:tcW w:w="837"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103,548,909.80</w:t>
            </w:r>
          </w:p>
        </w:tc>
        <w:tc>
          <w:tcPr>
            <w:tcW w:w="15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114,951,714.07</w:t>
            </w:r>
          </w:p>
        </w:tc>
        <w:tc>
          <w:tcPr>
            <w:tcW w:w="10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90.08%</w:t>
            </w:r>
          </w:p>
        </w:tc>
        <w:tc>
          <w:tcPr>
            <w:tcW w:w="11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c>
          <w:tcPr>
            <w:tcW w:w="127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103,548,909.8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2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90.08%</w:t>
            </w:r>
          </w:p>
        </w:tc>
      </w:tr>
    </w:tbl>
    <w:p>
      <w:pPr>
        <w:spacing w:before="52"/>
        <w:ind w:left="124" w:right="1473"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7"/>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left="124" w:right="1473"/>
        <w:jc w:val="left"/>
        <w:rPr>
          <w:b w:val="0"/>
          <w:bCs w:val="0"/>
        </w:rPr>
      </w:pPr>
      <w:bookmarkStart w:name="二、本报告期利润分配及资本公积金转增股本情况" w:id="65"/>
      <w:bookmarkEnd w:id="65"/>
      <w:r>
        <w:rPr>
          <w:b w:val="0"/>
          <w:bCs w:val="0"/>
        </w:rPr>
      </w:r>
      <w:r>
        <w:rPr/>
        <w:t>二、本报告期利润分配及资本公积金转增股本情况</w:t>
      </w:r>
      <w:r>
        <w:rPr>
          <w:b w:val="0"/>
          <w:bCs w:val="0"/>
        </w:rPr>
      </w:r>
    </w:p>
    <w:p>
      <w:pPr>
        <w:spacing w:line="240" w:lineRule="auto" w:before="6"/>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4415"/>
        <w:gridCol w:w="4345"/>
      </w:tblGrid>
      <w:tr>
        <w:trPr>
          <w:trHeight w:val="332" w:hRule="exact"/>
        </w:trPr>
        <w:tc>
          <w:tcPr>
            <w:tcW w:w="4415"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4345"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股派息数（元）（含税）</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pacing w:val="-1"/>
                <w:sz w:val="18"/>
              </w:rPr>
              <w:t>0.35</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8"/>
                <w:szCs w:val="18"/>
              </w:rPr>
            </w:pPr>
            <w:r>
              <w:rPr>
                <w:rFonts w:ascii="Times New Roman"/>
                <w:spacing w:val="-1"/>
                <w:sz w:val="18"/>
              </w:rPr>
              <w:t>1,035,489,098</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现金分红金额（元）（含税）</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8"/>
                <w:szCs w:val="18"/>
              </w:rPr>
            </w:pPr>
            <w:r>
              <w:rPr>
                <w:rFonts w:ascii="Times New Roman"/>
                <w:spacing w:val="-1"/>
                <w:sz w:val="18"/>
              </w:rPr>
              <w:t>36,242,118.42</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现金分红总额（含其他方式）（元）</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pacing w:val="-1"/>
                <w:sz w:val="18"/>
              </w:rPr>
              <w:t>36,242,118.42</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pacing w:val="-1"/>
                <w:sz w:val="18"/>
              </w:rPr>
              <w:t>220,879,359.32</w:t>
            </w:r>
          </w:p>
        </w:tc>
      </w:tr>
      <w:tr>
        <w:trPr>
          <w:trHeight w:val="322" w:hRule="exact"/>
        </w:trPr>
        <w:tc>
          <w:tcPr>
            <w:tcW w:w="4415"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现金分红总额（含其他方式）占利润分配总额的比例</w:t>
            </w:r>
          </w:p>
        </w:tc>
        <w:tc>
          <w:tcPr>
            <w:tcW w:w="434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Times New Roman" w:hAnsi="Times New Roman" w:cs="Times New Roman" w:eastAsia="Times New Roman" w:hint="default"/>
                <w:sz w:val="18"/>
                <w:szCs w:val="18"/>
              </w:rPr>
            </w:pPr>
            <w:r>
              <w:rPr>
                <w:rFonts w:ascii="Times New Roman"/>
                <w:spacing w:val="-1"/>
                <w:sz w:val="18"/>
              </w:rPr>
              <w:t>100</w:t>
            </w:r>
          </w:p>
        </w:tc>
      </w:tr>
      <w:tr>
        <w:trPr>
          <w:trHeight w:val="322" w:hRule="exact"/>
        </w:trPr>
        <w:tc>
          <w:tcPr>
            <w:tcW w:w="8760" w:type="dxa"/>
            <w:gridSpan w:val="2"/>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634" w:hRule="exact"/>
        </w:trPr>
        <w:tc>
          <w:tcPr>
            <w:tcW w:w="8760" w:type="dxa"/>
            <w:gridSpan w:val="2"/>
            <w:tcBorders>
              <w:top w:val="single" w:sz="4" w:space="0" w:color="000000"/>
              <w:left w:val="single" w:sz="12" w:space="0" w:color="000000"/>
              <w:bottom w:val="single" w:sz="4" w:space="0" w:color="000000"/>
              <w:right w:val="single" w:sz="12" w:space="0" w:color="000000"/>
            </w:tcBorders>
          </w:tcPr>
          <w:p>
            <w:pPr>
              <w:pStyle w:val="TableParagraph"/>
              <w:spacing w:line="316" w:lineRule="auto" w:before="11"/>
              <w:ind w:left="92" w:right="176"/>
              <w:jc w:val="left"/>
              <w:rPr>
                <w:rFonts w:ascii="宋体" w:hAnsi="宋体" w:cs="宋体" w:eastAsia="宋体" w:hint="default"/>
                <w:sz w:val="18"/>
                <w:szCs w:val="18"/>
              </w:rPr>
            </w:pPr>
            <w:r>
              <w:rPr>
                <w:rFonts w:ascii="宋体" w:hAnsi="宋体" w:cs="宋体" w:eastAsia="宋体" w:hint="default"/>
                <w:sz w:val="18"/>
                <w:szCs w:val="18"/>
              </w:rPr>
              <w:t>公司发展阶段属成长期且有重大资金支出安排的，进行利润分配时，现金分红在本次利润分配中所占比例最 低应达到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320" w:hRule="exact"/>
        </w:trPr>
        <w:tc>
          <w:tcPr>
            <w:tcW w:w="8760" w:type="dxa"/>
            <w:gridSpan w:val="2"/>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1"/>
              <w:ind w:left="2475"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bl>
    <w:p>
      <w:pPr>
        <w:spacing w:after="0" w:line="240" w:lineRule="auto"/>
        <w:jc w:val="left"/>
        <w:rPr>
          <w:rFonts w:ascii="宋体" w:hAnsi="宋体" w:cs="宋体" w:eastAsia="宋体" w:hint="default"/>
          <w:sz w:val="18"/>
          <w:szCs w:val="18"/>
        </w:rPr>
        <w:sectPr>
          <w:pgSz w:w="11910" w:h="16840"/>
          <w:pgMar w:header="890" w:footer="1053" w:top="1420" w:bottom="1240" w:left="1320" w:right="0"/>
        </w:sectPr>
      </w:pPr>
    </w:p>
    <w:p>
      <w:pPr>
        <w:spacing w:line="240" w:lineRule="auto" w:before="3"/>
        <w:rPr>
          <w:rFonts w:ascii="宋体" w:hAnsi="宋体" w:cs="宋体" w:eastAsia="宋体" w:hint="default"/>
          <w:sz w:val="3"/>
          <w:szCs w:val="3"/>
        </w:rPr>
      </w:pPr>
    </w:p>
    <w:p>
      <w:pPr>
        <w:spacing w:line="2875" w:lineRule="exact"/>
        <w:ind w:left="117"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440.9pt;height:143.8pt;mso-position-horizontal-relative:char;mso-position-vertical-relative:line" coordorigin="0,0" coordsize="8818,2876">
            <v:group style="position:absolute;left:43;top:19;width:8732;height:2" coordorigin="43,19" coordsize="8732,2">
              <v:shape style="position:absolute;left:43;top:19;width:8732;height:2" coordorigin="43,19" coordsize="8732,0" path="m43,19l8774,19e" filled="false" stroked="true" strokeweight=".48pt" strokecolor="#000000">
                <v:path arrowok="t"/>
              </v:shape>
            </v:group>
            <v:group style="position:absolute;left:14;top:2847;width:8789;height:2" coordorigin="14,2847" coordsize="8789,2">
              <v:shape style="position:absolute;left:14;top:2847;width:8789;height:2" coordorigin="14,2847" coordsize="8789,0" path="m14,2847l8803,2847e" filled="false" stroked="true" strokeweight="1.44pt" strokecolor="#000000">
                <v:path arrowok="t"/>
              </v:shape>
            </v:group>
            <v:group style="position:absolute;left:29;top:14;width:2;height:2847" coordorigin="29,14" coordsize="2,2847">
              <v:shape style="position:absolute;left:29;top:14;width:2;height:2847" coordorigin="29,14" coordsize="0,2847" path="m29,14l29,2861e" filled="false" stroked="true" strokeweight="1.44pt" strokecolor="#000000">
                <v:path arrowok="t"/>
              </v:shape>
            </v:group>
            <v:group style="position:absolute;left:8789;top:14;width:2;height:2847" coordorigin="8789,14" coordsize="2,2847">
              <v:shape style="position:absolute;left:8789;top:14;width:2;height:2847" coordorigin="8789,14" coordsize="0,2847" path="m8789,14l8789,2861e" filled="false" stroked="true" strokeweight="1.44pt" strokecolor="#000000">
                <v:path arrowok="t"/>
              </v:shape>
              <v:shape style="position:absolute;left:29;top:19;width:8760;height:2828" type="#_x0000_t202" filled="false" stroked="false">
                <v:textbox inset="0,0,0,0">
                  <w:txbxContent>
                    <w:p>
                      <w:pPr>
                        <w:spacing w:before="16"/>
                        <w:ind w:left="466" w:right="0" w:firstLine="0"/>
                        <w:jc w:val="left"/>
                        <w:rPr>
                          <w:rFonts w:ascii="宋体" w:hAnsi="宋体" w:cs="宋体" w:eastAsia="宋体" w:hint="default"/>
                          <w:sz w:val="18"/>
                          <w:szCs w:val="18"/>
                        </w:rPr>
                      </w:pPr>
                      <w:r>
                        <w:rPr>
                          <w:rFonts w:ascii="宋体" w:hAnsi="宋体" w:cs="宋体" w:eastAsia="宋体" w:hint="default"/>
                          <w:sz w:val="18"/>
                          <w:szCs w:val="18"/>
                        </w:rPr>
                        <w:t>经信永中和会计师事务所审计，公司</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年度实现归属于上市公司股东的净利润</w:t>
                      </w:r>
                      <w:r>
                        <w:rPr>
                          <w:rFonts w:ascii="宋体" w:hAnsi="宋体" w:cs="宋体" w:eastAsia="宋体" w:hint="default"/>
                          <w:spacing w:val="-10"/>
                          <w:sz w:val="18"/>
                          <w:szCs w:val="18"/>
                        </w:rPr>
                        <w:t> </w:t>
                      </w:r>
                      <w:r>
                        <w:rPr>
                          <w:rFonts w:ascii="Times New Roman" w:hAnsi="Times New Roman" w:cs="Times New Roman" w:eastAsia="Times New Roman" w:hint="default"/>
                          <w:sz w:val="18"/>
                          <w:szCs w:val="18"/>
                        </w:rPr>
                        <w:t>220,879,359.32</w:t>
                      </w:r>
                      <w:r>
                        <w:rPr>
                          <w:rFonts w:ascii="Times New Roman" w:hAnsi="Times New Roman" w:cs="Times New Roman" w:eastAsia="Times New Roman" w:hint="default"/>
                          <w:spacing w:val="34"/>
                          <w:sz w:val="18"/>
                          <w:szCs w:val="18"/>
                        </w:rPr>
                        <w:t> </w:t>
                      </w:r>
                      <w:r>
                        <w:rPr>
                          <w:rFonts w:ascii="宋体" w:hAnsi="宋体" w:cs="宋体" w:eastAsia="宋体" w:hint="default"/>
                          <w:spacing w:val="-9"/>
                          <w:sz w:val="18"/>
                          <w:szCs w:val="18"/>
                        </w:rPr>
                        <w:t>元，提</w:t>
                      </w:r>
                    </w:p>
                    <w:p>
                      <w:pPr>
                        <w:spacing w:before="63"/>
                        <w:ind w:left="106" w:right="0" w:firstLine="0"/>
                        <w:jc w:val="both"/>
                        <w:rPr>
                          <w:rFonts w:ascii="宋体" w:hAnsi="宋体" w:cs="宋体" w:eastAsia="宋体" w:hint="default"/>
                          <w:sz w:val="18"/>
                          <w:szCs w:val="18"/>
                        </w:rPr>
                      </w:pPr>
                      <w:r>
                        <w:rPr>
                          <w:rFonts w:ascii="宋体" w:hAnsi="宋体" w:cs="宋体" w:eastAsia="宋体" w:hint="default"/>
                          <w:sz w:val="18"/>
                          <w:szCs w:val="18"/>
                        </w:rPr>
                        <w:t>取法定盈余公积 </w:t>
                      </w:r>
                      <w:r>
                        <w:rPr>
                          <w:rFonts w:ascii="Times New Roman" w:hAnsi="Times New Roman" w:cs="Times New Roman" w:eastAsia="Times New Roman" w:hint="default"/>
                          <w:sz w:val="18"/>
                          <w:szCs w:val="18"/>
                        </w:rPr>
                        <w:t>36,944,075.43  </w:t>
                      </w:r>
                      <w:r>
                        <w:rPr>
                          <w:rFonts w:ascii="宋体" w:hAnsi="宋体" w:cs="宋体" w:eastAsia="宋体" w:hint="default"/>
                          <w:sz w:val="18"/>
                          <w:szCs w:val="18"/>
                        </w:rPr>
                        <w:t>元后，减去应付普通股股利 </w:t>
                      </w:r>
                      <w:r>
                        <w:rPr>
                          <w:rFonts w:ascii="Times New Roman" w:hAnsi="Times New Roman" w:cs="Times New Roman" w:eastAsia="Times New Roman" w:hint="default"/>
                          <w:sz w:val="18"/>
                          <w:szCs w:val="18"/>
                        </w:rPr>
                        <w:t>20,709,781.96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元，加上上年结存未分配利润</w:t>
                      </w:r>
                    </w:p>
                    <w:p>
                      <w:pPr>
                        <w:spacing w:before="63"/>
                        <w:ind w:left="106"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1,237,510,327.67 </w:t>
                      </w:r>
                      <w:r>
                        <w:rPr>
                          <w:rFonts w:ascii="宋体" w:hAnsi="宋体" w:cs="宋体" w:eastAsia="宋体" w:hint="default"/>
                          <w:sz w:val="18"/>
                          <w:szCs w:val="18"/>
                        </w:rPr>
                        <w:t>元，本年度可供投资者分配的利润 </w:t>
                      </w:r>
                      <w:r>
                        <w:rPr>
                          <w:rFonts w:ascii="Times New Roman" w:hAnsi="Times New Roman" w:cs="Times New Roman" w:eastAsia="Times New Roman" w:hint="default"/>
                          <w:sz w:val="18"/>
                          <w:szCs w:val="18"/>
                        </w:rPr>
                        <w:t>1,400,735,829.60 </w:t>
                      </w:r>
                      <w:r>
                        <w:rPr>
                          <w:rFonts w:ascii="宋体" w:hAnsi="宋体" w:cs="宋体" w:eastAsia="宋体" w:hint="default"/>
                          <w:sz w:val="18"/>
                          <w:szCs w:val="18"/>
                        </w:rPr>
                        <w:t>元。母公司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年度实现净利润</w:t>
                      </w:r>
                    </w:p>
                    <w:p>
                      <w:pPr>
                        <w:spacing w:before="63"/>
                        <w:ind w:left="106"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143,226,092.06 </w:t>
                      </w:r>
                      <w:r>
                        <w:rPr>
                          <w:rFonts w:ascii="宋体" w:hAnsi="宋体" w:cs="宋体" w:eastAsia="宋体" w:hint="default"/>
                          <w:sz w:val="18"/>
                          <w:szCs w:val="18"/>
                        </w:rPr>
                        <w:t>元，提取法定盈余公积 </w:t>
                      </w:r>
                      <w:r>
                        <w:rPr>
                          <w:rFonts w:ascii="Times New Roman" w:hAnsi="Times New Roman" w:cs="Times New Roman" w:eastAsia="Times New Roman" w:hint="default"/>
                          <w:sz w:val="18"/>
                          <w:szCs w:val="18"/>
                        </w:rPr>
                        <w:t>14,322,609.21 </w:t>
                      </w:r>
                      <w:r>
                        <w:rPr>
                          <w:rFonts w:ascii="宋体" w:hAnsi="宋体" w:cs="宋体" w:eastAsia="宋体" w:hint="default"/>
                          <w:sz w:val="18"/>
                          <w:szCs w:val="18"/>
                        </w:rPr>
                        <w:t>元后，减去应付普通股股利 </w:t>
                      </w:r>
                      <w:r>
                        <w:rPr>
                          <w:rFonts w:ascii="Times New Roman" w:hAnsi="Times New Roman" w:cs="Times New Roman" w:eastAsia="Times New Roman" w:hint="default"/>
                          <w:sz w:val="18"/>
                          <w:szCs w:val="18"/>
                        </w:rPr>
                        <w:t>20,709,781.96</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元，加上上年</w:t>
                      </w:r>
                    </w:p>
                    <w:p>
                      <w:pPr>
                        <w:spacing w:before="63"/>
                        <w:ind w:left="106" w:right="0" w:firstLine="0"/>
                        <w:jc w:val="both"/>
                        <w:rPr>
                          <w:rFonts w:ascii="宋体" w:hAnsi="宋体" w:cs="宋体" w:eastAsia="宋体" w:hint="default"/>
                          <w:sz w:val="18"/>
                          <w:szCs w:val="18"/>
                        </w:rPr>
                      </w:pPr>
                      <w:r>
                        <w:rPr>
                          <w:rFonts w:ascii="宋体" w:hAnsi="宋体" w:cs="宋体" w:eastAsia="宋体" w:hint="default"/>
                          <w:sz w:val="18"/>
                          <w:szCs w:val="18"/>
                        </w:rPr>
                        <w:t>结存未分配利润 </w:t>
                      </w:r>
                      <w:r>
                        <w:rPr>
                          <w:rFonts w:ascii="Times New Roman" w:hAnsi="Times New Roman" w:cs="Times New Roman" w:eastAsia="Times New Roman" w:hint="default"/>
                          <w:sz w:val="18"/>
                          <w:szCs w:val="18"/>
                        </w:rPr>
                        <w:t>657,286,101.07  </w:t>
                      </w:r>
                      <w:r>
                        <w:rPr>
                          <w:rFonts w:ascii="宋体" w:hAnsi="宋体" w:cs="宋体" w:eastAsia="宋体" w:hint="default"/>
                          <w:sz w:val="18"/>
                          <w:szCs w:val="18"/>
                        </w:rPr>
                        <w:t>元，本年度可供分配的利润 </w:t>
                      </w:r>
                      <w:r>
                        <w:rPr>
                          <w:rFonts w:ascii="Times New Roman" w:hAnsi="Times New Roman" w:cs="Times New Roman" w:eastAsia="Times New Roman" w:hint="default"/>
                          <w:sz w:val="18"/>
                          <w:szCs w:val="18"/>
                        </w:rPr>
                        <w:t>765,479,801.96</w:t>
                      </w:r>
                      <w:r>
                        <w:rPr>
                          <w:rFonts w:ascii="Times New Roman" w:hAnsi="Times New Roman" w:cs="Times New Roman" w:eastAsia="Times New Roman" w:hint="default"/>
                          <w:spacing w:val="32"/>
                          <w:sz w:val="18"/>
                          <w:szCs w:val="18"/>
                        </w:rPr>
                        <w:t> </w:t>
                      </w:r>
                      <w:r>
                        <w:rPr>
                          <w:rFonts w:ascii="宋体" w:hAnsi="宋体" w:cs="宋体" w:eastAsia="宋体" w:hint="default"/>
                          <w:sz w:val="18"/>
                          <w:szCs w:val="18"/>
                        </w:rPr>
                        <w:t>元。</w:t>
                      </w:r>
                    </w:p>
                    <w:p>
                      <w:pPr>
                        <w:spacing w:before="63"/>
                        <w:ind w:left="466" w:right="0" w:firstLine="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年度利润分配预案：以公司总股本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1,035,489,098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股为基数向全体股东每</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股派发现金股利人</w:t>
                      </w:r>
                    </w:p>
                    <w:p>
                      <w:pPr>
                        <w:spacing w:line="309" w:lineRule="auto" w:before="63"/>
                        <w:ind w:left="106" w:right="167" w:firstLine="0"/>
                        <w:jc w:val="both"/>
                        <w:rPr>
                          <w:rFonts w:ascii="宋体" w:hAnsi="宋体" w:cs="宋体" w:eastAsia="宋体" w:hint="default"/>
                          <w:sz w:val="18"/>
                          <w:szCs w:val="18"/>
                        </w:rPr>
                      </w:pPr>
                      <w:r>
                        <w:rPr>
                          <w:rFonts w:ascii="宋体" w:hAnsi="宋体" w:cs="宋体" w:eastAsia="宋体" w:hint="default"/>
                          <w:sz w:val="18"/>
                          <w:szCs w:val="18"/>
                        </w:rPr>
                        <w:t>民币</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含税</w:t>
                      </w:r>
                      <w:r>
                        <w:rPr>
                          <w:rFonts w:ascii="Times New Roman" w:hAnsi="Times New Roman" w:cs="Times New Roman" w:eastAsia="Times New Roman" w:hint="default"/>
                          <w:sz w:val="18"/>
                          <w:szCs w:val="18"/>
                        </w:rPr>
                        <w:t>)</w:t>
                      </w:r>
                      <w:r>
                        <w:rPr>
                          <w:rFonts w:ascii="宋体" w:hAnsi="宋体" w:cs="宋体" w:eastAsia="宋体" w:hint="default"/>
                          <w:sz w:val="18"/>
                          <w:szCs w:val="18"/>
                        </w:rPr>
                        <w:t>，合计派发现金红利</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36,242,118.43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元，不送红股，不以公积金转增股本，其余未分配利润 结转以后年度进行分配。若分红派息方案实施时公司总股本发生变化，将按照分配总额不变的原则对分配比 例进行调整。</w:t>
                      </w:r>
                    </w:p>
                  </w:txbxContent>
                </v:textbox>
                <w10:wrap type="none"/>
              </v:shape>
            </v:group>
          </v:group>
        </w:pict>
      </w:r>
      <w:r>
        <w:rPr>
          <w:rFonts w:ascii="宋体" w:hAnsi="宋体" w:cs="宋体" w:eastAsia="宋体" w:hint="default"/>
          <w:position w:val="-57"/>
          <w:sz w:val="20"/>
          <w:szCs w:val="20"/>
        </w:rPr>
      </w:r>
    </w:p>
    <w:p>
      <w:pPr>
        <w:spacing w:line="240" w:lineRule="auto" w:before="1"/>
        <w:rPr>
          <w:rFonts w:ascii="宋体" w:hAnsi="宋体" w:cs="宋体" w:eastAsia="宋体" w:hint="default"/>
          <w:sz w:val="17"/>
          <w:szCs w:val="17"/>
        </w:rPr>
      </w:pPr>
    </w:p>
    <w:p>
      <w:pPr>
        <w:pStyle w:val="Heading2"/>
        <w:spacing w:line="240" w:lineRule="auto" w:before="26"/>
        <w:ind w:left="144" w:right="0"/>
        <w:jc w:val="left"/>
        <w:rPr>
          <w:b w:val="0"/>
          <w:bCs w:val="0"/>
        </w:rPr>
      </w:pPr>
      <w:bookmarkStart w:name="三、承诺事项履行情况" w:id="66"/>
      <w:bookmarkEnd w:id="66"/>
      <w:r>
        <w:rPr>
          <w:b w:val="0"/>
          <w:bCs w:val="0"/>
        </w:rPr>
      </w:r>
      <w:r>
        <w:rPr/>
        <w:t>三、承诺事项履行情况</w:t>
      </w:r>
      <w:r>
        <w:rPr>
          <w:b w:val="0"/>
          <w:bCs w:val="0"/>
        </w:rPr>
      </w:r>
    </w:p>
    <w:p>
      <w:pPr>
        <w:spacing w:line="240" w:lineRule="auto" w:before="9"/>
        <w:rPr>
          <w:rFonts w:ascii="宋体" w:hAnsi="宋体" w:cs="宋体" w:eastAsia="宋体" w:hint="default"/>
          <w:b/>
          <w:bCs/>
          <w:sz w:val="24"/>
          <w:szCs w:val="24"/>
        </w:rPr>
      </w:pPr>
    </w:p>
    <w:p>
      <w:pPr>
        <w:spacing w:line="259" w:lineRule="auto" w:before="0"/>
        <w:ind w:left="144" w:right="0" w:firstLine="0"/>
        <w:jc w:val="left"/>
        <w:rPr>
          <w:rFonts w:ascii="宋体" w:hAnsi="宋体" w:cs="宋体" w:eastAsia="宋体" w:hint="default"/>
          <w:sz w:val="21"/>
          <w:szCs w:val="21"/>
        </w:rPr>
      </w:pPr>
      <w:bookmarkStart w:name="1、公司实际控制人、股东、关联方、收购人以及公司等承诺相关方在报告期内履行完毕及" w:id="67"/>
      <w:bookmarkEnd w:id="67"/>
      <w:r>
        <w:rPr/>
      </w:r>
      <w:r>
        <w:rPr>
          <w:rFonts w:ascii="Times New Roman" w:hAnsi="Times New Roman" w:cs="Times New Roman" w:eastAsia="Times New Roman" w:hint="default"/>
          <w:b/>
          <w:bCs/>
          <w:spacing w:val="2"/>
          <w:w w:val="95"/>
          <w:sz w:val="21"/>
          <w:szCs w:val="21"/>
        </w:rPr>
        <w:t>1</w:t>
      </w:r>
      <w:r>
        <w:rPr>
          <w:rFonts w:ascii="宋体" w:hAnsi="宋体" w:cs="宋体" w:eastAsia="宋体" w:hint="default"/>
          <w:b/>
          <w:bCs/>
          <w:spacing w:val="2"/>
          <w:w w:val="95"/>
          <w:sz w:val="21"/>
          <w:szCs w:val="21"/>
        </w:rPr>
        <w:t>、公司实际控制人、股东、关联方、收购人以及公司等承诺相关方在报告期内履行完毕及截至报</w:t>
      </w:r>
      <w:r>
        <w:rPr>
          <w:rFonts w:ascii="宋体" w:hAnsi="宋体" w:cs="宋体" w:eastAsia="宋体" w:hint="default"/>
          <w:b/>
          <w:bCs/>
          <w:spacing w:val="99"/>
          <w:w w:val="95"/>
          <w:sz w:val="21"/>
          <w:szCs w:val="21"/>
        </w:rPr>
        <w:t> </w:t>
      </w:r>
      <w:r>
        <w:rPr>
          <w:rFonts w:ascii="宋体" w:hAnsi="宋体" w:cs="宋体" w:eastAsia="宋体" w:hint="default"/>
          <w:b/>
          <w:bCs/>
          <w:spacing w:val="99"/>
          <w:w w:val="95"/>
          <w:sz w:val="21"/>
          <w:szCs w:val="21"/>
        </w:rPr>
      </w:r>
      <w:r>
        <w:rPr>
          <w:rFonts w:ascii="宋体" w:hAnsi="宋体" w:cs="宋体" w:eastAsia="宋体" w:hint="default"/>
          <w:b/>
          <w:bCs/>
          <w:sz w:val="21"/>
          <w:szCs w:val="21"/>
        </w:rPr>
        <w:t>告期末尚未履行完毕的承诺事项</w:t>
      </w:r>
      <w:r>
        <w:rPr>
          <w:rFonts w:ascii="宋体" w:hAnsi="宋体" w:cs="宋体" w:eastAsia="宋体" w:hint="default"/>
          <w:sz w:val="21"/>
          <w:szCs w:val="21"/>
        </w:rPr>
      </w:r>
    </w:p>
    <w:p>
      <w:pPr>
        <w:spacing w:line="240" w:lineRule="auto" w:before="3"/>
        <w:rPr>
          <w:rFonts w:ascii="宋体" w:hAnsi="宋体" w:cs="宋体" w:eastAsia="宋体" w:hint="default"/>
          <w:b/>
          <w:bCs/>
          <w:sz w:val="26"/>
          <w:szCs w:val="26"/>
        </w:rPr>
      </w:pPr>
    </w:p>
    <w:p>
      <w:pPr>
        <w:spacing w:before="0"/>
        <w:ind w:left="14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8"/>
          <w:szCs w:val="8"/>
        </w:rPr>
      </w:pPr>
    </w:p>
    <w:tbl>
      <w:tblPr>
        <w:tblW w:w="0" w:type="auto"/>
        <w:jc w:val="left"/>
        <w:tblInd w:w="131" w:type="dxa"/>
        <w:tblLayout w:type="fixed"/>
        <w:tblCellMar>
          <w:top w:w="0" w:type="dxa"/>
          <w:left w:w="0" w:type="dxa"/>
          <w:bottom w:w="0" w:type="dxa"/>
          <w:right w:w="0" w:type="dxa"/>
        </w:tblCellMar>
        <w:tblLook w:val="01E0"/>
      </w:tblPr>
      <w:tblGrid>
        <w:gridCol w:w="1437"/>
        <w:gridCol w:w="1033"/>
        <w:gridCol w:w="1404"/>
        <w:gridCol w:w="2101"/>
        <w:gridCol w:w="1082"/>
        <w:gridCol w:w="1078"/>
        <w:gridCol w:w="1065"/>
      </w:tblGrid>
      <w:tr>
        <w:trPr>
          <w:trHeight w:val="261" w:hRule="exact"/>
        </w:trPr>
        <w:tc>
          <w:tcPr>
            <w:tcW w:w="1437"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19" w:lineRule="exact"/>
              <w:ind w:left="344"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103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right="239"/>
              <w:jc w:val="right"/>
              <w:rPr>
                <w:rFonts w:ascii="宋体" w:hAnsi="宋体" w:cs="宋体" w:eastAsia="宋体" w:hint="default"/>
                <w:sz w:val="18"/>
                <w:szCs w:val="18"/>
              </w:rPr>
            </w:pPr>
            <w:r>
              <w:rPr>
                <w:rFonts w:ascii="宋体" w:hAnsi="宋体" w:cs="宋体" w:eastAsia="宋体" w:hint="default"/>
                <w:sz w:val="18"/>
                <w:szCs w:val="18"/>
              </w:rPr>
              <w:t>承诺方</w:t>
            </w:r>
          </w:p>
        </w:tc>
        <w:tc>
          <w:tcPr>
            <w:tcW w:w="140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承诺类型</w:t>
            </w:r>
          </w:p>
        </w:tc>
        <w:tc>
          <w:tcPr>
            <w:tcW w:w="2101"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684"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108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175"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07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173"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065"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19" w:lineRule="exact"/>
              <w:ind w:left="167"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250" w:hRule="exact"/>
        </w:trPr>
        <w:tc>
          <w:tcPr>
            <w:tcW w:w="143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7" w:lineRule="exact"/>
              <w:ind w:left="92"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033"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065" w:type="dxa"/>
            <w:tcBorders>
              <w:top w:val="single" w:sz="4" w:space="0" w:color="000000"/>
              <w:left w:val="single" w:sz="4" w:space="0" w:color="000000"/>
              <w:bottom w:val="single" w:sz="4" w:space="0" w:color="000000"/>
              <w:right w:val="single" w:sz="12" w:space="0" w:color="000000"/>
            </w:tcBorders>
          </w:tcPr>
          <w:p>
            <w:pPr/>
          </w:p>
        </w:tc>
      </w:tr>
      <w:tr>
        <w:trPr>
          <w:trHeight w:val="253" w:hRule="exact"/>
        </w:trPr>
        <w:tc>
          <w:tcPr>
            <w:tcW w:w="1437" w:type="dxa"/>
            <w:tcBorders>
              <w:top w:val="single" w:sz="4" w:space="0" w:color="000000"/>
              <w:left w:val="single" w:sz="12" w:space="0" w:color="000000"/>
              <w:bottom w:val="nil" w:sz="6" w:space="0" w:color="auto"/>
              <w:right w:val="single" w:sz="4" w:space="0" w:color="000000"/>
            </w:tcBorders>
            <w:shd w:val="clear" w:color="auto" w:fill="D2D2D2"/>
          </w:tcPr>
          <w:p>
            <w:pPr>
              <w:pStyle w:val="TableParagraph"/>
              <w:spacing w:line="219" w:lineRule="exact"/>
              <w:ind w:left="92" w:right="0"/>
              <w:jc w:val="left"/>
              <w:rPr>
                <w:rFonts w:ascii="宋体" w:hAnsi="宋体" w:cs="宋体" w:eastAsia="宋体" w:hint="default"/>
                <w:sz w:val="18"/>
                <w:szCs w:val="18"/>
              </w:rPr>
            </w:pPr>
            <w:r>
              <w:rPr>
                <w:rFonts w:ascii="宋体" w:hAnsi="宋体" w:cs="宋体" w:eastAsia="宋体" w:hint="default"/>
                <w:sz w:val="18"/>
                <w:szCs w:val="18"/>
              </w:rPr>
              <w:t>收购报告书或</w:t>
            </w:r>
          </w:p>
        </w:tc>
        <w:tc>
          <w:tcPr>
            <w:tcW w:w="1033" w:type="dxa"/>
            <w:vMerge w:val="restart"/>
            <w:tcBorders>
              <w:top w:val="single" w:sz="4" w:space="0" w:color="000000"/>
              <w:left w:val="single" w:sz="4" w:space="0" w:color="000000"/>
              <w:right w:val="single" w:sz="4" w:space="0" w:color="000000"/>
            </w:tcBorders>
          </w:tcPr>
          <w:p>
            <w:pPr/>
          </w:p>
        </w:tc>
        <w:tc>
          <w:tcPr>
            <w:tcW w:w="1404" w:type="dxa"/>
            <w:vMerge w:val="restart"/>
            <w:tcBorders>
              <w:top w:val="single" w:sz="4" w:space="0" w:color="000000"/>
              <w:left w:val="single" w:sz="4" w:space="0" w:color="000000"/>
              <w:right w:val="single" w:sz="4" w:space="0" w:color="000000"/>
            </w:tcBorders>
          </w:tcPr>
          <w:p>
            <w:pPr/>
          </w:p>
        </w:tc>
        <w:tc>
          <w:tcPr>
            <w:tcW w:w="2101" w:type="dxa"/>
            <w:vMerge w:val="restart"/>
            <w:tcBorders>
              <w:top w:val="single" w:sz="4" w:space="0" w:color="000000"/>
              <w:left w:val="single" w:sz="4" w:space="0" w:color="000000"/>
              <w:right w:val="single" w:sz="4" w:space="0" w:color="000000"/>
            </w:tcBorders>
          </w:tcPr>
          <w:p>
            <w:pPr/>
          </w:p>
        </w:tc>
        <w:tc>
          <w:tcPr>
            <w:tcW w:w="1082" w:type="dxa"/>
            <w:vMerge w:val="restart"/>
            <w:tcBorders>
              <w:top w:val="single" w:sz="4" w:space="0" w:color="000000"/>
              <w:left w:val="single" w:sz="4" w:space="0" w:color="000000"/>
              <w:right w:val="single" w:sz="4" w:space="0" w:color="000000"/>
            </w:tcBorders>
          </w:tcPr>
          <w:p>
            <w:pPr/>
          </w:p>
        </w:tc>
        <w:tc>
          <w:tcPr>
            <w:tcW w:w="1078" w:type="dxa"/>
            <w:vMerge w:val="restart"/>
            <w:tcBorders>
              <w:top w:val="single" w:sz="4" w:space="0" w:color="000000"/>
              <w:left w:val="single" w:sz="4" w:space="0" w:color="000000"/>
              <w:right w:val="single" w:sz="4" w:space="0" w:color="000000"/>
            </w:tcBorders>
          </w:tcPr>
          <w:p>
            <w:pPr/>
          </w:p>
        </w:tc>
        <w:tc>
          <w:tcPr>
            <w:tcW w:w="1065" w:type="dxa"/>
            <w:vMerge w:val="restart"/>
            <w:tcBorders>
              <w:top w:val="single" w:sz="4" w:space="0" w:color="000000"/>
              <w:left w:val="single" w:sz="4" w:space="0" w:color="000000"/>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10" w:lineRule="exact"/>
              <w:ind w:left="92" w:right="0"/>
              <w:jc w:val="left"/>
              <w:rPr>
                <w:rFonts w:ascii="宋体" w:hAnsi="宋体" w:cs="宋体" w:eastAsia="宋体" w:hint="default"/>
                <w:sz w:val="18"/>
                <w:szCs w:val="18"/>
              </w:rPr>
            </w:pPr>
            <w:r>
              <w:rPr>
                <w:rFonts w:ascii="宋体" w:hAnsi="宋体" w:cs="宋体" w:eastAsia="宋体" w:hint="default"/>
                <w:sz w:val="18"/>
                <w:szCs w:val="18"/>
              </w:rPr>
              <w:t>权益变动报告</w:t>
            </w:r>
          </w:p>
        </w:tc>
        <w:tc>
          <w:tcPr>
            <w:tcW w:w="1033" w:type="dxa"/>
            <w:vMerge/>
            <w:tcBorders>
              <w:left w:val="single" w:sz="4" w:space="0" w:color="000000"/>
              <w:right w:val="single" w:sz="4" w:space="0" w:color="000000"/>
            </w:tcBorders>
          </w:tcPr>
          <w:p>
            <w:pPr/>
          </w:p>
        </w:tc>
        <w:tc>
          <w:tcPr>
            <w:tcW w:w="1404" w:type="dxa"/>
            <w:vMerge/>
            <w:tcBorders>
              <w:left w:val="single" w:sz="4" w:space="0" w:color="000000"/>
              <w:right w:val="single" w:sz="4" w:space="0" w:color="000000"/>
            </w:tcBorders>
          </w:tcPr>
          <w:p>
            <w:pPr/>
          </w:p>
        </w:tc>
        <w:tc>
          <w:tcPr>
            <w:tcW w:w="2101" w:type="dxa"/>
            <w:vMerge/>
            <w:tcBorders>
              <w:left w:val="single" w:sz="4" w:space="0" w:color="000000"/>
              <w:right w:val="single" w:sz="4" w:space="0" w:color="000000"/>
            </w:tcBorders>
          </w:tcPr>
          <w:p>
            <w:pPr/>
          </w:p>
        </w:tc>
        <w:tc>
          <w:tcPr>
            <w:tcW w:w="1082" w:type="dxa"/>
            <w:vMerge/>
            <w:tcBorders>
              <w:left w:val="single" w:sz="4" w:space="0" w:color="000000"/>
              <w:right w:val="single" w:sz="4" w:space="0" w:color="000000"/>
            </w:tcBorders>
          </w:tcPr>
          <w:p>
            <w:pPr/>
          </w:p>
        </w:tc>
        <w:tc>
          <w:tcPr>
            <w:tcW w:w="1078" w:type="dxa"/>
            <w:vMerge/>
            <w:tcBorders>
              <w:left w:val="single" w:sz="4" w:space="0" w:color="000000"/>
              <w:right w:val="single" w:sz="4" w:space="0" w:color="000000"/>
            </w:tcBorders>
          </w:tcPr>
          <w:p>
            <w:pPr/>
          </w:p>
        </w:tc>
        <w:tc>
          <w:tcPr>
            <w:tcW w:w="1065" w:type="dxa"/>
            <w:vMerge/>
            <w:tcBorders>
              <w:left w:val="single" w:sz="4" w:space="0" w:color="000000"/>
              <w:right w:val="single" w:sz="12" w:space="0" w:color="000000"/>
            </w:tcBorders>
          </w:tcPr>
          <w:p>
            <w:pPr/>
          </w:p>
        </w:tc>
      </w:tr>
      <w:tr>
        <w:trPr>
          <w:trHeight w:val="237" w:hRule="exact"/>
        </w:trPr>
        <w:tc>
          <w:tcPr>
            <w:tcW w:w="1437" w:type="dxa"/>
            <w:tcBorders>
              <w:top w:val="nil" w:sz="6" w:space="0" w:color="auto"/>
              <w:left w:val="single" w:sz="12" w:space="0" w:color="000000"/>
              <w:bottom w:val="single" w:sz="4" w:space="0" w:color="000000"/>
              <w:right w:val="single" w:sz="4" w:space="0" w:color="000000"/>
            </w:tcBorders>
            <w:shd w:val="clear" w:color="auto" w:fill="D2D2D2"/>
          </w:tcPr>
          <w:p>
            <w:pPr>
              <w:pStyle w:val="TableParagraph"/>
              <w:spacing w:line="210" w:lineRule="exact"/>
              <w:ind w:left="92" w:right="0"/>
              <w:jc w:val="left"/>
              <w:rPr>
                <w:rFonts w:ascii="宋体" w:hAnsi="宋体" w:cs="宋体" w:eastAsia="宋体" w:hint="default"/>
                <w:sz w:val="18"/>
                <w:szCs w:val="18"/>
              </w:rPr>
            </w:pPr>
            <w:r>
              <w:rPr>
                <w:rFonts w:ascii="宋体" w:hAnsi="宋体" w:cs="宋体" w:eastAsia="宋体" w:hint="default"/>
                <w:sz w:val="18"/>
                <w:szCs w:val="18"/>
              </w:rPr>
              <w:t>书中所作承诺</w:t>
            </w:r>
          </w:p>
        </w:tc>
        <w:tc>
          <w:tcPr>
            <w:tcW w:w="1033" w:type="dxa"/>
            <w:vMerge/>
            <w:tcBorders>
              <w:left w:val="single" w:sz="4" w:space="0" w:color="000000"/>
              <w:bottom w:val="single" w:sz="4" w:space="0" w:color="000000"/>
              <w:right w:val="single" w:sz="4" w:space="0" w:color="000000"/>
            </w:tcBorders>
          </w:tcPr>
          <w:p>
            <w:pPr/>
          </w:p>
        </w:tc>
        <w:tc>
          <w:tcPr>
            <w:tcW w:w="1404" w:type="dxa"/>
            <w:vMerge/>
            <w:tcBorders>
              <w:left w:val="single" w:sz="4" w:space="0" w:color="000000"/>
              <w:bottom w:val="single" w:sz="4" w:space="0" w:color="000000"/>
              <w:right w:val="single" w:sz="4" w:space="0" w:color="000000"/>
            </w:tcBorders>
          </w:tcPr>
          <w:p>
            <w:pPr/>
          </w:p>
        </w:tc>
        <w:tc>
          <w:tcPr>
            <w:tcW w:w="2101" w:type="dxa"/>
            <w:vMerge/>
            <w:tcBorders>
              <w:left w:val="single" w:sz="4" w:space="0" w:color="000000"/>
              <w:bottom w:val="single" w:sz="4" w:space="0" w:color="000000"/>
              <w:right w:val="single" w:sz="4" w:space="0" w:color="000000"/>
            </w:tcBorders>
          </w:tcPr>
          <w:p>
            <w:pPr/>
          </w:p>
        </w:tc>
        <w:tc>
          <w:tcPr>
            <w:tcW w:w="1082"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65" w:type="dxa"/>
            <w:vMerge/>
            <w:tcBorders>
              <w:left w:val="single" w:sz="4" w:space="0" w:color="000000"/>
              <w:bottom w:val="single" w:sz="4" w:space="0" w:color="000000"/>
              <w:right w:val="single" w:sz="12" w:space="0" w:color="000000"/>
            </w:tcBorders>
          </w:tcPr>
          <w:p>
            <w:pPr/>
          </w:p>
        </w:tc>
      </w:tr>
      <w:tr>
        <w:trPr>
          <w:trHeight w:val="730" w:hRule="exact"/>
        </w:trPr>
        <w:tc>
          <w:tcPr>
            <w:tcW w:w="1437" w:type="dxa"/>
            <w:tcBorders>
              <w:top w:val="single" w:sz="4" w:space="0" w:color="000000"/>
              <w:left w:val="single" w:sz="12" w:space="0" w:color="000000"/>
              <w:bottom w:val="nil" w:sz="6" w:space="0" w:color="auto"/>
              <w:right w:val="single" w:sz="4" w:space="0" w:color="000000"/>
            </w:tcBorders>
            <w:shd w:val="clear" w:color="auto" w:fill="D2D2D2"/>
          </w:tcPr>
          <w:p>
            <w:pP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2"/>
              <w:ind w:left="102" w:right="198"/>
              <w:jc w:val="left"/>
              <w:rPr>
                <w:rFonts w:ascii="宋体" w:hAnsi="宋体" w:cs="宋体" w:eastAsia="宋体" w:hint="default"/>
                <w:sz w:val="18"/>
                <w:szCs w:val="18"/>
              </w:rPr>
            </w:pPr>
            <w:r>
              <w:rPr>
                <w:rFonts w:ascii="宋体" w:hAnsi="宋体" w:cs="宋体" w:eastAsia="宋体" w:hint="default"/>
                <w:sz w:val="18"/>
                <w:szCs w:val="18"/>
              </w:rPr>
              <w:t>智能科技 集团</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2"/>
              <w:ind w:left="103" w:right="208"/>
              <w:jc w:val="left"/>
              <w:rPr>
                <w:rFonts w:ascii="宋体" w:hAnsi="宋体" w:cs="宋体" w:eastAsia="宋体" w:hint="default"/>
                <w:sz w:val="18"/>
                <w:szCs w:val="18"/>
              </w:rPr>
            </w:pPr>
            <w:r>
              <w:rPr>
                <w:rFonts w:ascii="宋体" w:hAnsi="宋体" w:cs="宋体" w:eastAsia="宋体" w:hint="default"/>
                <w:sz w:val="18"/>
                <w:szCs w:val="18"/>
              </w:rPr>
              <w:t>规范关联交易 的承诺</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85"/>
              <w:jc w:val="both"/>
              <w:rPr>
                <w:rFonts w:ascii="宋体" w:hAnsi="宋体" w:cs="宋体" w:eastAsia="宋体" w:hint="default"/>
                <w:sz w:val="18"/>
                <w:szCs w:val="18"/>
              </w:rPr>
            </w:pPr>
            <w:r>
              <w:rPr>
                <w:rFonts w:ascii="宋体" w:hAnsi="宋体" w:cs="宋体" w:eastAsia="宋体" w:hint="default"/>
                <w:sz w:val="18"/>
                <w:szCs w:val="18"/>
              </w:rPr>
              <w:t>《关于规范与浙江万马 电缆股份有限公司关联 交易承诺函》</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102"/>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p>
          <w:p>
            <w:pPr>
              <w:pStyle w:val="TableParagraph"/>
              <w:spacing w:line="245" w:lineRule="exact"/>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065" w:type="dxa"/>
            <w:tcBorders>
              <w:top w:val="single" w:sz="4" w:space="0" w:color="000000"/>
              <w:left w:val="single" w:sz="4" w:space="0" w:color="000000"/>
              <w:bottom w:val="single" w:sz="4" w:space="0" w:color="000000"/>
              <w:right w:val="single" w:sz="12" w:space="0" w:color="000000"/>
            </w:tcBorders>
          </w:tcPr>
          <w:p>
            <w:pPr>
              <w:pStyle w:val="TableParagraph"/>
              <w:spacing w:line="244" w:lineRule="auto" w:before="102"/>
              <w:ind w:left="102" w:right="220"/>
              <w:jc w:val="left"/>
              <w:rPr>
                <w:rFonts w:ascii="宋体" w:hAnsi="宋体" w:cs="宋体" w:eastAsia="宋体" w:hint="default"/>
                <w:sz w:val="18"/>
                <w:szCs w:val="18"/>
              </w:rPr>
            </w:pPr>
            <w:r>
              <w:rPr>
                <w:rFonts w:ascii="宋体" w:hAnsi="宋体" w:cs="宋体" w:eastAsia="宋体" w:hint="default"/>
                <w:sz w:val="18"/>
                <w:szCs w:val="18"/>
              </w:rPr>
              <w:t>严格履行 承诺</w:t>
            </w:r>
          </w:p>
        </w:tc>
      </w:tr>
      <w:tr>
        <w:trPr>
          <w:trHeight w:val="73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4" w:lineRule="auto" w:before="107"/>
              <w:ind w:left="92" w:right="243"/>
              <w:jc w:val="left"/>
              <w:rPr>
                <w:rFonts w:ascii="宋体" w:hAnsi="宋体" w:cs="宋体" w:eastAsia="宋体" w:hint="default"/>
                <w:sz w:val="18"/>
                <w:szCs w:val="18"/>
              </w:rPr>
            </w:pPr>
            <w:r>
              <w:rPr>
                <w:rFonts w:ascii="宋体" w:hAnsi="宋体" w:cs="宋体" w:eastAsia="宋体" w:hint="default"/>
                <w:sz w:val="18"/>
                <w:szCs w:val="18"/>
              </w:rPr>
              <w:t>资产重组时所 作承诺</w:t>
            </w: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2"/>
              <w:ind w:left="102" w:right="198"/>
              <w:jc w:val="left"/>
              <w:rPr>
                <w:rFonts w:ascii="宋体" w:hAnsi="宋体" w:cs="宋体" w:eastAsia="宋体" w:hint="default"/>
                <w:sz w:val="18"/>
                <w:szCs w:val="18"/>
              </w:rPr>
            </w:pPr>
            <w:r>
              <w:rPr>
                <w:rFonts w:ascii="宋体" w:hAnsi="宋体" w:cs="宋体" w:eastAsia="宋体" w:hint="default"/>
                <w:sz w:val="18"/>
                <w:szCs w:val="18"/>
              </w:rPr>
              <w:t>智能科技 集团</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2"/>
              <w:ind w:left="103" w:right="208"/>
              <w:jc w:val="left"/>
              <w:rPr>
                <w:rFonts w:ascii="宋体" w:hAnsi="宋体" w:cs="宋体" w:eastAsia="宋体" w:hint="default"/>
                <w:sz w:val="18"/>
                <w:szCs w:val="18"/>
              </w:rPr>
            </w:pPr>
            <w:r>
              <w:rPr>
                <w:rFonts w:ascii="宋体" w:hAnsi="宋体" w:cs="宋体" w:eastAsia="宋体" w:hint="default"/>
                <w:sz w:val="18"/>
                <w:szCs w:val="18"/>
              </w:rPr>
              <w:t>避免同业竞争 的承诺</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85"/>
              <w:jc w:val="both"/>
              <w:rPr>
                <w:rFonts w:ascii="宋体" w:hAnsi="宋体" w:cs="宋体" w:eastAsia="宋体" w:hint="default"/>
                <w:sz w:val="18"/>
                <w:szCs w:val="18"/>
              </w:rPr>
            </w:pPr>
            <w:r>
              <w:rPr>
                <w:rFonts w:ascii="宋体" w:hAnsi="宋体" w:cs="宋体" w:eastAsia="宋体" w:hint="default"/>
                <w:sz w:val="18"/>
                <w:szCs w:val="18"/>
              </w:rPr>
              <w:t>《关于避免与浙江万马 电缆股份有限公司同业 竞争的声明与承诺函》</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102"/>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p>
          <w:p>
            <w:pPr>
              <w:pStyle w:val="TableParagraph"/>
              <w:spacing w:line="245" w:lineRule="exact"/>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065" w:type="dxa"/>
            <w:tcBorders>
              <w:top w:val="single" w:sz="4" w:space="0" w:color="000000"/>
              <w:left w:val="single" w:sz="4" w:space="0" w:color="000000"/>
              <w:bottom w:val="single" w:sz="4" w:space="0" w:color="000000"/>
              <w:right w:val="single" w:sz="12" w:space="0" w:color="000000"/>
            </w:tcBorders>
          </w:tcPr>
          <w:p>
            <w:pPr>
              <w:pStyle w:val="TableParagraph"/>
              <w:spacing w:line="244" w:lineRule="auto" w:before="102"/>
              <w:ind w:left="102" w:right="220"/>
              <w:jc w:val="left"/>
              <w:rPr>
                <w:rFonts w:ascii="宋体" w:hAnsi="宋体" w:cs="宋体" w:eastAsia="宋体" w:hint="default"/>
                <w:sz w:val="18"/>
                <w:szCs w:val="18"/>
              </w:rPr>
            </w:pPr>
            <w:r>
              <w:rPr>
                <w:rFonts w:ascii="宋体" w:hAnsi="宋体" w:cs="宋体" w:eastAsia="宋体" w:hint="default"/>
                <w:sz w:val="18"/>
                <w:szCs w:val="18"/>
              </w:rPr>
              <w:t>严格履行 承诺</w:t>
            </w:r>
          </w:p>
        </w:tc>
      </w:tr>
      <w:tr>
        <w:trPr>
          <w:trHeight w:val="730" w:hRule="exact"/>
        </w:trPr>
        <w:tc>
          <w:tcPr>
            <w:tcW w:w="1437" w:type="dxa"/>
            <w:tcBorders>
              <w:top w:val="nil" w:sz="6" w:space="0" w:color="auto"/>
              <w:left w:val="single" w:sz="12" w:space="0" w:color="000000"/>
              <w:bottom w:val="single" w:sz="4" w:space="0" w:color="000000"/>
              <w:right w:val="single" w:sz="4" w:space="0" w:color="000000"/>
            </w:tcBorders>
            <w:shd w:val="clear" w:color="auto" w:fill="D2D2D2"/>
          </w:tcPr>
          <w:p>
            <w:pP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2" w:right="198"/>
              <w:jc w:val="left"/>
              <w:rPr>
                <w:rFonts w:ascii="宋体" w:hAnsi="宋体" w:cs="宋体" w:eastAsia="宋体" w:hint="default"/>
                <w:sz w:val="18"/>
                <w:szCs w:val="18"/>
              </w:rPr>
            </w:pPr>
            <w:r>
              <w:rPr>
                <w:rFonts w:ascii="宋体" w:hAnsi="宋体" w:cs="宋体" w:eastAsia="宋体" w:hint="default"/>
                <w:sz w:val="18"/>
                <w:szCs w:val="18"/>
              </w:rPr>
              <w:t>智能科技 集团</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3" w:right="208"/>
              <w:jc w:val="left"/>
              <w:rPr>
                <w:rFonts w:ascii="宋体" w:hAnsi="宋体" w:cs="宋体" w:eastAsia="宋体" w:hint="default"/>
                <w:sz w:val="18"/>
                <w:szCs w:val="18"/>
              </w:rPr>
            </w:pPr>
            <w:r>
              <w:rPr>
                <w:rFonts w:ascii="宋体" w:hAnsi="宋体" w:cs="宋体" w:eastAsia="宋体" w:hint="default"/>
                <w:sz w:val="18"/>
                <w:szCs w:val="18"/>
              </w:rPr>
              <w:t>保障上市公司 独立性的承诺</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85"/>
              <w:jc w:val="both"/>
              <w:rPr>
                <w:rFonts w:ascii="宋体" w:hAnsi="宋体" w:cs="宋体" w:eastAsia="宋体" w:hint="default"/>
                <w:sz w:val="18"/>
                <w:szCs w:val="18"/>
              </w:rPr>
            </w:pPr>
            <w:r>
              <w:rPr>
                <w:rFonts w:ascii="宋体" w:hAnsi="宋体" w:cs="宋体" w:eastAsia="宋体" w:hint="default"/>
                <w:sz w:val="18"/>
                <w:szCs w:val="18"/>
              </w:rPr>
              <w:t>《关于保障浙江万马电 缆股份有限公司独立性 的承诺函》</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before="101"/>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p>
          <w:p>
            <w:pPr>
              <w:pStyle w:val="TableParagraph"/>
              <w:spacing w:line="245" w:lineRule="exact"/>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065" w:type="dxa"/>
            <w:tcBorders>
              <w:top w:val="single" w:sz="4" w:space="0" w:color="000000"/>
              <w:left w:val="single" w:sz="4" w:space="0" w:color="000000"/>
              <w:bottom w:val="single" w:sz="4" w:space="0" w:color="000000"/>
              <w:right w:val="single" w:sz="12" w:space="0" w:color="000000"/>
            </w:tcBorders>
          </w:tcPr>
          <w:p>
            <w:pPr>
              <w:pStyle w:val="TableParagraph"/>
              <w:spacing w:line="244" w:lineRule="auto" w:before="101"/>
              <w:ind w:left="102" w:right="220"/>
              <w:jc w:val="left"/>
              <w:rPr>
                <w:rFonts w:ascii="宋体" w:hAnsi="宋体" w:cs="宋体" w:eastAsia="宋体" w:hint="default"/>
                <w:sz w:val="18"/>
                <w:szCs w:val="18"/>
              </w:rPr>
            </w:pPr>
            <w:r>
              <w:rPr>
                <w:rFonts w:ascii="宋体" w:hAnsi="宋体" w:cs="宋体" w:eastAsia="宋体" w:hint="default"/>
                <w:sz w:val="18"/>
                <w:szCs w:val="18"/>
              </w:rPr>
              <w:t>严格履行 承诺</w:t>
            </w:r>
          </w:p>
        </w:tc>
      </w:tr>
      <w:tr>
        <w:trPr>
          <w:trHeight w:val="252" w:hRule="exact"/>
        </w:trPr>
        <w:tc>
          <w:tcPr>
            <w:tcW w:w="1437" w:type="dxa"/>
            <w:tcBorders>
              <w:top w:val="single" w:sz="4" w:space="0" w:color="000000"/>
              <w:left w:val="single" w:sz="12" w:space="0" w:color="000000"/>
              <w:bottom w:val="nil" w:sz="6" w:space="0" w:color="auto"/>
              <w:right w:val="single" w:sz="4" w:space="0" w:color="000000"/>
            </w:tcBorders>
            <w:shd w:val="clear" w:color="auto" w:fill="D2D2D2"/>
          </w:tcPr>
          <w:p>
            <w:pPr/>
          </w:p>
        </w:tc>
        <w:tc>
          <w:tcPr>
            <w:tcW w:w="1033"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2101"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本公司、本人及本公司、</w:t>
            </w:r>
          </w:p>
        </w:tc>
        <w:tc>
          <w:tcPr>
            <w:tcW w:w="1082" w:type="dxa"/>
            <w:tcBorders>
              <w:top w:val="single" w:sz="4" w:space="0" w:color="000000"/>
              <w:left w:val="single" w:sz="4" w:space="0" w:color="000000"/>
              <w:bottom w:val="nil" w:sz="6" w:space="0" w:color="auto"/>
              <w:right w:val="single" w:sz="4" w:space="0" w:color="000000"/>
            </w:tcBorders>
          </w:tcPr>
          <w:p>
            <w:pPr/>
          </w:p>
        </w:tc>
        <w:tc>
          <w:tcPr>
            <w:tcW w:w="1078" w:type="dxa"/>
            <w:tcBorders>
              <w:top w:val="single" w:sz="4" w:space="0" w:color="000000"/>
              <w:left w:val="single" w:sz="4" w:space="0" w:color="000000"/>
              <w:bottom w:val="nil" w:sz="6" w:space="0" w:color="auto"/>
              <w:right w:val="single" w:sz="4" w:space="0" w:color="000000"/>
            </w:tcBorders>
          </w:tcPr>
          <w:p>
            <w:pPr/>
          </w:p>
        </w:tc>
        <w:tc>
          <w:tcPr>
            <w:tcW w:w="1065" w:type="dxa"/>
            <w:tcBorders>
              <w:top w:val="single" w:sz="4" w:space="0" w:color="000000"/>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本人控制的其他企业目</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前没有、将来也不直接</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96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4" w:lineRule="auto" w:before="94"/>
              <w:ind w:left="92" w:right="243"/>
              <w:jc w:val="both"/>
              <w:rPr>
                <w:rFonts w:ascii="宋体" w:hAnsi="宋体" w:cs="宋体" w:eastAsia="宋体" w:hint="default"/>
                <w:sz w:val="18"/>
                <w:szCs w:val="18"/>
              </w:rPr>
            </w:pPr>
            <w:r>
              <w:rPr>
                <w:rFonts w:ascii="宋体" w:hAnsi="宋体" w:cs="宋体" w:eastAsia="宋体" w:hint="default"/>
                <w:sz w:val="18"/>
                <w:szCs w:val="18"/>
              </w:rPr>
              <w:t>首次公开发行 或再融资时所 作承诺</w:t>
            </w:r>
          </w:p>
        </w:tc>
        <w:tc>
          <w:tcPr>
            <w:tcW w:w="1033"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2" w:right="0"/>
              <w:jc w:val="left"/>
              <w:rPr>
                <w:rFonts w:ascii="宋体" w:hAnsi="宋体" w:cs="宋体" w:eastAsia="宋体" w:hint="default"/>
                <w:sz w:val="18"/>
                <w:szCs w:val="18"/>
              </w:rPr>
            </w:pPr>
            <w:r>
              <w:rPr>
                <w:rFonts w:ascii="宋体" w:hAnsi="宋体" w:cs="宋体" w:eastAsia="宋体" w:hint="default"/>
                <w:sz w:val="18"/>
                <w:szCs w:val="18"/>
              </w:rPr>
              <w:t>智能科技</w:t>
            </w:r>
          </w:p>
          <w:p>
            <w:pPr>
              <w:pStyle w:val="TableParagraph"/>
              <w:spacing w:line="244" w:lineRule="auto" w:before="4"/>
              <w:ind w:left="102" w:right="100"/>
              <w:jc w:val="left"/>
              <w:rPr>
                <w:rFonts w:ascii="宋体" w:hAnsi="宋体" w:cs="宋体" w:eastAsia="宋体" w:hint="default"/>
                <w:sz w:val="18"/>
                <w:szCs w:val="18"/>
              </w:rPr>
            </w:pPr>
            <w:r>
              <w:rPr>
                <w:rFonts w:ascii="宋体" w:hAnsi="宋体" w:cs="宋体" w:eastAsia="宋体" w:hint="default"/>
                <w:spacing w:val="-17"/>
                <w:sz w:val="18"/>
                <w:szCs w:val="18"/>
              </w:rPr>
              <w:t>集团、实际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控制人张 德生</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103" w:right="208"/>
              <w:jc w:val="left"/>
              <w:rPr>
                <w:rFonts w:ascii="宋体" w:hAnsi="宋体" w:cs="宋体" w:eastAsia="宋体" w:hint="default"/>
                <w:sz w:val="18"/>
                <w:szCs w:val="18"/>
              </w:rPr>
            </w:pPr>
            <w:r>
              <w:rPr>
                <w:rFonts w:ascii="宋体" w:hAnsi="宋体" w:cs="宋体" w:eastAsia="宋体" w:hint="default"/>
                <w:sz w:val="18"/>
                <w:szCs w:val="18"/>
              </w:rPr>
              <w:t>避免同业竞争 的承诺</w:t>
            </w: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z w:val="18"/>
                <w:szCs w:val="18"/>
              </w:rPr>
              <w:t>或间接从事与万马电缆</w:t>
            </w:r>
          </w:p>
          <w:p>
            <w:pPr>
              <w:pStyle w:val="TableParagraph"/>
              <w:spacing w:line="244" w:lineRule="auto" w:before="4"/>
              <w:ind w:left="103" w:right="185"/>
              <w:jc w:val="both"/>
              <w:rPr>
                <w:rFonts w:ascii="宋体" w:hAnsi="宋体" w:cs="宋体" w:eastAsia="宋体" w:hint="default"/>
                <w:sz w:val="18"/>
                <w:szCs w:val="18"/>
              </w:rPr>
            </w:pPr>
            <w:r>
              <w:rPr>
                <w:rFonts w:ascii="宋体" w:hAnsi="宋体" w:cs="宋体" w:eastAsia="宋体" w:hint="default"/>
                <w:sz w:val="18"/>
                <w:szCs w:val="18"/>
              </w:rPr>
              <w:t>及其控股子公司现有及 将来从事的业务构成同 业竞争的任何活动，并</w:t>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5" w:lineRule="exact"/>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p>
          <w:p>
            <w:pPr>
              <w:pStyle w:val="TableParagraph"/>
              <w:spacing w:line="245" w:lineRule="exact"/>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065" w:type="dxa"/>
            <w:tcBorders>
              <w:top w:val="nil" w:sz="6" w:space="0" w:color="auto"/>
              <w:left w:val="single" w:sz="4" w:space="0" w:color="000000"/>
              <w:bottom w:val="nil" w:sz="6" w:space="0" w:color="auto"/>
              <w:right w:val="single" w:sz="12"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4" w:lineRule="auto"/>
              <w:ind w:left="102" w:right="220"/>
              <w:jc w:val="left"/>
              <w:rPr>
                <w:rFonts w:ascii="宋体" w:hAnsi="宋体" w:cs="宋体" w:eastAsia="宋体" w:hint="default"/>
                <w:sz w:val="18"/>
                <w:szCs w:val="18"/>
              </w:rPr>
            </w:pPr>
            <w:r>
              <w:rPr>
                <w:rFonts w:ascii="宋体" w:hAnsi="宋体" w:cs="宋体" w:eastAsia="宋体" w:hint="default"/>
                <w:sz w:val="18"/>
                <w:szCs w:val="18"/>
              </w:rPr>
              <w:t>严格履行 承诺</w:t>
            </w: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愿意对违反上述承诺而</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给万马电缆造成的经济</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38" w:hRule="exact"/>
        </w:trPr>
        <w:tc>
          <w:tcPr>
            <w:tcW w:w="1437" w:type="dxa"/>
            <w:tcBorders>
              <w:top w:val="nil" w:sz="6" w:space="0" w:color="auto"/>
              <w:left w:val="single" w:sz="12" w:space="0" w:color="000000"/>
              <w:bottom w:val="single" w:sz="4" w:space="0" w:color="000000"/>
              <w:right w:val="single" w:sz="4" w:space="0" w:color="000000"/>
            </w:tcBorders>
            <w:shd w:val="clear" w:color="auto" w:fill="D2D2D2"/>
          </w:tcPr>
          <w:p>
            <w:pPr/>
          </w:p>
        </w:tc>
        <w:tc>
          <w:tcPr>
            <w:tcW w:w="1033"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2101"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损失承担赔偿责任。</w:t>
            </w:r>
          </w:p>
        </w:tc>
        <w:tc>
          <w:tcPr>
            <w:tcW w:w="1082" w:type="dxa"/>
            <w:tcBorders>
              <w:top w:val="nil" w:sz="6" w:space="0" w:color="auto"/>
              <w:left w:val="single" w:sz="4" w:space="0" w:color="000000"/>
              <w:bottom w:val="single" w:sz="4" w:space="0" w:color="000000"/>
              <w:right w:val="single" w:sz="4" w:space="0" w:color="000000"/>
            </w:tcBorders>
          </w:tcPr>
          <w:p>
            <w:pPr/>
          </w:p>
        </w:tc>
        <w:tc>
          <w:tcPr>
            <w:tcW w:w="1078" w:type="dxa"/>
            <w:tcBorders>
              <w:top w:val="nil" w:sz="6" w:space="0" w:color="auto"/>
              <w:left w:val="single" w:sz="4" w:space="0" w:color="000000"/>
              <w:bottom w:val="single" w:sz="4" w:space="0" w:color="000000"/>
              <w:right w:val="single" w:sz="4" w:space="0" w:color="000000"/>
            </w:tcBorders>
          </w:tcPr>
          <w:p>
            <w:pPr/>
          </w:p>
        </w:tc>
        <w:tc>
          <w:tcPr>
            <w:tcW w:w="1065" w:type="dxa"/>
            <w:tcBorders>
              <w:top w:val="nil" w:sz="6" w:space="0" w:color="auto"/>
              <w:left w:val="single" w:sz="4" w:space="0" w:color="000000"/>
              <w:bottom w:val="single" w:sz="4" w:space="0" w:color="000000"/>
              <w:right w:val="single" w:sz="12" w:space="0" w:color="000000"/>
            </w:tcBorders>
          </w:tcPr>
          <w:p>
            <w:pPr/>
          </w:p>
        </w:tc>
      </w:tr>
      <w:tr>
        <w:trPr>
          <w:trHeight w:val="250" w:hRule="exact"/>
        </w:trPr>
        <w:tc>
          <w:tcPr>
            <w:tcW w:w="143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7" w:lineRule="exact"/>
              <w:ind w:left="9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033"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c>
          <w:tcPr>
            <w:tcW w:w="2101"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065" w:type="dxa"/>
            <w:tcBorders>
              <w:top w:val="single" w:sz="4" w:space="0" w:color="000000"/>
              <w:left w:val="single" w:sz="4" w:space="0" w:color="000000"/>
              <w:bottom w:val="single" w:sz="4" w:space="0" w:color="000000"/>
              <w:right w:val="single" w:sz="12" w:space="0" w:color="000000"/>
            </w:tcBorders>
          </w:tcPr>
          <w:p>
            <w:pPr/>
          </w:p>
        </w:tc>
      </w:tr>
      <w:tr>
        <w:trPr>
          <w:trHeight w:val="253" w:hRule="exact"/>
        </w:trPr>
        <w:tc>
          <w:tcPr>
            <w:tcW w:w="1437" w:type="dxa"/>
            <w:tcBorders>
              <w:top w:val="single" w:sz="4" w:space="0" w:color="000000"/>
              <w:left w:val="single" w:sz="12" w:space="0" w:color="000000"/>
              <w:bottom w:val="nil" w:sz="6" w:space="0" w:color="auto"/>
              <w:right w:val="single" w:sz="4" w:space="0" w:color="000000"/>
            </w:tcBorders>
            <w:shd w:val="clear" w:color="auto" w:fill="D2D2D2"/>
          </w:tcPr>
          <w:p>
            <w:pPr/>
          </w:p>
        </w:tc>
        <w:tc>
          <w:tcPr>
            <w:tcW w:w="1033" w:type="dxa"/>
            <w:tcBorders>
              <w:top w:val="single" w:sz="4" w:space="0" w:color="000000"/>
              <w:left w:val="single" w:sz="4" w:space="0" w:color="000000"/>
              <w:bottom w:val="nil" w:sz="6" w:space="0" w:color="auto"/>
              <w:right w:val="single" w:sz="4" w:space="0" w:color="000000"/>
            </w:tcBorders>
          </w:tcPr>
          <w:p>
            <w:pPr/>
          </w:p>
        </w:tc>
        <w:tc>
          <w:tcPr>
            <w:tcW w:w="1404" w:type="dxa"/>
            <w:tcBorders>
              <w:top w:val="single" w:sz="4" w:space="0" w:color="000000"/>
              <w:left w:val="single" w:sz="4" w:space="0" w:color="000000"/>
              <w:bottom w:val="nil" w:sz="6" w:space="0" w:color="auto"/>
              <w:right w:val="single" w:sz="4" w:space="0" w:color="000000"/>
            </w:tcBorders>
          </w:tcPr>
          <w:p>
            <w:pPr/>
          </w:p>
        </w:tc>
        <w:tc>
          <w:tcPr>
            <w:tcW w:w="2101" w:type="dxa"/>
            <w:tcBorders>
              <w:top w:val="single" w:sz="4" w:space="0" w:color="000000"/>
              <w:left w:val="single" w:sz="4" w:space="0" w:color="000000"/>
              <w:bottom w:val="nil" w:sz="6" w:space="0" w:color="auto"/>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原则上公司每年以现金</w:t>
            </w:r>
          </w:p>
        </w:tc>
        <w:tc>
          <w:tcPr>
            <w:tcW w:w="1082" w:type="dxa"/>
            <w:tcBorders>
              <w:top w:val="single" w:sz="4" w:space="0" w:color="000000"/>
              <w:left w:val="single" w:sz="4" w:space="0" w:color="000000"/>
              <w:bottom w:val="nil" w:sz="6" w:space="0" w:color="auto"/>
              <w:right w:val="single" w:sz="4" w:space="0" w:color="000000"/>
            </w:tcBorders>
          </w:tcPr>
          <w:p>
            <w:pPr/>
          </w:p>
        </w:tc>
        <w:tc>
          <w:tcPr>
            <w:tcW w:w="1078" w:type="dxa"/>
            <w:tcBorders>
              <w:top w:val="single" w:sz="4" w:space="0" w:color="000000"/>
              <w:left w:val="single" w:sz="4" w:space="0" w:color="000000"/>
              <w:bottom w:val="nil" w:sz="6" w:space="0" w:color="auto"/>
              <w:right w:val="single" w:sz="4" w:space="0" w:color="000000"/>
            </w:tcBorders>
          </w:tcPr>
          <w:p>
            <w:pPr/>
          </w:p>
        </w:tc>
        <w:tc>
          <w:tcPr>
            <w:tcW w:w="1065" w:type="dxa"/>
            <w:tcBorders>
              <w:top w:val="single" w:sz="4" w:space="0" w:color="000000"/>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方式分配的利润不低于</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当年实现的可供分配利</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44"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24" w:lineRule="exact"/>
              <w:ind w:left="103" w:right="0"/>
              <w:jc w:val="left"/>
              <w:rPr>
                <w:rFonts w:ascii="宋体" w:hAnsi="宋体" w:cs="宋体" w:eastAsia="宋体" w:hint="default"/>
                <w:sz w:val="18"/>
                <w:szCs w:val="18"/>
              </w:rPr>
            </w:pPr>
            <w:r>
              <w:rPr>
                <w:rFonts w:ascii="宋体" w:hAnsi="宋体" w:cs="宋体" w:eastAsia="宋体" w:hint="default"/>
                <w:sz w:val="18"/>
                <w:szCs w:val="18"/>
              </w:rPr>
              <w:t>润的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，并且连续三</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72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06" w:lineRule="exact"/>
              <w:ind w:left="92" w:right="0"/>
              <w:jc w:val="left"/>
              <w:rPr>
                <w:rFonts w:ascii="宋体" w:hAnsi="宋体" w:cs="宋体" w:eastAsia="宋体" w:hint="default"/>
                <w:sz w:val="18"/>
                <w:szCs w:val="18"/>
              </w:rPr>
            </w:pPr>
            <w:r>
              <w:rPr>
                <w:rFonts w:ascii="宋体" w:hAnsi="宋体" w:cs="宋体" w:eastAsia="宋体" w:hint="default"/>
                <w:sz w:val="18"/>
                <w:szCs w:val="18"/>
              </w:rPr>
              <w:t>其他对公司中</w:t>
            </w:r>
          </w:p>
          <w:p>
            <w:pPr>
              <w:pStyle w:val="TableParagraph"/>
              <w:spacing w:line="244" w:lineRule="auto" w:before="4"/>
              <w:ind w:left="92" w:right="243"/>
              <w:jc w:val="left"/>
              <w:rPr>
                <w:rFonts w:ascii="宋体" w:hAnsi="宋体" w:cs="宋体" w:eastAsia="宋体" w:hint="default"/>
                <w:sz w:val="18"/>
                <w:szCs w:val="18"/>
              </w:rPr>
            </w:pPr>
            <w:r>
              <w:rPr>
                <w:rFonts w:ascii="宋体" w:hAnsi="宋体" w:cs="宋体" w:eastAsia="宋体" w:hint="default"/>
                <w:sz w:val="18"/>
                <w:szCs w:val="18"/>
              </w:rPr>
              <w:t>小股东所作承 诺</w:t>
            </w:r>
          </w:p>
        </w:tc>
        <w:tc>
          <w:tcPr>
            <w:tcW w:w="10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98"/>
              <w:jc w:val="right"/>
              <w:rPr>
                <w:rFonts w:ascii="宋体" w:hAnsi="宋体" w:cs="宋体" w:eastAsia="宋体" w:hint="default"/>
                <w:sz w:val="18"/>
                <w:szCs w:val="18"/>
              </w:rPr>
            </w:pPr>
            <w:r>
              <w:rPr>
                <w:rFonts w:ascii="宋体" w:hAnsi="宋体" w:cs="宋体" w:eastAsia="宋体" w:hint="default"/>
                <w:sz w:val="18"/>
                <w:szCs w:val="18"/>
              </w:rPr>
              <w:t>万马股份</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4"/>
              <w:jc w:val="center"/>
              <w:rPr>
                <w:rFonts w:ascii="宋体" w:hAnsi="宋体" w:cs="宋体" w:eastAsia="宋体" w:hint="default"/>
                <w:sz w:val="18"/>
                <w:szCs w:val="18"/>
              </w:rPr>
            </w:pPr>
            <w:r>
              <w:rPr>
                <w:rFonts w:ascii="宋体" w:hAnsi="宋体" w:cs="宋体" w:eastAsia="宋体" w:hint="default"/>
                <w:sz w:val="18"/>
                <w:szCs w:val="18"/>
              </w:rPr>
              <w:t>现金分红规划</w:t>
            </w: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年以现金方式累计分配</w:t>
            </w:r>
          </w:p>
          <w:p>
            <w:pPr>
              <w:pStyle w:val="TableParagraph"/>
              <w:spacing w:line="244" w:lineRule="auto" w:before="4"/>
              <w:ind w:left="103" w:right="185"/>
              <w:jc w:val="left"/>
              <w:rPr>
                <w:rFonts w:ascii="宋体" w:hAnsi="宋体" w:cs="宋体" w:eastAsia="宋体" w:hint="default"/>
                <w:sz w:val="18"/>
                <w:szCs w:val="18"/>
              </w:rPr>
            </w:pPr>
            <w:r>
              <w:rPr>
                <w:rFonts w:ascii="宋体" w:hAnsi="宋体" w:cs="宋体" w:eastAsia="宋体" w:hint="default"/>
                <w:sz w:val="18"/>
                <w:szCs w:val="18"/>
              </w:rPr>
              <w:t>的利润不少于该三年实 现的年均可供分配利润</w:t>
            </w:r>
          </w:p>
        </w:tc>
        <w:tc>
          <w:tcPr>
            <w:tcW w:w="1082" w:type="dxa"/>
            <w:tcBorders>
              <w:top w:val="nil" w:sz="6" w:space="0" w:color="auto"/>
              <w:left w:val="single" w:sz="4" w:space="0" w:color="000000"/>
              <w:bottom w:val="nil" w:sz="6" w:space="0" w:color="auto"/>
              <w:right w:val="single" w:sz="4" w:space="0" w:color="000000"/>
            </w:tcBorders>
          </w:tcPr>
          <w:p>
            <w:pPr>
              <w:pStyle w:val="TableParagraph"/>
              <w:spacing w:line="245" w:lineRule="exact" w:before="90"/>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p>
          <w:p>
            <w:pPr>
              <w:pStyle w:val="TableParagraph"/>
              <w:spacing w:line="245" w:lineRule="exact"/>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04" w:lineRule="exact" w:before="10"/>
              <w:ind w:left="103" w:right="0"/>
              <w:jc w:val="left"/>
              <w:rPr>
                <w:rFonts w:ascii="Times New Roman" w:hAnsi="Times New Roman" w:cs="Times New Roman" w:eastAsia="Times New Roman" w:hint="default"/>
                <w:sz w:val="18"/>
                <w:szCs w:val="18"/>
              </w:rPr>
            </w:pPr>
            <w:r>
              <w:rPr>
                <w:rFonts w:ascii="Times New Roman"/>
                <w:sz w:val="18"/>
              </w:rPr>
              <w:t>2018-1-1</w:t>
            </w:r>
          </w:p>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至</w:t>
            </w:r>
          </w:p>
          <w:p>
            <w:pPr>
              <w:pStyle w:val="TableParagraph"/>
              <w:spacing w:line="240" w:lineRule="auto" w:before="44"/>
              <w:ind w:left="103" w:right="0"/>
              <w:jc w:val="left"/>
              <w:rPr>
                <w:rFonts w:ascii="Times New Roman" w:hAnsi="Times New Roman" w:cs="Times New Roman" w:eastAsia="Times New Roman" w:hint="default"/>
                <w:sz w:val="18"/>
                <w:szCs w:val="18"/>
              </w:rPr>
            </w:pPr>
            <w:r>
              <w:rPr>
                <w:rFonts w:ascii="Times New Roman"/>
                <w:sz w:val="18"/>
              </w:rPr>
              <w:t>2020-12-31</w:t>
            </w:r>
          </w:p>
        </w:tc>
        <w:tc>
          <w:tcPr>
            <w:tcW w:w="1065" w:type="dxa"/>
            <w:tcBorders>
              <w:top w:val="nil" w:sz="6" w:space="0" w:color="auto"/>
              <w:left w:val="single" w:sz="4" w:space="0" w:color="000000"/>
              <w:bottom w:val="nil" w:sz="6" w:space="0" w:color="auto"/>
              <w:right w:val="single" w:sz="12" w:space="0" w:color="000000"/>
            </w:tcBorders>
          </w:tcPr>
          <w:p>
            <w:pPr>
              <w:pStyle w:val="TableParagraph"/>
              <w:spacing w:line="244" w:lineRule="auto" w:before="90"/>
              <w:ind w:left="102" w:right="220"/>
              <w:jc w:val="left"/>
              <w:rPr>
                <w:rFonts w:ascii="宋体" w:hAnsi="宋体" w:cs="宋体" w:eastAsia="宋体" w:hint="default"/>
                <w:sz w:val="18"/>
                <w:szCs w:val="18"/>
              </w:rPr>
            </w:pPr>
            <w:r>
              <w:rPr>
                <w:rFonts w:ascii="宋体" w:hAnsi="宋体" w:cs="宋体" w:eastAsia="宋体" w:hint="default"/>
                <w:sz w:val="18"/>
                <w:szCs w:val="18"/>
              </w:rPr>
              <w:t>严格履行 承诺</w:t>
            </w: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的</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45%</w:t>
            </w:r>
            <w:r>
              <w:rPr>
                <w:rFonts w:ascii="宋体" w:hAnsi="宋体" w:cs="宋体" w:eastAsia="宋体" w:hint="default"/>
                <w:sz w:val="18"/>
                <w:szCs w:val="18"/>
              </w:rPr>
              <w:t>。详见公司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日披露的“未</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
        </w:tc>
        <w:tc>
          <w:tcPr>
            <w:tcW w:w="1033" w:type="dxa"/>
            <w:tcBorders>
              <w:top w:val="nil" w:sz="6" w:space="0" w:color="auto"/>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
        </w:tc>
        <w:tc>
          <w:tcPr>
            <w:tcW w:w="2101"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来三年（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-2020</w:t>
            </w:r>
          </w:p>
        </w:tc>
        <w:tc>
          <w:tcPr>
            <w:tcW w:w="1082"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65" w:type="dxa"/>
            <w:tcBorders>
              <w:top w:val="nil" w:sz="6" w:space="0" w:color="auto"/>
              <w:left w:val="single" w:sz="4" w:space="0" w:color="000000"/>
              <w:bottom w:val="nil" w:sz="6" w:space="0" w:color="auto"/>
              <w:right w:val="single" w:sz="12" w:space="0" w:color="000000"/>
            </w:tcBorders>
          </w:tcPr>
          <w:p>
            <w:pPr/>
          </w:p>
        </w:tc>
      </w:tr>
      <w:tr>
        <w:trPr>
          <w:trHeight w:val="231" w:hRule="exact"/>
        </w:trPr>
        <w:tc>
          <w:tcPr>
            <w:tcW w:w="1437" w:type="dxa"/>
            <w:tcBorders>
              <w:top w:val="nil" w:sz="6" w:space="0" w:color="auto"/>
              <w:left w:val="single" w:sz="12" w:space="0" w:color="000000"/>
              <w:bottom w:val="single" w:sz="4" w:space="0" w:color="000000"/>
              <w:right w:val="single" w:sz="4" w:space="0" w:color="000000"/>
            </w:tcBorders>
            <w:shd w:val="clear" w:color="auto" w:fill="D2D2D2"/>
          </w:tcPr>
          <w:p>
            <w:pPr/>
          </w:p>
        </w:tc>
        <w:tc>
          <w:tcPr>
            <w:tcW w:w="1033" w:type="dxa"/>
            <w:tcBorders>
              <w:top w:val="nil" w:sz="6" w:space="0" w:color="auto"/>
              <w:left w:val="single" w:sz="4" w:space="0" w:color="000000"/>
              <w:bottom w:val="single" w:sz="4" w:space="0" w:color="000000"/>
              <w:right w:val="single" w:sz="4" w:space="0" w:color="000000"/>
            </w:tcBorders>
          </w:tcPr>
          <w:p>
            <w:pPr/>
          </w:p>
        </w:tc>
        <w:tc>
          <w:tcPr>
            <w:tcW w:w="1404" w:type="dxa"/>
            <w:tcBorders>
              <w:top w:val="nil" w:sz="6" w:space="0" w:color="auto"/>
              <w:left w:val="single" w:sz="4" w:space="0" w:color="000000"/>
              <w:bottom w:val="single" w:sz="4" w:space="0" w:color="000000"/>
              <w:right w:val="single" w:sz="4" w:space="0" w:color="000000"/>
            </w:tcBorders>
          </w:tcPr>
          <w:p>
            <w:pPr/>
          </w:p>
        </w:tc>
        <w:tc>
          <w:tcPr>
            <w:tcW w:w="2101"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年）股东回报规划”。</w:t>
            </w:r>
          </w:p>
        </w:tc>
        <w:tc>
          <w:tcPr>
            <w:tcW w:w="1082" w:type="dxa"/>
            <w:tcBorders>
              <w:top w:val="nil" w:sz="6" w:space="0" w:color="auto"/>
              <w:left w:val="single" w:sz="4" w:space="0" w:color="000000"/>
              <w:bottom w:val="single" w:sz="4" w:space="0" w:color="000000"/>
              <w:right w:val="single" w:sz="4" w:space="0" w:color="000000"/>
            </w:tcBorders>
          </w:tcPr>
          <w:p>
            <w:pPr/>
          </w:p>
        </w:tc>
        <w:tc>
          <w:tcPr>
            <w:tcW w:w="1078" w:type="dxa"/>
            <w:tcBorders>
              <w:top w:val="nil" w:sz="6" w:space="0" w:color="auto"/>
              <w:left w:val="single" w:sz="4" w:space="0" w:color="000000"/>
              <w:bottom w:val="single" w:sz="4" w:space="0" w:color="000000"/>
              <w:right w:val="single" w:sz="4" w:space="0" w:color="000000"/>
            </w:tcBorders>
          </w:tcPr>
          <w:p>
            <w:pPr/>
          </w:p>
        </w:tc>
        <w:tc>
          <w:tcPr>
            <w:tcW w:w="1065" w:type="dxa"/>
            <w:tcBorders>
              <w:top w:val="nil" w:sz="6" w:space="0" w:color="auto"/>
              <w:left w:val="single" w:sz="4" w:space="0" w:color="000000"/>
              <w:bottom w:val="single" w:sz="4" w:space="0" w:color="000000"/>
              <w:right w:val="single" w:sz="12" w:space="0" w:color="000000"/>
            </w:tcBorders>
          </w:tcPr>
          <w:p>
            <w:pPr/>
          </w:p>
        </w:tc>
      </w:tr>
    </w:tbl>
    <w:p>
      <w:pPr>
        <w:spacing w:after="0"/>
        <w:sectPr>
          <w:pgSz w:w="11910" w:h="16840"/>
          <w:pgMar w:header="890" w:footer="1053" w:top="1420" w:bottom="1240" w:left="1300" w:right="0"/>
        </w:sectPr>
      </w:pPr>
    </w:p>
    <w:p>
      <w:pPr>
        <w:spacing w:line="240" w:lineRule="auto" w:before="5"/>
        <w:rPr>
          <w:rFonts w:ascii="宋体" w:hAnsi="宋体" w:cs="宋体" w:eastAsia="宋体" w:hint="default"/>
          <w:sz w:val="4"/>
          <w:szCs w:val="4"/>
        </w:rPr>
      </w:pPr>
    </w:p>
    <w:tbl>
      <w:tblPr>
        <w:tblW w:w="0" w:type="auto"/>
        <w:jc w:val="left"/>
        <w:tblInd w:w="111" w:type="dxa"/>
        <w:tblLayout w:type="fixed"/>
        <w:tblCellMar>
          <w:top w:w="0" w:type="dxa"/>
          <w:left w:w="0" w:type="dxa"/>
          <w:bottom w:w="0" w:type="dxa"/>
          <w:right w:w="0" w:type="dxa"/>
        </w:tblCellMar>
        <w:tblLook w:val="01E0"/>
      </w:tblPr>
      <w:tblGrid>
        <w:gridCol w:w="1437"/>
        <w:gridCol w:w="7763"/>
      </w:tblGrid>
      <w:tr>
        <w:trPr>
          <w:trHeight w:val="490" w:hRule="exact"/>
        </w:trPr>
        <w:tc>
          <w:tcPr>
            <w:tcW w:w="143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exact" w:before="1"/>
              <w:ind w:left="92" w:right="243"/>
              <w:jc w:val="left"/>
              <w:rPr>
                <w:rFonts w:ascii="宋体" w:hAnsi="宋体" w:cs="宋体" w:eastAsia="宋体" w:hint="default"/>
                <w:sz w:val="18"/>
                <w:szCs w:val="18"/>
              </w:rPr>
            </w:pPr>
            <w:r>
              <w:rPr>
                <w:rFonts w:ascii="宋体" w:hAnsi="宋体" w:cs="宋体" w:eastAsia="宋体" w:hint="default"/>
                <w:sz w:val="18"/>
                <w:szCs w:val="18"/>
              </w:rPr>
              <w:t>承诺是否按时 履行</w:t>
            </w:r>
          </w:p>
        </w:tc>
        <w:tc>
          <w:tcPr>
            <w:tcW w:w="776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3"/>
              <w:ind w:left="10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53" w:hRule="exact"/>
        </w:trPr>
        <w:tc>
          <w:tcPr>
            <w:tcW w:w="1437" w:type="dxa"/>
            <w:tcBorders>
              <w:top w:val="single" w:sz="4" w:space="0" w:color="000000"/>
              <w:left w:val="single" w:sz="12" w:space="0" w:color="000000"/>
              <w:bottom w:val="nil" w:sz="6" w:space="0" w:color="auto"/>
              <w:right w:val="single" w:sz="4" w:space="0" w:color="000000"/>
            </w:tcBorders>
            <w:shd w:val="clear" w:color="auto" w:fill="D2D2D2"/>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如承诺超期未</w:t>
            </w:r>
          </w:p>
        </w:tc>
        <w:tc>
          <w:tcPr>
            <w:tcW w:w="7763" w:type="dxa"/>
            <w:tcBorders>
              <w:top w:val="single" w:sz="4" w:space="0" w:color="000000"/>
              <w:left w:val="single" w:sz="4" w:space="0" w:color="000000"/>
              <w:bottom w:val="nil" w:sz="6" w:space="0" w:color="auto"/>
              <w:right w:val="single" w:sz="12" w:space="0" w:color="000000"/>
            </w:tcBorders>
          </w:tcPr>
          <w:p>
            <w:pP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10" w:lineRule="exact"/>
              <w:ind w:left="92" w:right="0"/>
              <w:jc w:val="left"/>
              <w:rPr>
                <w:rFonts w:ascii="宋体" w:hAnsi="宋体" w:cs="宋体" w:eastAsia="宋体" w:hint="default"/>
                <w:sz w:val="18"/>
                <w:szCs w:val="18"/>
              </w:rPr>
            </w:pPr>
            <w:r>
              <w:rPr>
                <w:rFonts w:ascii="宋体" w:hAnsi="宋体" w:cs="宋体" w:eastAsia="宋体" w:hint="default"/>
                <w:spacing w:val="-6"/>
                <w:sz w:val="18"/>
                <w:szCs w:val="18"/>
              </w:rPr>
              <w:t>履行完毕的，应</w:t>
            </w:r>
          </w:p>
        </w:tc>
        <w:tc>
          <w:tcPr>
            <w:tcW w:w="7763" w:type="dxa"/>
            <w:tcBorders>
              <w:top w:val="nil" w:sz="6" w:space="0" w:color="auto"/>
              <w:left w:val="single" w:sz="4" w:space="0" w:color="000000"/>
              <w:bottom w:val="nil" w:sz="6" w:space="0" w:color="auto"/>
              <w:right w:val="single" w:sz="12" w:space="0" w:color="000000"/>
            </w:tcBorders>
          </w:tcPr>
          <w:p>
            <w:pPr/>
          </w:p>
        </w:tc>
      </w:tr>
      <w:tr>
        <w:trPr>
          <w:trHeight w:val="48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10" w:lineRule="exact"/>
              <w:ind w:left="92" w:right="0"/>
              <w:jc w:val="left"/>
              <w:rPr>
                <w:rFonts w:ascii="宋体" w:hAnsi="宋体" w:cs="宋体" w:eastAsia="宋体" w:hint="default"/>
                <w:sz w:val="18"/>
                <w:szCs w:val="18"/>
              </w:rPr>
            </w:pPr>
            <w:r>
              <w:rPr>
                <w:rFonts w:ascii="宋体" w:hAnsi="宋体" w:cs="宋体" w:eastAsia="宋体" w:hint="default"/>
                <w:sz w:val="18"/>
                <w:szCs w:val="18"/>
              </w:rPr>
              <w:t>当详细说明未</w:t>
            </w:r>
          </w:p>
          <w:p>
            <w:pPr>
              <w:pStyle w:val="TableParagraph"/>
              <w:spacing w:line="240" w:lineRule="auto" w:before="4"/>
              <w:ind w:left="92" w:right="0"/>
              <w:jc w:val="left"/>
              <w:rPr>
                <w:rFonts w:ascii="宋体" w:hAnsi="宋体" w:cs="宋体" w:eastAsia="宋体" w:hint="default"/>
                <w:sz w:val="18"/>
                <w:szCs w:val="18"/>
              </w:rPr>
            </w:pPr>
            <w:r>
              <w:rPr>
                <w:rFonts w:ascii="宋体" w:hAnsi="宋体" w:cs="宋体" w:eastAsia="宋体" w:hint="default"/>
                <w:sz w:val="18"/>
                <w:szCs w:val="18"/>
              </w:rPr>
              <w:t>完成履行的具</w:t>
            </w:r>
          </w:p>
        </w:tc>
        <w:tc>
          <w:tcPr>
            <w:tcW w:w="7763" w:type="dxa"/>
            <w:tcBorders>
              <w:top w:val="nil" w:sz="6" w:space="0" w:color="auto"/>
              <w:left w:val="single" w:sz="4" w:space="0" w:color="000000"/>
              <w:bottom w:val="nil" w:sz="6" w:space="0" w:color="auto"/>
              <w:right w:val="single" w:sz="12" w:space="0" w:color="000000"/>
            </w:tcBorders>
          </w:tcPr>
          <w:p>
            <w:pPr>
              <w:pStyle w:val="TableParagraph"/>
              <w:spacing w:line="240" w:lineRule="auto" w:before="94"/>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240" w:hRule="exact"/>
        </w:trPr>
        <w:tc>
          <w:tcPr>
            <w:tcW w:w="1437"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10" w:lineRule="exact"/>
              <w:ind w:left="92" w:right="0"/>
              <w:jc w:val="left"/>
              <w:rPr>
                <w:rFonts w:ascii="宋体" w:hAnsi="宋体" w:cs="宋体" w:eastAsia="宋体" w:hint="default"/>
                <w:sz w:val="18"/>
                <w:szCs w:val="18"/>
              </w:rPr>
            </w:pPr>
            <w:r>
              <w:rPr>
                <w:rFonts w:ascii="宋体" w:hAnsi="宋体" w:cs="宋体" w:eastAsia="宋体" w:hint="default"/>
                <w:sz w:val="18"/>
                <w:szCs w:val="18"/>
              </w:rPr>
              <w:t>体原因及下一</w:t>
            </w:r>
          </w:p>
        </w:tc>
        <w:tc>
          <w:tcPr>
            <w:tcW w:w="7763" w:type="dxa"/>
            <w:tcBorders>
              <w:top w:val="nil" w:sz="6" w:space="0" w:color="auto"/>
              <w:left w:val="single" w:sz="4" w:space="0" w:color="000000"/>
              <w:bottom w:val="nil" w:sz="6" w:space="0" w:color="auto"/>
              <w:right w:val="single" w:sz="12" w:space="0" w:color="000000"/>
            </w:tcBorders>
          </w:tcPr>
          <w:p>
            <w:pPr/>
          </w:p>
        </w:tc>
      </w:tr>
      <w:tr>
        <w:trPr>
          <w:trHeight w:val="246" w:hRule="exact"/>
        </w:trPr>
        <w:tc>
          <w:tcPr>
            <w:tcW w:w="1437" w:type="dxa"/>
            <w:tcBorders>
              <w:top w:val="nil" w:sz="6" w:space="0" w:color="auto"/>
              <w:left w:val="single" w:sz="12" w:space="0" w:color="000000"/>
              <w:bottom w:val="single" w:sz="12" w:space="0" w:color="000000"/>
              <w:right w:val="single" w:sz="4" w:space="0" w:color="000000"/>
            </w:tcBorders>
            <w:shd w:val="clear" w:color="auto" w:fill="D2D2D2"/>
          </w:tcPr>
          <w:p>
            <w:pPr>
              <w:pStyle w:val="TableParagraph"/>
              <w:spacing w:line="210" w:lineRule="exact"/>
              <w:ind w:left="92" w:right="0"/>
              <w:jc w:val="left"/>
              <w:rPr>
                <w:rFonts w:ascii="宋体" w:hAnsi="宋体" w:cs="宋体" w:eastAsia="宋体" w:hint="default"/>
                <w:sz w:val="18"/>
                <w:szCs w:val="18"/>
              </w:rPr>
            </w:pPr>
            <w:r>
              <w:rPr>
                <w:rFonts w:ascii="宋体" w:hAnsi="宋体" w:cs="宋体" w:eastAsia="宋体" w:hint="default"/>
                <w:sz w:val="18"/>
                <w:szCs w:val="18"/>
              </w:rPr>
              <w:t>步的工作计划</w:t>
            </w:r>
          </w:p>
        </w:tc>
        <w:tc>
          <w:tcPr>
            <w:tcW w:w="7763" w:type="dxa"/>
            <w:tcBorders>
              <w:top w:val="nil" w:sz="6" w:space="0" w:color="auto"/>
              <w:left w:val="single" w:sz="4" w:space="0" w:color="000000"/>
              <w:bottom w:val="single" w:sz="12" w:space="0" w:color="000000"/>
              <w:right w:val="single" w:sz="12" w:space="0" w:color="000000"/>
            </w:tcBorders>
          </w:tcPr>
          <w:p>
            <w:pPr/>
          </w:p>
        </w:tc>
      </w:tr>
    </w:tbl>
    <w:p>
      <w:pPr>
        <w:spacing w:line="240" w:lineRule="auto" w:before="5"/>
        <w:rPr>
          <w:rFonts w:ascii="宋体" w:hAnsi="宋体" w:cs="宋体" w:eastAsia="宋体" w:hint="default"/>
          <w:sz w:val="19"/>
          <w:szCs w:val="19"/>
        </w:rPr>
      </w:pPr>
    </w:p>
    <w:p>
      <w:pPr>
        <w:spacing w:line="256" w:lineRule="auto" w:before="34"/>
        <w:ind w:left="124" w:right="1473" w:firstLine="0"/>
        <w:jc w:val="left"/>
        <w:rPr>
          <w:rFonts w:ascii="宋体" w:hAnsi="宋体" w:cs="宋体" w:eastAsia="宋体" w:hint="default"/>
          <w:sz w:val="21"/>
          <w:szCs w:val="21"/>
        </w:rPr>
      </w:pPr>
      <w:bookmarkStart w:name="2、公司资产或项目存在盈利预测，且报告期仍处在盈利预测期间，公司就资产或项目达到" w:id="68"/>
      <w:bookmarkEnd w:id="68"/>
      <w:r>
        <w:rPr/>
      </w:r>
      <w:r>
        <w:rPr>
          <w:rFonts w:ascii="Times New Roman" w:hAnsi="Times New Roman" w:cs="Times New Roman" w:eastAsia="Times New Roman" w:hint="default"/>
          <w:b/>
          <w:bCs/>
          <w:spacing w:val="2"/>
          <w:w w:val="95"/>
          <w:sz w:val="21"/>
          <w:szCs w:val="21"/>
        </w:rPr>
        <w:t>2</w:t>
      </w:r>
      <w:r>
        <w:rPr>
          <w:rFonts w:ascii="宋体" w:hAnsi="宋体" w:cs="宋体" w:eastAsia="宋体" w:hint="default"/>
          <w:b/>
          <w:bCs/>
          <w:spacing w:val="2"/>
          <w:w w:val="95"/>
          <w:sz w:val="21"/>
          <w:szCs w:val="21"/>
        </w:rPr>
        <w:t>、公司资产或项目存在盈利预测，且报告期仍处在盈利预测期间，公司就资产或项目达到原盈利</w:t>
      </w:r>
      <w:r>
        <w:rPr>
          <w:rFonts w:ascii="宋体" w:hAnsi="宋体" w:cs="宋体" w:eastAsia="宋体" w:hint="default"/>
          <w:b/>
          <w:bCs/>
          <w:spacing w:val="99"/>
          <w:w w:val="95"/>
          <w:sz w:val="21"/>
          <w:szCs w:val="21"/>
        </w:rPr>
        <w:t> </w:t>
      </w:r>
      <w:r>
        <w:rPr>
          <w:rFonts w:ascii="宋体" w:hAnsi="宋体" w:cs="宋体" w:eastAsia="宋体" w:hint="default"/>
          <w:b/>
          <w:bCs/>
          <w:spacing w:val="99"/>
          <w:w w:val="95"/>
          <w:sz w:val="21"/>
          <w:szCs w:val="21"/>
        </w:rPr>
      </w:r>
      <w:r>
        <w:rPr>
          <w:rFonts w:ascii="宋体" w:hAnsi="宋体" w:cs="宋体" w:eastAsia="宋体" w:hint="default"/>
          <w:b/>
          <w:bCs/>
          <w:sz w:val="21"/>
          <w:szCs w:val="21"/>
        </w:rPr>
        <w:t>预测及其原因做出说明</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left="124" w:right="1473"/>
        <w:jc w:val="left"/>
        <w:rPr>
          <w:b w:val="0"/>
          <w:bCs w:val="0"/>
        </w:rPr>
      </w:pPr>
      <w:bookmarkStart w:name="四、控股股东及其关联方对上市公司的非经营性占用资金情况" w:id="69"/>
      <w:bookmarkEnd w:id="69"/>
      <w:r>
        <w:rPr>
          <w:b w:val="0"/>
          <w:bCs w:val="0"/>
        </w:rPr>
      </w:r>
      <w:r>
        <w:rPr/>
        <w:t>四、控股股东及其关联方对上市公司的非经营性占用资金情况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24" w:right="468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公司报告期不存在控股股东及其关联方对上市公司的非经营性占用资金。</w:t>
      </w:r>
    </w:p>
    <w:p>
      <w:pPr>
        <w:spacing w:line="240" w:lineRule="auto" w:before="4"/>
        <w:rPr>
          <w:rFonts w:ascii="宋体" w:hAnsi="宋体" w:cs="宋体" w:eastAsia="宋体" w:hint="default"/>
          <w:sz w:val="18"/>
          <w:szCs w:val="18"/>
        </w:rPr>
      </w:pPr>
    </w:p>
    <w:p>
      <w:pPr>
        <w:pStyle w:val="Heading2"/>
        <w:spacing w:line="240" w:lineRule="auto"/>
        <w:ind w:left="124" w:right="1473"/>
        <w:jc w:val="left"/>
        <w:rPr>
          <w:b w:val="0"/>
          <w:bCs w:val="0"/>
        </w:rPr>
      </w:pPr>
      <w:bookmarkStart w:name="五、董事会、监事会、独立董事（如有）对会计师事务所本报告期“非标准审计报告”的说" w:id="70"/>
      <w:bookmarkEnd w:id="70"/>
      <w:r>
        <w:rPr>
          <w:b w:val="0"/>
          <w:bCs w:val="0"/>
        </w:rPr>
      </w:r>
      <w:r>
        <w:rPr>
          <w:w w:val="95"/>
        </w:rPr>
        <w:t>五、董事会、监事会、独立董事（如有）对会计师事务所本报告期“非标准审计报告”</w:t>
      </w:r>
      <w:r>
        <w:rPr>
          <w:spacing w:val="83"/>
          <w:w w:val="95"/>
        </w:rPr>
        <w:t> </w:t>
      </w:r>
      <w:r>
        <w:rPr>
          <w:spacing w:val="83"/>
          <w:w w:val="95"/>
        </w:rPr>
      </w:r>
      <w:r>
        <w:rPr/>
        <w:t>的说明</w:t>
      </w:r>
      <w:r>
        <w:rPr>
          <w:b w:val="0"/>
          <w:bCs w:val="0"/>
        </w:rPr>
      </w:r>
    </w:p>
    <w:p>
      <w:pPr>
        <w:spacing w:line="240" w:lineRule="auto" w:before="6"/>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25"/>
          <w:szCs w:val="25"/>
        </w:rPr>
      </w:pPr>
    </w:p>
    <w:p>
      <w:pPr>
        <w:pStyle w:val="Heading2"/>
        <w:spacing w:line="240" w:lineRule="auto"/>
        <w:ind w:left="124" w:right="1473"/>
        <w:jc w:val="left"/>
        <w:rPr>
          <w:b w:val="0"/>
          <w:bCs w:val="0"/>
        </w:rPr>
      </w:pPr>
      <w:bookmarkStart w:name="六、与上年度财务报告相比，会计政策、会计估计和核算方法发生变化的情况说明" w:id="71"/>
      <w:bookmarkEnd w:id="71"/>
      <w:r>
        <w:rPr>
          <w:b w:val="0"/>
          <w:bCs w:val="0"/>
        </w:rPr>
      </w:r>
      <w:r>
        <w:rPr/>
        <w:t>六、与上年度财务报告相比，会计政策、会计估计和核算方法发生变化的情况说明</w:t>
      </w:r>
      <w:r>
        <w:rPr>
          <w:b w:val="0"/>
          <w:bCs w:val="0"/>
        </w:rPr>
      </w:r>
    </w:p>
    <w:p>
      <w:pPr>
        <w:spacing w:line="240" w:lineRule="auto" w:before="6"/>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124" w:right="1473" w:firstLine="0"/>
        <w:jc w:val="left"/>
        <w:rPr>
          <w:rFonts w:ascii="宋体" w:hAnsi="宋体" w:cs="宋体" w:eastAsia="宋体" w:hint="default"/>
          <w:sz w:val="18"/>
          <w:szCs w:val="18"/>
        </w:rPr>
      </w:pPr>
      <w:r>
        <w:rPr>
          <w:rFonts w:ascii="宋体" w:hAnsi="宋体" w:cs="宋体" w:eastAsia="宋体" w:hint="default"/>
          <w:sz w:val="18"/>
          <w:szCs w:val="18"/>
        </w:rPr>
        <w:t>详见：第十二节 财务报告 六、重要会计政策及会计估计</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31.</w:t>
      </w:r>
      <w:r>
        <w:rPr>
          <w:rFonts w:ascii="宋体" w:hAnsi="宋体" w:cs="宋体" w:eastAsia="宋体" w:hint="default"/>
          <w:sz w:val="18"/>
          <w:szCs w:val="18"/>
        </w:rPr>
        <w:t>重要会计政策和会计估计变更。</w:t>
      </w:r>
    </w:p>
    <w:p>
      <w:pPr>
        <w:spacing w:line="240" w:lineRule="auto" w:before="0"/>
        <w:rPr>
          <w:rFonts w:ascii="宋体" w:hAnsi="宋体" w:cs="宋体" w:eastAsia="宋体" w:hint="default"/>
          <w:sz w:val="18"/>
          <w:szCs w:val="18"/>
        </w:rPr>
      </w:pPr>
    </w:p>
    <w:p>
      <w:pPr>
        <w:pStyle w:val="Heading3"/>
        <w:spacing w:line="240" w:lineRule="auto" w:before="129"/>
        <w:ind w:left="124" w:right="1473"/>
        <w:jc w:val="left"/>
      </w:pPr>
      <w:r>
        <w:rPr/>
        <w:t>七、报告期内发生重大会计差错更正需追溯重述的情况说明</w:t>
      </w:r>
    </w:p>
    <w:p>
      <w:pPr>
        <w:spacing w:line="360" w:lineRule="auto" w:before="87"/>
        <w:ind w:left="124" w:right="630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公司报告期无重大会计差错更正需追溯重述的情况。</w:t>
      </w:r>
    </w:p>
    <w:p>
      <w:pPr>
        <w:spacing w:line="240" w:lineRule="auto" w:before="2"/>
        <w:rPr>
          <w:rFonts w:ascii="宋体" w:hAnsi="宋体" w:cs="宋体" w:eastAsia="宋体" w:hint="default"/>
          <w:sz w:val="18"/>
          <w:szCs w:val="18"/>
        </w:rPr>
      </w:pPr>
    </w:p>
    <w:p>
      <w:pPr>
        <w:pStyle w:val="Heading2"/>
        <w:spacing w:line="240" w:lineRule="auto"/>
        <w:ind w:left="124" w:right="1473"/>
        <w:jc w:val="left"/>
        <w:rPr>
          <w:b w:val="0"/>
          <w:bCs w:val="0"/>
        </w:rPr>
      </w:pPr>
      <w:bookmarkStart w:name="八、与上年度财务报告相比，合并报表范围发生变化的情况说明" w:id="72"/>
      <w:bookmarkEnd w:id="72"/>
      <w:r>
        <w:rPr>
          <w:b w:val="0"/>
          <w:bCs w:val="0"/>
        </w:rPr>
      </w:r>
      <w:r>
        <w:rPr/>
        <w:t>八、与上年度财务报告相比，合并报表范围发生变化的情况说明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71" w:lineRule="auto" w:before="101"/>
        <w:ind w:left="124" w:right="1473" w:firstLine="420"/>
        <w:jc w:val="left"/>
        <w:rPr>
          <w:rFonts w:ascii="宋体" w:hAnsi="宋体" w:cs="宋体" w:eastAsia="宋体" w:hint="default"/>
          <w:sz w:val="20"/>
          <w:szCs w:val="20"/>
        </w:rPr>
      </w:pPr>
      <w:r>
        <w:rPr>
          <w:rFonts w:ascii="宋体" w:hAnsi="宋体" w:cs="宋体" w:eastAsia="宋体" w:hint="default"/>
          <w:sz w:val="20"/>
          <w:szCs w:val="20"/>
        </w:rPr>
        <w:t>详见本报告“第四节 经营情况讨论与分析 二、主营业务分析</w:t>
      </w:r>
      <w:r>
        <w:rPr>
          <w:rFonts w:ascii="宋体" w:hAnsi="宋体" w:cs="宋体" w:eastAsia="宋体" w:hint="default"/>
          <w:spacing w:val="-1"/>
          <w:sz w:val="20"/>
          <w:szCs w:val="20"/>
        </w:rPr>
        <w:t> </w:t>
      </w:r>
      <w:r>
        <w:rPr>
          <w:rFonts w:ascii="Times New Roman" w:hAnsi="Times New Roman" w:cs="Times New Roman" w:eastAsia="Times New Roman" w:hint="default"/>
          <w:sz w:val="20"/>
          <w:szCs w:val="20"/>
        </w:rPr>
        <w:t>2.</w:t>
      </w:r>
      <w:r>
        <w:rPr>
          <w:rFonts w:ascii="宋体" w:hAnsi="宋体" w:cs="宋体" w:eastAsia="宋体" w:hint="default"/>
          <w:sz w:val="20"/>
          <w:szCs w:val="20"/>
        </w:rPr>
        <w:t>收入与成本（</w:t>
      </w:r>
      <w:r>
        <w:rPr>
          <w:rFonts w:ascii="Times New Roman" w:hAnsi="Times New Roman" w:cs="Times New Roman" w:eastAsia="Times New Roman" w:hint="default"/>
          <w:sz w:val="20"/>
          <w:szCs w:val="20"/>
        </w:rPr>
        <w:t>6</w:t>
      </w:r>
      <w:r>
        <w:rPr>
          <w:rFonts w:ascii="宋体" w:hAnsi="宋体" w:cs="宋体" w:eastAsia="宋体" w:hint="default"/>
          <w:sz w:val="20"/>
          <w:szCs w:val="20"/>
        </w:rPr>
        <w:t>）报告期内合并范</w:t>
      </w:r>
      <w:r>
        <w:rPr>
          <w:rFonts w:ascii="宋体" w:hAnsi="宋体" w:cs="宋体" w:eastAsia="宋体" w:hint="default"/>
          <w:w w:val="99"/>
          <w:sz w:val="20"/>
          <w:szCs w:val="20"/>
        </w:rPr>
        <w:t> </w:t>
      </w:r>
      <w:r>
        <w:rPr>
          <w:rFonts w:ascii="宋体" w:hAnsi="宋体" w:cs="宋体" w:eastAsia="宋体" w:hint="default"/>
          <w:sz w:val="20"/>
          <w:szCs w:val="20"/>
        </w:rPr>
        <w:t>围是否发生变动”</w:t>
      </w:r>
    </w:p>
    <w:p>
      <w:pPr>
        <w:spacing w:line="240" w:lineRule="auto" w:before="4"/>
        <w:rPr>
          <w:rFonts w:ascii="宋体" w:hAnsi="宋体" w:cs="宋体" w:eastAsia="宋体" w:hint="default"/>
          <w:sz w:val="22"/>
          <w:szCs w:val="22"/>
        </w:rPr>
      </w:pPr>
    </w:p>
    <w:p>
      <w:pPr>
        <w:pStyle w:val="Heading2"/>
        <w:spacing w:line="240" w:lineRule="auto"/>
        <w:ind w:left="124" w:right="1473"/>
        <w:jc w:val="left"/>
        <w:rPr>
          <w:b w:val="0"/>
          <w:bCs w:val="0"/>
        </w:rPr>
      </w:pPr>
      <w:bookmarkStart w:name="九、聘任、解聘会计师事务所情况" w:id="73"/>
      <w:bookmarkEnd w:id="73"/>
      <w:r>
        <w:rPr>
          <w:b w:val="0"/>
          <w:bCs w:val="0"/>
        </w:rPr>
      </w:r>
      <w:r>
        <w:rPr/>
        <w:t>九、聘任、解聘会计师事务所情况</w:t>
      </w:r>
      <w:r>
        <w:rPr>
          <w:b w:val="0"/>
          <w:bCs w:val="0"/>
        </w:rPr>
      </w:r>
    </w:p>
    <w:p>
      <w:pPr>
        <w:spacing w:line="240" w:lineRule="auto" w:before="6"/>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现聘任的会计师事务所</w:t>
      </w:r>
    </w:p>
    <w:p>
      <w:pPr>
        <w:spacing w:line="240" w:lineRule="auto" w:before="2"/>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4921"/>
        <w:gridCol w:w="4647"/>
      </w:tblGrid>
      <w:tr>
        <w:trPr>
          <w:trHeight w:val="332" w:hRule="exact"/>
        </w:trPr>
        <w:tc>
          <w:tcPr>
            <w:tcW w:w="4921"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647"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322" w:hRule="exact"/>
        </w:trPr>
        <w:tc>
          <w:tcPr>
            <w:tcW w:w="4921"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64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pacing w:val="-2"/>
                <w:sz w:val="18"/>
              </w:rPr>
              <w:t>115</w:t>
            </w:r>
          </w:p>
        </w:tc>
      </w:tr>
      <w:tr>
        <w:trPr>
          <w:trHeight w:val="320" w:hRule="exact"/>
        </w:trPr>
        <w:tc>
          <w:tcPr>
            <w:tcW w:w="4921"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64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left="103" w:right="0"/>
              <w:jc w:val="left"/>
              <w:rPr>
                <w:rFonts w:ascii="Times New Roman" w:hAnsi="Times New Roman" w:cs="Times New Roman" w:eastAsia="Times New Roman" w:hint="default"/>
                <w:sz w:val="18"/>
                <w:szCs w:val="18"/>
              </w:rPr>
            </w:pPr>
            <w:r>
              <w:rPr>
                <w:rFonts w:ascii="Times New Roman"/>
                <w:sz w:val="18"/>
              </w:rPr>
              <w:t>14</w:t>
            </w:r>
          </w:p>
        </w:tc>
      </w:tr>
    </w:tbl>
    <w:p>
      <w:pPr>
        <w:spacing w:after="0" w:line="240" w:lineRule="auto"/>
        <w:jc w:val="left"/>
        <w:rPr>
          <w:rFonts w:ascii="Times New Roman" w:hAnsi="Times New Roman" w:cs="Times New Roman" w:eastAsia="Times New Roman" w:hint="default"/>
          <w:sz w:val="18"/>
          <w:szCs w:val="18"/>
        </w:rPr>
        <w:sectPr>
          <w:pgSz w:w="11910" w:h="16840"/>
          <w:pgMar w:header="890" w:footer="1053" w:top="1420" w:bottom="1240" w:left="1320" w:right="0"/>
        </w:sectPr>
      </w:pPr>
    </w:p>
    <w:p>
      <w:pPr>
        <w:spacing w:line="240" w:lineRule="auto" w:before="5"/>
        <w:rPr>
          <w:rFonts w:ascii="宋体" w:hAnsi="宋体" w:cs="宋体" w:eastAsia="宋体" w:hint="default"/>
          <w:sz w:val="4"/>
          <w:szCs w:val="4"/>
        </w:rPr>
      </w:pPr>
    </w:p>
    <w:tbl>
      <w:tblPr>
        <w:tblW w:w="0" w:type="auto"/>
        <w:jc w:val="left"/>
        <w:tblInd w:w="111" w:type="dxa"/>
        <w:tblLayout w:type="fixed"/>
        <w:tblCellMar>
          <w:top w:w="0" w:type="dxa"/>
          <w:left w:w="0" w:type="dxa"/>
          <w:bottom w:w="0" w:type="dxa"/>
          <w:right w:w="0" w:type="dxa"/>
        </w:tblCellMar>
        <w:tblLook w:val="01E0"/>
      </w:tblPr>
      <w:tblGrid>
        <w:gridCol w:w="4921"/>
        <w:gridCol w:w="4647"/>
      </w:tblGrid>
      <w:tr>
        <w:trPr>
          <w:trHeight w:val="322" w:hRule="exact"/>
        </w:trPr>
        <w:tc>
          <w:tcPr>
            <w:tcW w:w="4921"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64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叶胜平、刘向荣</w:t>
            </w:r>
          </w:p>
        </w:tc>
      </w:tr>
      <w:tr>
        <w:trPr>
          <w:trHeight w:val="332" w:hRule="exact"/>
        </w:trPr>
        <w:tc>
          <w:tcPr>
            <w:tcW w:w="4921"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64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bl>
    <w:p>
      <w:pPr>
        <w:spacing w:before="52"/>
        <w:ind w:left="124" w:right="1473" w:firstLine="0"/>
        <w:jc w:val="left"/>
        <w:rPr>
          <w:rFonts w:ascii="宋体" w:hAnsi="宋体" w:cs="宋体" w:eastAsia="宋体" w:hint="default"/>
          <w:sz w:val="18"/>
          <w:szCs w:val="18"/>
        </w:rPr>
      </w:pPr>
      <w:r>
        <w:rPr>
          <w:rFonts w:ascii="宋体" w:hAnsi="宋体" w:cs="宋体" w:eastAsia="宋体" w:hint="default"/>
          <w:sz w:val="18"/>
          <w:szCs w:val="18"/>
        </w:rPr>
        <w:t>当期是否改聘会计师事务所</w:t>
      </w:r>
    </w:p>
    <w:p>
      <w:pPr>
        <w:spacing w:line="357" w:lineRule="auto" w:before="117"/>
        <w:ind w:left="124" w:right="5942" w:firstLine="0"/>
        <w:jc w:val="left"/>
        <w:rPr>
          <w:rFonts w:ascii="宋体" w:hAnsi="宋体" w:cs="宋体" w:eastAsia="宋体" w:hint="default"/>
          <w:sz w:val="18"/>
          <w:szCs w:val="18"/>
        </w:rPr>
      </w:pPr>
      <w:r>
        <w:rPr>
          <w:rFonts w:ascii="宋体" w:hAnsi="宋体" w:cs="宋体" w:eastAsia="宋体" w:hint="default"/>
          <w:sz w:val="18"/>
          <w:szCs w:val="18"/>
        </w:rPr>
        <w:t>□ 是 √ 否 聘请内部控制审计会计师事务所、财务顾问或保荐人情况</w:t>
      </w:r>
    </w:p>
    <w:p>
      <w:pPr>
        <w:spacing w:before="29"/>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left="124" w:right="1473"/>
        <w:jc w:val="left"/>
        <w:rPr>
          <w:b w:val="0"/>
          <w:bCs w:val="0"/>
        </w:rPr>
      </w:pPr>
      <w:bookmarkStart w:name="十、年度报告披露后面临暂停上市和终止上市情况" w:id="74"/>
      <w:bookmarkEnd w:id="74"/>
      <w:r>
        <w:rPr>
          <w:b w:val="0"/>
          <w:bCs w:val="0"/>
        </w:rPr>
      </w:r>
      <w:r>
        <w:rPr/>
        <w:t>十、年度报告披露后面临暂停上市和终止上市情况</w:t>
      </w:r>
      <w:r>
        <w:rPr>
          <w:b w:val="0"/>
          <w:bCs w:val="0"/>
        </w:rPr>
      </w:r>
    </w:p>
    <w:p>
      <w:pPr>
        <w:spacing w:line="240" w:lineRule="auto" w:before="6"/>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25"/>
          <w:szCs w:val="25"/>
        </w:rPr>
      </w:pPr>
    </w:p>
    <w:p>
      <w:pPr>
        <w:pStyle w:val="Heading2"/>
        <w:spacing w:line="240" w:lineRule="auto"/>
        <w:ind w:left="124" w:right="1473"/>
        <w:jc w:val="left"/>
        <w:rPr>
          <w:b w:val="0"/>
          <w:bCs w:val="0"/>
        </w:rPr>
      </w:pPr>
      <w:bookmarkStart w:name="十一、破产重整相关事项" w:id="75"/>
      <w:bookmarkEnd w:id="75"/>
      <w:r>
        <w:rPr>
          <w:b w:val="0"/>
          <w:bCs w:val="0"/>
        </w:rPr>
      </w:r>
      <w:r>
        <w:rPr/>
        <w:t>十一、破产重整相关事项</w:t>
      </w:r>
      <w:r>
        <w:rPr>
          <w:b w:val="0"/>
          <w:bCs w:val="0"/>
        </w:rPr>
      </w:r>
    </w:p>
    <w:p>
      <w:pPr>
        <w:spacing w:line="240" w:lineRule="auto" w:before="6"/>
        <w:rPr>
          <w:rFonts w:ascii="宋体" w:hAnsi="宋体" w:cs="宋体" w:eastAsia="宋体" w:hint="default"/>
          <w:b/>
          <w:bCs/>
          <w:sz w:val="26"/>
          <w:szCs w:val="26"/>
        </w:rPr>
      </w:pPr>
    </w:p>
    <w:p>
      <w:pPr>
        <w:spacing w:line="357" w:lineRule="auto" w:before="0"/>
        <w:ind w:left="124" w:right="738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公司报告期未发生破产重整相关事项。</w:t>
      </w:r>
    </w:p>
    <w:p>
      <w:pPr>
        <w:spacing w:line="240" w:lineRule="auto" w:before="7"/>
        <w:rPr>
          <w:rFonts w:ascii="宋体" w:hAnsi="宋体" w:cs="宋体" w:eastAsia="宋体" w:hint="default"/>
          <w:sz w:val="18"/>
          <w:szCs w:val="18"/>
        </w:rPr>
      </w:pPr>
    </w:p>
    <w:p>
      <w:pPr>
        <w:pStyle w:val="Heading2"/>
        <w:spacing w:line="240" w:lineRule="auto"/>
        <w:ind w:left="124" w:right="1473"/>
        <w:jc w:val="left"/>
        <w:rPr>
          <w:b w:val="0"/>
          <w:bCs w:val="0"/>
        </w:rPr>
      </w:pPr>
      <w:bookmarkStart w:name="十二、重大诉讼、仲裁事项" w:id="76"/>
      <w:bookmarkEnd w:id="76"/>
      <w:r>
        <w:rPr>
          <w:b w:val="0"/>
          <w:bCs w:val="0"/>
        </w:rPr>
      </w:r>
      <w:r>
        <w:rPr/>
        <w:t>十二、重大诉讼、仲裁事项</w:t>
      </w:r>
      <w:r>
        <w:rPr>
          <w:b w:val="0"/>
          <w:bCs w:val="0"/>
        </w:rPr>
      </w:r>
    </w:p>
    <w:p>
      <w:pPr>
        <w:spacing w:line="240" w:lineRule="auto" w:before="6"/>
        <w:rPr>
          <w:rFonts w:ascii="宋体" w:hAnsi="宋体" w:cs="宋体" w:eastAsia="宋体" w:hint="default"/>
          <w:b/>
          <w:bCs/>
          <w:sz w:val="26"/>
          <w:szCs w:val="26"/>
        </w:rPr>
      </w:pPr>
    </w:p>
    <w:p>
      <w:pPr>
        <w:spacing w:line="360" w:lineRule="auto" w:before="0"/>
        <w:ind w:left="124" w:right="7382" w:firstLine="0"/>
        <w:jc w:val="left"/>
        <w:rPr>
          <w:rFonts w:ascii="宋体" w:hAnsi="宋体" w:cs="宋体" w:eastAsia="宋体" w:hint="default"/>
          <w:sz w:val="18"/>
          <w:szCs w:val="18"/>
        </w:rPr>
      </w:pPr>
      <w:r>
        <w:rPr>
          <w:rFonts w:ascii="宋体" w:hAnsi="宋体" w:cs="宋体" w:eastAsia="宋体" w:hint="default"/>
          <w:sz w:val="18"/>
          <w:szCs w:val="18"/>
        </w:rPr>
        <w:t>□ 适用 √ 不适用 本报告期公司无重大诉讼、仲裁事项。</w:t>
      </w:r>
    </w:p>
    <w:p>
      <w:pPr>
        <w:spacing w:line="240" w:lineRule="auto" w:before="2"/>
        <w:rPr>
          <w:rFonts w:ascii="宋体" w:hAnsi="宋体" w:cs="宋体" w:eastAsia="宋体" w:hint="default"/>
          <w:sz w:val="18"/>
          <w:szCs w:val="18"/>
        </w:rPr>
      </w:pPr>
    </w:p>
    <w:p>
      <w:pPr>
        <w:pStyle w:val="Heading2"/>
        <w:spacing w:line="240" w:lineRule="auto"/>
        <w:ind w:left="124" w:right="1473"/>
        <w:jc w:val="left"/>
        <w:rPr>
          <w:b w:val="0"/>
          <w:bCs w:val="0"/>
        </w:rPr>
      </w:pPr>
      <w:bookmarkStart w:name="十三、处罚及整改情况" w:id="77"/>
      <w:bookmarkEnd w:id="77"/>
      <w:r>
        <w:rPr>
          <w:b w:val="0"/>
          <w:bCs w:val="0"/>
        </w:rPr>
      </w:r>
      <w:r>
        <w:rPr/>
        <w:t>十三、处罚及整改情况</w:t>
      </w:r>
      <w:r>
        <w:rPr>
          <w:b w:val="0"/>
          <w:bCs w:val="0"/>
        </w:rPr>
      </w:r>
    </w:p>
    <w:p>
      <w:pPr>
        <w:spacing w:line="240" w:lineRule="auto" w:before="6"/>
        <w:rPr>
          <w:rFonts w:ascii="宋体" w:hAnsi="宋体" w:cs="宋体" w:eastAsia="宋体" w:hint="default"/>
          <w:b/>
          <w:bCs/>
          <w:sz w:val="26"/>
          <w:szCs w:val="26"/>
        </w:rPr>
      </w:pPr>
    </w:p>
    <w:p>
      <w:pPr>
        <w:spacing w:line="360" w:lineRule="auto" w:before="0"/>
        <w:ind w:left="124" w:right="756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公司报告期不存在处罚及整改情况。</w:t>
      </w:r>
    </w:p>
    <w:p>
      <w:pPr>
        <w:spacing w:line="240" w:lineRule="auto" w:before="2"/>
        <w:rPr>
          <w:rFonts w:ascii="宋体" w:hAnsi="宋体" w:cs="宋体" w:eastAsia="宋体" w:hint="default"/>
          <w:sz w:val="18"/>
          <w:szCs w:val="18"/>
        </w:rPr>
      </w:pPr>
    </w:p>
    <w:p>
      <w:pPr>
        <w:pStyle w:val="Heading2"/>
        <w:spacing w:line="240" w:lineRule="auto"/>
        <w:ind w:left="124" w:right="1473"/>
        <w:jc w:val="left"/>
        <w:rPr>
          <w:b w:val="0"/>
          <w:bCs w:val="0"/>
        </w:rPr>
      </w:pPr>
      <w:bookmarkStart w:name="十四、公司及其控股股东、实际控制人的诚信状况" w:id="78"/>
      <w:bookmarkEnd w:id="78"/>
      <w:r>
        <w:rPr>
          <w:b w:val="0"/>
          <w:bCs w:val="0"/>
        </w:rPr>
      </w:r>
      <w:r>
        <w:rPr/>
        <w:t>十四、公司及其控股股东、实际控制人的诚信状况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25"/>
          <w:szCs w:val="25"/>
        </w:rPr>
      </w:pPr>
    </w:p>
    <w:p>
      <w:pPr>
        <w:pStyle w:val="Heading2"/>
        <w:spacing w:line="240" w:lineRule="auto"/>
        <w:ind w:left="124" w:right="1473"/>
        <w:jc w:val="left"/>
        <w:rPr>
          <w:b w:val="0"/>
          <w:bCs w:val="0"/>
        </w:rPr>
      </w:pPr>
      <w:bookmarkStart w:name="十五、公司股权激励计划、员工持股计划或其他员工激励措施的实施情况" w:id="79"/>
      <w:bookmarkEnd w:id="79"/>
      <w:r>
        <w:rPr>
          <w:b w:val="0"/>
          <w:bCs w:val="0"/>
        </w:rPr>
      </w:r>
      <w:r>
        <w:rPr/>
        <w:t>十五、公司股权激励计划、员工持股计划或其他员工激励措施的实施情况</w:t>
      </w:r>
      <w:r>
        <w:rPr>
          <w:b w:val="0"/>
          <w:bCs w:val="0"/>
        </w:rPr>
      </w:r>
    </w:p>
    <w:p>
      <w:pPr>
        <w:spacing w:line="240" w:lineRule="auto" w:before="6"/>
        <w:rPr>
          <w:rFonts w:ascii="宋体" w:hAnsi="宋体" w:cs="宋体" w:eastAsia="宋体" w:hint="default"/>
          <w:b/>
          <w:bCs/>
          <w:sz w:val="26"/>
          <w:szCs w:val="26"/>
        </w:rPr>
      </w:pPr>
    </w:p>
    <w:p>
      <w:pPr>
        <w:spacing w:line="360" w:lineRule="auto" w:before="0"/>
        <w:ind w:left="124" w:right="414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公司报告期无股权激励计划、员工持股计划或其他员工激励措施及其实施情况。</w:t>
      </w:r>
    </w:p>
    <w:p>
      <w:pPr>
        <w:spacing w:line="240" w:lineRule="auto" w:before="2"/>
        <w:rPr>
          <w:rFonts w:ascii="宋体" w:hAnsi="宋体" w:cs="宋体" w:eastAsia="宋体" w:hint="default"/>
          <w:sz w:val="18"/>
          <w:szCs w:val="18"/>
        </w:rPr>
      </w:pPr>
    </w:p>
    <w:p>
      <w:pPr>
        <w:pStyle w:val="Heading2"/>
        <w:spacing w:line="240" w:lineRule="auto"/>
        <w:ind w:left="124" w:right="1473"/>
        <w:jc w:val="left"/>
        <w:rPr>
          <w:b w:val="0"/>
          <w:bCs w:val="0"/>
        </w:rPr>
      </w:pPr>
      <w:bookmarkStart w:name="十六、重大关联交易" w:id="80"/>
      <w:bookmarkEnd w:id="80"/>
      <w:r>
        <w:rPr>
          <w:b w:val="0"/>
          <w:bCs w:val="0"/>
        </w:rPr>
      </w:r>
      <w:r>
        <w:rPr/>
        <w:t>十六、重大关联交易</w:t>
      </w:r>
      <w:r>
        <w:rPr>
          <w:b w:val="0"/>
          <w:bCs w:val="0"/>
        </w:rPr>
      </w:r>
    </w:p>
    <w:p>
      <w:pPr>
        <w:spacing w:line="240" w:lineRule="auto" w:before="9"/>
        <w:rPr>
          <w:rFonts w:ascii="宋体" w:hAnsi="宋体" w:cs="宋体" w:eastAsia="宋体" w:hint="default"/>
          <w:b/>
          <w:bCs/>
          <w:sz w:val="24"/>
          <w:szCs w:val="24"/>
        </w:rPr>
      </w:pPr>
    </w:p>
    <w:p>
      <w:pPr>
        <w:spacing w:before="0"/>
        <w:ind w:left="124" w:right="1473" w:firstLine="0"/>
        <w:jc w:val="left"/>
        <w:rPr>
          <w:rFonts w:ascii="宋体" w:hAnsi="宋体" w:cs="宋体" w:eastAsia="宋体" w:hint="default"/>
          <w:sz w:val="21"/>
          <w:szCs w:val="21"/>
        </w:rPr>
      </w:pPr>
      <w:bookmarkStart w:name="1、与日常经营相关的关联交易" w:id="81"/>
      <w:bookmarkEnd w:id="81"/>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、与日常经营相关的关联交易</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57" w:lineRule="auto" w:before="0"/>
        <w:ind w:left="124" w:right="666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公司报告期未发生与日常经营相关的关联交易。</w:t>
      </w:r>
    </w:p>
    <w:p>
      <w:pPr>
        <w:spacing w:after="0" w:line="357" w:lineRule="auto"/>
        <w:jc w:val="left"/>
        <w:rPr>
          <w:rFonts w:ascii="宋体" w:hAnsi="宋体" w:cs="宋体" w:eastAsia="宋体" w:hint="default"/>
          <w:sz w:val="18"/>
          <w:szCs w:val="18"/>
        </w:rPr>
        <w:sectPr>
          <w:pgSz w:w="11910" w:h="16840"/>
          <w:pgMar w:header="890" w:footer="1053" w:top="1420" w:bottom="1240" w:left="1320" w:right="0"/>
        </w:sectPr>
      </w:pPr>
    </w:p>
    <w:p>
      <w:pPr>
        <w:spacing w:before="43"/>
        <w:ind w:left="124" w:right="1473" w:firstLine="0"/>
        <w:jc w:val="left"/>
        <w:rPr>
          <w:rFonts w:ascii="宋体" w:hAnsi="宋体" w:cs="宋体" w:eastAsia="宋体" w:hint="default"/>
          <w:sz w:val="21"/>
          <w:szCs w:val="21"/>
        </w:rPr>
      </w:pPr>
      <w:bookmarkStart w:name="2、资产或股权收购、出售发生的关联交易" w:id="82"/>
      <w:bookmarkEnd w:id="82"/>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、资产或股权收购、出售发生的关联交易</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60" w:lineRule="auto" w:before="0"/>
        <w:ind w:left="124" w:right="612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公司报告期未发生资产或股权收购、出售的关联交易。</w:t>
      </w:r>
    </w:p>
    <w:p>
      <w:pPr>
        <w:spacing w:line="240" w:lineRule="auto" w:before="12"/>
        <w:rPr>
          <w:rFonts w:ascii="宋体" w:hAnsi="宋体" w:cs="宋体" w:eastAsia="宋体" w:hint="default"/>
          <w:sz w:val="19"/>
          <w:szCs w:val="19"/>
        </w:rPr>
      </w:pPr>
    </w:p>
    <w:p>
      <w:pPr>
        <w:spacing w:before="0"/>
        <w:ind w:left="124" w:right="1473" w:firstLine="0"/>
        <w:jc w:val="left"/>
        <w:rPr>
          <w:rFonts w:ascii="宋体" w:hAnsi="宋体" w:cs="宋体" w:eastAsia="宋体" w:hint="default"/>
          <w:sz w:val="21"/>
          <w:szCs w:val="21"/>
        </w:rPr>
      </w:pPr>
      <w:bookmarkStart w:name="3、共同对外投资的关联交易" w:id="83"/>
      <w:bookmarkEnd w:id="83"/>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、共同对外投资的关联交易</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2"/>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1076"/>
        <w:gridCol w:w="1073"/>
        <w:gridCol w:w="919"/>
        <w:gridCol w:w="1542"/>
        <w:gridCol w:w="1008"/>
        <w:gridCol w:w="1261"/>
        <w:gridCol w:w="1347"/>
        <w:gridCol w:w="1342"/>
      </w:tblGrid>
      <w:tr>
        <w:trPr>
          <w:trHeight w:val="956" w:hRule="exact"/>
        </w:trPr>
        <w:tc>
          <w:tcPr>
            <w:tcW w:w="1076"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433" w:right="170" w:hanging="269"/>
              <w:jc w:val="left"/>
              <w:rPr>
                <w:rFonts w:ascii="宋体" w:hAnsi="宋体" w:cs="宋体" w:eastAsia="宋体" w:hint="default"/>
                <w:sz w:val="18"/>
                <w:szCs w:val="18"/>
              </w:rPr>
            </w:pPr>
            <w:r>
              <w:rPr>
                <w:rFonts w:ascii="宋体" w:hAnsi="宋体" w:cs="宋体" w:eastAsia="宋体" w:hint="default"/>
                <w:sz w:val="18"/>
                <w:szCs w:val="18"/>
              </w:rPr>
              <w:t>共同投资 方</w:t>
            </w:r>
          </w:p>
        </w:tc>
        <w:tc>
          <w:tcPr>
            <w:tcW w:w="107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91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185" w:right="182"/>
              <w:jc w:val="both"/>
              <w:rPr>
                <w:rFonts w:ascii="宋体" w:hAnsi="宋体" w:cs="宋体" w:eastAsia="宋体" w:hint="default"/>
                <w:sz w:val="18"/>
                <w:szCs w:val="18"/>
              </w:rPr>
            </w:pPr>
            <w:r>
              <w:rPr>
                <w:rFonts w:ascii="宋体" w:hAnsi="宋体" w:cs="宋体" w:eastAsia="宋体" w:hint="default"/>
                <w:sz w:val="18"/>
                <w:szCs w:val="18"/>
              </w:rPr>
              <w:t>被投资 企业的 名称</w:t>
            </w:r>
          </w:p>
        </w:tc>
        <w:tc>
          <w:tcPr>
            <w:tcW w:w="154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497" w:right="133" w:hanging="360"/>
              <w:jc w:val="left"/>
              <w:rPr>
                <w:rFonts w:ascii="宋体" w:hAnsi="宋体" w:cs="宋体" w:eastAsia="宋体" w:hint="default"/>
                <w:sz w:val="18"/>
                <w:szCs w:val="18"/>
              </w:rPr>
            </w:pPr>
            <w:r>
              <w:rPr>
                <w:rFonts w:ascii="宋体" w:hAnsi="宋体" w:cs="宋体" w:eastAsia="宋体" w:hint="default"/>
                <w:sz w:val="18"/>
                <w:szCs w:val="18"/>
              </w:rPr>
              <w:t>被投资企业的主 营业务</w:t>
            </w:r>
          </w:p>
        </w:tc>
        <w:tc>
          <w:tcPr>
            <w:tcW w:w="100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138" w:right="138"/>
              <w:jc w:val="center"/>
              <w:rPr>
                <w:rFonts w:ascii="宋体" w:hAnsi="宋体" w:cs="宋体" w:eastAsia="宋体" w:hint="default"/>
                <w:sz w:val="18"/>
                <w:szCs w:val="18"/>
              </w:rPr>
            </w:pPr>
            <w:r>
              <w:rPr>
                <w:rFonts w:ascii="宋体" w:hAnsi="宋体" w:cs="宋体" w:eastAsia="宋体" w:hint="default"/>
                <w:sz w:val="18"/>
                <w:szCs w:val="18"/>
              </w:rPr>
              <w:t>被投资企 业的注册 资本</w:t>
            </w:r>
          </w:p>
        </w:tc>
        <w:tc>
          <w:tcPr>
            <w:tcW w:w="1261"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102" w:right="100" w:hanging="3"/>
              <w:jc w:val="center"/>
              <w:rPr>
                <w:rFonts w:ascii="宋体" w:hAnsi="宋体" w:cs="宋体" w:eastAsia="宋体" w:hint="default"/>
                <w:sz w:val="18"/>
                <w:szCs w:val="18"/>
              </w:rPr>
            </w:pPr>
            <w:r>
              <w:rPr>
                <w:rFonts w:ascii="宋体" w:hAnsi="宋体" w:cs="宋体" w:eastAsia="宋体" w:hint="default"/>
                <w:sz w:val="18"/>
                <w:szCs w:val="18"/>
              </w:rPr>
              <w:t>被投资企业 </w:t>
            </w:r>
            <w:r>
              <w:rPr>
                <w:rFonts w:ascii="宋体" w:hAnsi="宋体" w:cs="宋体" w:eastAsia="宋体" w:hint="default"/>
                <w:spacing w:val="-6"/>
                <w:sz w:val="18"/>
                <w:szCs w:val="18"/>
              </w:rPr>
              <w:t>的总资产（万</w:t>
            </w:r>
            <w:r>
              <w:rPr>
                <w:rFonts w:ascii="宋体" w:hAnsi="宋体" w:cs="宋体" w:eastAsia="宋体" w:hint="default"/>
                <w:sz w:val="18"/>
                <w:szCs w:val="18"/>
              </w:rPr>
              <w:t> 元）</w:t>
            </w:r>
          </w:p>
        </w:tc>
        <w:tc>
          <w:tcPr>
            <w:tcW w:w="134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12" w:firstLine="24"/>
              <w:jc w:val="left"/>
              <w:rPr>
                <w:rFonts w:ascii="宋体" w:hAnsi="宋体" w:cs="宋体" w:eastAsia="宋体" w:hint="default"/>
                <w:sz w:val="18"/>
                <w:szCs w:val="18"/>
              </w:rPr>
            </w:pPr>
            <w:r>
              <w:rPr>
                <w:rFonts w:ascii="宋体" w:hAnsi="宋体" w:cs="宋体" w:eastAsia="宋体" w:hint="default"/>
                <w:sz w:val="18"/>
                <w:szCs w:val="18"/>
              </w:rPr>
              <w:t>被投资企业的 </w:t>
            </w:r>
            <w:r>
              <w:rPr>
                <w:rFonts w:ascii="宋体" w:hAnsi="宋体" w:cs="宋体" w:eastAsia="宋体" w:hint="default"/>
                <w:spacing w:val="-6"/>
                <w:sz w:val="18"/>
                <w:szCs w:val="18"/>
              </w:rPr>
              <w:t>净资产（万元）</w:t>
            </w:r>
          </w:p>
        </w:tc>
        <w:tc>
          <w:tcPr>
            <w:tcW w:w="1342"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0" w:firstLine="24"/>
              <w:jc w:val="left"/>
              <w:rPr>
                <w:rFonts w:ascii="宋体" w:hAnsi="宋体" w:cs="宋体" w:eastAsia="宋体" w:hint="default"/>
                <w:sz w:val="18"/>
                <w:szCs w:val="18"/>
              </w:rPr>
            </w:pPr>
            <w:r>
              <w:rPr>
                <w:rFonts w:ascii="宋体" w:hAnsi="宋体" w:cs="宋体" w:eastAsia="宋体" w:hint="default"/>
                <w:sz w:val="18"/>
                <w:szCs w:val="18"/>
              </w:rPr>
              <w:t>被投资企业的 </w:t>
            </w:r>
            <w:r>
              <w:rPr>
                <w:rFonts w:ascii="宋体" w:hAnsi="宋体" w:cs="宋体" w:eastAsia="宋体" w:hint="default"/>
                <w:spacing w:val="-7"/>
                <w:sz w:val="18"/>
                <w:szCs w:val="18"/>
              </w:rPr>
              <w:t>净利润（万元）</w:t>
            </w:r>
          </w:p>
        </w:tc>
      </w:tr>
      <w:tr>
        <w:trPr>
          <w:trHeight w:val="2194" w:hRule="exact"/>
        </w:trPr>
        <w:tc>
          <w:tcPr>
            <w:tcW w:w="107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16" w:lineRule="auto"/>
              <w:ind w:left="92" w:right="242"/>
              <w:jc w:val="both"/>
              <w:rPr>
                <w:rFonts w:ascii="宋体" w:hAnsi="宋体" w:cs="宋体" w:eastAsia="宋体" w:hint="default"/>
                <w:sz w:val="18"/>
                <w:szCs w:val="18"/>
              </w:rPr>
            </w:pPr>
            <w:r>
              <w:rPr>
                <w:rFonts w:ascii="宋体" w:hAnsi="宋体" w:cs="宋体" w:eastAsia="宋体" w:hint="default"/>
                <w:sz w:val="18"/>
                <w:szCs w:val="18"/>
              </w:rPr>
              <w:t>浙江万马 智能科技 集团有限 公司</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控股股东</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03" w:right="264"/>
              <w:jc w:val="both"/>
              <w:rPr>
                <w:rFonts w:ascii="宋体" w:hAnsi="宋体" w:cs="宋体" w:eastAsia="宋体" w:hint="default"/>
                <w:sz w:val="18"/>
                <w:szCs w:val="18"/>
              </w:rPr>
            </w:pPr>
            <w:r>
              <w:rPr>
                <w:rFonts w:ascii="宋体" w:hAnsi="宋体" w:cs="宋体" w:eastAsia="宋体" w:hint="default"/>
                <w:sz w:val="18"/>
                <w:szCs w:val="18"/>
              </w:rPr>
              <w:t>山东万 恩新能 源科技 有限公 司</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
              <w:ind w:left="103" w:right="10"/>
              <w:jc w:val="left"/>
              <w:rPr>
                <w:rFonts w:ascii="宋体" w:hAnsi="宋体" w:cs="宋体" w:eastAsia="宋体" w:hint="default"/>
                <w:sz w:val="18"/>
                <w:szCs w:val="18"/>
              </w:rPr>
            </w:pPr>
            <w:r>
              <w:rPr>
                <w:rFonts w:ascii="宋体" w:hAnsi="宋体" w:cs="宋体" w:eastAsia="宋体" w:hint="default"/>
                <w:sz w:val="18"/>
                <w:szCs w:val="18"/>
              </w:rPr>
              <w:t>设备及设施的设 </w:t>
            </w:r>
            <w:r>
              <w:rPr>
                <w:rFonts w:ascii="宋体" w:hAnsi="宋体" w:cs="宋体" w:eastAsia="宋体" w:hint="default"/>
                <w:spacing w:val="-3"/>
                <w:sz w:val="18"/>
                <w:szCs w:val="18"/>
              </w:rPr>
              <w:t>计、研发、销售；</w:t>
            </w:r>
            <w:r>
              <w:rPr>
                <w:rFonts w:ascii="宋体" w:hAnsi="宋体" w:cs="宋体" w:eastAsia="宋体" w:hint="default"/>
                <w:sz w:val="18"/>
                <w:szCs w:val="18"/>
              </w:rPr>
              <w:t> 电动车充电设 备及设施项目的 建设与运营；销 售汽车、汽车配 件等</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2" w:right="0"/>
              <w:jc w:val="left"/>
              <w:rPr>
                <w:rFonts w:ascii="Times New Roman" w:hAnsi="Times New Roman" w:cs="Times New Roman" w:eastAsia="Times New Roman" w:hint="default"/>
                <w:sz w:val="18"/>
                <w:szCs w:val="18"/>
              </w:rPr>
            </w:pPr>
            <w:r>
              <w:rPr>
                <w:rFonts w:ascii="Times New Roman"/>
                <w:sz w:val="18"/>
              </w:rPr>
              <w:t>5,500.00</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3,673.18</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3,602.79</w:t>
            </w:r>
          </w:p>
        </w:tc>
        <w:tc>
          <w:tcPr>
            <w:tcW w:w="134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88"/>
              <w:jc w:val="right"/>
              <w:rPr>
                <w:rFonts w:ascii="Times New Roman" w:hAnsi="Times New Roman" w:cs="Times New Roman" w:eastAsia="Times New Roman" w:hint="default"/>
                <w:sz w:val="18"/>
                <w:szCs w:val="18"/>
              </w:rPr>
            </w:pPr>
            <w:r>
              <w:rPr>
                <w:rFonts w:ascii="Times New Roman"/>
                <w:sz w:val="18"/>
              </w:rPr>
              <w:t>-69.17</w:t>
            </w:r>
          </w:p>
        </w:tc>
      </w:tr>
      <w:tr>
        <w:trPr>
          <w:trHeight w:val="1258" w:hRule="exact"/>
        </w:trPr>
        <w:tc>
          <w:tcPr>
            <w:tcW w:w="1076"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9"/>
              <w:ind w:left="92" w:right="242"/>
              <w:jc w:val="both"/>
              <w:rPr>
                <w:rFonts w:ascii="宋体" w:hAnsi="宋体" w:cs="宋体" w:eastAsia="宋体" w:hint="default"/>
                <w:sz w:val="18"/>
                <w:szCs w:val="18"/>
              </w:rPr>
            </w:pPr>
            <w:r>
              <w:rPr>
                <w:rFonts w:ascii="宋体" w:hAnsi="宋体" w:cs="宋体" w:eastAsia="宋体" w:hint="default"/>
                <w:sz w:val="18"/>
                <w:szCs w:val="18"/>
              </w:rPr>
              <w:t>浙江万马 智能科技 集团有限 公司</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控股股东</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
              <w:ind w:left="103" w:right="264"/>
              <w:jc w:val="both"/>
              <w:rPr>
                <w:rFonts w:ascii="宋体" w:hAnsi="宋体" w:cs="宋体" w:eastAsia="宋体" w:hint="default"/>
                <w:sz w:val="18"/>
                <w:szCs w:val="18"/>
              </w:rPr>
            </w:pPr>
            <w:r>
              <w:rPr>
                <w:rFonts w:ascii="宋体" w:hAnsi="宋体" w:cs="宋体" w:eastAsia="宋体" w:hint="default"/>
                <w:sz w:val="18"/>
                <w:szCs w:val="18"/>
              </w:rPr>
              <w:t>浙江万 马新能 源有限 公司</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03" w:right="166"/>
              <w:jc w:val="left"/>
              <w:rPr>
                <w:rFonts w:ascii="宋体" w:hAnsi="宋体" w:cs="宋体" w:eastAsia="宋体" w:hint="default"/>
                <w:sz w:val="18"/>
                <w:szCs w:val="18"/>
              </w:rPr>
            </w:pPr>
            <w:r>
              <w:rPr>
                <w:rFonts w:ascii="宋体" w:hAnsi="宋体" w:cs="宋体" w:eastAsia="宋体" w:hint="default"/>
                <w:sz w:val="18"/>
                <w:szCs w:val="18"/>
              </w:rPr>
              <w:t>生产销售汽车充 电设备</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2"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12,176.81</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5,763.98</w:t>
            </w:r>
          </w:p>
        </w:tc>
        <w:tc>
          <w:tcPr>
            <w:tcW w:w="134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1,974.85</w:t>
            </w:r>
          </w:p>
        </w:tc>
      </w:tr>
      <w:tr>
        <w:trPr>
          <w:trHeight w:val="644" w:hRule="exact"/>
        </w:trPr>
        <w:tc>
          <w:tcPr>
            <w:tcW w:w="2149" w:type="dxa"/>
            <w:gridSpan w:val="2"/>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316" w:lineRule="auto" w:before="11"/>
              <w:ind w:left="92" w:right="55"/>
              <w:jc w:val="left"/>
              <w:rPr>
                <w:rFonts w:ascii="宋体" w:hAnsi="宋体" w:cs="宋体" w:eastAsia="宋体" w:hint="default"/>
                <w:sz w:val="18"/>
                <w:szCs w:val="18"/>
              </w:rPr>
            </w:pPr>
            <w:r>
              <w:rPr>
                <w:rFonts w:ascii="宋体" w:hAnsi="宋体" w:cs="宋体" w:eastAsia="宋体" w:hint="default"/>
                <w:sz w:val="18"/>
                <w:szCs w:val="18"/>
              </w:rPr>
              <w:t>被投资企业的重大在建 项目的进展情况（如有）</w:t>
            </w:r>
          </w:p>
        </w:tc>
        <w:tc>
          <w:tcPr>
            <w:tcW w:w="7419" w:type="dxa"/>
            <w:gridSpan w:val="6"/>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5"/>
        <w:rPr>
          <w:rFonts w:ascii="宋体" w:hAnsi="宋体" w:cs="宋体" w:eastAsia="宋体" w:hint="default"/>
          <w:sz w:val="19"/>
          <w:szCs w:val="19"/>
        </w:rPr>
      </w:pPr>
    </w:p>
    <w:p>
      <w:pPr>
        <w:spacing w:before="34"/>
        <w:ind w:left="124" w:right="1473" w:firstLine="0"/>
        <w:jc w:val="left"/>
        <w:rPr>
          <w:rFonts w:ascii="宋体" w:hAnsi="宋体" w:cs="宋体" w:eastAsia="宋体" w:hint="default"/>
          <w:sz w:val="21"/>
          <w:szCs w:val="21"/>
        </w:rPr>
      </w:pPr>
      <w:bookmarkStart w:name="4、关联债权债务往来" w:id="84"/>
      <w:bookmarkEnd w:id="84"/>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、关联债权债务往来</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line="357" w:lineRule="auto" w:before="0"/>
        <w:ind w:left="124" w:right="738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公司报告期不存在关联债权债务往来。</w:t>
      </w:r>
    </w:p>
    <w:p>
      <w:pPr>
        <w:spacing w:line="240" w:lineRule="auto" w:before="3"/>
        <w:rPr>
          <w:rFonts w:ascii="宋体" w:hAnsi="宋体" w:cs="宋体" w:eastAsia="宋体" w:hint="default"/>
          <w:sz w:val="20"/>
          <w:szCs w:val="20"/>
        </w:rPr>
      </w:pPr>
    </w:p>
    <w:p>
      <w:pPr>
        <w:spacing w:before="0"/>
        <w:ind w:left="124" w:right="1473" w:firstLine="0"/>
        <w:jc w:val="left"/>
        <w:rPr>
          <w:rFonts w:ascii="宋体" w:hAnsi="宋体" w:cs="宋体" w:eastAsia="宋体" w:hint="default"/>
          <w:sz w:val="21"/>
          <w:szCs w:val="21"/>
        </w:rPr>
      </w:pPr>
      <w:bookmarkStart w:name="5、其他重大关联交易" w:id="85"/>
      <w:bookmarkEnd w:id="85"/>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、其他重大关联交易</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line="360" w:lineRule="auto" w:before="0"/>
        <w:ind w:left="124" w:right="774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公司报告期无其他重大关联交易。</w:t>
      </w:r>
    </w:p>
    <w:p>
      <w:pPr>
        <w:spacing w:line="240" w:lineRule="auto" w:before="2"/>
        <w:rPr>
          <w:rFonts w:ascii="宋体" w:hAnsi="宋体" w:cs="宋体" w:eastAsia="宋体" w:hint="default"/>
          <w:sz w:val="18"/>
          <w:szCs w:val="18"/>
        </w:rPr>
      </w:pPr>
    </w:p>
    <w:p>
      <w:pPr>
        <w:pStyle w:val="Heading2"/>
        <w:spacing w:line="240" w:lineRule="auto"/>
        <w:ind w:left="124" w:right="1473"/>
        <w:jc w:val="left"/>
        <w:rPr>
          <w:b w:val="0"/>
          <w:bCs w:val="0"/>
        </w:rPr>
      </w:pPr>
      <w:bookmarkStart w:name="十七、重大合同及其履行情况" w:id="86"/>
      <w:bookmarkEnd w:id="86"/>
      <w:r>
        <w:rPr>
          <w:b w:val="0"/>
          <w:bCs w:val="0"/>
        </w:rPr>
      </w:r>
      <w:r>
        <w:rPr/>
        <w:t>十七、重大合同及其履行情况</w:t>
      </w:r>
      <w:r>
        <w:rPr>
          <w:b w:val="0"/>
          <w:bCs w:val="0"/>
        </w:rPr>
      </w:r>
    </w:p>
    <w:p>
      <w:pPr>
        <w:spacing w:line="240" w:lineRule="auto" w:before="9"/>
        <w:rPr>
          <w:rFonts w:ascii="宋体" w:hAnsi="宋体" w:cs="宋体" w:eastAsia="宋体" w:hint="default"/>
          <w:b/>
          <w:bCs/>
          <w:sz w:val="24"/>
          <w:szCs w:val="24"/>
        </w:rPr>
      </w:pPr>
    </w:p>
    <w:p>
      <w:pPr>
        <w:spacing w:before="0"/>
        <w:ind w:left="124" w:right="1473" w:firstLine="0"/>
        <w:jc w:val="left"/>
        <w:rPr>
          <w:rFonts w:ascii="宋体" w:hAnsi="宋体" w:cs="宋体" w:eastAsia="宋体" w:hint="default"/>
          <w:sz w:val="21"/>
          <w:szCs w:val="21"/>
        </w:rPr>
      </w:pPr>
      <w:bookmarkStart w:name="1、托管、承包、租赁事项情况" w:id="87"/>
      <w:bookmarkEnd w:id="87"/>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、托管、承包、租赁事项情况</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24" w:right="1473" w:firstLine="0"/>
        <w:jc w:val="left"/>
        <w:rPr>
          <w:rFonts w:ascii="宋体" w:hAnsi="宋体" w:cs="宋体" w:eastAsia="宋体" w:hint="default"/>
          <w:sz w:val="21"/>
          <w:szCs w:val="21"/>
        </w:rPr>
      </w:pPr>
      <w:bookmarkStart w:name="（1）托管情况" w:id="88"/>
      <w:bookmarkEnd w:id="8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line="360" w:lineRule="auto" w:before="0"/>
        <w:ind w:left="124" w:right="810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公司报告期不存在托管情况。</w:t>
      </w:r>
    </w:p>
    <w:p>
      <w:pPr>
        <w:spacing w:after="0" w:line="360" w:lineRule="auto"/>
        <w:jc w:val="left"/>
        <w:rPr>
          <w:rFonts w:ascii="宋体" w:hAnsi="宋体" w:cs="宋体" w:eastAsia="宋体" w:hint="default"/>
          <w:sz w:val="18"/>
          <w:szCs w:val="18"/>
        </w:rPr>
        <w:sectPr>
          <w:footerReference w:type="default" r:id="rId27"/>
          <w:pgSz w:w="11910" w:h="16840"/>
          <w:pgMar w:footer="1053" w:header="890" w:top="1420" w:bottom="1240" w:left="1320" w:right="0"/>
          <w:pgNumType w:start="40"/>
        </w:sectPr>
      </w:pPr>
    </w:p>
    <w:p>
      <w:pPr>
        <w:spacing w:before="43"/>
        <w:ind w:left="124" w:right="1473" w:firstLine="0"/>
        <w:jc w:val="left"/>
        <w:rPr>
          <w:rFonts w:ascii="宋体" w:hAnsi="宋体" w:cs="宋体" w:eastAsia="宋体" w:hint="default"/>
          <w:sz w:val="21"/>
          <w:szCs w:val="21"/>
        </w:rPr>
      </w:pPr>
      <w:bookmarkStart w:name="（2）承包情况" w:id="89"/>
      <w:bookmarkEnd w:id="8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）承包情况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60" w:lineRule="auto" w:before="0"/>
        <w:ind w:left="124" w:right="810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公司报告期不存在承包情况。</w:t>
      </w:r>
    </w:p>
    <w:p>
      <w:pPr>
        <w:spacing w:line="240" w:lineRule="auto" w:before="12"/>
        <w:rPr>
          <w:rFonts w:ascii="宋体" w:hAnsi="宋体" w:cs="宋体" w:eastAsia="宋体" w:hint="default"/>
          <w:sz w:val="19"/>
          <w:szCs w:val="19"/>
        </w:rPr>
      </w:pPr>
    </w:p>
    <w:p>
      <w:pPr>
        <w:spacing w:before="0"/>
        <w:ind w:left="124" w:right="1473" w:firstLine="0"/>
        <w:jc w:val="left"/>
        <w:rPr>
          <w:rFonts w:ascii="宋体" w:hAnsi="宋体" w:cs="宋体" w:eastAsia="宋体" w:hint="default"/>
          <w:sz w:val="21"/>
          <w:szCs w:val="21"/>
        </w:rPr>
      </w:pPr>
      <w:bookmarkStart w:name="（3）租赁情况" w:id="90"/>
      <w:bookmarkEnd w:id="9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）租赁情况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line="360" w:lineRule="auto" w:before="0"/>
        <w:ind w:left="124" w:right="810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公司报告期不存在租赁情况。</w:t>
      </w:r>
    </w:p>
    <w:p>
      <w:pPr>
        <w:spacing w:line="240" w:lineRule="auto" w:before="12"/>
        <w:rPr>
          <w:rFonts w:ascii="宋体" w:hAnsi="宋体" w:cs="宋体" w:eastAsia="宋体" w:hint="default"/>
          <w:sz w:val="19"/>
          <w:szCs w:val="19"/>
        </w:rPr>
      </w:pPr>
    </w:p>
    <w:p>
      <w:pPr>
        <w:spacing w:before="0"/>
        <w:ind w:left="124" w:right="1473" w:firstLine="0"/>
        <w:jc w:val="left"/>
        <w:rPr>
          <w:rFonts w:ascii="宋体" w:hAnsi="宋体" w:cs="宋体" w:eastAsia="宋体" w:hint="default"/>
          <w:sz w:val="21"/>
          <w:szCs w:val="21"/>
        </w:rPr>
      </w:pPr>
      <w:bookmarkStart w:name="2、重大担保" w:id="91"/>
      <w:bookmarkEnd w:id="9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、重大担保</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24" w:right="1473" w:firstLine="0"/>
        <w:jc w:val="left"/>
        <w:rPr>
          <w:rFonts w:ascii="宋体" w:hAnsi="宋体" w:cs="宋体" w:eastAsia="宋体" w:hint="default"/>
          <w:sz w:val="21"/>
          <w:szCs w:val="21"/>
        </w:rPr>
      </w:pPr>
      <w:bookmarkStart w:name="（1）担保情况" w:id="92"/>
      <w:bookmarkEnd w:id="9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）担保情况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0" w:right="147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1709"/>
        <w:gridCol w:w="926"/>
        <w:gridCol w:w="921"/>
        <w:gridCol w:w="1294"/>
        <w:gridCol w:w="1063"/>
        <w:gridCol w:w="1035"/>
        <w:gridCol w:w="1052"/>
        <w:gridCol w:w="789"/>
        <w:gridCol w:w="779"/>
      </w:tblGrid>
      <w:tr>
        <w:trPr>
          <w:trHeight w:val="332" w:hRule="exact"/>
        </w:trPr>
        <w:tc>
          <w:tcPr>
            <w:tcW w:w="9568" w:type="dxa"/>
            <w:gridSpan w:val="9"/>
            <w:tcBorders>
              <w:top w:val="single" w:sz="12"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35"/>
              <w:ind w:left="2895" w:right="0"/>
              <w:jc w:val="left"/>
              <w:rPr>
                <w:rFonts w:ascii="宋体" w:hAnsi="宋体" w:cs="宋体" w:eastAsia="宋体" w:hint="default"/>
                <w:sz w:val="15"/>
                <w:szCs w:val="15"/>
              </w:rPr>
            </w:pPr>
            <w:r>
              <w:rPr>
                <w:rFonts w:ascii="宋体" w:hAnsi="宋体" w:cs="宋体" w:eastAsia="宋体" w:hint="default"/>
                <w:sz w:val="15"/>
                <w:szCs w:val="15"/>
              </w:rPr>
              <w:t>公司及其子公司对外担保情况（不包括对子公司的担保）</w:t>
            </w:r>
          </w:p>
        </w:tc>
      </w:tr>
      <w:tr>
        <w:trPr>
          <w:trHeight w:val="946" w:hRule="exact"/>
        </w:trPr>
        <w:tc>
          <w:tcPr>
            <w:tcW w:w="1709"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90" w:right="0"/>
              <w:jc w:val="left"/>
              <w:rPr>
                <w:rFonts w:ascii="宋体" w:hAnsi="宋体" w:cs="宋体" w:eastAsia="宋体" w:hint="default"/>
                <w:sz w:val="15"/>
                <w:szCs w:val="15"/>
              </w:rPr>
            </w:pPr>
            <w:r>
              <w:rPr>
                <w:rFonts w:ascii="宋体" w:hAnsi="宋体" w:cs="宋体" w:eastAsia="宋体" w:hint="default"/>
                <w:sz w:val="15"/>
                <w:szCs w:val="15"/>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81" w:lineRule="auto" w:before="33"/>
              <w:ind w:left="159" w:right="157"/>
              <w:jc w:val="both"/>
              <w:rPr>
                <w:rFonts w:ascii="宋体" w:hAnsi="宋体" w:cs="宋体" w:eastAsia="宋体" w:hint="default"/>
                <w:sz w:val="15"/>
                <w:szCs w:val="15"/>
              </w:rPr>
            </w:pPr>
            <w:r>
              <w:rPr>
                <w:rFonts w:ascii="宋体" w:hAnsi="宋体" w:cs="宋体" w:eastAsia="宋体" w:hint="default"/>
                <w:sz w:val="15"/>
                <w:szCs w:val="15"/>
              </w:rPr>
              <w:t>担保额度</w:t>
            </w:r>
            <w:r>
              <w:rPr>
                <w:rFonts w:ascii="宋体" w:hAnsi="宋体" w:cs="宋体" w:eastAsia="宋体" w:hint="default"/>
                <w:w w:val="99"/>
                <w:sz w:val="15"/>
                <w:szCs w:val="15"/>
              </w:rPr>
              <w:t> </w:t>
            </w:r>
            <w:r>
              <w:rPr>
                <w:rFonts w:ascii="宋体" w:hAnsi="宋体" w:cs="宋体" w:eastAsia="宋体" w:hint="default"/>
                <w:sz w:val="15"/>
                <w:szCs w:val="15"/>
              </w:rPr>
              <w:t>相关公告</w:t>
            </w:r>
            <w:r>
              <w:rPr>
                <w:rFonts w:ascii="宋体" w:hAnsi="宋体" w:cs="宋体" w:eastAsia="宋体" w:hint="default"/>
                <w:w w:val="99"/>
                <w:sz w:val="15"/>
                <w:szCs w:val="15"/>
              </w:rPr>
              <w:t> </w:t>
            </w:r>
            <w:r>
              <w:rPr>
                <w:rFonts w:ascii="宋体" w:hAnsi="宋体" w:cs="宋体" w:eastAsia="宋体" w:hint="default"/>
                <w:sz w:val="15"/>
                <w:szCs w:val="15"/>
              </w:rPr>
              <w:t>披露日期</w:t>
            </w:r>
          </w:p>
        </w:tc>
        <w:tc>
          <w:tcPr>
            <w:tcW w:w="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59" w:right="0"/>
              <w:jc w:val="left"/>
              <w:rPr>
                <w:rFonts w:ascii="宋体" w:hAnsi="宋体" w:cs="宋体" w:eastAsia="宋体" w:hint="default"/>
                <w:sz w:val="15"/>
                <w:szCs w:val="15"/>
              </w:rPr>
            </w:pPr>
            <w:r>
              <w:rPr>
                <w:rFonts w:ascii="宋体" w:hAnsi="宋体" w:cs="宋体" w:eastAsia="宋体" w:hint="default"/>
                <w:sz w:val="15"/>
                <w:szCs w:val="15"/>
              </w:rPr>
              <w:t>担保额度</w:t>
            </w:r>
          </w:p>
        </w:tc>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90"/>
              <w:jc w:val="right"/>
              <w:rPr>
                <w:rFonts w:ascii="宋体" w:hAnsi="宋体" w:cs="宋体" w:eastAsia="宋体" w:hint="default"/>
                <w:sz w:val="15"/>
                <w:szCs w:val="15"/>
              </w:rPr>
            </w:pPr>
            <w:r>
              <w:rPr>
                <w:rFonts w:ascii="宋体" w:hAnsi="宋体" w:cs="宋体" w:eastAsia="宋体" w:hint="default"/>
                <w:w w:val="95"/>
                <w:sz w:val="15"/>
                <w:szCs w:val="15"/>
              </w:rPr>
              <w:t>实际发生日期</w:t>
            </w:r>
            <w:r>
              <w:rPr>
                <w:rFonts w:ascii="宋体" w:hAnsi="宋体" w:cs="宋体" w:eastAsia="宋体" w:hint="default"/>
                <w:sz w:val="15"/>
                <w:szCs w:val="15"/>
              </w:rPr>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450" w:right="152" w:hanging="300"/>
              <w:jc w:val="left"/>
              <w:rPr>
                <w:rFonts w:ascii="宋体" w:hAnsi="宋体" w:cs="宋体" w:eastAsia="宋体" w:hint="default"/>
                <w:sz w:val="15"/>
                <w:szCs w:val="15"/>
              </w:rPr>
            </w:pPr>
            <w:r>
              <w:rPr>
                <w:rFonts w:ascii="宋体" w:hAnsi="宋体" w:cs="宋体" w:eastAsia="宋体" w:hint="default"/>
                <w:sz w:val="15"/>
                <w:szCs w:val="15"/>
              </w:rPr>
              <w:t>实际担保金</w:t>
            </w:r>
            <w:r>
              <w:rPr>
                <w:rFonts w:ascii="宋体" w:hAnsi="宋体" w:cs="宋体" w:eastAsia="宋体" w:hint="default"/>
                <w:w w:val="99"/>
                <w:sz w:val="15"/>
                <w:szCs w:val="15"/>
              </w:rPr>
              <w:t> </w:t>
            </w:r>
            <w:r>
              <w:rPr>
                <w:rFonts w:ascii="宋体" w:hAnsi="宋体" w:cs="宋体" w:eastAsia="宋体" w:hint="default"/>
                <w:sz w:val="15"/>
                <w:szCs w:val="15"/>
              </w:rPr>
              <w:t>额</w:t>
            </w:r>
          </w:p>
        </w:tc>
        <w:tc>
          <w:tcPr>
            <w:tcW w:w="10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212"/>
              <w:jc w:val="right"/>
              <w:rPr>
                <w:rFonts w:ascii="宋体" w:hAnsi="宋体" w:cs="宋体" w:eastAsia="宋体" w:hint="default"/>
                <w:sz w:val="15"/>
                <w:szCs w:val="15"/>
              </w:rPr>
            </w:pPr>
            <w:r>
              <w:rPr>
                <w:rFonts w:ascii="宋体" w:hAnsi="宋体" w:cs="宋体" w:eastAsia="宋体" w:hint="default"/>
                <w:w w:val="95"/>
                <w:sz w:val="15"/>
                <w:szCs w:val="15"/>
              </w:rPr>
              <w:t>担保类型</w:t>
            </w:r>
            <w:r>
              <w:rPr>
                <w:rFonts w:ascii="宋体" w:hAnsi="宋体" w:cs="宋体" w:eastAsia="宋体" w:hint="default"/>
                <w:sz w:val="15"/>
                <w:szCs w:val="15"/>
              </w:rPr>
            </w:r>
          </w:p>
        </w:tc>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295"/>
              <w:jc w:val="right"/>
              <w:rPr>
                <w:rFonts w:ascii="宋体" w:hAnsi="宋体" w:cs="宋体" w:eastAsia="宋体" w:hint="default"/>
                <w:sz w:val="15"/>
                <w:szCs w:val="15"/>
              </w:rPr>
            </w:pPr>
            <w:r>
              <w:rPr>
                <w:rFonts w:ascii="宋体" w:hAnsi="宋体" w:cs="宋体" w:eastAsia="宋体" w:hint="default"/>
                <w:w w:val="95"/>
                <w:sz w:val="15"/>
                <w:szCs w:val="15"/>
              </w:rPr>
              <w:t>担保期</w:t>
            </w:r>
            <w:r>
              <w:rPr>
                <w:rFonts w:ascii="宋体" w:hAnsi="宋体" w:cs="宋体" w:eastAsia="宋体" w:hint="default"/>
                <w:sz w:val="15"/>
                <w:szCs w:val="15"/>
              </w:rPr>
            </w:r>
          </w:p>
        </w:tc>
        <w:tc>
          <w:tcPr>
            <w:tcW w:w="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163" w:right="164"/>
              <w:jc w:val="left"/>
              <w:rPr>
                <w:rFonts w:ascii="宋体" w:hAnsi="宋体" w:cs="宋体" w:eastAsia="宋体" w:hint="default"/>
                <w:sz w:val="15"/>
                <w:szCs w:val="15"/>
              </w:rPr>
            </w:pPr>
            <w:r>
              <w:rPr>
                <w:rFonts w:ascii="宋体" w:hAnsi="宋体" w:cs="宋体" w:eastAsia="宋体" w:hint="default"/>
                <w:sz w:val="15"/>
                <w:szCs w:val="15"/>
              </w:rPr>
              <w:t>是否履</w:t>
            </w:r>
            <w:r>
              <w:rPr>
                <w:rFonts w:ascii="宋体" w:hAnsi="宋体" w:cs="宋体" w:eastAsia="宋体" w:hint="default"/>
                <w:w w:val="99"/>
                <w:sz w:val="15"/>
                <w:szCs w:val="15"/>
              </w:rPr>
              <w:t> </w:t>
            </w:r>
            <w:r>
              <w:rPr>
                <w:rFonts w:ascii="宋体" w:hAnsi="宋体" w:cs="宋体" w:eastAsia="宋体" w:hint="default"/>
                <w:sz w:val="15"/>
                <w:szCs w:val="15"/>
              </w:rPr>
              <w:t>行完毕</w:t>
            </w:r>
          </w:p>
        </w:tc>
        <w:tc>
          <w:tcPr>
            <w:tcW w:w="779"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381" w:lineRule="auto" w:before="33"/>
              <w:ind w:left="159" w:right="149"/>
              <w:jc w:val="both"/>
              <w:rPr>
                <w:rFonts w:ascii="宋体" w:hAnsi="宋体" w:cs="宋体" w:eastAsia="宋体" w:hint="default"/>
                <w:sz w:val="15"/>
                <w:szCs w:val="15"/>
              </w:rPr>
            </w:pPr>
            <w:r>
              <w:rPr>
                <w:rFonts w:ascii="宋体" w:hAnsi="宋体" w:cs="宋体" w:eastAsia="宋体" w:hint="default"/>
                <w:sz w:val="15"/>
                <w:szCs w:val="15"/>
              </w:rPr>
              <w:t>是否为</w:t>
            </w:r>
            <w:r>
              <w:rPr>
                <w:rFonts w:ascii="宋体" w:hAnsi="宋体" w:cs="宋体" w:eastAsia="宋体" w:hint="default"/>
                <w:w w:val="99"/>
                <w:sz w:val="15"/>
                <w:szCs w:val="15"/>
              </w:rPr>
              <w:t> </w:t>
            </w:r>
            <w:r>
              <w:rPr>
                <w:rFonts w:ascii="宋体" w:hAnsi="宋体" w:cs="宋体" w:eastAsia="宋体" w:hint="default"/>
                <w:sz w:val="15"/>
                <w:szCs w:val="15"/>
              </w:rPr>
              <w:t>关联方</w:t>
            </w:r>
            <w:r>
              <w:rPr>
                <w:rFonts w:ascii="宋体" w:hAnsi="宋体" w:cs="宋体" w:eastAsia="宋体" w:hint="default"/>
                <w:w w:val="99"/>
                <w:sz w:val="15"/>
                <w:szCs w:val="15"/>
              </w:rPr>
              <w:t> </w:t>
            </w:r>
            <w:r>
              <w:rPr>
                <w:rFonts w:ascii="宋体" w:hAnsi="宋体" w:cs="宋体" w:eastAsia="宋体" w:hint="default"/>
                <w:sz w:val="15"/>
                <w:szCs w:val="15"/>
              </w:rPr>
              <w:t>担保</w:t>
            </w:r>
          </w:p>
        </w:tc>
      </w:tr>
      <w:tr>
        <w:trPr>
          <w:trHeight w:val="322" w:hRule="exact"/>
        </w:trPr>
        <w:tc>
          <w:tcPr>
            <w:tcW w:w="3557"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报告期内审批的对外担保额度合计（</w:t>
            </w:r>
            <w:r>
              <w:rPr>
                <w:rFonts w:ascii="Times New Roman" w:hAnsi="Times New Roman" w:cs="Times New Roman" w:eastAsia="Times New Roman" w:hint="default"/>
                <w:sz w:val="15"/>
                <w:szCs w:val="15"/>
              </w:rPr>
              <w:t>A1</w:t>
            </w:r>
            <w:r>
              <w:rPr>
                <w:rFonts w:ascii="宋体" w:hAnsi="宋体" w:cs="宋体" w:eastAsia="宋体" w:hint="default"/>
                <w:sz w:val="15"/>
                <w:szCs w:val="15"/>
              </w:rPr>
              <w:t>）</w:t>
            </w:r>
          </w:p>
        </w:tc>
        <w:tc>
          <w:tcPr>
            <w:tcW w:w="1294" w:type="dxa"/>
            <w:tcBorders>
              <w:top w:val="single" w:sz="4" w:space="0" w:color="000000"/>
              <w:left w:val="single" w:sz="4" w:space="0" w:color="000000"/>
              <w:bottom w:val="single" w:sz="4" w:space="0" w:color="000000"/>
              <w:right w:val="single" w:sz="4" w:space="0" w:color="000000"/>
            </w:tcBorders>
          </w:tcPr>
          <w:p>
            <w:pP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报告期内对外担保实际发生额合计（</w:t>
            </w:r>
            <w:r>
              <w:rPr>
                <w:rFonts w:ascii="Times New Roman" w:hAnsi="Times New Roman" w:cs="Times New Roman" w:eastAsia="Times New Roman" w:hint="default"/>
                <w:sz w:val="15"/>
                <w:szCs w:val="15"/>
              </w:rPr>
              <w:t>A2</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3557"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5"/>
              <w:ind w:left="92" w:right="0"/>
              <w:jc w:val="left"/>
              <w:rPr>
                <w:rFonts w:ascii="宋体" w:hAnsi="宋体" w:cs="宋体" w:eastAsia="宋体" w:hint="default"/>
                <w:sz w:val="15"/>
                <w:szCs w:val="15"/>
              </w:rPr>
            </w:pPr>
            <w:r>
              <w:rPr>
                <w:rFonts w:ascii="宋体" w:hAnsi="宋体" w:cs="宋体" w:eastAsia="宋体" w:hint="default"/>
                <w:sz w:val="15"/>
                <w:szCs w:val="15"/>
              </w:rPr>
              <w:t>报告期末已审批的对外担保额度合计（</w:t>
            </w:r>
            <w:r>
              <w:rPr>
                <w:rFonts w:ascii="Times New Roman" w:hAnsi="Times New Roman" w:cs="Times New Roman" w:eastAsia="Times New Roman" w:hint="default"/>
                <w:sz w:val="15"/>
                <w:szCs w:val="15"/>
              </w:rPr>
              <w:t>A3</w:t>
            </w:r>
            <w:r>
              <w:rPr>
                <w:rFonts w:ascii="宋体" w:hAnsi="宋体" w:cs="宋体" w:eastAsia="宋体" w:hint="default"/>
                <w:sz w:val="15"/>
                <w:szCs w:val="15"/>
              </w:rPr>
              <w:t>）</w:t>
            </w:r>
          </w:p>
        </w:tc>
        <w:tc>
          <w:tcPr>
            <w:tcW w:w="1294" w:type="dxa"/>
            <w:tcBorders>
              <w:top w:val="single" w:sz="4" w:space="0" w:color="000000"/>
              <w:left w:val="single" w:sz="4" w:space="0" w:color="000000"/>
              <w:bottom w:val="single" w:sz="4" w:space="0" w:color="000000"/>
              <w:right w:val="single" w:sz="4" w:space="0" w:color="000000"/>
            </w:tcBorders>
          </w:tcPr>
          <w:p>
            <w:pP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5"/>
              <w:ind w:left="102" w:right="0"/>
              <w:jc w:val="left"/>
              <w:rPr>
                <w:rFonts w:ascii="宋体" w:hAnsi="宋体" w:cs="宋体" w:eastAsia="宋体" w:hint="default"/>
                <w:sz w:val="15"/>
                <w:szCs w:val="15"/>
              </w:rPr>
            </w:pPr>
            <w:r>
              <w:rPr>
                <w:rFonts w:ascii="宋体" w:hAnsi="宋体" w:cs="宋体" w:eastAsia="宋体" w:hint="default"/>
                <w:sz w:val="15"/>
                <w:szCs w:val="15"/>
              </w:rPr>
              <w:t>报告期末实际对外担保余额合计（</w:t>
            </w:r>
            <w:r>
              <w:rPr>
                <w:rFonts w:ascii="Times New Roman" w:hAnsi="Times New Roman" w:cs="Times New Roman" w:eastAsia="Times New Roman" w:hint="default"/>
                <w:sz w:val="15"/>
                <w:szCs w:val="15"/>
              </w:rPr>
              <w:t>A4</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9568" w:type="dxa"/>
            <w:gridSpan w:val="9"/>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35"/>
              <w:ind w:left="-1" w:right="1"/>
              <w:jc w:val="center"/>
              <w:rPr>
                <w:rFonts w:ascii="宋体" w:hAnsi="宋体" w:cs="宋体" w:eastAsia="宋体" w:hint="default"/>
                <w:sz w:val="15"/>
                <w:szCs w:val="15"/>
              </w:rPr>
            </w:pPr>
            <w:r>
              <w:rPr>
                <w:rFonts w:ascii="宋体" w:hAnsi="宋体" w:cs="宋体" w:eastAsia="宋体" w:hint="default"/>
                <w:sz w:val="15"/>
                <w:szCs w:val="15"/>
              </w:rPr>
              <w:t>公司对子公司的担保情况</w:t>
            </w:r>
          </w:p>
        </w:tc>
      </w:tr>
      <w:tr>
        <w:trPr>
          <w:trHeight w:val="239" w:hRule="exact"/>
        </w:trPr>
        <w:tc>
          <w:tcPr>
            <w:tcW w:w="1709" w:type="dxa"/>
            <w:tcBorders>
              <w:top w:val="single" w:sz="4" w:space="0" w:color="000000"/>
              <w:left w:val="single" w:sz="12" w:space="0" w:color="000000"/>
              <w:bottom w:val="nil" w:sz="6" w:space="0" w:color="auto"/>
              <w:right w:val="single" w:sz="4" w:space="0" w:color="000000"/>
            </w:tcBorders>
            <w:shd w:val="clear" w:color="auto" w:fill="D2D2D2"/>
          </w:tcPr>
          <w:p>
            <w:pPr/>
          </w:p>
        </w:tc>
        <w:tc>
          <w:tcPr>
            <w:tcW w:w="92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34"/>
              <w:ind w:left="156" w:right="0"/>
              <w:jc w:val="left"/>
              <w:rPr>
                <w:rFonts w:ascii="宋体" w:hAnsi="宋体" w:cs="宋体" w:eastAsia="宋体" w:hint="default"/>
                <w:sz w:val="15"/>
                <w:szCs w:val="15"/>
              </w:rPr>
            </w:pPr>
            <w:r>
              <w:rPr>
                <w:rFonts w:ascii="宋体" w:hAnsi="宋体" w:cs="宋体" w:eastAsia="宋体" w:hint="default"/>
                <w:sz w:val="15"/>
                <w:szCs w:val="15"/>
              </w:rPr>
              <w:t>担保额度</w:t>
            </w:r>
          </w:p>
        </w:tc>
        <w:tc>
          <w:tcPr>
            <w:tcW w:w="921" w:type="dxa"/>
            <w:tcBorders>
              <w:top w:val="single" w:sz="4" w:space="0" w:color="000000"/>
              <w:left w:val="single" w:sz="4" w:space="0" w:color="000000"/>
              <w:bottom w:val="nil" w:sz="6" w:space="0" w:color="auto"/>
              <w:right w:val="single" w:sz="4" w:space="0" w:color="000000"/>
            </w:tcBorders>
            <w:shd w:val="clear" w:color="auto" w:fill="D2D2D2"/>
          </w:tcPr>
          <w:p>
            <w:pPr/>
          </w:p>
        </w:tc>
        <w:tc>
          <w:tcPr>
            <w:tcW w:w="12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35" w:type="dxa"/>
            <w:tcBorders>
              <w:top w:val="single" w:sz="4" w:space="0" w:color="000000"/>
              <w:left w:val="single" w:sz="4" w:space="0" w:color="000000"/>
              <w:bottom w:val="nil" w:sz="6" w:space="0" w:color="auto"/>
              <w:right w:val="single" w:sz="4" w:space="0" w:color="000000"/>
            </w:tcBorders>
            <w:shd w:val="clear" w:color="auto" w:fill="D2D2D2"/>
          </w:tcPr>
          <w:p>
            <w:pPr/>
          </w:p>
        </w:tc>
        <w:tc>
          <w:tcPr>
            <w:tcW w:w="1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9"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 w:type="dxa"/>
            <w:tcBorders>
              <w:top w:val="single" w:sz="4" w:space="0" w:color="000000"/>
              <w:left w:val="single" w:sz="4" w:space="0" w:color="000000"/>
              <w:bottom w:val="nil" w:sz="6" w:space="0" w:color="auto"/>
              <w:right w:val="single" w:sz="12" w:space="0" w:color="000000"/>
            </w:tcBorders>
            <w:shd w:val="clear" w:color="auto" w:fill="D2D2D2"/>
          </w:tcPr>
          <w:p>
            <w:pPr>
              <w:pStyle w:val="TableParagraph"/>
              <w:spacing w:line="240" w:lineRule="auto" w:before="34"/>
              <w:ind w:left="159" w:right="0"/>
              <w:jc w:val="left"/>
              <w:rPr>
                <w:rFonts w:ascii="宋体" w:hAnsi="宋体" w:cs="宋体" w:eastAsia="宋体" w:hint="default"/>
                <w:sz w:val="15"/>
                <w:szCs w:val="15"/>
              </w:rPr>
            </w:pPr>
            <w:r>
              <w:rPr>
                <w:rFonts w:ascii="宋体" w:hAnsi="宋体" w:cs="宋体" w:eastAsia="宋体" w:hint="default"/>
                <w:sz w:val="15"/>
                <w:szCs w:val="15"/>
              </w:rPr>
              <w:t>是否为</w:t>
            </w:r>
          </w:p>
        </w:tc>
      </w:tr>
      <w:tr>
        <w:trPr>
          <w:trHeight w:val="156" w:hRule="exact"/>
        </w:trPr>
        <w:tc>
          <w:tcPr>
            <w:tcW w:w="1709" w:type="dxa"/>
            <w:tcBorders>
              <w:top w:val="nil" w:sz="6" w:space="0" w:color="auto"/>
              <w:left w:val="single" w:sz="12" w:space="0" w:color="000000"/>
              <w:bottom w:val="nil" w:sz="6" w:space="0" w:color="auto"/>
              <w:right w:val="single" w:sz="4" w:space="0" w:color="000000"/>
            </w:tcBorders>
            <w:shd w:val="clear" w:color="auto" w:fill="D2D2D2"/>
          </w:tcPr>
          <w:p>
            <w:pPr/>
          </w:p>
        </w:tc>
        <w:tc>
          <w:tcPr>
            <w:tcW w:w="926" w:type="dxa"/>
            <w:tcBorders>
              <w:top w:val="nil" w:sz="6" w:space="0" w:color="auto"/>
              <w:left w:val="single" w:sz="4" w:space="0" w:color="000000"/>
              <w:bottom w:val="nil" w:sz="6" w:space="0" w:color="auto"/>
              <w:right w:val="single" w:sz="4" w:space="0" w:color="000000"/>
            </w:tcBorders>
            <w:shd w:val="clear" w:color="auto" w:fill="D2D2D2"/>
          </w:tcPr>
          <w:p>
            <w:pPr/>
          </w:p>
        </w:tc>
        <w:tc>
          <w:tcPr>
            <w:tcW w:w="921" w:type="dxa"/>
            <w:tcBorders>
              <w:top w:val="nil" w:sz="6" w:space="0" w:color="auto"/>
              <w:left w:val="single" w:sz="4" w:space="0" w:color="000000"/>
              <w:bottom w:val="nil" w:sz="6" w:space="0" w:color="auto"/>
              <w:right w:val="single" w:sz="4" w:space="0" w:color="000000"/>
            </w:tcBorders>
            <w:shd w:val="clear" w:color="auto" w:fill="D2D2D2"/>
          </w:tcPr>
          <w:p>
            <w:pPr/>
          </w:p>
        </w:tc>
        <w:tc>
          <w:tcPr>
            <w:tcW w:w="1294" w:type="dxa"/>
            <w:tcBorders>
              <w:top w:val="nil" w:sz="6" w:space="0" w:color="auto"/>
              <w:left w:val="single" w:sz="4" w:space="0" w:color="000000"/>
              <w:bottom w:val="nil" w:sz="6" w:space="0" w:color="auto"/>
              <w:right w:val="single" w:sz="4" w:space="0" w:color="000000"/>
            </w:tcBorders>
            <w:shd w:val="clear" w:color="auto" w:fill="D2D2D2"/>
          </w:tcPr>
          <w:p>
            <w:pPr/>
          </w:p>
        </w:tc>
        <w:tc>
          <w:tcPr>
            <w:tcW w:w="10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right="152"/>
              <w:jc w:val="right"/>
              <w:rPr>
                <w:rFonts w:ascii="宋体" w:hAnsi="宋体" w:cs="宋体" w:eastAsia="宋体" w:hint="default"/>
                <w:sz w:val="15"/>
                <w:szCs w:val="15"/>
              </w:rPr>
            </w:pPr>
            <w:r>
              <w:rPr>
                <w:rFonts w:ascii="宋体" w:hAnsi="宋体" w:cs="宋体" w:eastAsia="宋体" w:hint="default"/>
                <w:w w:val="95"/>
                <w:sz w:val="15"/>
                <w:szCs w:val="15"/>
              </w:rPr>
              <w:t>实际担保金</w:t>
            </w:r>
            <w:r>
              <w:rPr>
                <w:rFonts w:ascii="宋体" w:hAnsi="宋体" w:cs="宋体" w:eastAsia="宋体" w:hint="default"/>
                <w:sz w:val="15"/>
                <w:szCs w:val="15"/>
              </w:rPr>
            </w:r>
          </w:p>
        </w:tc>
        <w:tc>
          <w:tcPr>
            <w:tcW w:w="1035" w:type="dxa"/>
            <w:tcBorders>
              <w:top w:val="nil" w:sz="6" w:space="0" w:color="auto"/>
              <w:left w:val="single" w:sz="4" w:space="0" w:color="000000"/>
              <w:bottom w:val="nil" w:sz="6" w:space="0" w:color="auto"/>
              <w:right w:val="single" w:sz="4" w:space="0" w:color="000000"/>
            </w:tcBorders>
            <w:shd w:val="clear" w:color="auto" w:fill="D2D2D2"/>
          </w:tcPr>
          <w:p>
            <w:pPr/>
          </w:p>
        </w:tc>
        <w:tc>
          <w:tcPr>
            <w:tcW w:w="1052" w:type="dxa"/>
            <w:tcBorders>
              <w:top w:val="nil" w:sz="6" w:space="0" w:color="auto"/>
              <w:left w:val="single" w:sz="4" w:space="0" w:color="000000"/>
              <w:bottom w:val="nil" w:sz="6" w:space="0" w:color="auto"/>
              <w:right w:val="single" w:sz="4" w:space="0" w:color="000000"/>
            </w:tcBorders>
            <w:shd w:val="clear" w:color="auto" w:fill="D2D2D2"/>
          </w:tcPr>
          <w:p>
            <w:pPr/>
          </w:p>
        </w:tc>
        <w:tc>
          <w:tcPr>
            <w:tcW w:w="7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right="164"/>
              <w:jc w:val="right"/>
              <w:rPr>
                <w:rFonts w:ascii="宋体" w:hAnsi="宋体" w:cs="宋体" w:eastAsia="宋体" w:hint="default"/>
                <w:sz w:val="15"/>
                <w:szCs w:val="15"/>
              </w:rPr>
            </w:pPr>
            <w:r>
              <w:rPr>
                <w:rFonts w:ascii="宋体" w:hAnsi="宋体" w:cs="宋体" w:eastAsia="宋体" w:hint="default"/>
                <w:w w:val="95"/>
                <w:sz w:val="15"/>
                <w:szCs w:val="15"/>
              </w:rPr>
              <w:t>是否履</w:t>
            </w:r>
            <w:r>
              <w:rPr>
                <w:rFonts w:ascii="宋体" w:hAnsi="宋体" w:cs="宋体" w:eastAsia="宋体" w:hint="default"/>
                <w:sz w:val="15"/>
                <w:szCs w:val="15"/>
              </w:rPr>
            </w:r>
          </w:p>
        </w:tc>
        <w:tc>
          <w:tcPr>
            <w:tcW w:w="779" w:type="dxa"/>
            <w:tcBorders>
              <w:top w:val="nil" w:sz="6" w:space="0" w:color="auto"/>
              <w:left w:val="single" w:sz="4" w:space="0" w:color="000000"/>
              <w:bottom w:val="nil" w:sz="6" w:space="0" w:color="auto"/>
              <w:right w:val="single" w:sz="12" w:space="0" w:color="000000"/>
            </w:tcBorders>
            <w:shd w:val="clear" w:color="auto" w:fill="D2D2D2"/>
          </w:tcPr>
          <w:p>
            <w:pPr/>
          </w:p>
        </w:tc>
      </w:tr>
      <w:tr>
        <w:trPr>
          <w:trHeight w:val="156" w:hRule="exact"/>
        </w:trPr>
        <w:tc>
          <w:tcPr>
            <w:tcW w:w="1709"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153" w:lineRule="exact"/>
              <w:ind w:left="390" w:right="0"/>
              <w:jc w:val="left"/>
              <w:rPr>
                <w:rFonts w:ascii="宋体" w:hAnsi="宋体" w:cs="宋体" w:eastAsia="宋体" w:hint="default"/>
                <w:sz w:val="15"/>
                <w:szCs w:val="15"/>
              </w:rPr>
            </w:pPr>
            <w:r>
              <w:rPr>
                <w:rFonts w:ascii="宋体" w:hAnsi="宋体" w:cs="宋体" w:eastAsia="宋体" w:hint="default"/>
                <w:sz w:val="15"/>
                <w:szCs w:val="15"/>
              </w:rPr>
              <w:t>担保对象名称</w:t>
            </w:r>
          </w:p>
        </w:tc>
        <w:tc>
          <w:tcPr>
            <w:tcW w:w="9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left="156" w:right="0"/>
              <w:jc w:val="left"/>
              <w:rPr>
                <w:rFonts w:ascii="宋体" w:hAnsi="宋体" w:cs="宋体" w:eastAsia="宋体" w:hint="default"/>
                <w:sz w:val="15"/>
                <w:szCs w:val="15"/>
              </w:rPr>
            </w:pPr>
            <w:r>
              <w:rPr>
                <w:rFonts w:ascii="宋体" w:hAnsi="宋体" w:cs="宋体" w:eastAsia="宋体" w:hint="default"/>
                <w:sz w:val="15"/>
                <w:szCs w:val="15"/>
              </w:rPr>
              <w:t>相关公告</w:t>
            </w:r>
          </w:p>
        </w:tc>
        <w:tc>
          <w:tcPr>
            <w:tcW w:w="9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left="152" w:right="0"/>
              <w:jc w:val="left"/>
              <w:rPr>
                <w:rFonts w:ascii="宋体" w:hAnsi="宋体" w:cs="宋体" w:eastAsia="宋体" w:hint="default"/>
                <w:sz w:val="15"/>
                <w:szCs w:val="15"/>
              </w:rPr>
            </w:pPr>
            <w:r>
              <w:rPr>
                <w:rFonts w:ascii="宋体" w:hAnsi="宋体" w:cs="宋体" w:eastAsia="宋体" w:hint="default"/>
                <w:sz w:val="15"/>
                <w:szCs w:val="15"/>
              </w:rPr>
              <w:t>担保额度</w:t>
            </w:r>
          </w:p>
        </w:tc>
        <w:tc>
          <w:tcPr>
            <w:tcW w:w="12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right="193"/>
              <w:jc w:val="right"/>
              <w:rPr>
                <w:rFonts w:ascii="宋体" w:hAnsi="宋体" w:cs="宋体" w:eastAsia="宋体" w:hint="default"/>
                <w:sz w:val="15"/>
                <w:szCs w:val="15"/>
              </w:rPr>
            </w:pPr>
            <w:r>
              <w:rPr>
                <w:rFonts w:ascii="宋体" w:hAnsi="宋体" w:cs="宋体" w:eastAsia="宋体" w:hint="default"/>
                <w:w w:val="95"/>
                <w:sz w:val="15"/>
                <w:szCs w:val="15"/>
              </w:rPr>
              <w:t>实际发生日期</w:t>
            </w:r>
            <w:r>
              <w:rPr>
                <w:rFonts w:ascii="宋体" w:hAnsi="宋体" w:cs="宋体" w:eastAsia="宋体" w:hint="default"/>
                <w:sz w:val="15"/>
                <w:szCs w:val="15"/>
              </w:rPr>
            </w:r>
          </w:p>
        </w:tc>
        <w:tc>
          <w:tcPr>
            <w:tcW w:w="1063" w:type="dxa"/>
            <w:tcBorders>
              <w:top w:val="nil" w:sz="6" w:space="0" w:color="auto"/>
              <w:left w:val="single" w:sz="4" w:space="0" w:color="000000"/>
              <w:bottom w:val="nil" w:sz="6" w:space="0" w:color="auto"/>
              <w:right w:val="single" w:sz="4" w:space="0" w:color="000000"/>
            </w:tcBorders>
            <w:shd w:val="clear" w:color="auto" w:fill="D2D2D2"/>
          </w:tcPr>
          <w:p>
            <w:pPr/>
          </w:p>
        </w:tc>
        <w:tc>
          <w:tcPr>
            <w:tcW w:w="10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right="212"/>
              <w:jc w:val="right"/>
              <w:rPr>
                <w:rFonts w:ascii="宋体" w:hAnsi="宋体" w:cs="宋体" w:eastAsia="宋体" w:hint="default"/>
                <w:sz w:val="15"/>
                <w:szCs w:val="15"/>
              </w:rPr>
            </w:pPr>
            <w:r>
              <w:rPr>
                <w:rFonts w:ascii="宋体" w:hAnsi="宋体" w:cs="宋体" w:eastAsia="宋体" w:hint="default"/>
                <w:w w:val="95"/>
                <w:sz w:val="15"/>
                <w:szCs w:val="15"/>
              </w:rPr>
              <w:t>担保类型</w:t>
            </w:r>
            <w:r>
              <w:rPr>
                <w:rFonts w:ascii="宋体" w:hAnsi="宋体" w:cs="宋体" w:eastAsia="宋体" w:hint="default"/>
                <w:sz w:val="15"/>
                <w:szCs w:val="15"/>
              </w:rPr>
            </w:r>
          </w:p>
        </w:tc>
        <w:tc>
          <w:tcPr>
            <w:tcW w:w="1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right="295"/>
              <w:jc w:val="right"/>
              <w:rPr>
                <w:rFonts w:ascii="宋体" w:hAnsi="宋体" w:cs="宋体" w:eastAsia="宋体" w:hint="default"/>
                <w:sz w:val="15"/>
                <w:szCs w:val="15"/>
              </w:rPr>
            </w:pPr>
            <w:r>
              <w:rPr>
                <w:rFonts w:ascii="宋体" w:hAnsi="宋体" w:cs="宋体" w:eastAsia="宋体" w:hint="default"/>
                <w:w w:val="95"/>
                <w:sz w:val="15"/>
                <w:szCs w:val="15"/>
              </w:rPr>
              <w:t>担保期</w:t>
            </w:r>
            <w:r>
              <w:rPr>
                <w:rFonts w:ascii="宋体" w:hAnsi="宋体" w:cs="宋体" w:eastAsia="宋体" w:hint="default"/>
                <w:sz w:val="15"/>
                <w:szCs w:val="15"/>
              </w:rPr>
            </w:r>
          </w:p>
        </w:tc>
        <w:tc>
          <w:tcPr>
            <w:tcW w:w="789" w:type="dxa"/>
            <w:tcBorders>
              <w:top w:val="nil" w:sz="6" w:space="0" w:color="auto"/>
              <w:left w:val="single" w:sz="4" w:space="0" w:color="000000"/>
              <w:bottom w:val="nil" w:sz="6" w:space="0" w:color="auto"/>
              <w:right w:val="single" w:sz="4" w:space="0" w:color="000000"/>
            </w:tcBorders>
            <w:shd w:val="clear" w:color="auto" w:fill="D2D2D2"/>
          </w:tcPr>
          <w:p>
            <w:pPr/>
          </w:p>
        </w:tc>
        <w:tc>
          <w:tcPr>
            <w:tcW w:w="779" w:type="dxa"/>
            <w:tcBorders>
              <w:top w:val="nil" w:sz="6" w:space="0" w:color="auto"/>
              <w:left w:val="single" w:sz="4" w:space="0" w:color="000000"/>
              <w:bottom w:val="nil" w:sz="6" w:space="0" w:color="auto"/>
              <w:right w:val="single" w:sz="12" w:space="0" w:color="000000"/>
            </w:tcBorders>
            <w:shd w:val="clear" w:color="auto" w:fill="D2D2D2"/>
          </w:tcPr>
          <w:p>
            <w:pPr>
              <w:pStyle w:val="TableParagraph"/>
              <w:spacing w:line="153" w:lineRule="exact"/>
              <w:ind w:left="159" w:right="0"/>
              <w:jc w:val="left"/>
              <w:rPr>
                <w:rFonts w:ascii="宋体" w:hAnsi="宋体" w:cs="宋体" w:eastAsia="宋体" w:hint="default"/>
                <w:sz w:val="15"/>
                <w:szCs w:val="15"/>
              </w:rPr>
            </w:pPr>
            <w:r>
              <w:rPr>
                <w:rFonts w:ascii="宋体" w:hAnsi="宋体" w:cs="宋体" w:eastAsia="宋体" w:hint="default"/>
                <w:sz w:val="15"/>
                <w:szCs w:val="15"/>
              </w:rPr>
              <w:t>关联方</w:t>
            </w:r>
          </w:p>
        </w:tc>
      </w:tr>
      <w:tr>
        <w:trPr>
          <w:trHeight w:val="156" w:hRule="exact"/>
        </w:trPr>
        <w:tc>
          <w:tcPr>
            <w:tcW w:w="1709" w:type="dxa"/>
            <w:tcBorders>
              <w:top w:val="nil" w:sz="6" w:space="0" w:color="auto"/>
              <w:left w:val="single" w:sz="12" w:space="0" w:color="000000"/>
              <w:bottom w:val="nil" w:sz="6" w:space="0" w:color="auto"/>
              <w:right w:val="single" w:sz="4" w:space="0" w:color="000000"/>
            </w:tcBorders>
            <w:shd w:val="clear" w:color="auto" w:fill="D2D2D2"/>
          </w:tcPr>
          <w:p>
            <w:pPr/>
          </w:p>
        </w:tc>
        <w:tc>
          <w:tcPr>
            <w:tcW w:w="926" w:type="dxa"/>
            <w:tcBorders>
              <w:top w:val="nil" w:sz="6" w:space="0" w:color="auto"/>
              <w:left w:val="single" w:sz="4" w:space="0" w:color="000000"/>
              <w:bottom w:val="nil" w:sz="6" w:space="0" w:color="auto"/>
              <w:right w:val="single" w:sz="4" w:space="0" w:color="000000"/>
            </w:tcBorders>
            <w:shd w:val="clear" w:color="auto" w:fill="D2D2D2"/>
          </w:tcPr>
          <w:p>
            <w:pPr/>
          </w:p>
        </w:tc>
        <w:tc>
          <w:tcPr>
            <w:tcW w:w="921" w:type="dxa"/>
            <w:tcBorders>
              <w:top w:val="nil" w:sz="6" w:space="0" w:color="auto"/>
              <w:left w:val="single" w:sz="4" w:space="0" w:color="000000"/>
              <w:bottom w:val="nil" w:sz="6" w:space="0" w:color="auto"/>
              <w:right w:val="single" w:sz="4" w:space="0" w:color="000000"/>
            </w:tcBorders>
            <w:shd w:val="clear" w:color="auto" w:fill="D2D2D2"/>
          </w:tcPr>
          <w:p>
            <w:pPr/>
          </w:p>
        </w:tc>
        <w:tc>
          <w:tcPr>
            <w:tcW w:w="1294" w:type="dxa"/>
            <w:tcBorders>
              <w:top w:val="nil" w:sz="6" w:space="0" w:color="auto"/>
              <w:left w:val="single" w:sz="4" w:space="0" w:color="000000"/>
              <w:bottom w:val="nil" w:sz="6" w:space="0" w:color="auto"/>
              <w:right w:val="single" w:sz="4" w:space="0" w:color="000000"/>
            </w:tcBorders>
            <w:shd w:val="clear" w:color="auto" w:fill="D2D2D2"/>
          </w:tcPr>
          <w:p>
            <w:pPr/>
          </w:p>
        </w:tc>
        <w:tc>
          <w:tcPr>
            <w:tcW w:w="10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w w:val="99"/>
                <w:sz w:val="15"/>
                <w:szCs w:val="15"/>
              </w:rPr>
              <w:t>额</w:t>
            </w:r>
            <w:r>
              <w:rPr>
                <w:rFonts w:ascii="宋体" w:hAnsi="宋体" w:cs="宋体" w:eastAsia="宋体" w:hint="default"/>
                <w:sz w:val="15"/>
                <w:szCs w:val="15"/>
              </w:rPr>
            </w:r>
          </w:p>
        </w:tc>
        <w:tc>
          <w:tcPr>
            <w:tcW w:w="1035" w:type="dxa"/>
            <w:tcBorders>
              <w:top w:val="nil" w:sz="6" w:space="0" w:color="auto"/>
              <w:left w:val="single" w:sz="4" w:space="0" w:color="000000"/>
              <w:bottom w:val="nil" w:sz="6" w:space="0" w:color="auto"/>
              <w:right w:val="single" w:sz="4" w:space="0" w:color="000000"/>
            </w:tcBorders>
            <w:shd w:val="clear" w:color="auto" w:fill="D2D2D2"/>
          </w:tcPr>
          <w:p>
            <w:pPr/>
          </w:p>
        </w:tc>
        <w:tc>
          <w:tcPr>
            <w:tcW w:w="1052" w:type="dxa"/>
            <w:tcBorders>
              <w:top w:val="nil" w:sz="6" w:space="0" w:color="auto"/>
              <w:left w:val="single" w:sz="4" w:space="0" w:color="000000"/>
              <w:bottom w:val="nil" w:sz="6" w:space="0" w:color="auto"/>
              <w:right w:val="single" w:sz="4" w:space="0" w:color="000000"/>
            </w:tcBorders>
            <w:shd w:val="clear" w:color="auto" w:fill="D2D2D2"/>
          </w:tcPr>
          <w:p>
            <w:pPr/>
          </w:p>
        </w:tc>
        <w:tc>
          <w:tcPr>
            <w:tcW w:w="7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53" w:lineRule="exact"/>
              <w:ind w:right="164"/>
              <w:jc w:val="right"/>
              <w:rPr>
                <w:rFonts w:ascii="宋体" w:hAnsi="宋体" w:cs="宋体" w:eastAsia="宋体" w:hint="default"/>
                <w:sz w:val="15"/>
                <w:szCs w:val="15"/>
              </w:rPr>
            </w:pPr>
            <w:r>
              <w:rPr>
                <w:rFonts w:ascii="宋体" w:hAnsi="宋体" w:cs="宋体" w:eastAsia="宋体" w:hint="default"/>
                <w:w w:val="95"/>
                <w:sz w:val="15"/>
                <w:szCs w:val="15"/>
              </w:rPr>
              <w:t>行完毕</w:t>
            </w:r>
            <w:r>
              <w:rPr>
                <w:rFonts w:ascii="宋体" w:hAnsi="宋体" w:cs="宋体" w:eastAsia="宋体" w:hint="default"/>
                <w:sz w:val="15"/>
                <w:szCs w:val="15"/>
              </w:rPr>
            </w:r>
          </w:p>
        </w:tc>
        <w:tc>
          <w:tcPr>
            <w:tcW w:w="779" w:type="dxa"/>
            <w:tcBorders>
              <w:top w:val="nil" w:sz="6" w:space="0" w:color="auto"/>
              <w:left w:val="single" w:sz="4" w:space="0" w:color="000000"/>
              <w:bottom w:val="nil" w:sz="6" w:space="0" w:color="auto"/>
              <w:right w:val="single" w:sz="12" w:space="0" w:color="000000"/>
            </w:tcBorders>
            <w:shd w:val="clear" w:color="auto" w:fill="D2D2D2"/>
          </w:tcPr>
          <w:p>
            <w:pPr/>
          </w:p>
        </w:tc>
      </w:tr>
      <w:tr>
        <w:trPr>
          <w:trHeight w:val="239" w:hRule="exact"/>
        </w:trPr>
        <w:tc>
          <w:tcPr>
            <w:tcW w:w="1709" w:type="dxa"/>
            <w:tcBorders>
              <w:top w:val="nil" w:sz="6" w:space="0" w:color="auto"/>
              <w:left w:val="single" w:sz="12" w:space="0" w:color="000000"/>
              <w:bottom w:val="single" w:sz="4" w:space="0" w:color="000000"/>
              <w:right w:val="single" w:sz="4" w:space="0" w:color="000000"/>
            </w:tcBorders>
            <w:shd w:val="clear" w:color="auto" w:fill="D2D2D2"/>
          </w:tcPr>
          <w:p>
            <w:pPr/>
          </w:p>
        </w:tc>
        <w:tc>
          <w:tcPr>
            <w:tcW w:w="92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53" w:lineRule="exact"/>
              <w:ind w:left="156" w:right="0"/>
              <w:jc w:val="left"/>
              <w:rPr>
                <w:rFonts w:ascii="宋体" w:hAnsi="宋体" w:cs="宋体" w:eastAsia="宋体" w:hint="default"/>
                <w:sz w:val="15"/>
                <w:szCs w:val="15"/>
              </w:rPr>
            </w:pPr>
            <w:r>
              <w:rPr>
                <w:rFonts w:ascii="宋体" w:hAnsi="宋体" w:cs="宋体" w:eastAsia="宋体" w:hint="default"/>
                <w:sz w:val="15"/>
                <w:szCs w:val="15"/>
              </w:rPr>
              <w:t>披露日期</w:t>
            </w:r>
          </w:p>
        </w:tc>
        <w:tc>
          <w:tcPr>
            <w:tcW w:w="921" w:type="dxa"/>
            <w:tcBorders>
              <w:top w:val="nil" w:sz="6" w:space="0" w:color="auto"/>
              <w:left w:val="single" w:sz="4" w:space="0" w:color="000000"/>
              <w:bottom w:val="single" w:sz="4" w:space="0" w:color="000000"/>
              <w:right w:val="single" w:sz="4" w:space="0" w:color="000000"/>
            </w:tcBorders>
            <w:shd w:val="clear" w:color="auto" w:fill="D2D2D2"/>
          </w:tcPr>
          <w:p>
            <w:pPr/>
          </w:p>
        </w:tc>
        <w:tc>
          <w:tcPr>
            <w:tcW w:w="12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3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9"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 w:type="dxa"/>
            <w:tcBorders>
              <w:top w:val="nil" w:sz="6" w:space="0" w:color="auto"/>
              <w:left w:val="single" w:sz="4" w:space="0" w:color="000000"/>
              <w:bottom w:val="single" w:sz="4" w:space="0" w:color="000000"/>
              <w:right w:val="single" w:sz="12" w:space="0" w:color="000000"/>
            </w:tcBorders>
            <w:shd w:val="clear" w:color="auto" w:fill="D2D2D2"/>
          </w:tcPr>
          <w:p>
            <w:pPr>
              <w:pStyle w:val="TableParagraph"/>
              <w:spacing w:line="153" w:lineRule="exact"/>
              <w:ind w:left="233" w:right="0"/>
              <w:jc w:val="left"/>
              <w:rPr>
                <w:rFonts w:ascii="宋体" w:hAnsi="宋体" w:cs="宋体" w:eastAsia="宋体" w:hint="default"/>
                <w:sz w:val="15"/>
                <w:szCs w:val="15"/>
              </w:rPr>
            </w:pPr>
            <w:r>
              <w:rPr>
                <w:rFonts w:ascii="宋体" w:hAnsi="宋体" w:cs="宋体" w:eastAsia="宋体" w:hint="default"/>
                <w:sz w:val="15"/>
                <w:szCs w:val="15"/>
              </w:rPr>
              <w:t>担保</w:t>
            </w:r>
          </w:p>
        </w:tc>
      </w:tr>
      <w:tr>
        <w:trPr>
          <w:trHeight w:val="238" w:hRule="exact"/>
        </w:trPr>
        <w:tc>
          <w:tcPr>
            <w:tcW w:w="1709" w:type="dxa"/>
            <w:tcBorders>
              <w:top w:val="single" w:sz="4" w:space="0" w:color="000000"/>
              <w:left w:val="single" w:sz="12" w:space="0" w:color="000000"/>
              <w:bottom w:val="nil" w:sz="6" w:space="0" w:color="auto"/>
              <w:right w:val="single" w:sz="4" w:space="0" w:color="000000"/>
            </w:tcBorders>
          </w:tcPr>
          <w:p>
            <w:pPr>
              <w:pStyle w:val="TableParagraph"/>
              <w:spacing w:line="240" w:lineRule="auto" w:before="34"/>
              <w:ind w:left="92" w:right="0"/>
              <w:jc w:val="left"/>
              <w:rPr>
                <w:rFonts w:ascii="宋体" w:hAnsi="宋体" w:cs="宋体" w:eastAsia="宋体" w:hint="default"/>
                <w:sz w:val="15"/>
                <w:szCs w:val="15"/>
              </w:rPr>
            </w:pPr>
            <w:r>
              <w:rPr>
                <w:rFonts w:ascii="宋体" w:hAnsi="宋体" w:cs="宋体" w:eastAsia="宋体" w:hint="default"/>
                <w:sz w:val="15"/>
                <w:szCs w:val="15"/>
              </w:rPr>
              <w:t>浙江万马高分子材料</w:t>
            </w:r>
          </w:p>
        </w:tc>
        <w:tc>
          <w:tcPr>
            <w:tcW w:w="926" w:type="dxa"/>
            <w:tcBorders>
              <w:top w:val="single" w:sz="4" w:space="0" w:color="000000"/>
              <w:left w:val="single" w:sz="4" w:space="0" w:color="000000"/>
              <w:bottom w:val="nil" w:sz="6" w:space="0" w:color="auto"/>
              <w:right w:val="single" w:sz="4" w:space="0" w:color="000000"/>
            </w:tcBorders>
          </w:tcPr>
          <w:p>
            <w:pPr/>
          </w:p>
        </w:tc>
        <w:tc>
          <w:tcPr>
            <w:tcW w:w="921" w:type="dxa"/>
            <w:tcBorders>
              <w:top w:val="single" w:sz="4" w:space="0" w:color="000000"/>
              <w:left w:val="single" w:sz="4" w:space="0" w:color="000000"/>
              <w:bottom w:val="nil" w:sz="6" w:space="0" w:color="auto"/>
              <w:right w:val="single" w:sz="4" w:space="0" w:color="000000"/>
            </w:tcBorders>
          </w:tcPr>
          <w:p>
            <w:pPr/>
          </w:p>
        </w:tc>
        <w:tc>
          <w:tcPr>
            <w:tcW w:w="129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35" w:type="dxa"/>
            <w:tcBorders>
              <w:top w:val="single" w:sz="4" w:space="0" w:color="000000"/>
              <w:left w:val="single" w:sz="4" w:space="0" w:color="000000"/>
              <w:bottom w:val="nil" w:sz="6" w:space="0" w:color="auto"/>
              <w:right w:val="single" w:sz="4" w:space="0" w:color="000000"/>
            </w:tcBorders>
          </w:tcPr>
          <w:p>
            <w:pPr/>
          </w:p>
        </w:tc>
        <w:tc>
          <w:tcPr>
            <w:tcW w:w="1052" w:type="dxa"/>
            <w:tcBorders>
              <w:top w:val="single" w:sz="4" w:space="0" w:color="000000"/>
              <w:left w:val="single" w:sz="4" w:space="0" w:color="000000"/>
              <w:bottom w:val="nil" w:sz="6" w:space="0" w:color="auto"/>
              <w:right w:val="single" w:sz="4" w:space="0" w:color="000000"/>
            </w:tcBorders>
          </w:tcPr>
          <w:p>
            <w:pPr/>
          </w:p>
        </w:tc>
        <w:tc>
          <w:tcPr>
            <w:tcW w:w="789" w:type="dxa"/>
            <w:tcBorders>
              <w:top w:val="single" w:sz="4" w:space="0" w:color="000000"/>
              <w:left w:val="single" w:sz="4" w:space="0" w:color="000000"/>
              <w:bottom w:val="nil" w:sz="6" w:space="0" w:color="auto"/>
              <w:right w:val="single" w:sz="4" w:space="0" w:color="000000"/>
            </w:tcBorders>
          </w:tcPr>
          <w:p>
            <w:pPr/>
          </w:p>
        </w:tc>
        <w:tc>
          <w:tcPr>
            <w:tcW w:w="779" w:type="dxa"/>
            <w:tcBorders>
              <w:top w:val="single" w:sz="4" w:space="0" w:color="000000"/>
              <w:left w:val="single" w:sz="4" w:space="0" w:color="000000"/>
              <w:bottom w:val="nil" w:sz="6" w:space="0" w:color="auto"/>
              <w:right w:val="single" w:sz="12" w:space="0" w:color="000000"/>
            </w:tcBorders>
          </w:tcPr>
          <w:p>
            <w:pPr/>
          </w:p>
        </w:tc>
      </w:tr>
      <w:tr>
        <w:trPr>
          <w:trHeight w:val="160"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04"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99"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04</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28</w:t>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02" w:right="0"/>
              <w:jc w:val="left"/>
              <w:rPr>
                <w:rFonts w:ascii="宋体" w:hAnsi="宋体" w:cs="宋体" w:eastAsia="宋体" w:hint="default"/>
                <w:sz w:val="15"/>
                <w:szCs w:val="15"/>
              </w:rPr>
            </w:pPr>
            <w:r>
              <w:rPr>
                <w:rFonts w:ascii="宋体" w:hAnsi="宋体" w:cs="宋体" w:eastAsia="宋体" w:hint="default"/>
                <w:sz w:val="15"/>
                <w:szCs w:val="15"/>
              </w:rPr>
              <w:t>连带责任保</w:t>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Style w:val="TableParagraph"/>
              <w:spacing w:line="160" w:lineRule="exact"/>
              <w:ind w:left="92" w:right="0"/>
              <w:jc w:val="left"/>
              <w:rPr>
                <w:rFonts w:ascii="宋体" w:hAnsi="宋体" w:cs="宋体" w:eastAsia="宋体" w:hint="default"/>
                <w:sz w:val="15"/>
                <w:szCs w:val="15"/>
              </w:rPr>
            </w:pPr>
            <w:r>
              <w:rPr>
                <w:rFonts w:ascii="宋体" w:hAnsi="宋体" w:cs="宋体" w:eastAsia="宋体" w:hint="default"/>
                <w:sz w:val="15"/>
                <w:szCs w:val="15"/>
              </w:rPr>
              <w:t>集团有限公司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农行临</w:t>
            </w:r>
          </w:p>
        </w:tc>
        <w:tc>
          <w:tcPr>
            <w:tcW w:w="926" w:type="dxa"/>
            <w:tcBorders>
              <w:top w:val="nil" w:sz="6" w:space="0" w:color="auto"/>
              <w:left w:val="single" w:sz="4" w:space="0" w:color="000000"/>
              <w:bottom w:val="nil" w:sz="6" w:space="0" w:color="auto"/>
              <w:right w:val="single" w:sz="4" w:space="0" w:color="000000"/>
            </w:tcBorders>
          </w:tcPr>
          <w:p>
            <w:pPr/>
          </w:p>
        </w:tc>
        <w:tc>
          <w:tcPr>
            <w:tcW w:w="921"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4"/>
              <w:jc w:val="right"/>
              <w:rPr>
                <w:rFonts w:ascii="Times New Roman" w:hAnsi="Times New Roman" w:cs="Times New Roman" w:eastAsia="Times New Roman" w:hint="default"/>
                <w:sz w:val="15"/>
                <w:szCs w:val="15"/>
              </w:rPr>
            </w:pPr>
            <w:r>
              <w:rPr>
                <w:rFonts w:ascii="Times New Roman"/>
                <w:spacing w:val="-1"/>
                <w:sz w:val="15"/>
              </w:rPr>
              <w:t>12,800</w:t>
            </w:r>
          </w:p>
        </w:tc>
        <w:tc>
          <w:tcPr>
            <w:tcW w:w="129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1"/>
              <w:jc w:val="right"/>
              <w:rPr>
                <w:rFonts w:ascii="Times New Roman" w:hAnsi="Times New Roman" w:cs="Times New Roman" w:eastAsia="Times New Roman" w:hint="default"/>
                <w:sz w:val="15"/>
                <w:szCs w:val="15"/>
              </w:rPr>
            </w:pPr>
            <w:r>
              <w:rPr>
                <w:rFonts w:ascii="Times New Roman"/>
                <w:spacing w:val="-1"/>
                <w:sz w:val="15"/>
              </w:rPr>
              <w:t>7,000</w:t>
            </w:r>
          </w:p>
        </w:tc>
        <w:tc>
          <w:tcPr>
            <w:tcW w:w="1035"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9"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79" w:type="dxa"/>
            <w:tcBorders>
              <w:top w:val="nil" w:sz="6" w:space="0" w:color="auto"/>
              <w:left w:val="single" w:sz="4" w:space="0" w:color="000000"/>
              <w:bottom w:val="nil" w:sz="6" w:space="0" w:color="auto"/>
              <w:right w:val="single" w:sz="12" w:space="0" w:color="000000"/>
            </w:tcBorders>
          </w:tcPr>
          <w:p>
            <w:pPr>
              <w:pStyle w:val="TableParagraph"/>
              <w:spacing w:line="149" w:lineRule="exact"/>
              <w:ind w:left="104"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0" w:lineRule="exact"/>
              <w:ind w:left="104"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99"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w w:val="99"/>
                <w:sz w:val="15"/>
                <w:szCs w:val="15"/>
              </w:rPr>
              <w:t>证</w:t>
            </w:r>
            <w:r>
              <w:rPr>
                <w:rFonts w:ascii="宋体" w:hAnsi="宋体" w:cs="宋体" w:eastAsia="宋体" w:hint="default"/>
                <w:sz w:val="15"/>
                <w:szCs w:val="15"/>
              </w:rPr>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235" w:hRule="exact"/>
        </w:trPr>
        <w:tc>
          <w:tcPr>
            <w:tcW w:w="1709" w:type="dxa"/>
            <w:tcBorders>
              <w:top w:val="nil" w:sz="6" w:space="0" w:color="auto"/>
              <w:left w:val="single" w:sz="12" w:space="0" w:color="000000"/>
              <w:bottom w:val="single" w:sz="4" w:space="0" w:color="000000"/>
              <w:right w:val="single" w:sz="4" w:space="0" w:color="000000"/>
            </w:tcBorders>
          </w:tcPr>
          <w:p>
            <w:pPr>
              <w:pStyle w:val="TableParagraph"/>
              <w:spacing w:line="160" w:lineRule="exact"/>
              <w:ind w:left="9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安支行</w:t>
            </w:r>
            <w:r>
              <w:rPr>
                <w:rFonts w:ascii="Times New Roman" w:hAnsi="Times New Roman" w:cs="Times New Roman" w:eastAsia="Times New Roman" w:hint="default"/>
                <w:sz w:val="15"/>
                <w:szCs w:val="15"/>
              </w:rPr>
              <w:t>)</w:t>
            </w:r>
          </w:p>
        </w:tc>
        <w:tc>
          <w:tcPr>
            <w:tcW w:w="926" w:type="dxa"/>
            <w:tcBorders>
              <w:top w:val="nil" w:sz="6" w:space="0" w:color="auto"/>
              <w:left w:val="single" w:sz="4" w:space="0" w:color="000000"/>
              <w:bottom w:val="single" w:sz="4" w:space="0" w:color="000000"/>
              <w:right w:val="single" w:sz="4" w:space="0" w:color="000000"/>
            </w:tcBorders>
          </w:tcPr>
          <w:p>
            <w:pPr/>
          </w:p>
        </w:tc>
        <w:tc>
          <w:tcPr>
            <w:tcW w:w="921" w:type="dxa"/>
            <w:tcBorders>
              <w:top w:val="nil" w:sz="6" w:space="0" w:color="auto"/>
              <w:left w:val="single" w:sz="4" w:space="0" w:color="000000"/>
              <w:bottom w:val="single" w:sz="4" w:space="0" w:color="000000"/>
              <w:right w:val="single" w:sz="4" w:space="0" w:color="000000"/>
            </w:tcBorders>
          </w:tcPr>
          <w:p>
            <w:pPr/>
          </w:p>
        </w:tc>
        <w:tc>
          <w:tcPr>
            <w:tcW w:w="129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35" w:type="dxa"/>
            <w:tcBorders>
              <w:top w:val="nil" w:sz="6" w:space="0" w:color="auto"/>
              <w:left w:val="single" w:sz="4" w:space="0" w:color="000000"/>
              <w:bottom w:val="single" w:sz="4" w:space="0" w:color="000000"/>
              <w:right w:val="single" w:sz="4" w:space="0" w:color="000000"/>
            </w:tcBorders>
          </w:tcPr>
          <w:p>
            <w:pPr/>
          </w:p>
        </w:tc>
        <w:tc>
          <w:tcPr>
            <w:tcW w:w="1052" w:type="dxa"/>
            <w:tcBorders>
              <w:top w:val="nil" w:sz="6" w:space="0" w:color="auto"/>
              <w:left w:val="single" w:sz="4" w:space="0" w:color="000000"/>
              <w:bottom w:val="single" w:sz="4" w:space="0" w:color="000000"/>
              <w:right w:val="single" w:sz="4" w:space="0" w:color="000000"/>
            </w:tcBorders>
          </w:tcPr>
          <w:p>
            <w:pPr/>
          </w:p>
        </w:tc>
        <w:tc>
          <w:tcPr>
            <w:tcW w:w="789" w:type="dxa"/>
            <w:tcBorders>
              <w:top w:val="nil" w:sz="6" w:space="0" w:color="auto"/>
              <w:left w:val="single" w:sz="4" w:space="0" w:color="000000"/>
              <w:bottom w:val="single" w:sz="4" w:space="0" w:color="000000"/>
              <w:right w:val="single" w:sz="4" w:space="0" w:color="000000"/>
            </w:tcBorders>
          </w:tcPr>
          <w:p>
            <w:pPr/>
          </w:p>
        </w:tc>
        <w:tc>
          <w:tcPr>
            <w:tcW w:w="779" w:type="dxa"/>
            <w:tcBorders>
              <w:top w:val="nil" w:sz="6" w:space="0" w:color="auto"/>
              <w:left w:val="single" w:sz="4" w:space="0" w:color="000000"/>
              <w:bottom w:val="single" w:sz="4" w:space="0" w:color="000000"/>
              <w:right w:val="single" w:sz="12" w:space="0" w:color="000000"/>
            </w:tcBorders>
          </w:tcPr>
          <w:p>
            <w:pPr/>
          </w:p>
        </w:tc>
      </w:tr>
      <w:tr>
        <w:trPr>
          <w:trHeight w:val="238" w:hRule="exact"/>
        </w:trPr>
        <w:tc>
          <w:tcPr>
            <w:tcW w:w="1709" w:type="dxa"/>
            <w:tcBorders>
              <w:top w:val="single" w:sz="4" w:space="0" w:color="000000"/>
              <w:left w:val="single" w:sz="12" w:space="0" w:color="000000"/>
              <w:bottom w:val="nil" w:sz="6" w:space="0" w:color="auto"/>
              <w:right w:val="single" w:sz="4" w:space="0" w:color="000000"/>
            </w:tcBorders>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浙江万马高分子材料</w:t>
            </w:r>
          </w:p>
        </w:tc>
        <w:tc>
          <w:tcPr>
            <w:tcW w:w="926" w:type="dxa"/>
            <w:tcBorders>
              <w:top w:val="single" w:sz="4" w:space="0" w:color="000000"/>
              <w:left w:val="single" w:sz="4" w:space="0" w:color="000000"/>
              <w:bottom w:val="nil" w:sz="6" w:space="0" w:color="auto"/>
              <w:right w:val="single" w:sz="4" w:space="0" w:color="000000"/>
            </w:tcBorders>
          </w:tcPr>
          <w:p>
            <w:pPr/>
          </w:p>
        </w:tc>
        <w:tc>
          <w:tcPr>
            <w:tcW w:w="921" w:type="dxa"/>
            <w:tcBorders>
              <w:top w:val="single" w:sz="4" w:space="0" w:color="000000"/>
              <w:left w:val="single" w:sz="4" w:space="0" w:color="000000"/>
              <w:bottom w:val="nil" w:sz="6" w:space="0" w:color="auto"/>
              <w:right w:val="single" w:sz="4" w:space="0" w:color="000000"/>
            </w:tcBorders>
          </w:tcPr>
          <w:p>
            <w:pPr/>
          </w:p>
        </w:tc>
        <w:tc>
          <w:tcPr>
            <w:tcW w:w="129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35" w:type="dxa"/>
            <w:tcBorders>
              <w:top w:val="single" w:sz="4" w:space="0" w:color="000000"/>
              <w:left w:val="single" w:sz="4" w:space="0" w:color="000000"/>
              <w:bottom w:val="nil" w:sz="6" w:space="0" w:color="auto"/>
              <w:right w:val="single" w:sz="4" w:space="0" w:color="000000"/>
            </w:tcBorders>
          </w:tcPr>
          <w:p>
            <w:pPr/>
          </w:p>
        </w:tc>
        <w:tc>
          <w:tcPr>
            <w:tcW w:w="1052" w:type="dxa"/>
            <w:tcBorders>
              <w:top w:val="single" w:sz="4" w:space="0" w:color="000000"/>
              <w:left w:val="single" w:sz="4" w:space="0" w:color="000000"/>
              <w:bottom w:val="nil" w:sz="6" w:space="0" w:color="auto"/>
              <w:right w:val="single" w:sz="4" w:space="0" w:color="000000"/>
            </w:tcBorders>
          </w:tcPr>
          <w:p>
            <w:pPr/>
          </w:p>
        </w:tc>
        <w:tc>
          <w:tcPr>
            <w:tcW w:w="789" w:type="dxa"/>
            <w:tcBorders>
              <w:top w:val="single" w:sz="4" w:space="0" w:color="000000"/>
              <w:left w:val="single" w:sz="4" w:space="0" w:color="000000"/>
              <w:bottom w:val="nil" w:sz="6" w:space="0" w:color="auto"/>
              <w:right w:val="single" w:sz="4" w:space="0" w:color="000000"/>
            </w:tcBorders>
          </w:tcPr>
          <w:p>
            <w:pPr/>
          </w:p>
        </w:tc>
        <w:tc>
          <w:tcPr>
            <w:tcW w:w="779" w:type="dxa"/>
            <w:tcBorders>
              <w:top w:val="single" w:sz="4" w:space="0" w:color="000000"/>
              <w:left w:val="single" w:sz="4" w:space="0" w:color="000000"/>
              <w:bottom w:val="nil" w:sz="6" w:space="0" w:color="auto"/>
              <w:right w:val="single" w:sz="12" w:space="0" w:color="000000"/>
            </w:tcBorders>
          </w:tcPr>
          <w:p>
            <w:pPr/>
          </w:p>
        </w:tc>
      </w:tr>
      <w:tr>
        <w:trPr>
          <w:trHeight w:val="160"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04"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99"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08</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22</w:t>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02" w:right="0"/>
              <w:jc w:val="left"/>
              <w:rPr>
                <w:rFonts w:ascii="宋体" w:hAnsi="宋体" w:cs="宋体" w:eastAsia="宋体" w:hint="default"/>
                <w:sz w:val="15"/>
                <w:szCs w:val="15"/>
              </w:rPr>
            </w:pPr>
            <w:r>
              <w:rPr>
                <w:rFonts w:ascii="宋体" w:hAnsi="宋体" w:cs="宋体" w:eastAsia="宋体" w:hint="default"/>
                <w:sz w:val="15"/>
                <w:szCs w:val="15"/>
              </w:rPr>
              <w:t>连带责任保</w:t>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Style w:val="TableParagraph"/>
              <w:spacing w:line="160" w:lineRule="exact"/>
              <w:ind w:left="92" w:right="0"/>
              <w:jc w:val="left"/>
              <w:rPr>
                <w:rFonts w:ascii="宋体" w:hAnsi="宋体" w:cs="宋体" w:eastAsia="宋体" w:hint="default"/>
                <w:sz w:val="15"/>
                <w:szCs w:val="15"/>
              </w:rPr>
            </w:pPr>
            <w:r>
              <w:rPr>
                <w:rFonts w:ascii="宋体" w:hAnsi="宋体" w:cs="宋体" w:eastAsia="宋体" w:hint="default"/>
                <w:sz w:val="15"/>
                <w:szCs w:val="15"/>
              </w:rPr>
              <w:t>集团有限公司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中国银</w:t>
            </w:r>
          </w:p>
        </w:tc>
        <w:tc>
          <w:tcPr>
            <w:tcW w:w="926" w:type="dxa"/>
            <w:tcBorders>
              <w:top w:val="nil" w:sz="6" w:space="0" w:color="auto"/>
              <w:left w:val="single" w:sz="4" w:space="0" w:color="000000"/>
              <w:bottom w:val="nil" w:sz="6" w:space="0" w:color="auto"/>
              <w:right w:val="single" w:sz="4" w:space="0" w:color="000000"/>
            </w:tcBorders>
          </w:tcPr>
          <w:p>
            <w:pPr/>
          </w:p>
        </w:tc>
        <w:tc>
          <w:tcPr>
            <w:tcW w:w="921"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4"/>
              <w:jc w:val="right"/>
              <w:rPr>
                <w:rFonts w:ascii="Times New Roman" w:hAnsi="Times New Roman" w:cs="Times New Roman" w:eastAsia="Times New Roman" w:hint="default"/>
                <w:sz w:val="15"/>
                <w:szCs w:val="15"/>
              </w:rPr>
            </w:pPr>
            <w:r>
              <w:rPr>
                <w:rFonts w:ascii="Times New Roman"/>
                <w:spacing w:val="-1"/>
                <w:sz w:val="15"/>
              </w:rPr>
              <w:t>25,000</w:t>
            </w:r>
          </w:p>
        </w:tc>
        <w:tc>
          <w:tcPr>
            <w:tcW w:w="129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1"/>
              <w:jc w:val="right"/>
              <w:rPr>
                <w:rFonts w:ascii="Times New Roman" w:hAnsi="Times New Roman" w:cs="Times New Roman" w:eastAsia="Times New Roman" w:hint="default"/>
                <w:sz w:val="15"/>
                <w:szCs w:val="15"/>
              </w:rPr>
            </w:pPr>
            <w:r>
              <w:rPr>
                <w:rFonts w:ascii="Times New Roman"/>
                <w:spacing w:val="-1"/>
                <w:sz w:val="15"/>
              </w:rPr>
              <w:t>8,478</w:t>
            </w:r>
          </w:p>
        </w:tc>
        <w:tc>
          <w:tcPr>
            <w:tcW w:w="1035"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9"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79" w:type="dxa"/>
            <w:tcBorders>
              <w:top w:val="nil" w:sz="6" w:space="0" w:color="auto"/>
              <w:left w:val="single" w:sz="4" w:space="0" w:color="000000"/>
              <w:bottom w:val="nil" w:sz="6" w:space="0" w:color="auto"/>
              <w:right w:val="single" w:sz="12" w:space="0" w:color="000000"/>
            </w:tcBorders>
          </w:tcPr>
          <w:p>
            <w:pPr>
              <w:pStyle w:val="TableParagraph"/>
              <w:spacing w:line="149" w:lineRule="exact"/>
              <w:ind w:left="104"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0" w:lineRule="exact"/>
              <w:ind w:left="104"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99"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w w:val="99"/>
                <w:sz w:val="15"/>
                <w:szCs w:val="15"/>
              </w:rPr>
              <w:t>证</w:t>
            </w:r>
            <w:r>
              <w:rPr>
                <w:rFonts w:ascii="宋体" w:hAnsi="宋体" w:cs="宋体" w:eastAsia="宋体" w:hint="default"/>
                <w:sz w:val="15"/>
                <w:szCs w:val="15"/>
              </w:rPr>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236" w:hRule="exact"/>
        </w:trPr>
        <w:tc>
          <w:tcPr>
            <w:tcW w:w="1709" w:type="dxa"/>
            <w:tcBorders>
              <w:top w:val="nil" w:sz="6" w:space="0" w:color="auto"/>
              <w:left w:val="single" w:sz="12" w:space="0" w:color="000000"/>
              <w:bottom w:val="single" w:sz="4" w:space="0" w:color="000000"/>
              <w:right w:val="single" w:sz="4" w:space="0" w:color="000000"/>
            </w:tcBorders>
          </w:tcPr>
          <w:p>
            <w:pPr>
              <w:pStyle w:val="TableParagraph"/>
              <w:spacing w:line="160" w:lineRule="exact"/>
              <w:ind w:left="9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行浙江省分行</w:t>
            </w:r>
            <w:r>
              <w:rPr>
                <w:rFonts w:ascii="Times New Roman" w:hAnsi="Times New Roman" w:cs="Times New Roman" w:eastAsia="Times New Roman" w:hint="default"/>
                <w:sz w:val="15"/>
                <w:szCs w:val="15"/>
              </w:rPr>
              <w:t>)</w:t>
            </w:r>
          </w:p>
        </w:tc>
        <w:tc>
          <w:tcPr>
            <w:tcW w:w="926" w:type="dxa"/>
            <w:tcBorders>
              <w:top w:val="nil" w:sz="6" w:space="0" w:color="auto"/>
              <w:left w:val="single" w:sz="4" w:space="0" w:color="000000"/>
              <w:bottom w:val="single" w:sz="4" w:space="0" w:color="000000"/>
              <w:right w:val="single" w:sz="4" w:space="0" w:color="000000"/>
            </w:tcBorders>
          </w:tcPr>
          <w:p>
            <w:pPr/>
          </w:p>
        </w:tc>
        <w:tc>
          <w:tcPr>
            <w:tcW w:w="921" w:type="dxa"/>
            <w:tcBorders>
              <w:top w:val="nil" w:sz="6" w:space="0" w:color="auto"/>
              <w:left w:val="single" w:sz="4" w:space="0" w:color="000000"/>
              <w:bottom w:val="single" w:sz="4" w:space="0" w:color="000000"/>
              <w:right w:val="single" w:sz="4" w:space="0" w:color="000000"/>
            </w:tcBorders>
          </w:tcPr>
          <w:p>
            <w:pPr/>
          </w:p>
        </w:tc>
        <w:tc>
          <w:tcPr>
            <w:tcW w:w="129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35" w:type="dxa"/>
            <w:tcBorders>
              <w:top w:val="nil" w:sz="6" w:space="0" w:color="auto"/>
              <w:left w:val="single" w:sz="4" w:space="0" w:color="000000"/>
              <w:bottom w:val="single" w:sz="4" w:space="0" w:color="000000"/>
              <w:right w:val="single" w:sz="4" w:space="0" w:color="000000"/>
            </w:tcBorders>
          </w:tcPr>
          <w:p>
            <w:pPr/>
          </w:p>
        </w:tc>
        <w:tc>
          <w:tcPr>
            <w:tcW w:w="1052" w:type="dxa"/>
            <w:tcBorders>
              <w:top w:val="nil" w:sz="6" w:space="0" w:color="auto"/>
              <w:left w:val="single" w:sz="4" w:space="0" w:color="000000"/>
              <w:bottom w:val="single" w:sz="4" w:space="0" w:color="000000"/>
              <w:right w:val="single" w:sz="4" w:space="0" w:color="000000"/>
            </w:tcBorders>
          </w:tcPr>
          <w:p>
            <w:pPr/>
          </w:p>
        </w:tc>
        <w:tc>
          <w:tcPr>
            <w:tcW w:w="789" w:type="dxa"/>
            <w:tcBorders>
              <w:top w:val="nil" w:sz="6" w:space="0" w:color="auto"/>
              <w:left w:val="single" w:sz="4" w:space="0" w:color="000000"/>
              <w:bottom w:val="single" w:sz="4" w:space="0" w:color="000000"/>
              <w:right w:val="single" w:sz="4" w:space="0" w:color="000000"/>
            </w:tcBorders>
          </w:tcPr>
          <w:p>
            <w:pPr/>
          </w:p>
        </w:tc>
        <w:tc>
          <w:tcPr>
            <w:tcW w:w="779" w:type="dxa"/>
            <w:tcBorders>
              <w:top w:val="nil" w:sz="6" w:space="0" w:color="auto"/>
              <w:left w:val="single" w:sz="4" w:space="0" w:color="000000"/>
              <w:bottom w:val="single" w:sz="4" w:space="0" w:color="000000"/>
              <w:right w:val="single" w:sz="12" w:space="0" w:color="000000"/>
            </w:tcBorders>
          </w:tcPr>
          <w:p>
            <w:pPr/>
          </w:p>
        </w:tc>
      </w:tr>
      <w:tr>
        <w:trPr>
          <w:trHeight w:val="238" w:hRule="exact"/>
        </w:trPr>
        <w:tc>
          <w:tcPr>
            <w:tcW w:w="1709" w:type="dxa"/>
            <w:tcBorders>
              <w:top w:val="single" w:sz="4" w:space="0" w:color="000000"/>
              <w:left w:val="single" w:sz="12" w:space="0" w:color="000000"/>
              <w:bottom w:val="nil" w:sz="6" w:space="0" w:color="auto"/>
              <w:right w:val="single" w:sz="4" w:space="0" w:color="000000"/>
            </w:tcBorders>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浙江万马高分子材料</w:t>
            </w:r>
          </w:p>
        </w:tc>
        <w:tc>
          <w:tcPr>
            <w:tcW w:w="926" w:type="dxa"/>
            <w:tcBorders>
              <w:top w:val="single" w:sz="4" w:space="0" w:color="000000"/>
              <w:left w:val="single" w:sz="4" w:space="0" w:color="000000"/>
              <w:bottom w:val="nil" w:sz="6" w:space="0" w:color="auto"/>
              <w:right w:val="single" w:sz="4" w:space="0" w:color="000000"/>
            </w:tcBorders>
          </w:tcPr>
          <w:p>
            <w:pPr/>
          </w:p>
        </w:tc>
        <w:tc>
          <w:tcPr>
            <w:tcW w:w="921" w:type="dxa"/>
            <w:tcBorders>
              <w:top w:val="single" w:sz="4" w:space="0" w:color="000000"/>
              <w:left w:val="single" w:sz="4" w:space="0" w:color="000000"/>
              <w:bottom w:val="nil" w:sz="6" w:space="0" w:color="auto"/>
              <w:right w:val="single" w:sz="4" w:space="0" w:color="000000"/>
            </w:tcBorders>
          </w:tcPr>
          <w:p>
            <w:pPr/>
          </w:p>
        </w:tc>
        <w:tc>
          <w:tcPr>
            <w:tcW w:w="129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35" w:type="dxa"/>
            <w:tcBorders>
              <w:top w:val="single" w:sz="4" w:space="0" w:color="000000"/>
              <w:left w:val="single" w:sz="4" w:space="0" w:color="000000"/>
              <w:bottom w:val="nil" w:sz="6" w:space="0" w:color="auto"/>
              <w:right w:val="single" w:sz="4" w:space="0" w:color="000000"/>
            </w:tcBorders>
          </w:tcPr>
          <w:p>
            <w:pPr/>
          </w:p>
        </w:tc>
        <w:tc>
          <w:tcPr>
            <w:tcW w:w="1052" w:type="dxa"/>
            <w:tcBorders>
              <w:top w:val="single" w:sz="4" w:space="0" w:color="000000"/>
              <w:left w:val="single" w:sz="4" w:space="0" w:color="000000"/>
              <w:bottom w:val="nil" w:sz="6" w:space="0" w:color="auto"/>
              <w:right w:val="single" w:sz="4" w:space="0" w:color="000000"/>
            </w:tcBorders>
          </w:tcPr>
          <w:p>
            <w:pPr/>
          </w:p>
        </w:tc>
        <w:tc>
          <w:tcPr>
            <w:tcW w:w="789" w:type="dxa"/>
            <w:tcBorders>
              <w:top w:val="single" w:sz="4" w:space="0" w:color="000000"/>
              <w:left w:val="single" w:sz="4" w:space="0" w:color="000000"/>
              <w:bottom w:val="nil" w:sz="6" w:space="0" w:color="auto"/>
              <w:right w:val="single" w:sz="4" w:space="0" w:color="000000"/>
            </w:tcBorders>
          </w:tcPr>
          <w:p>
            <w:pPr/>
          </w:p>
        </w:tc>
        <w:tc>
          <w:tcPr>
            <w:tcW w:w="779" w:type="dxa"/>
            <w:tcBorders>
              <w:top w:val="single" w:sz="4" w:space="0" w:color="000000"/>
              <w:left w:val="single" w:sz="4" w:space="0" w:color="000000"/>
              <w:bottom w:val="nil" w:sz="6" w:space="0" w:color="auto"/>
              <w:right w:val="single" w:sz="12" w:space="0" w:color="000000"/>
            </w:tcBorders>
          </w:tcPr>
          <w:p>
            <w:pPr/>
          </w:p>
        </w:tc>
      </w:tr>
      <w:tr>
        <w:trPr>
          <w:trHeight w:val="160"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04"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99"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09</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26</w:t>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02" w:right="0"/>
              <w:jc w:val="left"/>
              <w:rPr>
                <w:rFonts w:ascii="宋体" w:hAnsi="宋体" w:cs="宋体" w:eastAsia="宋体" w:hint="default"/>
                <w:sz w:val="15"/>
                <w:szCs w:val="15"/>
              </w:rPr>
            </w:pPr>
            <w:r>
              <w:rPr>
                <w:rFonts w:ascii="宋体" w:hAnsi="宋体" w:cs="宋体" w:eastAsia="宋体" w:hint="default"/>
                <w:sz w:val="15"/>
                <w:szCs w:val="15"/>
              </w:rPr>
              <w:t>连带责任保</w:t>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Style w:val="TableParagraph"/>
              <w:spacing w:line="160" w:lineRule="exact"/>
              <w:ind w:left="92" w:right="0"/>
              <w:jc w:val="left"/>
              <w:rPr>
                <w:rFonts w:ascii="宋体" w:hAnsi="宋体" w:cs="宋体" w:eastAsia="宋体" w:hint="default"/>
                <w:sz w:val="15"/>
                <w:szCs w:val="15"/>
              </w:rPr>
            </w:pPr>
            <w:r>
              <w:rPr>
                <w:rFonts w:ascii="宋体" w:hAnsi="宋体" w:cs="宋体" w:eastAsia="宋体" w:hint="default"/>
                <w:sz w:val="15"/>
                <w:szCs w:val="15"/>
              </w:rPr>
              <w:t>集团有限公司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上海浦</w:t>
            </w:r>
          </w:p>
        </w:tc>
        <w:tc>
          <w:tcPr>
            <w:tcW w:w="926" w:type="dxa"/>
            <w:tcBorders>
              <w:top w:val="nil" w:sz="6" w:space="0" w:color="auto"/>
              <w:left w:val="single" w:sz="4" w:space="0" w:color="000000"/>
              <w:bottom w:val="nil" w:sz="6" w:space="0" w:color="auto"/>
              <w:right w:val="single" w:sz="4" w:space="0" w:color="000000"/>
            </w:tcBorders>
          </w:tcPr>
          <w:p>
            <w:pPr/>
          </w:p>
        </w:tc>
        <w:tc>
          <w:tcPr>
            <w:tcW w:w="921"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4"/>
              <w:jc w:val="right"/>
              <w:rPr>
                <w:rFonts w:ascii="Times New Roman" w:hAnsi="Times New Roman" w:cs="Times New Roman" w:eastAsia="Times New Roman" w:hint="default"/>
                <w:sz w:val="15"/>
                <w:szCs w:val="15"/>
              </w:rPr>
            </w:pPr>
            <w:r>
              <w:rPr>
                <w:rFonts w:ascii="Times New Roman"/>
                <w:spacing w:val="-1"/>
                <w:sz w:val="15"/>
              </w:rPr>
              <w:t>3,000</w:t>
            </w:r>
          </w:p>
        </w:tc>
        <w:tc>
          <w:tcPr>
            <w:tcW w:w="129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1"/>
              <w:jc w:val="right"/>
              <w:rPr>
                <w:rFonts w:ascii="Times New Roman" w:hAnsi="Times New Roman" w:cs="Times New Roman" w:eastAsia="Times New Roman" w:hint="default"/>
                <w:sz w:val="15"/>
                <w:szCs w:val="15"/>
              </w:rPr>
            </w:pPr>
            <w:r>
              <w:rPr>
                <w:rFonts w:ascii="Times New Roman"/>
                <w:spacing w:val="-1"/>
                <w:sz w:val="15"/>
              </w:rPr>
              <w:t>1,000</w:t>
            </w:r>
          </w:p>
        </w:tc>
        <w:tc>
          <w:tcPr>
            <w:tcW w:w="1035"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9"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79" w:type="dxa"/>
            <w:tcBorders>
              <w:top w:val="nil" w:sz="6" w:space="0" w:color="auto"/>
              <w:left w:val="single" w:sz="4" w:space="0" w:color="000000"/>
              <w:bottom w:val="nil" w:sz="6" w:space="0" w:color="auto"/>
              <w:right w:val="single" w:sz="12" w:space="0" w:color="000000"/>
            </w:tcBorders>
          </w:tcPr>
          <w:p>
            <w:pPr>
              <w:pStyle w:val="TableParagraph"/>
              <w:spacing w:line="149" w:lineRule="exact"/>
              <w:ind w:left="104"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0" w:lineRule="exact"/>
              <w:ind w:left="104"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99"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w w:val="99"/>
                <w:sz w:val="15"/>
                <w:szCs w:val="15"/>
              </w:rPr>
              <w:t>证</w:t>
            </w:r>
            <w:r>
              <w:rPr>
                <w:rFonts w:ascii="宋体" w:hAnsi="宋体" w:cs="宋体" w:eastAsia="宋体" w:hint="default"/>
                <w:sz w:val="15"/>
                <w:szCs w:val="15"/>
              </w:rPr>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236" w:hRule="exact"/>
        </w:trPr>
        <w:tc>
          <w:tcPr>
            <w:tcW w:w="1709" w:type="dxa"/>
            <w:tcBorders>
              <w:top w:val="nil" w:sz="6" w:space="0" w:color="auto"/>
              <w:left w:val="single" w:sz="12" w:space="0" w:color="000000"/>
              <w:bottom w:val="single" w:sz="4" w:space="0" w:color="000000"/>
              <w:right w:val="single" w:sz="4" w:space="0" w:color="000000"/>
            </w:tcBorders>
          </w:tcPr>
          <w:p>
            <w:pPr>
              <w:pStyle w:val="TableParagraph"/>
              <w:spacing w:line="160" w:lineRule="exact"/>
              <w:ind w:left="9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东发展银行中山支行</w:t>
            </w:r>
            <w:r>
              <w:rPr>
                <w:rFonts w:ascii="Times New Roman" w:hAnsi="Times New Roman" w:cs="Times New Roman" w:eastAsia="Times New Roman" w:hint="default"/>
                <w:sz w:val="15"/>
                <w:szCs w:val="15"/>
              </w:rPr>
              <w:t>)</w:t>
            </w:r>
          </w:p>
        </w:tc>
        <w:tc>
          <w:tcPr>
            <w:tcW w:w="926" w:type="dxa"/>
            <w:tcBorders>
              <w:top w:val="nil" w:sz="6" w:space="0" w:color="auto"/>
              <w:left w:val="single" w:sz="4" w:space="0" w:color="000000"/>
              <w:bottom w:val="single" w:sz="4" w:space="0" w:color="000000"/>
              <w:right w:val="single" w:sz="4" w:space="0" w:color="000000"/>
            </w:tcBorders>
          </w:tcPr>
          <w:p>
            <w:pPr/>
          </w:p>
        </w:tc>
        <w:tc>
          <w:tcPr>
            <w:tcW w:w="921" w:type="dxa"/>
            <w:tcBorders>
              <w:top w:val="nil" w:sz="6" w:space="0" w:color="auto"/>
              <w:left w:val="single" w:sz="4" w:space="0" w:color="000000"/>
              <w:bottom w:val="single" w:sz="4" w:space="0" w:color="000000"/>
              <w:right w:val="single" w:sz="4" w:space="0" w:color="000000"/>
            </w:tcBorders>
          </w:tcPr>
          <w:p>
            <w:pPr/>
          </w:p>
        </w:tc>
        <w:tc>
          <w:tcPr>
            <w:tcW w:w="129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35" w:type="dxa"/>
            <w:tcBorders>
              <w:top w:val="nil" w:sz="6" w:space="0" w:color="auto"/>
              <w:left w:val="single" w:sz="4" w:space="0" w:color="000000"/>
              <w:bottom w:val="single" w:sz="4" w:space="0" w:color="000000"/>
              <w:right w:val="single" w:sz="4" w:space="0" w:color="000000"/>
            </w:tcBorders>
          </w:tcPr>
          <w:p>
            <w:pPr/>
          </w:p>
        </w:tc>
        <w:tc>
          <w:tcPr>
            <w:tcW w:w="1052" w:type="dxa"/>
            <w:tcBorders>
              <w:top w:val="nil" w:sz="6" w:space="0" w:color="auto"/>
              <w:left w:val="single" w:sz="4" w:space="0" w:color="000000"/>
              <w:bottom w:val="single" w:sz="4" w:space="0" w:color="000000"/>
              <w:right w:val="single" w:sz="4" w:space="0" w:color="000000"/>
            </w:tcBorders>
          </w:tcPr>
          <w:p>
            <w:pPr/>
          </w:p>
        </w:tc>
        <w:tc>
          <w:tcPr>
            <w:tcW w:w="789" w:type="dxa"/>
            <w:tcBorders>
              <w:top w:val="nil" w:sz="6" w:space="0" w:color="auto"/>
              <w:left w:val="single" w:sz="4" w:space="0" w:color="000000"/>
              <w:bottom w:val="single" w:sz="4" w:space="0" w:color="000000"/>
              <w:right w:val="single" w:sz="4" w:space="0" w:color="000000"/>
            </w:tcBorders>
          </w:tcPr>
          <w:p>
            <w:pPr/>
          </w:p>
        </w:tc>
        <w:tc>
          <w:tcPr>
            <w:tcW w:w="779" w:type="dxa"/>
            <w:tcBorders>
              <w:top w:val="nil" w:sz="6" w:space="0" w:color="auto"/>
              <w:left w:val="single" w:sz="4" w:space="0" w:color="000000"/>
              <w:bottom w:val="single" w:sz="4" w:space="0" w:color="000000"/>
              <w:right w:val="single" w:sz="12" w:space="0" w:color="000000"/>
            </w:tcBorders>
          </w:tcPr>
          <w:p>
            <w:pPr/>
          </w:p>
        </w:tc>
      </w:tr>
      <w:tr>
        <w:trPr>
          <w:trHeight w:val="240" w:hRule="exact"/>
        </w:trPr>
        <w:tc>
          <w:tcPr>
            <w:tcW w:w="1709" w:type="dxa"/>
            <w:tcBorders>
              <w:top w:val="single" w:sz="4" w:space="0" w:color="000000"/>
              <w:left w:val="single" w:sz="12" w:space="0" w:color="000000"/>
              <w:bottom w:val="nil" w:sz="6" w:space="0" w:color="auto"/>
              <w:right w:val="single" w:sz="4" w:space="0" w:color="000000"/>
            </w:tcBorders>
          </w:tcPr>
          <w:p>
            <w:pPr>
              <w:pStyle w:val="TableParagraph"/>
              <w:spacing w:line="240" w:lineRule="auto" w:before="35"/>
              <w:ind w:left="92" w:right="0"/>
              <w:jc w:val="left"/>
              <w:rPr>
                <w:rFonts w:ascii="宋体" w:hAnsi="宋体" w:cs="宋体" w:eastAsia="宋体" w:hint="default"/>
                <w:sz w:val="15"/>
                <w:szCs w:val="15"/>
              </w:rPr>
            </w:pPr>
            <w:r>
              <w:rPr>
                <w:rFonts w:ascii="宋体" w:hAnsi="宋体" w:cs="宋体" w:eastAsia="宋体" w:hint="default"/>
                <w:sz w:val="15"/>
                <w:szCs w:val="15"/>
              </w:rPr>
              <w:t>浙江万马高分子材料</w:t>
            </w:r>
          </w:p>
        </w:tc>
        <w:tc>
          <w:tcPr>
            <w:tcW w:w="926" w:type="dxa"/>
            <w:tcBorders>
              <w:top w:val="single" w:sz="4" w:space="0" w:color="000000"/>
              <w:left w:val="single" w:sz="4" w:space="0" w:color="000000"/>
              <w:bottom w:val="nil" w:sz="6" w:space="0" w:color="auto"/>
              <w:right w:val="single" w:sz="4" w:space="0" w:color="000000"/>
            </w:tcBorders>
          </w:tcPr>
          <w:p>
            <w:pPr/>
          </w:p>
        </w:tc>
        <w:tc>
          <w:tcPr>
            <w:tcW w:w="921" w:type="dxa"/>
            <w:tcBorders>
              <w:top w:val="single" w:sz="4" w:space="0" w:color="000000"/>
              <w:left w:val="single" w:sz="4" w:space="0" w:color="000000"/>
              <w:bottom w:val="nil" w:sz="6" w:space="0" w:color="auto"/>
              <w:right w:val="single" w:sz="4" w:space="0" w:color="000000"/>
            </w:tcBorders>
          </w:tcPr>
          <w:p>
            <w:pPr/>
          </w:p>
        </w:tc>
        <w:tc>
          <w:tcPr>
            <w:tcW w:w="129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35" w:type="dxa"/>
            <w:tcBorders>
              <w:top w:val="single" w:sz="4" w:space="0" w:color="000000"/>
              <w:left w:val="single" w:sz="4" w:space="0" w:color="000000"/>
              <w:bottom w:val="nil" w:sz="6" w:space="0" w:color="auto"/>
              <w:right w:val="single" w:sz="4" w:space="0" w:color="000000"/>
            </w:tcBorders>
          </w:tcPr>
          <w:p>
            <w:pPr/>
          </w:p>
        </w:tc>
        <w:tc>
          <w:tcPr>
            <w:tcW w:w="1052" w:type="dxa"/>
            <w:tcBorders>
              <w:top w:val="single" w:sz="4" w:space="0" w:color="000000"/>
              <w:left w:val="single" w:sz="4" w:space="0" w:color="000000"/>
              <w:bottom w:val="nil" w:sz="6" w:space="0" w:color="auto"/>
              <w:right w:val="single" w:sz="4" w:space="0" w:color="000000"/>
            </w:tcBorders>
          </w:tcPr>
          <w:p>
            <w:pPr/>
          </w:p>
        </w:tc>
        <w:tc>
          <w:tcPr>
            <w:tcW w:w="789" w:type="dxa"/>
            <w:tcBorders>
              <w:top w:val="single" w:sz="4" w:space="0" w:color="000000"/>
              <w:left w:val="single" w:sz="4" w:space="0" w:color="000000"/>
              <w:bottom w:val="nil" w:sz="6" w:space="0" w:color="auto"/>
              <w:right w:val="single" w:sz="4" w:space="0" w:color="000000"/>
            </w:tcBorders>
          </w:tcPr>
          <w:p>
            <w:pPr/>
          </w:p>
        </w:tc>
        <w:tc>
          <w:tcPr>
            <w:tcW w:w="779" w:type="dxa"/>
            <w:tcBorders>
              <w:top w:val="single" w:sz="4" w:space="0" w:color="000000"/>
              <w:left w:val="single" w:sz="4" w:space="0" w:color="000000"/>
              <w:bottom w:val="nil" w:sz="6" w:space="0" w:color="auto"/>
              <w:right w:val="single" w:sz="12" w:space="0" w:color="000000"/>
            </w:tcBorders>
          </w:tcPr>
          <w:p>
            <w:pPr/>
          </w:p>
        </w:tc>
      </w:tr>
      <w:tr>
        <w:trPr>
          <w:trHeight w:val="160"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04"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99"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04</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28</w:t>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02" w:right="0"/>
              <w:jc w:val="left"/>
              <w:rPr>
                <w:rFonts w:ascii="宋体" w:hAnsi="宋体" w:cs="宋体" w:eastAsia="宋体" w:hint="default"/>
                <w:sz w:val="15"/>
                <w:szCs w:val="15"/>
              </w:rPr>
            </w:pPr>
            <w:r>
              <w:rPr>
                <w:rFonts w:ascii="宋体" w:hAnsi="宋体" w:cs="宋体" w:eastAsia="宋体" w:hint="default"/>
                <w:sz w:val="15"/>
                <w:szCs w:val="15"/>
              </w:rPr>
              <w:t>连带责任保</w:t>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Style w:val="TableParagraph"/>
              <w:spacing w:line="160" w:lineRule="exact"/>
              <w:ind w:left="92" w:right="0"/>
              <w:jc w:val="left"/>
              <w:rPr>
                <w:rFonts w:ascii="宋体" w:hAnsi="宋体" w:cs="宋体" w:eastAsia="宋体" w:hint="default"/>
                <w:sz w:val="15"/>
                <w:szCs w:val="15"/>
              </w:rPr>
            </w:pPr>
            <w:r>
              <w:rPr>
                <w:rFonts w:ascii="宋体" w:hAnsi="宋体" w:cs="宋体" w:eastAsia="宋体" w:hint="default"/>
                <w:sz w:val="15"/>
                <w:szCs w:val="15"/>
              </w:rPr>
              <w:t>集团有限公司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交行临</w:t>
            </w:r>
          </w:p>
        </w:tc>
        <w:tc>
          <w:tcPr>
            <w:tcW w:w="926" w:type="dxa"/>
            <w:tcBorders>
              <w:top w:val="nil" w:sz="6" w:space="0" w:color="auto"/>
              <w:left w:val="single" w:sz="4" w:space="0" w:color="000000"/>
              <w:bottom w:val="nil" w:sz="6" w:space="0" w:color="auto"/>
              <w:right w:val="single" w:sz="4" w:space="0" w:color="000000"/>
            </w:tcBorders>
          </w:tcPr>
          <w:p>
            <w:pPr/>
          </w:p>
        </w:tc>
        <w:tc>
          <w:tcPr>
            <w:tcW w:w="921"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4"/>
              <w:jc w:val="right"/>
              <w:rPr>
                <w:rFonts w:ascii="Times New Roman" w:hAnsi="Times New Roman" w:cs="Times New Roman" w:eastAsia="Times New Roman" w:hint="default"/>
                <w:sz w:val="15"/>
                <w:szCs w:val="15"/>
              </w:rPr>
            </w:pPr>
            <w:r>
              <w:rPr>
                <w:rFonts w:ascii="Times New Roman"/>
                <w:spacing w:val="-1"/>
                <w:sz w:val="15"/>
              </w:rPr>
              <w:t>8,600</w:t>
            </w:r>
          </w:p>
        </w:tc>
        <w:tc>
          <w:tcPr>
            <w:tcW w:w="129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1"/>
              <w:jc w:val="right"/>
              <w:rPr>
                <w:rFonts w:ascii="Times New Roman" w:hAnsi="Times New Roman" w:cs="Times New Roman" w:eastAsia="Times New Roman" w:hint="default"/>
                <w:sz w:val="15"/>
                <w:szCs w:val="15"/>
              </w:rPr>
            </w:pPr>
            <w:r>
              <w:rPr>
                <w:rFonts w:ascii="Times New Roman"/>
                <w:spacing w:val="-1"/>
                <w:sz w:val="15"/>
              </w:rPr>
              <w:t>5,120</w:t>
            </w:r>
          </w:p>
        </w:tc>
        <w:tc>
          <w:tcPr>
            <w:tcW w:w="1035"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9"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79" w:type="dxa"/>
            <w:tcBorders>
              <w:top w:val="nil" w:sz="6" w:space="0" w:color="auto"/>
              <w:left w:val="single" w:sz="4" w:space="0" w:color="000000"/>
              <w:bottom w:val="nil" w:sz="6" w:space="0" w:color="auto"/>
              <w:right w:val="single" w:sz="12" w:space="0" w:color="000000"/>
            </w:tcBorders>
          </w:tcPr>
          <w:p>
            <w:pPr>
              <w:pStyle w:val="TableParagraph"/>
              <w:spacing w:line="149" w:lineRule="exact"/>
              <w:ind w:left="104"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0" w:lineRule="exact"/>
              <w:ind w:left="104"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99"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w w:val="99"/>
                <w:sz w:val="15"/>
                <w:szCs w:val="15"/>
              </w:rPr>
              <w:t>证</w:t>
            </w:r>
            <w:r>
              <w:rPr>
                <w:rFonts w:ascii="宋体" w:hAnsi="宋体" w:cs="宋体" w:eastAsia="宋体" w:hint="default"/>
                <w:sz w:val="15"/>
                <w:szCs w:val="15"/>
              </w:rPr>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234" w:hRule="exact"/>
        </w:trPr>
        <w:tc>
          <w:tcPr>
            <w:tcW w:w="1709" w:type="dxa"/>
            <w:tcBorders>
              <w:top w:val="nil" w:sz="6" w:space="0" w:color="auto"/>
              <w:left w:val="single" w:sz="12" w:space="0" w:color="000000"/>
              <w:bottom w:val="single" w:sz="4" w:space="0" w:color="000000"/>
              <w:right w:val="single" w:sz="4" w:space="0" w:color="000000"/>
            </w:tcBorders>
          </w:tcPr>
          <w:p>
            <w:pPr>
              <w:pStyle w:val="TableParagraph"/>
              <w:spacing w:line="160" w:lineRule="exact"/>
              <w:ind w:left="9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安支行</w:t>
            </w:r>
            <w:r>
              <w:rPr>
                <w:rFonts w:ascii="Times New Roman" w:hAnsi="Times New Roman" w:cs="Times New Roman" w:eastAsia="Times New Roman" w:hint="default"/>
                <w:sz w:val="15"/>
                <w:szCs w:val="15"/>
              </w:rPr>
              <w:t>)</w:t>
            </w:r>
          </w:p>
        </w:tc>
        <w:tc>
          <w:tcPr>
            <w:tcW w:w="926" w:type="dxa"/>
            <w:tcBorders>
              <w:top w:val="nil" w:sz="6" w:space="0" w:color="auto"/>
              <w:left w:val="single" w:sz="4" w:space="0" w:color="000000"/>
              <w:bottom w:val="single" w:sz="4" w:space="0" w:color="000000"/>
              <w:right w:val="single" w:sz="4" w:space="0" w:color="000000"/>
            </w:tcBorders>
          </w:tcPr>
          <w:p>
            <w:pPr/>
          </w:p>
        </w:tc>
        <w:tc>
          <w:tcPr>
            <w:tcW w:w="921" w:type="dxa"/>
            <w:tcBorders>
              <w:top w:val="nil" w:sz="6" w:space="0" w:color="auto"/>
              <w:left w:val="single" w:sz="4" w:space="0" w:color="000000"/>
              <w:bottom w:val="single" w:sz="4" w:space="0" w:color="000000"/>
              <w:right w:val="single" w:sz="4" w:space="0" w:color="000000"/>
            </w:tcBorders>
          </w:tcPr>
          <w:p>
            <w:pPr/>
          </w:p>
        </w:tc>
        <w:tc>
          <w:tcPr>
            <w:tcW w:w="129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35" w:type="dxa"/>
            <w:tcBorders>
              <w:top w:val="nil" w:sz="6" w:space="0" w:color="auto"/>
              <w:left w:val="single" w:sz="4" w:space="0" w:color="000000"/>
              <w:bottom w:val="single" w:sz="4" w:space="0" w:color="000000"/>
              <w:right w:val="single" w:sz="4" w:space="0" w:color="000000"/>
            </w:tcBorders>
          </w:tcPr>
          <w:p>
            <w:pPr/>
          </w:p>
        </w:tc>
        <w:tc>
          <w:tcPr>
            <w:tcW w:w="1052" w:type="dxa"/>
            <w:tcBorders>
              <w:top w:val="nil" w:sz="6" w:space="0" w:color="auto"/>
              <w:left w:val="single" w:sz="4" w:space="0" w:color="000000"/>
              <w:bottom w:val="single" w:sz="4" w:space="0" w:color="000000"/>
              <w:right w:val="single" w:sz="4" w:space="0" w:color="000000"/>
            </w:tcBorders>
          </w:tcPr>
          <w:p>
            <w:pPr/>
          </w:p>
        </w:tc>
        <w:tc>
          <w:tcPr>
            <w:tcW w:w="789" w:type="dxa"/>
            <w:tcBorders>
              <w:top w:val="nil" w:sz="6" w:space="0" w:color="auto"/>
              <w:left w:val="single" w:sz="4" w:space="0" w:color="000000"/>
              <w:bottom w:val="single" w:sz="4" w:space="0" w:color="000000"/>
              <w:right w:val="single" w:sz="4" w:space="0" w:color="000000"/>
            </w:tcBorders>
          </w:tcPr>
          <w:p>
            <w:pPr/>
          </w:p>
        </w:tc>
        <w:tc>
          <w:tcPr>
            <w:tcW w:w="779" w:type="dxa"/>
            <w:tcBorders>
              <w:top w:val="nil" w:sz="6" w:space="0" w:color="auto"/>
              <w:left w:val="single" w:sz="4" w:space="0" w:color="000000"/>
              <w:bottom w:val="single" w:sz="4" w:space="0" w:color="000000"/>
              <w:right w:val="single" w:sz="12" w:space="0" w:color="000000"/>
            </w:tcBorders>
          </w:tcPr>
          <w:p>
            <w:pPr/>
          </w:p>
        </w:tc>
      </w:tr>
      <w:tr>
        <w:trPr>
          <w:trHeight w:val="239" w:hRule="exact"/>
        </w:trPr>
        <w:tc>
          <w:tcPr>
            <w:tcW w:w="1709" w:type="dxa"/>
            <w:tcBorders>
              <w:top w:val="single" w:sz="4" w:space="0" w:color="000000"/>
              <w:left w:val="single" w:sz="12" w:space="0" w:color="000000"/>
              <w:bottom w:val="nil" w:sz="6" w:space="0" w:color="auto"/>
              <w:right w:val="single" w:sz="4" w:space="0" w:color="000000"/>
            </w:tcBorders>
          </w:tcPr>
          <w:p>
            <w:pPr>
              <w:pStyle w:val="TableParagraph"/>
              <w:spacing w:line="240" w:lineRule="auto" w:before="35"/>
              <w:ind w:left="92" w:right="0"/>
              <w:jc w:val="left"/>
              <w:rPr>
                <w:rFonts w:ascii="宋体" w:hAnsi="宋体" w:cs="宋体" w:eastAsia="宋体" w:hint="default"/>
                <w:sz w:val="15"/>
                <w:szCs w:val="15"/>
              </w:rPr>
            </w:pPr>
            <w:r>
              <w:rPr>
                <w:rFonts w:ascii="宋体" w:hAnsi="宋体" w:cs="宋体" w:eastAsia="宋体" w:hint="default"/>
                <w:sz w:val="15"/>
                <w:szCs w:val="15"/>
              </w:rPr>
              <w:t>浙江万马高分子材料</w:t>
            </w:r>
          </w:p>
        </w:tc>
        <w:tc>
          <w:tcPr>
            <w:tcW w:w="926" w:type="dxa"/>
            <w:tcBorders>
              <w:top w:val="single" w:sz="4" w:space="0" w:color="000000"/>
              <w:left w:val="single" w:sz="4" w:space="0" w:color="000000"/>
              <w:bottom w:val="nil" w:sz="6" w:space="0" w:color="auto"/>
              <w:right w:val="single" w:sz="4" w:space="0" w:color="000000"/>
            </w:tcBorders>
          </w:tcPr>
          <w:p>
            <w:pPr/>
          </w:p>
        </w:tc>
        <w:tc>
          <w:tcPr>
            <w:tcW w:w="921" w:type="dxa"/>
            <w:tcBorders>
              <w:top w:val="single" w:sz="4" w:space="0" w:color="000000"/>
              <w:left w:val="single" w:sz="4" w:space="0" w:color="000000"/>
              <w:bottom w:val="nil" w:sz="6" w:space="0" w:color="auto"/>
              <w:right w:val="single" w:sz="4" w:space="0" w:color="000000"/>
            </w:tcBorders>
          </w:tcPr>
          <w:p>
            <w:pPr/>
          </w:p>
        </w:tc>
        <w:tc>
          <w:tcPr>
            <w:tcW w:w="129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35" w:type="dxa"/>
            <w:tcBorders>
              <w:top w:val="single" w:sz="4" w:space="0" w:color="000000"/>
              <w:left w:val="single" w:sz="4" w:space="0" w:color="000000"/>
              <w:bottom w:val="nil" w:sz="6" w:space="0" w:color="auto"/>
              <w:right w:val="single" w:sz="4" w:space="0" w:color="000000"/>
            </w:tcBorders>
          </w:tcPr>
          <w:p>
            <w:pPr/>
          </w:p>
        </w:tc>
        <w:tc>
          <w:tcPr>
            <w:tcW w:w="1052" w:type="dxa"/>
            <w:tcBorders>
              <w:top w:val="single" w:sz="4" w:space="0" w:color="000000"/>
              <w:left w:val="single" w:sz="4" w:space="0" w:color="000000"/>
              <w:bottom w:val="nil" w:sz="6" w:space="0" w:color="auto"/>
              <w:right w:val="single" w:sz="4" w:space="0" w:color="000000"/>
            </w:tcBorders>
          </w:tcPr>
          <w:p>
            <w:pPr/>
          </w:p>
        </w:tc>
        <w:tc>
          <w:tcPr>
            <w:tcW w:w="789" w:type="dxa"/>
            <w:tcBorders>
              <w:top w:val="single" w:sz="4" w:space="0" w:color="000000"/>
              <w:left w:val="single" w:sz="4" w:space="0" w:color="000000"/>
              <w:bottom w:val="nil" w:sz="6" w:space="0" w:color="auto"/>
              <w:right w:val="single" w:sz="4" w:space="0" w:color="000000"/>
            </w:tcBorders>
          </w:tcPr>
          <w:p>
            <w:pPr/>
          </w:p>
        </w:tc>
        <w:tc>
          <w:tcPr>
            <w:tcW w:w="779" w:type="dxa"/>
            <w:tcBorders>
              <w:top w:val="single" w:sz="4" w:space="0" w:color="000000"/>
              <w:left w:val="single" w:sz="4" w:space="0" w:color="000000"/>
              <w:bottom w:val="nil" w:sz="6" w:space="0" w:color="auto"/>
              <w:right w:val="single" w:sz="12" w:space="0" w:color="000000"/>
            </w:tcBorders>
          </w:tcPr>
          <w:p>
            <w:pPr/>
          </w:p>
        </w:tc>
      </w:tr>
      <w:tr>
        <w:trPr>
          <w:trHeight w:val="160"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04"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99"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11</w:t>
            </w:r>
            <w:r>
              <w:rPr>
                <w:rFonts w:ascii="Times New Roman" w:hAnsi="Times New Roman" w:cs="Times New Roman" w:eastAsia="Times New Roman" w:hint="default"/>
                <w:spacing w:val="-7"/>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18</w:t>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02" w:right="0"/>
              <w:jc w:val="left"/>
              <w:rPr>
                <w:rFonts w:ascii="宋体" w:hAnsi="宋体" w:cs="宋体" w:eastAsia="宋体" w:hint="default"/>
                <w:sz w:val="15"/>
                <w:szCs w:val="15"/>
              </w:rPr>
            </w:pPr>
            <w:r>
              <w:rPr>
                <w:rFonts w:ascii="宋体" w:hAnsi="宋体" w:cs="宋体" w:eastAsia="宋体" w:hint="default"/>
                <w:sz w:val="15"/>
                <w:szCs w:val="15"/>
              </w:rPr>
              <w:t>连带责任保</w:t>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Style w:val="TableParagraph"/>
              <w:spacing w:line="160" w:lineRule="exact"/>
              <w:ind w:left="92" w:right="0"/>
              <w:jc w:val="left"/>
              <w:rPr>
                <w:rFonts w:ascii="宋体" w:hAnsi="宋体" w:cs="宋体" w:eastAsia="宋体" w:hint="default"/>
                <w:sz w:val="15"/>
                <w:szCs w:val="15"/>
              </w:rPr>
            </w:pPr>
            <w:r>
              <w:rPr>
                <w:rFonts w:ascii="宋体" w:hAnsi="宋体" w:cs="宋体" w:eastAsia="宋体" w:hint="default"/>
                <w:sz w:val="15"/>
                <w:szCs w:val="15"/>
              </w:rPr>
              <w:t>集团有限公司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兴业银</w:t>
            </w:r>
          </w:p>
        </w:tc>
        <w:tc>
          <w:tcPr>
            <w:tcW w:w="926" w:type="dxa"/>
            <w:tcBorders>
              <w:top w:val="nil" w:sz="6" w:space="0" w:color="auto"/>
              <w:left w:val="single" w:sz="4" w:space="0" w:color="000000"/>
              <w:bottom w:val="nil" w:sz="6" w:space="0" w:color="auto"/>
              <w:right w:val="single" w:sz="4" w:space="0" w:color="000000"/>
            </w:tcBorders>
          </w:tcPr>
          <w:p>
            <w:pPr/>
          </w:p>
        </w:tc>
        <w:tc>
          <w:tcPr>
            <w:tcW w:w="921"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4"/>
              <w:jc w:val="right"/>
              <w:rPr>
                <w:rFonts w:ascii="Times New Roman" w:hAnsi="Times New Roman" w:cs="Times New Roman" w:eastAsia="Times New Roman" w:hint="default"/>
                <w:sz w:val="15"/>
                <w:szCs w:val="15"/>
              </w:rPr>
            </w:pPr>
            <w:r>
              <w:rPr>
                <w:rFonts w:ascii="Times New Roman"/>
                <w:spacing w:val="-1"/>
                <w:sz w:val="15"/>
              </w:rPr>
              <w:t>15,000</w:t>
            </w:r>
          </w:p>
        </w:tc>
        <w:tc>
          <w:tcPr>
            <w:tcW w:w="129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160" w:lineRule="exact"/>
              <w:ind w:right="101"/>
              <w:jc w:val="right"/>
              <w:rPr>
                <w:rFonts w:ascii="Times New Roman" w:hAnsi="Times New Roman" w:cs="Times New Roman" w:eastAsia="Times New Roman" w:hint="default"/>
                <w:sz w:val="15"/>
                <w:szCs w:val="15"/>
              </w:rPr>
            </w:pPr>
            <w:r>
              <w:rPr>
                <w:rFonts w:ascii="Times New Roman"/>
                <w:spacing w:val="-1"/>
                <w:sz w:val="15"/>
              </w:rPr>
              <w:t>5,640</w:t>
            </w:r>
          </w:p>
        </w:tc>
        <w:tc>
          <w:tcPr>
            <w:tcW w:w="1035"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9"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79" w:type="dxa"/>
            <w:tcBorders>
              <w:top w:val="nil" w:sz="6" w:space="0" w:color="auto"/>
              <w:left w:val="single" w:sz="4" w:space="0" w:color="000000"/>
              <w:bottom w:val="nil" w:sz="6" w:space="0" w:color="auto"/>
              <w:right w:val="single" w:sz="12" w:space="0" w:color="000000"/>
            </w:tcBorders>
          </w:tcPr>
          <w:p>
            <w:pPr>
              <w:pStyle w:val="TableParagraph"/>
              <w:spacing w:line="149" w:lineRule="exact"/>
              <w:ind w:left="104"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156" w:hRule="exact"/>
        </w:trPr>
        <w:tc>
          <w:tcPr>
            <w:tcW w:w="1709" w:type="dxa"/>
            <w:tcBorders>
              <w:top w:val="nil" w:sz="6" w:space="0" w:color="auto"/>
              <w:left w:val="single" w:sz="12"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60" w:lineRule="exact"/>
              <w:ind w:left="104"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1"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99"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63" w:type="dxa"/>
            <w:tcBorders>
              <w:top w:val="nil" w:sz="6" w:space="0" w:color="auto"/>
              <w:left w:val="single" w:sz="4" w:space="0" w:color="000000"/>
              <w:bottom w:val="nil" w:sz="6" w:space="0" w:color="auto"/>
              <w:right w:val="single" w:sz="4" w:space="0" w:color="000000"/>
            </w:tcBorders>
          </w:tcPr>
          <w:p>
            <w:pP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02" w:right="0"/>
              <w:jc w:val="left"/>
              <w:rPr>
                <w:rFonts w:ascii="宋体" w:hAnsi="宋体" w:cs="宋体" w:eastAsia="宋体" w:hint="default"/>
                <w:sz w:val="15"/>
                <w:szCs w:val="15"/>
              </w:rPr>
            </w:pPr>
            <w:r>
              <w:rPr>
                <w:rFonts w:ascii="宋体" w:hAnsi="宋体" w:cs="宋体" w:eastAsia="宋体" w:hint="default"/>
                <w:w w:val="99"/>
                <w:sz w:val="15"/>
                <w:szCs w:val="15"/>
              </w:rPr>
              <w:t>证</w:t>
            </w:r>
            <w:r>
              <w:rPr>
                <w:rFonts w:ascii="宋体" w:hAnsi="宋体" w:cs="宋体" w:eastAsia="宋体" w:hint="default"/>
                <w:sz w:val="15"/>
                <w:szCs w:val="15"/>
              </w:rPr>
            </w:r>
          </w:p>
        </w:tc>
        <w:tc>
          <w:tcPr>
            <w:tcW w:w="1052" w:type="dxa"/>
            <w:tcBorders>
              <w:top w:val="nil" w:sz="6" w:space="0" w:color="auto"/>
              <w:left w:val="single" w:sz="4" w:space="0" w:color="000000"/>
              <w:bottom w:val="nil" w:sz="6" w:space="0" w:color="auto"/>
              <w:right w:val="single" w:sz="4" w:space="0" w:color="000000"/>
            </w:tcBorders>
          </w:tcPr>
          <w:p>
            <w:pPr/>
          </w:p>
        </w:tc>
        <w:tc>
          <w:tcPr>
            <w:tcW w:w="789" w:type="dxa"/>
            <w:tcBorders>
              <w:top w:val="nil" w:sz="6" w:space="0" w:color="auto"/>
              <w:left w:val="single" w:sz="4" w:space="0" w:color="000000"/>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single" w:sz="12" w:space="0" w:color="000000"/>
            </w:tcBorders>
          </w:tcPr>
          <w:p>
            <w:pPr/>
          </w:p>
        </w:tc>
      </w:tr>
      <w:tr>
        <w:trPr>
          <w:trHeight w:val="233" w:hRule="exact"/>
        </w:trPr>
        <w:tc>
          <w:tcPr>
            <w:tcW w:w="1709" w:type="dxa"/>
            <w:tcBorders>
              <w:top w:val="nil" w:sz="6" w:space="0" w:color="auto"/>
              <w:left w:val="single" w:sz="12" w:space="0" w:color="000000"/>
              <w:bottom w:val="single" w:sz="4" w:space="0" w:color="000000"/>
              <w:right w:val="single" w:sz="4" w:space="0" w:color="000000"/>
            </w:tcBorders>
          </w:tcPr>
          <w:p>
            <w:pPr>
              <w:pStyle w:val="TableParagraph"/>
              <w:spacing w:line="160" w:lineRule="exact"/>
              <w:ind w:left="9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行临安支行</w:t>
            </w:r>
            <w:r>
              <w:rPr>
                <w:rFonts w:ascii="Times New Roman" w:hAnsi="Times New Roman" w:cs="Times New Roman" w:eastAsia="Times New Roman" w:hint="default"/>
                <w:sz w:val="15"/>
                <w:szCs w:val="15"/>
              </w:rPr>
              <w:t>)</w:t>
            </w:r>
          </w:p>
        </w:tc>
        <w:tc>
          <w:tcPr>
            <w:tcW w:w="926" w:type="dxa"/>
            <w:tcBorders>
              <w:top w:val="nil" w:sz="6" w:space="0" w:color="auto"/>
              <w:left w:val="single" w:sz="4" w:space="0" w:color="000000"/>
              <w:bottom w:val="single" w:sz="4" w:space="0" w:color="000000"/>
              <w:right w:val="single" w:sz="4" w:space="0" w:color="000000"/>
            </w:tcBorders>
          </w:tcPr>
          <w:p>
            <w:pPr/>
          </w:p>
        </w:tc>
        <w:tc>
          <w:tcPr>
            <w:tcW w:w="921" w:type="dxa"/>
            <w:tcBorders>
              <w:top w:val="nil" w:sz="6" w:space="0" w:color="auto"/>
              <w:left w:val="single" w:sz="4" w:space="0" w:color="000000"/>
              <w:bottom w:val="single" w:sz="4" w:space="0" w:color="000000"/>
              <w:right w:val="single" w:sz="4" w:space="0" w:color="000000"/>
            </w:tcBorders>
          </w:tcPr>
          <w:p>
            <w:pPr/>
          </w:p>
        </w:tc>
        <w:tc>
          <w:tcPr>
            <w:tcW w:w="129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35" w:type="dxa"/>
            <w:tcBorders>
              <w:top w:val="nil" w:sz="6" w:space="0" w:color="auto"/>
              <w:left w:val="single" w:sz="4" w:space="0" w:color="000000"/>
              <w:bottom w:val="single" w:sz="4" w:space="0" w:color="000000"/>
              <w:right w:val="single" w:sz="4" w:space="0" w:color="000000"/>
            </w:tcBorders>
          </w:tcPr>
          <w:p>
            <w:pPr/>
          </w:p>
        </w:tc>
        <w:tc>
          <w:tcPr>
            <w:tcW w:w="1052" w:type="dxa"/>
            <w:tcBorders>
              <w:top w:val="nil" w:sz="6" w:space="0" w:color="auto"/>
              <w:left w:val="single" w:sz="4" w:space="0" w:color="000000"/>
              <w:bottom w:val="single" w:sz="4" w:space="0" w:color="000000"/>
              <w:right w:val="single" w:sz="4" w:space="0" w:color="000000"/>
            </w:tcBorders>
          </w:tcPr>
          <w:p>
            <w:pPr/>
          </w:p>
        </w:tc>
        <w:tc>
          <w:tcPr>
            <w:tcW w:w="789" w:type="dxa"/>
            <w:tcBorders>
              <w:top w:val="nil" w:sz="6" w:space="0" w:color="auto"/>
              <w:left w:val="single" w:sz="4" w:space="0" w:color="000000"/>
              <w:bottom w:val="single" w:sz="4" w:space="0" w:color="000000"/>
              <w:right w:val="single" w:sz="4" w:space="0" w:color="000000"/>
            </w:tcBorders>
          </w:tcPr>
          <w:p>
            <w:pPr/>
          </w:p>
        </w:tc>
        <w:tc>
          <w:tcPr>
            <w:tcW w:w="779" w:type="dxa"/>
            <w:tcBorders>
              <w:top w:val="nil" w:sz="6" w:space="0" w:color="auto"/>
              <w:left w:val="single" w:sz="4" w:space="0" w:color="000000"/>
              <w:bottom w:val="single" w:sz="4" w:space="0" w:color="000000"/>
              <w:right w:val="single" w:sz="12" w:space="0" w:color="000000"/>
            </w:tcBorders>
          </w:tcPr>
          <w:p>
            <w:pPr/>
          </w:p>
        </w:tc>
      </w:tr>
    </w:tbl>
    <w:p>
      <w:pPr>
        <w:spacing w:after="0"/>
        <w:sectPr>
          <w:headerReference w:type="default" r:id="rId28"/>
          <w:pgSz w:w="11910" w:h="16840"/>
          <w:pgMar w:header="890" w:footer="1053" w:top="1420" w:bottom="1240" w:left="1320" w:right="0"/>
        </w:sectPr>
      </w:pPr>
    </w:p>
    <w:tbl>
      <w:tblPr>
        <w:tblW w:w="0" w:type="auto"/>
        <w:jc w:val="left"/>
        <w:tblInd w:w="111" w:type="dxa"/>
        <w:tblLayout w:type="fixed"/>
        <w:tblCellMar>
          <w:top w:w="0" w:type="dxa"/>
          <w:left w:w="0" w:type="dxa"/>
          <w:bottom w:w="0" w:type="dxa"/>
          <w:right w:w="0" w:type="dxa"/>
        </w:tblCellMar>
        <w:tblLook w:val="01E0"/>
      </w:tblPr>
      <w:tblGrid>
        <w:gridCol w:w="1707"/>
        <w:gridCol w:w="920"/>
        <w:gridCol w:w="922"/>
        <w:gridCol w:w="1302"/>
        <w:gridCol w:w="1054"/>
        <w:gridCol w:w="1044"/>
        <w:gridCol w:w="1052"/>
        <w:gridCol w:w="784"/>
        <w:gridCol w:w="784"/>
      </w:tblGrid>
      <w:tr>
        <w:trPr>
          <w:trHeight w:val="946" w:hRule="exact"/>
        </w:trPr>
        <w:tc>
          <w:tcPr>
            <w:tcW w:w="1707" w:type="dxa"/>
            <w:tcBorders>
              <w:top w:val="single" w:sz="4" w:space="0" w:color="000000"/>
              <w:left w:val="single" w:sz="12" w:space="0" w:color="000000"/>
              <w:bottom w:val="single" w:sz="4" w:space="0" w:color="000000"/>
              <w:right w:val="single" w:sz="4" w:space="0" w:color="000000"/>
            </w:tcBorders>
          </w:tcPr>
          <w:p>
            <w:pPr>
              <w:pStyle w:val="TableParagraph"/>
              <w:spacing w:line="372" w:lineRule="auto" w:before="35"/>
              <w:ind w:left="92" w:right="195"/>
              <w:jc w:val="both"/>
              <w:rPr>
                <w:rFonts w:ascii="Times New Roman" w:hAnsi="Times New Roman" w:cs="Times New Roman" w:eastAsia="Times New Roman" w:hint="default"/>
                <w:sz w:val="15"/>
                <w:szCs w:val="15"/>
              </w:rPr>
            </w:pPr>
            <w:r>
              <w:rPr>
                <w:rFonts w:ascii="宋体" w:hAnsi="宋体" w:cs="宋体" w:eastAsia="宋体" w:hint="default"/>
                <w:sz w:val="15"/>
                <w:szCs w:val="15"/>
              </w:rPr>
              <w:t>浙江万马天屹通信线</w:t>
            </w:r>
            <w:r>
              <w:rPr>
                <w:rFonts w:ascii="宋体" w:hAnsi="宋体" w:cs="宋体" w:eastAsia="宋体" w:hint="default"/>
                <w:w w:val="99"/>
                <w:sz w:val="15"/>
                <w:szCs w:val="15"/>
              </w:rPr>
              <w:t> </w:t>
            </w:r>
            <w:r>
              <w:rPr>
                <w:rFonts w:ascii="宋体" w:hAnsi="宋体" w:cs="宋体" w:eastAsia="宋体" w:hint="default"/>
                <w:sz w:val="15"/>
                <w:szCs w:val="15"/>
              </w:rPr>
              <w:t>缆有限公司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交通银行</w:t>
            </w:r>
            <w:r>
              <w:rPr>
                <w:rFonts w:ascii="宋体" w:hAnsi="宋体" w:cs="宋体" w:eastAsia="宋体" w:hint="default"/>
                <w:w w:val="99"/>
                <w:sz w:val="15"/>
                <w:szCs w:val="15"/>
              </w:rPr>
              <w:t> </w:t>
            </w:r>
            <w:r>
              <w:rPr>
                <w:rFonts w:ascii="宋体" w:hAnsi="宋体" w:cs="宋体" w:eastAsia="宋体" w:hint="default"/>
                <w:sz w:val="15"/>
                <w:szCs w:val="15"/>
              </w:rPr>
              <w:t>临安支行</w:t>
            </w:r>
            <w:r>
              <w:rPr>
                <w:rFonts w:ascii="Times New Roman" w:hAnsi="Times New Roman" w:cs="Times New Roman" w:eastAsia="Times New Roman" w:hint="default"/>
                <w:sz w:val="15"/>
                <w:szCs w:val="15"/>
              </w:rPr>
              <w:t>)</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p>
            <w:pPr>
              <w:pStyle w:val="TableParagraph"/>
              <w:spacing w:line="240" w:lineRule="auto" w:before="104"/>
              <w:ind w:left="106"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6"/>
              <w:jc w:val="right"/>
              <w:rPr>
                <w:rFonts w:ascii="Times New Roman" w:hAnsi="Times New Roman" w:cs="Times New Roman" w:eastAsia="Times New Roman" w:hint="default"/>
                <w:sz w:val="15"/>
                <w:szCs w:val="15"/>
              </w:rPr>
            </w:pPr>
            <w:r>
              <w:rPr>
                <w:rFonts w:ascii="Times New Roman"/>
                <w:spacing w:val="-1"/>
                <w:sz w:val="15"/>
              </w:rPr>
              <w:t>3,000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8"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04</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28</w:t>
            </w:r>
          </w:p>
          <w:p>
            <w:pPr>
              <w:pStyle w:val="TableParagraph"/>
              <w:spacing w:line="240" w:lineRule="auto" w:before="104"/>
              <w:ind w:left="108"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4"/>
              <w:jc w:val="right"/>
              <w:rPr>
                <w:rFonts w:ascii="Times New Roman" w:hAnsi="Times New Roman" w:cs="Times New Roman" w:eastAsia="Times New Roman" w:hint="default"/>
                <w:sz w:val="15"/>
                <w:szCs w:val="15"/>
              </w:rPr>
            </w:pPr>
            <w:r>
              <w:rPr>
                <w:rFonts w:ascii="Times New Roman"/>
                <w:spacing w:val="-1"/>
                <w:w w:val="95"/>
                <w:sz w:val="15"/>
              </w:rPr>
              <w:t>366</w:t>
            </w:r>
            <w:r>
              <w:rPr>
                <w:rFonts w:ascii="Times New Roman"/>
                <w:spacing w:val="-1"/>
                <w:sz w:val="15"/>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381" w:lineRule="auto"/>
              <w:ind w:left="112" w:right="171"/>
              <w:jc w:val="left"/>
              <w:rPr>
                <w:rFonts w:ascii="宋体" w:hAnsi="宋体" w:cs="宋体" w:eastAsia="宋体" w:hint="default"/>
                <w:sz w:val="15"/>
                <w:szCs w:val="15"/>
              </w:rPr>
            </w:pPr>
            <w:r>
              <w:rPr>
                <w:rFonts w:ascii="宋体" w:hAnsi="宋体" w:cs="宋体" w:eastAsia="宋体" w:hint="default"/>
                <w:sz w:val="15"/>
                <w:szCs w:val="15"/>
              </w:rPr>
              <w:t>连带责任保</w:t>
            </w:r>
            <w:r>
              <w:rPr>
                <w:rFonts w:ascii="宋体" w:hAnsi="宋体" w:cs="宋体" w:eastAsia="宋体" w:hint="default"/>
                <w:w w:val="99"/>
                <w:sz w:val="15"/>
                <w:szCs w:val="15"/>
              </w:rPr>
              <w:t> </w:t>
            </w:r>
            <w:r>
              <w:rPr>
                <w:rFonts w:ascii="宋体" w:hAnsi="宋体" w:cs="宋体" w:eastAsia="宋体" w:hint="default"/>
                <w:sz w:val="15"/>
                <w:szCs w:val="15"/>
              </w:rPr>
              <w:t>证</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9"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946" w:hRule="exact"/>
        </w:trPr>
        <w:tc>
          <w:tcPr>
            <w:tcW w:w="1707" w:type="dxa"/>
            <w:tcBorders>
              <w:top w:val="single" w:sz="4" w:space="0" w:color="000000"/>
              <w:left w:val="single" w:sz="12" w:space="0" w:color="000000"/>
              <w:bottom w:val="single" w:sz="4" w:space="0" w:color="000000"/>
              <w:right w:val="single" w:sz="4" w:space="0" w:color="000000"/>
            </w:tcBorders>
          </w:tcPr>
          <w:p>
            <w:pPr>
              <w:pStyle w:val="TableParagraph"/>
              <w:spacing w:line="372" w:lineRule="auto" w:before="34"/>
              <w:ind w:left="92" w:right="195"/>
              <w:jc w:val="both"/>
              <w:rPr>
                <w:rFonts w:ascii="Times New Roman" w:hAnsi="Times New Roman" w:cs="Times New Roman" w:eastAsia="Times New Roman" w:hint="default"/>
                <w:sz w:val="15"/>
                <w:szCs w:val="15"/>
              </w:rPr>
            </w:pPr>
            <w:r>
              <w:rPr>
                <w:rFonts w:ascii="宋体" w:hAnsi="宋体" w:cs="宋体" w:eastAsia="宋体" w:hint="default"/>
                <w:sz w:val="15"/>
                <w:szCs w:val="15"/>
              </w:rPr>
              <w:t>浙江万马天屹通信线</w:t>
            </w:r>
            <w:r>
              <w:rPr>
                <w:rFonts w:ascii="宋体" w:hAnsi="宋体" w:cs="宋体" w:eastAsia="宋体" w:hint="default"/>
                <w:w w:val="99"/>
                <w:sz w:val="15"/>
                <w:szCs w:val="15"/>
              </w:rPr>
              <w:t> </w:t>
            </w:r>
            <w:r>
              <w:rPr>
                <w:rFonts w:ascii="宋体" w:hAnsi="宋体" w:cs="宋体" w:eastAsia="宋体" w:hint="default"/>
                <w:sz w:val="15"/>
                <w:szCs w:val="15"/>
              </w:rPr>
              <w:t>缆有限公司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浦发银行</w:t>
            </w:r>
            <w:r>
              <w:rPr>
                <w:rFonts w:ascii="宋体" w:hAnsi="宋体" w:cs="宋体" w:eastAsia="宋体" w:hint="default"/>
                <w:w w:val="99"/>
                <w:sz w:val="15"/>
                <w:szCs w:val="15"/>
              </w:rPr>
              <w:t> </w:t>
            </w:r>
            <w:r>
              <w:rPr>
                <w:rFonts w:ascii="宋体" w:hAnsi="宋体" w:cs="宋体" w:eastAsia="宋体" w:hint="default"/>
                <w:sz w:val="15"/>
                <w:szCs w:val="15"/>
              </w:rPr>
              <w:t>临安支行</w:t>
            </w:r>
            <w:r>
              <w:rPr>
                <w:rFonts w:ascii="Times New Roman" w:hAnsi="Times New Roman" w:cs="Times New Roman" w:eastAsia="Times New Roman" w:hint="default"/>
                <w:sz w:val="15"/>
                <w:szCs w:val="15"/>
              </w:rPr>
              <w:t>)</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p>
            <w:pPr>
              <w:pStyle w:val="TableParagraph"/>
              <w:spacing w:line="240" w:lineRule="auto" w:before="104"/>
              <w:ind w:left="106"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6"/>
              <w:jc w:val="right"/>
              <w:rPr>
                <w:rFonts w:ascii="Times New Roman" w:hAnsi="Times New Roman" w:cs="Times New Roman" w:eastAsia="Times New Roman" w:hint="default"/>
                <w:sz w:val="15"/>
                <w:szCs w:val="15"/>
              </w:rPr>
            </w:pPr>
            <w:r>
              <w:rPr>
                <w:rFonts w:ascii="Times New Roman"/>
                <w:spacing w:val="-1"/>
                <w:sz w:val="15"/>
              </w:rPr>
              <w:t>3,000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8"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09</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25</w:t>
            </w:r>
          </w:p>
          <w:p>
            <w:pPr>
              <w:pStyle w:val="TableParagraph"/>
              <w:spacing w:line="240" w:lineRule="auto" w:before="104"/>
              <w:ind w:left="108"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4"/>
              <w:jc w:val="right"/>
              <w:rPr>
                <w:rFonts w:ascii="Times New Roman" w:hAnsi="Times New Roman" w:cs="Times New Roman" w:eastAsia="Times New Roman" w:hint="default"/>
                <w:sz w:val="15"/>
                <w:szCs w:val="15"/>
              </w:rPr>
            </w:pPr>
            <w:r>
              <w:rPr>
                <w:rFonts w:ascii="Times New Roman"/>
                <w:spacing w:val="-1"/>
                <w:w w:val="95"/>
                <w:sz w:val="15"/>
              </w:rPr>
              <w:t>308</w:t>
            </w:r>
            <w:r>
              <w:rPr>
                <w:rFonts w:ascii="Times New Roman"/>
                <w:spacing w:val="-1"/>
                <w:sz w:val="15"/>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381" w:lineRule="auto"/>
              <w:ind w:left="112" w:right="171"/>
              <w:jc w:val="left"/>
              <w:rPr>
                <w:rFonts w:ascii="宋体" w:hAnsi="宋体" w:cs="宋体" w:eastAsia="宋体" w:hint="default"/>
                <w:sz w:val="15"/>
                <w:szCs w:val="15"/>
              </w:rPr>
            </w:pPr>
            <w:r>
              <w:rPr>
                <w:rFonts w:ascii="宋体" w:hAnsi="宋体" w:cs="宋体" w:eastAsia="宋体" w:hint="default"/>
                <w:sz w:val="15"/>
                <w:szCs w:val="15"/>
              </w:rPr>
              <w:t>连带责任保</w:t>
            </w:r>
            <w:r>
              <w:rPr>
                <w:rFonts w:ascii="宋体" w:hAnsi="宋体" w:cs="宋体" w:eastAsia="宋体" w:hint="default"/>
                <w:w w:val="99"/>
                <w:sz w:val="15"/>
                <w:szCs w:val="15"/>
              </w:rPr>
              <w:t> </w:t>
            </w:r>
            <w:r>
              <w:rPr>
                <w:rFonts w:ascii="宋体" w:hAnsi="宋体" w:cs="宋体" w:eastAsia="宋体" w:hint="default"/>
                <w:sz w:val="15"/>
                <w:szCs w:val="15"/>
              </w:rPr>
              <w:t>证</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9"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946" w:hRule="exact"/>
        </w:trPr>
        <w:tc>
          <w:tcPr>
            <w:tcW w:w="1707" w:type="dxa"/>
            <w:tcBorders>
              <w:top w:val="single" w:sz="4" w:space="0" w:color="000000"/>
              <w:left w:val="single" w:sz="12" w:space="0" w:color="000000"/>
              <w:bottom w:val="single" w:sz="4" w:space="0" w:color="000000"/>
              <w:right w:val="single" w:sz="4" w:space="0" w:color="000000"/>
            </w:tcBorders>
          </w:tcPr>
          <w:p>
            <w:pPr>
              <w:pStyle w:val="TableParagraph"/>
              <w:spacing w:line="372" w:lineRule="auto" w:before="34"/>
              <w:ind w:left="92" w:right="195"/>
              <w:jc w:val="both"/>
              <w:rPr>
                <w:rFonts w:ascii="Times New Roman" w:hAnsi="Times New Roman" w:cs="Times New Roman" w:eastAsia="Times New Roman" w:hint="default"/>
                <w:sz w:val="15"/>
                <w:szCs w:val="15"/>
              </w:rPr>
            </w:pPr>
            <w:r>
              <w:rPr>
                <w:rFonts w:ascii="宋体" w:hAnsi="宋体" w:cs="宋体" w:eastAsia="宋体" w:hint="default"/>
                <w:sz w:val="15"/>
                <w:szCs w:val="15"/>
              </w:rPr>
              <w:t>浙江万马集团特种电</w:t>
            </w:r>
            <w:r>
              <w:rPr>
                <w:rFonts w:ascii="宋体" w:hAnsi="宋体" w:cs="宋体" w:eastAsia="宋体" w:hint="default"/>
                <w:w w:val="99"/>
                <w:sz w:val="15"/>
                <w:szCs w:val="15"/>
              </w:rPr>
              <w:t> </w:t>
            </w:r>
            <w:r>
              <w:rPr>
                <w:rFonts w:ascii="宋体" w:hAnsi="宋体" w:cs="宋体" w:eastAsia="宋体" w:hint="default"/>
                <w:sz w:val="15"/>
                <w:szCs w:val="15"/>
              </w:rPr>
              <w:t>子电缆有限公司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宁波</w:t>
            </w:r>
            <w:r>
              <w:rPr>
                <w:rFonts w:ascii="宋体" w:hAnsi="宋体" w:cs="宋体" w:eastAsia="宋体" w:hint="default"/>
                <w:w w:val="99"/>
                <w:sz w:val="15"/>
                <w:szCs w:val="15"/>
              </w:rPr>
              <w:t> </w:t>
            </w:r>
            <w:r>
              <w:rPr>
                <w:rFonts w:ascii="宋体" w:hAnsi="宋体" w:cs="宋体" w:eastAsia="宋体" w:hint="default"/>
                <w:sz w:val="15"/>
                <w:szCs w:val="15"/>
              </w:rPr>
              <w:t>银行杭州分行</w:t>
            </w:r>
            <w:r>
              <w:rPr>
                <w:rFonts w:ascii="Times New Roman" w:hAnsi="Times New Roman" w:cs="Times New Roman" w:eastAsia="Times New Roman" w:hint="default"/>
                <w:sz w:val="15"/>
                <w:szCs w:val="15"/>
              </w:rPr>
              <w:t>)</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p>
            <w:pPr>
              <w:pStyle w:val="TableParagraph"/>
              <w:spacing w:line="240" w:lineRule="auto" w:before="104"/>
              <w:ind w:left="106"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6"/>
              <w:jc w:val="right"/>
              <w:rPr>
                <w:rFonts w:ascii="Times New Roman" w:hAnsi="Times New Roman" w:cs="Times New Roman" w:eastAsia="Times New Roman" w:hint="default"/>
                <w:sz w:val="15"/>
                <w:szCs w:val="15"/>
              </w:rPr>
            </w:pPr>
            <w:r>
              <w:rPr>
                <w:rFonts w:ascii="Times New Roman"/>
                <w:spacing w:val="-1"/>
                <w:sz w:val="15"/>
              </w:rPr>
              <w:t>7,500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8"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04</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28</w:t>
            </w:r>
          </w:p>
          <w:p>
            <w:pPr>
              <w:pStyle w:val="TableParagraph"/>
              <w:spacing w:line="240" w:lineRule="auto" w:before="104"/>
              <w:ind w:left="108"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92"/>
              <w:jc w:val="right"/>
              <w:rPr>
                <w:rFonts w:ascii="Times New Roman" w:hAnsi="Times New Roman" w:cs="Times New Roman" w:eastAsia="Times New Roman" w:hint="default"/>
                <w:sz w:val="15"/>
                <w:szCs w:val="15"/>
              </w:rPr>
            </w:pPr>
            <w:r>
              <w:rPr>
                <w:rFonts w:ascii="Times New Roman"/>
                <w:spacing w:val="-1"/>
                <w:sz w:val="15"/>
              </w:rPr>
              <w:t>3,179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381" w:lineRule="auto"/>
              <w:ind w:left="112" w:right="171"/>
              <w:jc w:val="left"/>
              <w:rPr>
                <w:rFonts w:ascii="宋体" w:hAnsi="宋体" w:cs="宋体" w:eastAsia="宋体" w:hint="default"/>
                <w:sz w:val="15"/>
                <w:szCs w:val="15"/>
              </w:rPr>
            </w:pPr>
            <w:r>
              <w:rPr>
                <w:rFonts w:ascii="宋体" w:hAnsi="宋体" w:cs="宋体" w:eastAsia="宋体" w:hint="default"/>
                <w:sz w:val="15"/>
                <w:szCs w:val="15"/>
              </w:rPr>
              <w:t>连带责任保</w:t>
            </w:r>
            <w:r>
              <w:rPr>
                <w:rFonts w:ascii="宋体" w:hAnsi="宋体" w:cs="宋体" w:eastAsia="宋体" w:hint="default"/>
                <w:w w:val="99"/>
                <w:sz w:val="15"/>
                <w:szCs w:val="15"/>
              </w:rPr>
              <w:t> </w:t>
            </w:r>
            <w:r>
              <w:rPr>
                <w:rFonts w:ascii="宋体" w:hAnsi="宋体" w:cs="宋体" w:eastAsia="宋体" w:hint="default"/>
                <w:sz w:val="15"/>
                <w:szCs w:val="15"/>
              </w:rPr>
              <w:t>证</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9"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946" w:hRule="exact"/>
        </w:trPr>
        <w:tc>
          <w:tcPr>
            <w:tcW w:w="1707" w:type="dxa"/>
            <w:tcBorders>
              <w:top w:val="single" w:sz="4" w:space="0" w:color="000000"/>
              <w:left w:val="single" w:sz="12" w:space="0" w:color="000000"/>
              <w:bottom w:val="single" w:sz="4" w:space="0" w:color="000000"/>
              <w:right w:val="single" w:sz="4" w:space="0" w:color="000000"/>
            </w:tcBorders>
          </w:tcPr>
          <w:p>
            <w:pPr>
              <w:pStyle w:val="TableParagraph"/>
              <w:spacing w:line="372" w:lineRule="auto" w:before="34"/>
              <w:ind w:left="92" w:right="193"/>
              <w:jc w:val="both"/>
              <w:rPr>
                <w:rFonts w:ascii="Times New Roman" w:hAnsi="Times New Roman" w:cs="Times New Roman" w:eastAsia="Times New Roman" w:hint="default"/>
                <w:sz w:val="15"/>
                <w:szCs w:val="15"/>
              </w:rPr>
            </w:pPr>
            <w:r>
              <w:rPr>
                <w:rFonts w:ascii="宋体" w:hAnsi="宋体" w:cs="宋体" w:eastAsia="宋体" w:hint="default"/>
                <w:sz w:val="15"/>
                <w:szCs w:val="15"/>
              </w:rPr>
              <w:t>浙江万马新能源有限</w:t>
            </w:r>
            <w:r>
              <w:rPr>
                <w:rFonts w:ascii="宋体" w:hAnsi="宋体" w:cs="宋体" w:eastAsia="宋体" w:hint="default"/>
                <w:w w:val="99"/>
                <w:sz w:val="15"/>
                <w:szCs w:val="15"/>
              </w:rPr>
              <w:t> </w:t>
            </w:r>
            <w:r>
              <w:rPr>
                <w:rFonts w:ascii="宋体" w:hAnsi="宋体" w:cs="宋体" w:eastAsia="宋体" w:hint="default"/>
                <w:sz w:val="15"/>
                <w:szCs w:val="15"/>
              </w:rPr>
              <w:t>公司</w:t>
            </w:r>
            <w:r>
              <w:rPr>
                <w:rFonts w:ascii="Times New Roman" w:hAnsi="Times New Roman" w:cs="Times New Roman" w:eastAsia="Times New Roman" w:hint="default"/>
                <w:sz w:val="15"/>
                <w:szCs w:val="15"/>
              </w:rPr>
              <w:t>(</w:t>
            </w:r>
            <w:r>
              <w:rPr>
                <w:rFonts w:ascii="宋体" w:hAnsi="宋体" w:cs="宋体" w:eastAsia="宋体" w:hint="default"/>
                <w:sz w:val="15"/>
                <w:szCs w:val="15"/>
              </w:rPr>
              <w:t>浦发银行临安支</w:t>
            </w:r>
            <w:r>
              <w:rPr>
                <w:rFonts w:ascii="宋体" w:hAnsi="宋体" w:cs="宋体" w:eastAsia="宋体" w:hint="default"/>
                <w:w w:val="99"/>
                <w:sz w:val="15"/>
                <w:szCs w:val="15"/>
              </w:rPr>
              <w:t> </w:t>
            </w:r>
            <w:r>
              <w:rPr>
                <w:rFonts w:ascii="宋体" w:hAnsi="宋体" w:cs="宋体" w:eastAsia="宋体" w:hint="default"/>
                <w:sz w:val="15"/>
                <w:szCs w:val="15"/>
              </w:rPr>
              <w:t>行</w:t>
            </w:r>
            <w:r>
              <w:rPr>
                <w:rFonts w:ascii="Times New Roman" w:hAnsi="Times New Roman" w:cs="Times New Roman" w:eastAsia="Times New Roman" w:hint="default"/>
                <w:sz w:val="15"/>
                <w:szCs w:val="15"/>
              </w:rPr>
              <w:t>)</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04</w:t>
            </w:r>
          </w:p>
          <w:p>
            <w:pPr>
              <w:pStyle w:val="TableParagraph"/>
              <w:spacing w:line="240" w:lineRule="auto" w:before="104"/>
              <w:ind w:left="106"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96"/>
              <w:jc w:val="right"/>
              <w:rPr>
                <w:rFonts w:ascii="Times New Roman" w:hAnsi="Times New Roman" w:cs="Times New Roman" w:eastAsia="Times New Roman" w:hint="default"/>
                <w:sz w:val="15"/>
                <w:szCs w:val="15"/>
              </w:rPr>
            </w:pPr>
            <w:r>
              <w:rPr>
                <w:rFonts w:ascii="Times New Roman"/>
                <w:spacing w:val="-1"/>
                <w:sz w:val="15"/>
              </w:rPr>
              <w:t>1,400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8"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09</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25</w:t>
            </w:r>
          </w:p>
          <w:p>
            <w:pPr>
              <w:pStyle w:val="TableParagraph"/>
              <w:spacing w:line="240" w:lineRule="auto" w:before="104"/>
              <w:ind w:left="108" w:right="0"/>
              <w:jc w:val="left"/>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92"/>
              <w:jc w:val="right"/>
              <w:rPr>
                <w:rFonts w:ascii="Times New Roman" w:hAnsi="Times New Roman" w:cs="Times New Roman" w:eastAsia="Times New Roman" w:hint="default"/>
                <w:sz w:val="15"/>
                <w:szCs w:val="15"/>
              </w:rPr>
            </w:pPr>
            <w:r>
              <w:rPr>
                <w:rFonts w:ascii="Times New Roman"/>
                <w:spacing w:val="-1"/>
                <w:sz w:val="15"/>
              </w:rPr>
              <w:t>1,018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381" w:lineRule="auto"/>
              <w:ind w:left="112" w:right="171"/>
              <w:jc w:val="left"/>
              <w:rPr>
                <w:rFonts w:ascii="宋体" w:hAnsi="宋体" w:cs="宋体" w:eastAsia="宋体" w:hint="default"/>
                <w:sz w:val="15"/>
                <w:szCs w:val="15"/>
              </w:rPr>
            </w:pPr>
            <w:r>
              <w:rPr>
                <w:rFonts w:ascii="宋体" w:hAnsi="宋体" w:cs="宋体" w:eastAsia="宋体" w:hint="default"/>
                <w:sz w:val="15"/>
                <w:szCs w:val="15"/>
              </w:rPr>
              <w:t>连带责任保</w:t>
            </w:r>
            <w:r>
              <w:rPr>
                <w:rFonts w:ascii="宋体" w:hAnsi="宋体" w:cs="宋体" w:eastAsia="宋体" w:hint="default"/>
                <w:w w:val="99"/>
                <w:sz w:val="15"/>
                <w:szCs w:val="15"/>
              </w:rPr>
              <w:t> </w:t>
            </w:r>
            <w:r>
              <w:rPr>
                <w:rFonts w:ascii="宋体" w:hAnsi="宋体" w:cs="宋体" w:eastAsia="宋体" w:hint="default"/>
                <w:sz w:val="15"/>
                <w:szCs w:val="15"/>
              </w:rPr>
              <w:t>证</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一年</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9"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322" w:hRule="exact"/>
        </w:trPr>
        <w:tc>
          <w:tcPr>
            <w:tcW w:w="3548"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报告期内审批对子公司担保额度合计（</w:t>
            </w:r>
            <w:r>
              <w:rPr>
                <w:rFonts w:ascii="Times New Roman" w:hAnsi="Times New Roman" w:cs="Times New Roman" w:eastAsia="Times New Roman" w:hint="default"/>
                <w:sz w:val="15"/>
                <w:szCs w:val="15"/>
              </w:rPr>
              <w:t>B1</w:t>
            </w:r>
            <w:r>
              <w:rPr>
                <w:rFonts w:ascii="宋体" w:hAnsi="宋体" w:cs="宋体" w:eastAsia="宋体" w:hint="default"/>
                <w:sz w:val="15"/>
                <w:szCs w:val="15"/>
              </w:rPr>
              <w:t>）</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5"/>
                <w:szCs w:val="15"/>
              </w:rPr>
            </w:pPr>
            <w:r>
              <w:rPr>
                <w:rFonts w:ascii="Times New Roman"/>
                <w:spacing w:val="-1"/>
                <w:sz w:val="15"/>
              </w:rPr>
              <w:t>79,300</w:t>
            </w: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报告期内对子公司担保实际发生额合计（</w:t>
            </w:r>
            <w:r>
              <w:rPr>
                <w:rFonts w:ascii="Times New Roman" w:hAnsi="Times New Roman" w:cs="Times New Roman" w:eastAsia="Times New Roman" w:hint="default"/>
                <w:sz w:val="15"/>
                <w:szCs w:val="15"/>
              </w:rPr>
              <w:t>B2</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68"/>
              <w:ind w:right="94"/>
              <w:jc w:val="right"/>
              <w:rPr>
                <w:rFonts w:ascii="Times New Roman" w:hAnsi="Times New Roman" w:cs="Times New Roman" w:eastAsia="Times New Roman" w:hint="default"/>
                <w:sz w:val="15"/>
                <w:szCs w:val="15"/>
              </w:rPr>
            </w:pPr>
            <w:r>
              <w:rPr>
                <w:rFonts w:ascii="Times New Roman"/>
                <w:spacing w:val="-1"/>
                <w:sz w:val="15"/>
              </w:rPr>
              <w:t>32,108</w:t>
            </w:r>
          </w:p>
        </w:tc>
      </w:tr>
      <w:tr>
        <w:trPr>
          <w:trHeight w:val="322" w:hRule="exact"/>
        </w:trPr>
        <w:tc>
          <w:tcPr>
            <w:tcW w:w="3548"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报告期末已审批的对子公司担保额度合计（</w:t>
            </w:r>
            <w:r>
              <w:rPr>
                <w:rFonts w:ascii="Times New Roman" w:hAnsi="Times New Roman" w:cs="Times New Roman" w:eastAsia="Times New Roman" w:hint="default"/>
                <w:sz w:val="15"/>
                <w:szCs w:val="15"/>
              </w:rPr>
              <w:t>B3</w:t>
            </w:r>
            <w:r>
              <w:rPr>
                <w:rFonts w:ascii="宋体" w:hAnsi="宋体" w:cs="宋体" w:eastAsia="宋体" w:hint="default"/>
                <w:sz w:val="15"/>
                <w:szCs w:val="15"/>
              </w:rPr>
              <w:t>）</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5"/>
                <w:szCs w:val="15"/>
              </w:rPr>
            </w:pPr>
            <w:r>
              <w:rPr>
                <w:rFonts w:ascii="Times New Roman"/>
                <w:spacing w:val="-1"/>
                <w:sz w:val="15"/>
              </w:rPr>
              <w:t>79,300</w:t>
            </w: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报告期末对子公司实际担保余额合计（</w:t>
            </w:r>
            <w:r>
              <w:rPr>
                <w:rFonts w:ascii="Times New Roman" w:hAnsi="Times New Roman" w:cs="Times New Roman" w:eastAsia="Times New Roman" w:hint="default"/>
                <w:sz w:val="15"/>
                <w:szCs w:val="15"/>
              </w:rPr>
              <w:t>B4</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68"/>
              <w:ind w:right="94"/>
              <w:jc w:val="right"/>
              <w:rPr>
                <w:rFonts w:ascii="Times New Roman" w:hAnsi="Times New Roman" w:cs="Times New Roman" w:eastAsia="Times New Roman" w:hint="default"/>
                <w:sz w:val="15"/>
                <w:szCs w:val="15"/>
              </w:rPr>
            </w:pPr>
            <w:r>
              <w:rPr>
                <w:rFonts w:ascii="Times New Roman"/>
                <w:spacing w:val="-1"/>
                <w:sz w:val="15"/>
              </w:rPr>
              <w:t>32,108</w:t>
            </w:r>
          </w:p>
        </w:tc>
      </w:tr>
      <w:tr>
        <w:trPr>
          <w:trHeight w:val="322" w:hRule="exact"/>
        </w:trPr>
        <w:tc>
          <w:tcPr>
            <w:tcW w:w="9568" w:type="dxa"/>
            <w:gridSpan w:val="9"/>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35"/>
              <w:ind w:left="-1" w:right="1"/>
              <w:jc w:val="center"/>
              <w:rPr>
                <w:rFonts w:ascii="宋体" w:hAnsi="宋体" w:cs="宋体" w:eastAsia="宋体" w:hint="default"/>
                <w:sz w:val="15"/>
                <w:szCs w:val="15"/>
              </w:rPr>
            </w:pPr>
            <w:r>
              <w:rPr>
                <w:rFonts w:ascii="宋体" w:hAnsi="宋体" w:cs="宋体" w:eastAsia="宋体" w:hint="default"/>
                <w:sz w:val="15"/>
                <w:szCs w:val="15"/>
              </w:rPr>
              <w:t>子公司对子公司的担保情况</w:t>
            </w:r>
          </w:p>
        </w:tc>
      </w:tr>
      <w:tr>
        <w:trPr>
          <w:trHeight w:val="946" w:hRule="exact"/>
        </w:trPr>
        <w:tc>
          <w:tcPr>
            <w:tcW w:w="170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87" w:right="0"/>
              <w:jc w:val="left"/>
              <w:rPr>
                <w:rFonts w:ascii="宋体" w:hAnsi="宋体" w:cs="宋体" w:eastAsia="宋体" w:hint="default"/>
                <w:sz w:val="15"/>
                <w:szCs w:val="15"/>
              </w:rPr>
            </w:pPr>
            <w:r>
              <w:rPr>
                <w:rFonts w:ascii="宋体" w:hAnsi="宋体" w:cs="宋体" w:eastAsia="宋体" w:hint="default"/>
                <w:sz w:val="15"/>
                <w:szCs w:val="15"/>
              </w:rPr>
              <w:t>担保对象名称</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81" w:lineRule="auto" w:before="34"/>
              <w:ind w:left="149" w:right="160"/>
              <w:jc w:val="both"/>
              <w:rPr>
                <w:rFonts w:ascii="宋体" w:hAnsi="宋体" w:cs="宋体" w:eastAsia="宋体" w:hint="default"/>
                <w:sz w:val="15"/>
                <w:szCs w:val="15"/>
              </w:rPr>
            </w:pPr>
            <w:r>
              <w:rPr>
                <w:rFonts w:ascii="宋体" w:hAnsi="宋体" w:cs="宋体" w:eastAsia="宋体" w:hint="default"/>
                <w:sz w:val="15"/>
                <w:szCs w:val="15"/>
              </w:rPr>
              <w:t>担保额度</w:t>
            </w:r>
            <w:r>
              <w:rPr>
                <w:rFonts w:ascii="宋体" w:hAnsi="宋体" w:cs="宋体" w:eastAsia="宋体" w:hint="default"/>
                <w:w w:val="99"/>
                <w:sz w:val="15"/>
                <w:szCs w:val="15"/>
              </w:rPr>
              <w:t> </w:t>
            </w:r>
            <w:r>
              <w:rPr>
                <w:rFonts w:ascii="宋体" w:hAnsi="宋体" w:cs="宋体" w:eastAsia="宋体" w:hint="default"/>
                <w:sz w:val="15"/>
                <w:szCs w:val="15"/>
              </w:rPr>
              <w:t>相关公告</w:t>
            </w:r>
            <w:r>
              <w:rPr>
                <w:rFonts w:ascii="宋体" w:hAnsi="宋体" w:cs="宋体" w:eastAsia="宋体" w:hint="default"/>
                <w:w w:val="99"/>
                <w:sz w:val="15"/>
                <w:szCs w:val="15"/>
              </w:rPr>
              <w:t> </w:t>
            </w:r>
            <w:r>
              <w:rPr>
                <w:rFonts w:ascii="宋体" w:hAnsi="宋体" w:cs="宋体" w:eastAsia="宋体" w:hint="default"/>
                <w:sz w:val="15"/>
                <w:szCs w:val="15"/>
              </w:rPr>
              <w:t>披露日期</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47" w:right="0"/>
              <w:jc w:val="left"/>
              <w:rPr>
                <w:rFonts w:ascii="宋体" w:hAnsi="宋体" w:cs="宋体" w:eastAsia="宋体" w:hint="default"/>
                <w:sz w:val="15"/>
                <w:szCs w:val="15"/>
              </w:rPr>
            </w:pPr>
            <w:r>
              <w:rPr>
                <w:rFonts w:ascii="宋体" w:hAnsi="宋体" w:cs="宋体" w:eastAsia="宋体" w:hint="default"/>
                <w:sz w:val="15"/>
                <w:szCs w:val="15"/>
              </w:rPr>
              <w:t>担保额度</w:t>
            </w: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89" w:right="0"/>
              <w:jc w:val="left"/>
              <w:rPr>
                <w:rFonts w:ascii="宋体" w:hAnsi="宋体" w:cs="宋体" w:eastAsia="宋体" w:hint="default"/>
                <w:sz w:val="15"/>
                <w:szCs w:val="15"/>
              </w:rPr>
            </w:pPr>
            <w:r>
              <w:rPr>
                <w:rFonts w:ascii="宋体" w:hAnsi="宋体" w:cs="宋体" w:eastAsia="宋体" w:hint="default"/>
                <w:sz w:val="15"/>
                <w:szCs w:val="15"/>
              </w:rPr>
              <w:t>实际发生日期</w:t>
            </w:r>
          </w:p>
        </w:tc>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4"/>
                <w:szCs w:val="14"/>
              </w:rPr>
            </w:pPr>
          </w:p>
          <w:p>
            <w:pPr>
              <w:pStyle w:val="TableParagraph"/>
              <w:spacing w:line="381" w:lineRule="auto"/>
              <w:ind w:left="443" w:right="149" w:hanging="300"/>
              <w:jc w:val="left"/>
              <w:rPr>
                <w:rFonts w:ascii="宋体" w:hAnsi="宋体" w:cs="宋体" w:eastAsia="宋体" w:hint="default"/>
                <w:sz w:val="15"/>
                <w:szCs w:val="15"/>
              </w:rPr>
            </w:pPr>
            <w:r>
              <w:rPr>
                <w:rFonts w:ascii="宋体" w:hAnsi="宋体" w:cs="宋体" w:eastAsia="宋体" w:hint="default"/>
                <w:sz w:val="15"/>
                <w:szCs w:val="15"/>
              </w:rPr>
              <w:t>实际担保金</w:t>
            </w:r>
            <w:r>
              <w:rPr>
                <w:rFonts w:ascii="宋体" w:hAnsi="宋体" w:cs="宋体" w:eastAsia="宋体" w:hint="default"/>
                <w:w w:val="99"/>
                <w:sz w:val="15"/>
                <w:szCs w:val="15"/>
              </w:rPr>
              <w:t> </w:t>
            </w:r>
            <w:r>
              <w:rPr>
                <w:rFonts w:ascii="宋体" w:hAnsi="宋体" w:cs="宋体" w:eastAsia="宋体" w:hint="default"/>
                <w:sz w:val="15"/>
                <w:szCs w:val="15"/>
              </w:rPr>
              <w:t>额</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12" w:right="0"/>
              <w:jc w:val="left"/>
              <w:rPr>
                <w:rFonts w:ascii="宋体" w:hAnsi="宋体" w:cs="宋体" w:eastAsia="宋体" w:hint="default"/>
                <w:sz w:val="15"/>
                <w:szCs w:val="15"/>
              </w:rPr>
            </w:pPr>
            <w:r>
              <w:rPr>
                <w:rFonts w:ascii="宋体" w:hAnsi="宋体" w:cs="宋体" w:eastAsia="宋体" w:hint="default"/>
                <w:sz w:val="15"/>
                <w:szCs w:val="15"/>
              </w:rPr>
              <w:t>担保类型</w:t>
            </w:r>
          </w:p>
        </w:tc>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96" w:right="0"/>
              <w:jc w:val="left"/>
              <w:rPr>
                <w:rFonts w:ascii="宋体" w:hAnsi="宋体" w:cs="宋体" w:eastAsia="宋体" w:hint="default"/>
                <w:sz w:val="15"/>
                <w:szCs w:val="15"/>
              </w:rPr>
            </w:pPr>
            <w:r>
              <w:rPr>
                <w:rFonts w:ascii="宋体" w:hAnsi="宋体" w:cs="宋体" w:eastAsia="宋体" w:hint="default"/>
                <w:sz w:val="15"/>
                <w:szCs w:val="15"/>
              </w:rPr>
              <w:t>担保期</w:t>
            </w:r>
          </w:p>
        </w:tc>
        <w:tc>
          <w:tcPr>
            <w:tcW w:w="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4"/>
                <w:szCs w:val="14"/>
              </w:rPr>
            </w:pPr>
          </w:p>
          <w:p>
            <w:pPr>
              <w:pStyle w:val="TableParagraph"/>
              <w:spacing w:line="381" w:lineRule="auto"/>
              <w:ind w:left="158" w:right="164"/>
              <w:jc w:val="left"/>
              <w:rPr>
                <w:rFonts w:ascii="宋体" w:hAnsi="宋体" w:cs="宋体" w:eastAsia="宋体" w:hint="default"/>
                <w:sz w:val="15"/>
                <w:szCs w:val="15"/>
              </w:rPr>
            </w:pPr>
            <w:r>
              <w:rPr>
                <w:rFonts w:ascii="宋体" w:hAnsi="宋体" w:cs="宋体" w:eastAsia="宋体" w:hint="default"/>
                <w:sz w:val="15"/>
                <w:szCs w:val="15"/>
              </w:rPr>
              <w:t>是否履</w:t>
            </w:r>
            <w:r>
              <w:rPr>
                <w:rFonts w:ascii="宋体" w:hAnsi="宋体" w:cs="宋体" w:eastAsia="宋体" w:hint="default"/>
                <w:w w:val="99"/>
                <w:sz w:val="15"/>
                <w:szCs w:val="15"/>
              </w:rPr>
              <w:t> </w:t>
            </w:r>
            <w:r>
              <w:rPr>
                <w:rFonts w:ascii="宋体" w:hAnsi="宋体" w:cs="宋体" w:eastAsia="宋体" w:hint="default"/>
                <w:sz w:val="15"/>
                <w:szCs w:val="15"/>
              </w:rPr>
              <w:t>行完毕</w:t>
            </w:r>
          </w:p>
        </w:tc>
        <w:tc>
          <w:tcPr>
            <w:tcW w:w="784"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381" w:lineRule="auto" w:before="34"/>
              <w:ind w:left="159" w:right="154"/>
              <w:jc w:val="both"/>
              <w:rPr>
                <w:rFonts w:ascii="宋体" w:hAnsi="宋体" w:cs="宋体" w:eastAsia="宋体" w:hint="default"/>
                <w:sz w:val="15"/>
                <w:szCs w:val="15"/>
              </w:rPr>
            </w:pPr>
            <w:r>
              <w:rPr>
                <w:rFonts w:ascii="宋体" w:hAnsi="宋体" w:cs="宋体" w:eastAsia="宋体" w:hint="default"/>
                <w:sz w:val="15"/>
                <w:szCs w:val="15"/>
              </w:rPr>
              <w:t>是否为</w:t>
            </w:r>
            <w:r>
              <w:rPr>
                <w:rFonts w:ascii="宋体" w:hAnsi="宋体" w:cs="宋体" w:eastAsia="宋体" w:hint="default"/>
                <w:w w:val="99"/>
                <w:sz w:val="15"/>
                <w:szCs w:val="15"/>
              </w:rPr>
              <w:t> </w:t>
            </w:r>
            <w:r>
              <w:rPr>
                <w:rFonts w:ascii="宋体" w:hAnsi="宋体" w:cs="宋体" w:eastAsia="宋体" w:hint="default"/>
                <w:sz w:val="15"/>
                <w:szCs w:val="15"/>
              </w:rPr>
              <w:t>关联方</w:t>
            </w:r>
            <w:r>
              <w:rPr>
                <w:rFonts w:ascii="宋体" w:hAnsi="宋体" w:cs="宋体" w:eastAsia="宋体" w:hint="default"/>
                <w:w w:val="99"/>
                <w:sz w:val="15"/>
                <w:szCs w:val="15"/>
              </w:rPr>
              <w:t> </w:t>
            </w:r>
            <w:r>
              <w:rPr>
                <w:rFonts w:ascii="宋体" w:hAnsi="宋体" w:cs="宋体" w:eastAsia="宋体" w:hint="default"/>
                <w:sz w:val="15"/>
                <w:szCs w:val="15"/>
              </w:rPr>
              <w:t>担保</w:t>
            </w:r>
          </w:p>
        </w:tc>
      </w:tr>
      <w:tr>
        <w:trPr>
          <w:trHeight w:val="322" w:hRule="exact"/>
        </w:trPr>
        <w:tc>
          <w:tcPr>
            <w:tcW w:w="3548"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4"/>
              <w:ind w:left="92" w:right="0"/>
              <w:jc w:val="left"/>
              <w:rPr>
                <w:rFonts w:ascii="宋体" w:hAnsi="宋体" w:cs="宋体" w:eastAsia="宋体" w:hint="default"/>
                <w:sz w:val="15"/>
                <w:szCs w:val="15"/>
              </w:rPr>
            </w:pPr>
            <w:r>
              <w:rPr>
                <w:rFonts w:ascii="宋体" w:hAnsi="宋体" w:cs="宋体" w:eastAsia="宋体" w:hint="default"/>
                <w:sz w:val="15"/>
                <w:szCs w:val="15"/>
              </w:rPr>
              <w:t>报告期内审批对子公司担保额度合计（</w:t>
            </w:r>
            <w:r>
              <w:rPr>
                <w:rFonts w:ascii="Times New Roman" w:hAnsi="Times New Roman" w:cs="Times New Roman" w:eastAsia="Times New Roman" w:hint="default"/>
                <w:sz w:val="15"/>
                <w:szCs w:val="15"/>
              </w:rPr>
              <w:t>C1</w:t>
            </w:r>
            <w:r>
              <w:rPr>
                <w:rFonts w:ascii="宋体" w:hAnsi="宋体" w:cs="宋体" w:eastAsia="宋体" w:hint="default"/>
                <w:sz w:val="15"/>
                <w:szCs w:val="15"/>
              </w:rPr>
              <w:t>）</w:t>
            </w:r>
          </w:p>
        </w:tc>
        <w:tc>
          <w:tcPr>
            <w:tcW w:w="1302" w:type="dxa"/>
            <w:tcBorders>
              <w:top w:val="single" w:sz="4" w:space="0" w:color="000000"/>
              <w:left w:val="single" w:sz="4" w:space="0" w:color="000000"/>
              <w:bottom w:val="single" w:sz="4" w:space="0" w:color="000000"/>
              <w:right w:val="single" w:sz="4" w:space="0" w:color="000000"/>
            </w:tcBorders>
          </w:tcPr>
          <w:p>
            <w:pP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left="102" w:right="0"/>
              <w:jc w:val="left"/>
              <w:rPr>
                <w:rFonts w:ascii="宋体" w:hAnsi="宋体" w:cs="宋体" w:eastAsia="宋体" w:hint="default"/>
                <w:sz w:val="15"/>
                <w:szCs w:val="15"/>
              </w:rPr>
            </w:pPr>
            <w:r>
              <w:rPr>
                <w:rFonts w:ascii="宋体" w:hAnsi="宋体" w:cs="宋体" w:eastAsia="宋体" w:hint="default"/>
                <w:sz w:val="15"/>
                <w:szCs w:val="15"/>
              </w:rPr>
              <w:t>报告期内对子公司担保实际发生额合计（</w:t>
            </w:r>
            <w:r>
              <w:rPr>
                <w:rFonts w:ascii="Times New Roman" w:hAnsi="Times New Roman" w:cs="Times New Roman" w:eastAsia="Times New Roman" w:hint="default"/>
                <w:sz w:val="15"/>
                <w:szCs w:val="15"/>
              </w:rPr>
              <w:t>C2</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3548"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4"/>
              <w:ind w:left="92" w:right="0"/>
              <w:jc w:val="left"/>
              <w:rPr>
                <w:rFonts w:ascii="宋体" w:hAnsi="宋体" w:cs="宋体" w:eastAsia="宋体" w:hint="default"/>
                <w:sz w:val="15"/>
                <w:szCs w:val="15"/>
              </w:rPr>
            </w:pPr>
            <w:r>
              <w:rPr>
                <w:rFonts w:ascii="宋体" w:hAnsi="宋体" w:cs="宋体" w:eastAsia="宋体" w:hint="default"/>
                <w:sz w:val="15"/>
                <w:szCs w:val="15"/>
              </w:rPr>
              <w:t>报告期末已审批的对子公司担保额度合计（</w:t>
            </w:r>
            <w:r>
              <w:rPr>
                <w:rFonts w:ascii="Times New Roman" w:hAnsi="Times New Roman" w:cs="Times New Roman" w:eastAsia="Times New Roman" w:hint="default"/>
                <w:sz w:val="15"/>
                <w:szCs w:val="15"/>
              </w:rPr>
              <w:t>C3</w:t>
            </w:r>
            <w:r>
              <w:rPr>
                <w:rFonts w:ascii="宋体" w:hAnsi="宋体" w:cs="宋体" w:eastAsia="宋体" w:hint="default"/>
                <w:sz w:val="15"/>
                <w:szCs w:val="15"/>
              </w:rPr>
              <w:t>）</w:t>
            </w:r>
          </w:p>
        </w:tc>
        <w:tc>
          <w:tcPr>
            <w:tcW w:w="1302" w:type="dxa"/>
            <w:tcBorders>
              <w:top w:val="single" w:sz="4" w:space="0" w:color="000000"/>
              <w:left w:val="single" w:sz="4" w:space="0" w:color="000000"/>
              <w:bottom w:val="single" w:sz="4" w:space="0" w:color="000000"/>
              <w:right w:val="single" w:sz="4" w:space="0" w:color="000000"/>
            </w:tcBorders>
          </w:tcPr>
          <w:p>
            <w:pP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left="102" w:right="0"/>
              <w:jc w:val="left"/>
              <w:rPr>
                <w:rFonts w:ascii="宋体" w:hAnsi="宋体" w:cs="宋体" w:eastAsia="宋体" w:hint="default"/>
                <w:sz w:val="15"/>
                <w:szCs w:val="15"/>
              </w:rPr>
            </w:pPr>
            <w:r>
              <w:rPr>
                <w:rFonts w:ascii="宋体" w:hAnsi="宋体" w:cs="宋体" w:eastAsia="宋体" w:hint="default"/>
                <w:sz w:val="15"/>
                <w:szCs w:val="15"/>
              </w:rPr>
              <w:t>报告期末对子公司实际担保余额合计（</w:t>
            </w:r>
            <w:r>
              <w:rPr>
                <w:rFonts w:ascii="Times New Roman" w:hAnsi="Times New Roman" w:cs="Times New Roman" w:eastAsia="Times New Roman" w:hint="default"/>
                <w:sz w:val="15"/>
                <w:szCs w:val="15"/>
              </w:rPr>
              <w:t>C4</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9568" w:type="dxa"/>
            <w:gridSpan w:val="9"/>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公司担保总额（即前三大项的合计）</w:t>
            </w:r>
          </w:p>
        </w:tc>
      </w:tr>
      <w:tr>
        <w:trPr>
          <w:trHeight w:val="322" w:hRule="exact"/>
        </w:trPr>
        <w:tc>
          <w:tcPr>
            <w:tcW w:w="3548"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报告期内审批担保额度合计（</w:t>
            </w:r>
            <w:r>
              <w:rPr>
                <w:rFonts w:ascii="Times New Roman" w:hAnsi="Times New Roman" w:cs="Times New Roman" w:eastAsia="Times New Roman" w:hint="default"/>
                <w:sz w:val="15"/>
                <w:szCs w:val="15"/>
              </w:rPr>
              <w:t>A1+B1+C1</w:t>
            </w:r>
            <w:r>
              <w:rPr>
                <w:rFonts w:ascii="宋体" w:hAnsi="宋体" w:cs="宋体" w:eastAsia="宋体" w:hint="default"/>
                <w:sz w:val="15"/>
                <w:szCs w:val="15"/>
              </w:rPr>
              <w:t>）</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5"/>
                <w:szCs w:val="15"/>
              </w:rPr>
            </w:pPr>
            <w:r>
              <w:rPr>
                <w:rFonts w:ascii="Times New Roman"/>
                <w:spacing w:val="-1"/>
                <w:sz w:val="15"/>
              </w:rPr>
              <w:t>79,300</w:t>
            </w: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报告期内担保实际发生额合计（</w:t>
            </w:r>
            <w:r>
              <w:rPr>
                <w:rFonts w:ascii="Times New Roman" w:hAnsi="Times New Roman" w:cs="Times New Roman" w:eastAsia="Times New Roman" w:hint="default"/>
                <w:sz w:val="15"/>
                <w:szCs w:val="15"/>
              </w:rPr>
              <w:t>A2+B2+C2</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68"/>
              <w:ind w:right="94"/>
              <w:jc w:val="right"/>
              <w:rPr>
                <w:rFonts w:ascii="Times New Roman" w:hAnsi="Times New Roman" w:cs="Times New Roman" w:eastAsia="Times New Roman" w:hint="default"/>
                <w:sz w:val="15"/>
                <w:szCs w:val="15"/>
              </w:rPr>
            </w:pPr>
            <w:r>
              <w:rPr>
                <w:rFonts w:ascii="Times New Roman"/>
                <w:spacing w:val="-1"/>
                <w:sz w:val="15"/>
              </w:rPr>
              <w:t>32,108</w:t>
            </w:r>
          </w:p>
        </w:tc>
      </w:tr>
      <w:tr>
        <w:trPr>
          <w:trHeight w:val="322" w:hRule="exact"/>
        </w:trPr>
        <w:tc>
          <w:tcPr>
            <w:tcW w:w="3548" w:type="dxa"/>
            <w:gridSpan w:val="3"/>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5"/>
              <w:ind w:left="92" w:right="0"/>
              <w:jc w:val="left"/>
              <w:rPr>
                <w:rFonts w:ascii="宋体" w:hAnsi="宋体" w:cs="宋体" w:eastAsia="宋体" w:hint="default"/>
                <w:sz w:val="15"/>
                <w:szCs w:val="15"/>
              </w:rPr>
            </w:pPr>
            <w:r>
              <w:rPr>
                <w:rFonts w:ascii="宋体" w:hAnsi="宋体" w:cs="宋体" w:eastAsia="宋体" w:hint="default"/>
                <w:sz w:val="15"/>
                <w:szCs w:val="15"/>
              </w:rPr>
              <w:t>报告期末已审批的担保额度合计（</w:t>
            </w:r>
            <w:r>
              <w:rPr>
                <w:rFonts w:ascii="Times New Roman" w:hAnsi="Times New Roman" w:cs="Times New Roman" w:eastAsia="Times New Roman" w:hint="default"/>
                <w:sz w:val="15"/>
                <w:szCs w:val="15"/>
              </w:rPr>
              <w:t>A3+B3+C3</w:t>
            </w:r>
            <w:r>
              <w:rPr>
                <w:rFonts w:ascii="宋体" w:hAnsi="宋体" w:cs="宋体" w:eastAsia="宋体" w:hint="default"/>
                <w:sz w:val="15"/>
                <w:szCs w:val="15"/>
              </w:rPr>
              <w:t>）</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5"/>
                <w:szCs w:val="15"/>
              </w:rPr>
            </w:pPr>
            <w:r>
              <w:rPr>
                <w:rFonts w:ascii="Times New Roman"/>
                <w:spacing w:val="-1"/>
                <w:sz w:val="15"/>
              </w:rPr>
              <w:t>79,300</w:t>
            </w:r>
          </w:p>
        </w:tc>
        <w:tc>
          <w:tcPr>
            <w:tcW w:w="315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5"/>
              <w:ind w:left="102" w:right="0"/>
              <w:jc w:val="left"/>
              <w:rPr>
                <w:rFonts w:ascii="宋体" w:hAnsi="宋体" w:cs="宋体" w:eastAsia="宋体" w:hint="default"/>
                <w:sz w:val="15"/>
                <w:szCs w:val="15"/>
              </w:rPr>
            </w:pPr>
            <w:r>
              <w:rPr>
                <w:rFonts w:ascii="宋体" w:hAnsi="宋体" w:cs="宋体" w:eastAsia="宋体" w:hint="default"/>
                <w:sz w:val="15"/>
                <w:szCs w:val="15"/>
              </w:rPr>
              <w:t>报告期末实际担保余额合计（</w:t>
            </w:r>
            <w:r>
              <w:rPr>
                <w:rFonts w:ascii="Times New Roman" w:hAnsi="Times New Roman" w:cs="Times New Roman" w:eastAsia="Times New Roman" w:hint="default"/>
                <w:sz w:val="15"/>
                <w:szCs w:val="15"/>
              </w:rPr>
              <w:t>A4+B4+C4</w:t>
            </w:r>
            <w:r>
              <w:rPr>
                <w:rFonts w:ascii="宋体" w:hAnsi="宋体" w:cs="宋体" w:eastAsia="宋体" w:hint="default"/>
                <w:sz w:val="15"/>
                <w:szCs w:val="15"/>
              </w:rPr>
              <w:t>）</w:t>
            </w:r>
          </w:p>
        </w:tc>
        <w:tc>
          <w:tcPr>
            <w:tcW w:w="1568"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70"/>
              <w:ind w:right="94"/>
              <w:jc w:val="right"/>
              <w:rPr>
                <w:rFonts w:ascii="Times New Roman" w:hAnsi="Times New Roman" w:cs="Times New Roman" w:eastAsia="Times New Roman" w:hint="default"/>
                <w:sz w:val="15"/>
                <w:szCs w:val="15"/>
              </w:rPr>
            </w:pPr>
            <w:r>
              <w:rPr>
                <w:rFonts w:ascii="Times New Roman"/>
                <w:spacing w:val="-1"/>
                <w:sz w:val="15"/>
              </w:rPr>
              <w:t>32,108</w:t>
            </w:r>
          </w:p>
        </w:tc>
      </w:tr>
      <w:tr>
        <w:trPr>
          <w:trHeight w:val="322" w:hRule="exact"/>
        </w:trPr>
        <w:tc>
          <w:tcPr>
            <w:tcW w:w="4850" w:type="dxa"/>
            <w:gridSpan w:val="4"/>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4"/>
              <w:ind w:left="92" w:right="0"/>
              <w:jc w:val="left"/>
              <w:rPr>
                <w:rFonts w:ascii="宋体" w:hAnsi="宋体" w:cs="宋体" w:eastAsia="宋体" w:hint="default"/>
                <w:sz w:val="15"/>
                <w:szCs w:val="15"/>
              </w:rPr>
            </w:pPr>
            <w:r>
              <w:rPr>
                <w:rFonts w:ascii="宋体" w:hAnsi="宋体" w:cs="宋体" w:eastAsia="宋体" w:hint="default"/>
                <w:sz w:val="15"/>
                <w:szCs w:val="15"/>
              </w:rPr>
              <w:t>实际担保总额（即</w:t>
            </w:r>
            <w:r>
              <w:rPr>
                <w:rFonts w:ascii="宋体" w:hAnsi="宋体" w:cs="宋体" w:eastAsia="宋体" w:hint="default"/>
                <w:spacing w:val="-52"/>
                <w:sz w:val="15"/>
                <w:szCs w:val="15"/>
              </w:rPr>
              <w:t> </w:t>
            </w:r>
            <w:r>
              <w:rPr>
                <w:rFonts w:ascii="Times New Roman" w:hAnsi="Times New Roman" w:cs="Times New Roman" w:eastAsia="Times New Roman" w:hint="default"/>
                <w:sz w:val="15"/>
                <w:szCs w:val="15"/>
              </w:rPr>
              <w:t>A4+B4+C4</w:t>
            </w:r>
            <w:r>
              <w:rPr>
                <w:rFonts w:ascii="宋体" w:hAnsi="宋体" w:cs="宋体" w:eastAsia="宋体" w:hint="default"/>
                <w:sz w:val="15"/>
                <w:szCs w:val="15"/>
              </w:rPr>
              <w:t>）占公司净资产的比例</w:t>
            </w:r>
          </w:p>
        </w:tc>
        <w:tc>
          <w:tcPr>
            <w:tcW w:w="4718" w:type="dxa"/>
            <w:gridSpan w:val="5"/>
            <w:tcBorders>
              <w:top w:val="single" w:sz="4" w:space="0" w:color="000000"/>
              <w:left w:val="single" w:sz="4" w:space="0" w:color="000000"/>
              <w:bottom w:val="single" w:sz="4" w:space="0" w:color="000000"/>
              <w:right w:val="single" w:sz="12" w:space="0" w:color="000000"/>
            </w:tcBorders>
          </w:tcPr>
          <w:p>
            <w:pPr>
              <w:pStyle w:val="TableParagraph"/>
              <w:spacing w:line="240" w:lineRule="auto" w:before="69"/>
              <w:ind w:right="92"/>
              <w:jc w:val="right"/>
              <w:rPr>
                <w:rFonts w:ascii="Times New Roman" w:hAnsi="Times New Roman" w:cs="Times New Roman" w:eastAsia="Times New Roman" w:hint="default"/>
                <w:sz w:val="15"/>
                <w:szCs w:val="15"/>
              </w:rPr>
            </w:pPr>
            <w:r>
              <w:rPr>
                <w:rFonts w:ascii="Times New Roman"/>
                <w:spacing w:val="-1"/>
                <w:sz w:val="15"/>
              </w:rPr>
              <w:t>7.56%</w:t>
            </w:r>
          </w:p>
        </w:tc>
      </w:tr>
      <w:tr>
        <w:trPr>
          <w:trHeight w:val="322" w:hRule="exact"/>
        </w:trPr>
        <w:tc>
          <w:tcPr>
            <w:tcW w:w="9568" w:type="dxa"/>
            <w:gridSpan w:val="9"/>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34"/>
              <w:ind w:left="92" w:right="0"/>
              <w:jc w:val="left"/>
              <w:rPr>
                <w:rFonts w:ascii="宋体" w:hAnsi="宋体" w:cs="宋体" w:eastAsia="宋体" w:hint="default"/>
                <w:sz w:val="15"/>
                <w:szCs w:val="15"/>
              </w:rPr>
            </w:pPr>
            <w:r>
              <w:rPr>
                <w:rFonts w:ascii="宋体" w:hAnsi="宋体" w:cs="宋体" w:eastAsia="宋体" w:hint="default"/>
                <w:sz w:val="15"/>
                <w:szCs w:val="15"/>
              </w:rPr>
              <w:t>其中：</w:t>
            </w:r>
          </w:p>
        </w:tc>
      </w:tr>
      <w:tr>
        <w:trPr>
          <w:trHeight w:val="322" w:hRule="exact"/>
        </w:trPr>
        <w:tc>
          <w:tcPr>
            <w:tcW w:w="4850" w:type="dxa"/>
            <w:gridSpan w:val="4"/>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4"/>
              <w:ind w:left="92" w:right="0"/>
              <w:jc w:val="left"/>
              <w:rPr>
                <w:rFonts w:ascii="宋体" w:hAnsi="宋体" w:cs="宋体" w:eastAsia="宋体" w:hint="default"/>
                <w:sz w:val="15"/>
                <w:szCs w:val="15"/>
              </w:rPr>
            </w:pPr>
            <w:r>
              <w:rPr>
                <w:rFonts w:ascii="宋体" w:hAnsi="宋体" w:cs="宋体" w:eastAsia="宋体" w:hint="default"/>
                <w:sz w:val="15"/>
                <w:szCs w:val="15"/>
              </w:rPr>
              <w:t>为股东、实际控制人及其关联方提供担保的余额（</w:t>
            </w:r>
            <w:r>
              <w:rPr>
                <w:rFonts w:ascii="Times New Roman" w:hAnsi="Times New Roman" w:cs="Times New Roman" w:eastAsia="Times New Roman" w:hint="default"/>
                <w:sz w:val="15"/>
                <w:szCs w:val="15"/>
              </w:rPr>
              <w:t>D</w:t>
            </w:r>
            <w:r>
              <w:rPr>
                <w:rFonts w:ascii="宋体" w:hAnsi="宋体" w:cs="宋体" w:eastAsia="宋体" w:hint="default"/>
                <w:sz w:val="15"/>
                <w:szCs w:val="15"/>
              </w:rPr>
              <w:t>）</w:t>
            </w:r>
          </w:p>
        </w:tc>
        <w:tc>
          <w:tcPr>
            <w:tcW w:w="4718" w:type="dxa"/>
            <w:gridSpan w:val="5"/>
            <w:tcBorders>
              <w:top w:val="single" w:sz="4" w:space="0" w:color="000000"/>
              <w:left w:val="single" w:sz="4" w:space="0" w:color="000000"/>
              <w:bottom w:val="single" w:sz="4" w:space="0" w:color="000000"/>
              <w:right w:val="single" w:sz="12" w:space="0" w:color="000000"/>
            </w:tcBorders>
          </w:tcPr>
          <w:p>
            <w:pPr>
              <w:pStyle w:val="TableParagraph"/>
              <w:spacing w:line="240" w:lineRule="auto" w:before="69"/>
              <w:ind w:right="91"/>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r>
      <w:tr>
        <w:trPr>
          <w:trHeight w:val="634" w:hRule="exact"/>
        </w:trPr>
        <w:tc>
          <w:tcPr>
            <w:tcW w:w="4850" w:type="dxa"/>
            <w:gridSpan w:val="4"/>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直接或间接为资产负债率超过</w:t>
            </w:r>
            <w:r>
              <w:rPr>
                <w:rFonts w:ascii="宋体" w:hAnsi="宋体" w:cs="宋体" w:eastAsia="宋体" w:hint="default"/>
                <w:spacing w:val="-53"/>
                <w:sz w:val="15"/>
                <w:szCs w:val="15"/>
              </w:rPr>
              <w:t> </w:t>
            </w:r>
            <w:r>
              <w:rPr>
                <w:rFonts w:ascii="Times New Roman" w:hAnsi="Times New Roman" w:cs="Times New Roman" w:eastAsia="Times New Roman" w:hint="default"/>
                <w:sz w:val="15"/>
                <w:szCs w:val="15"/>
              </w:rPr>
              <w:t>70%</w:t>
            </w:r>
            <w:r>
              <w:rPr>
                <w:rFonts w:ascii="宋体" w:hAnsi="宋体" w:cs="宋体" w:eastAsia="宋体" w:hint="default"/>
                <w:sz w:val="15"/>
                <w:szCs w:val="15"/>
              </w:rPr>
              <w:t>的被担保对象提供的债务担保余额</w:t>
            </w:r>
          </w:p>
          <w:p>
            <w:pPr>
              <w:pStyle w:val="TableParagraph"/>
              <w:spacing w:line="240" w:lineRule="auto" w:before="104"/>
              <w:ind w:left="92"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E</w:t>
            </w:r>
            <w:r>
              <w:rPr>
                <w:rFonts w:ascii="宋体" w:hAnsi="宋体" w:cs="宋体" w:eastAsia="宋体" w:hint="default"/>
                <w:sz w:val="15"/>
                <w:szCs w:val="15"/>
              </w:rPr>
              <w:t>）</w:t>
            </w:r>
          </w:p>
        </w:tc>
        <w:tc>
          <w:tcPr>
            <w:tcW w:w="4718" w:type="dxa"/>
            <w:gridSpan w:val="5"/>
            <w:tcBorders>
              <w:top w:val="single" w:sz="4" w:space="0" w:color="000000"/>
              <w:left w:val="single" w:sz="4" w:space="0" w:color="000000"/>
              <w:bottom w:val="single" w:sz="4" w:space="0" w:color="000000"/>
              <w:right w:val="single" w:sz="12"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91"/>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r>
      <w:tr>
        <w:trPr>
          <w:trHeight w:val="322" w:hRule="exact"/>
        </w:trPr>
        <w:tc>
          <w:tcPr>
            <w:tcW w:w="4850" w:type="dxa"/>
            <w:gridSpan w:val="4"/>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3"/>
              <w:ind w:left="92" w:right="0"/>
              <w:jc w:val="left"/>
              <w:rPr>
                <w:rFonts w:ascii="宋体" w:hAnsi="宋体" w:cs="宋体" w:eastAsia="宋体" w:hint="default"/>
                <w:sz w:val="15"/>
                <w:szCs w:val="15"/>
              </w:rPr>
            </w:pPr>
            <w:r>
              <w:rPr>
                <w:rFonts w:ascii="宋体" w:hAnsi="宋体" w:cs="宋体" w:eastAsia="宋体" w:hint="default"/>
                <w:sz w:val="15"/>
                <w:szCs w:val="15"/>
              </w:rPr>
              <w:t>担保总额超过净资产</w:t>
            </w:r>
            <w:r>
              <w:rPr>
                <w:rFonts w:ascii="宋体" w:hAnsi="宋体" w:cs="宋体" w:eastAsia="宋体" w:hint="default"/>
                <w:spacing w:val="-47"/>
                <w:sz w:val="15"/>
                <w:szCs w:val="15"/>
              </w:rPr>
              <w:t> </w:t>
            </w:r>
            <w:r>
              <w:rPr>
                <w:rFonts w:ascii="Times New Roman" w:hAnsi="Times New Roman" w:cs="Times New Roman" w:eastAsia="Times New Roman" w:hint="default"/>
                <w:sz w:val="15"/>
                <w:szCs w:val="15"/>
              </w:rPr>
              <w:t>50%</w:t>
            </w:r>
            <w:r>
              <w:rPr>
                <w:rFonts w:ascii="宋体" w:hAnsi="宋体" w:cs="宋体" w:eastAsia="宋体" w:hint="default"/>
                <w:sz w:val="15"/>
                <w:szCs w:val="15"/>
              </w:rPr>
              <w:t>部分的金额（</w:t>
            </w:r>
            <w:r>
              <w:rPr>
                <w:rFonts w:ascii="Times New Roman" w:hAnsi="Times New Roman" w:cs="Times New Roman" w:eastAsia="Times New Roman" w:hint="default"/>
                <w:sz w:val="15"/>
                <w:szCs w:val="15"/>
              </w:rPr>
              <w:t>F</w:t>
            </w:r>
            <w:r>
              <w:rPr>
                <w:rFonts w:ascii="宋体" w:hAnsi="宋体" w:cs="宋体" w:eastAsia="宋体" w:hint="default"/>
                <w:sz w:val="15"/>
                <w:szCs w:val="15"/>
              </w:rPr>
              <w:t>）</w:t>
            </w:r>
          </w:p>
        </w:tc>
        <w:tc>
          <w:tcPr>
            <w:tcW w:w="4718" w:type="dxa"/>
            <w:gridSpan w:val="5"/>
            <w:tcBorders>
              <w:top w:val="single" w:sz="4" w:space="0" w:color="000000"/>
              <w:left w:val="single" w:sz="4" w:space="0" w:color="000000"/>
              <w:bottom w:val="single" w:sz="4" w:space="0" w:color="000000"/>
              <w:right w:val="single" w:sz="12" w:space="0" w:color="000000"/>
            </w:tcBorders>
          </w:tcPr>
          <w:p>
            <w:pPr>
              <w:pStyle w:val="TableParagraph"/>
              <w:spacing w:line="240" w:lineRule="auto" w:before="68"/>
              <w:ind w:right="91"/>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r>
      <w:tr>
        <w:trPr>
          <w:trHeight w:val="322" w:hRule="exact"/>
        </w:trPr>
        <w:tc>
          <w:tcPr>
            <w:tcW w:w="4850" w:type="dxa"/>
            <w:gridSpan w:val="4"/>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35"/>
              <w:ind w:left="92" w:right="0"/>
              <w:jc w:val="left"/>
              <w:rPr>
                <w:rFonts w:ascii="宋体" w:hAnsi="宋体" w:cs="宋体" w:eastAsia="宋体" w:hint="default"/>
                <w:sz w:val="15"/>
                <w:szCs w:val="15"/>
              </w:rPr>
            </w:pPr>
            <w:r>
              <w:rPr>
                <w:rFonts w:ascii="宋体" w:hAnsi="宋体" w:cs="宋体" w:eastAsia="宋体" w:hint="default"/>
                <w:sz w:val="15"/>
                <w:szCs w:val="15"/>
              </w:rPr>
              <w:t>上述三项担保金额合计（</w:t>
            </w:r>
            <w:r>
              <w:rPr>
                <w:rFonts w:ascii="Times New Roman" w:hAnsi="Times New Roman" w:cs="Times New Roman" w:eastAsia="Times New Roman" w:hint="default"/>
                <w:sz w:val="15"/>
                <w:szCs w:val="15"/>
              </w:rPr>
              <w:t>D+E+F</w:t>
            </w:r>
            <w:r>
              <w:rPr>
                <w:rFonts w:ascii="宋体" w:hAnsi="宋体" w:cs="宋体" w:eastAsia="宋体" w:hint="default"/>
                <w:sz w:val="15"/>
                <w:szCs w:val="15"/>
              </w:rPr>
              <w:t>）</w:t>
            </w:r>
          </w:p>
        </w:tc>
        <w:tc>
          <w:tcPr>
            <w:tcW w:w="4718" w:type="dxa"/>
            <w:gridSpan w:val="5"/>
            <w:tcBorders>
              <w:top w:val="single" w:sz="4" w:space="0" w:color="000000"/>
              <w:left w:val="single" w:sz="4" w:space="0" w:color="000000"/>
              <w:bottom w:val="single" w:sz="4" w:space="0" w:color="000000"/>
              <w:right w:val="single" w:sz="12" w:space="0" w:color="000000"/>
            </w:tcBorders>
          </w:tcPr>
          <w:p>
            <w:pPr>
              <w:pStyle w:val="TableParagraph"/>
              <w:spacing w:line="240" w:lineRule="auto" w:before="70"/>
              <w:ind w:right="91"/>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r>
      <w:tr>
        <w:trPr>
          <w:trHeight w:val="634" w:hRule="exact"/>
        </w:trPr>
        <w:tc>
          <w:tcPr>
            <w:tcW w:w="4850" w:type="dxa"/>
            <w:gridSpan w:val="4"/>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81" w:lineRule="auto" w:before="34"/>
              <w:ind w:left="92" w:right="104"/>
              <w:jc w:val="left"/>
              <w:rPr>
                <w:rFonts w:ascii="宋体" w:hAnsi="宋体" w:cs="宋体" w:eastAsia="宋体" w:hint="default"/>
                <w:sz w:val="15"/>
                <w:szCs w:val="15"/>
              </w:rPr>
            </w:pPr>
            <w:r>
              <w:rPr>
                <w:rFonts w:ascii="宋体" w:hAnsi="宋体" w:cs="宋体" w:eastAsia="宋体" w:hint="default"/>
                <w:w w:val="95"/>
                <w:sz w:val="15"/>
                <w:szCs w:val="15"/>
              </w:rPr>
              <w:t>对未到期担保，报告期内已发生担保责任或可能承担连带清偿责任的情</w:t>
            </w:r>
            <w:r>
              <w:rPr>
                <w:rFonts w:ascii="宋体" w:hAnsi="宋体" w:cs="宋体" w:eastAsia="宋体" w:hint="default"/>
                <w:spacing w:val="56"/>
                <w:w w:val="95"/>
                <w:sz w:val="15"/>
                <w:szCs w:val="15"/>
              </w:rPr>
              <w:t> </w:t>
            </w:r>
            <w:r>
              <w:rPr>
                <w:rFonts w:ascii="宋体" w:hAnsi="宋体" w:cs="宋体" w:eastAsia="宋体" w:hint="default"/>
                <w:spacing w:val="56"/>
                <w:w w:val="95"/>
                <w:sz w:val="15"/>
                <w:szCs w:val="15"/>
              </w:rPr>
            </w:r>
            <w:r>
              <w:rPr>
                <w:rFonts w:ascii="宋体" w:hAnsi="宋体" w:cs="宋体" w:eastAsia="宋体" w:hint="default"/>
                <w:sz w:val="15"/>
                <w:szCs w:val="15"/>
              </w:rPr>
              <w:t>况说明（如有）</w:t>
            </w:r>
          </w:p>
        </w:tc>
        <w:tc>
          <w:tcPr>
            <w:tcW w:w="4718" w:type="dxa"/>
            <w:gridSpan w:val="5"/>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w w:val="99"/>
                <w:sz w:val="15"/>
                <w:szCs w:val="15"/>
              </w:rPr>
              <w:t>无</w:t>
            </w:r>
            <w:r>
              <w:rPr>
                <w:rFonts w:ascii="宋体" w:hAnsi="宋体" w:cs="宋体" w:eastAsia="宋体" w:hint="default"/>
                <w:sz w:val="15"/>
                <w:szCs w:val="15"/>
              </w:rPr>
            </w:r>
          </w:p>
        </w:tc>
      </w:tr>
      <w:tr>
        <w:trPr>
          <w:trHeight w:val="332" w:hRule="exact"/>
        </w:trPr>
        <w:tc>
          <w:tcPr>
            <w:tcW w:w="4850" w:type="dxa"/>
            <w:gridSpan w:val="4"/>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34"/>
              <w:ind w:left="92" w:right="0"/>
              <w:jc w:val="left"/>
              <w:rPr>
                <w:rFonts w:ascii="宋体" w:hAnsi="宋体" w:cs="宋体" w:eastAsia="宋体" w:hint="default"/>
                <w:sz w:val="15"/>
                <w:szCs w:val="15"/>
              </w:rPr>
            </w:pPr>
            <w:r>
              <w:rPr>
                <w:rFonts w:ascii="宋体" w:hAnsi="宋体" w:cs="宋体" w:eastAsia="宋体" w:hint="default"/>
                <w:sz w:val="15"/>
                <w:szCs w:val="15"/>
              </w:rPr>
              <w:t>违反规定程序对外提供担保的说明（如有）</w:t>
            </w:r>
          </w:p>
        </w:tc>
        <w:tc>
          <w:tcPr>
            <w:tcW w:w="4718" w:type="dxa"/>
            <w:gridSpan w:val="5"/>
            <w:tcBorders>
              <w:top w:val="single" w:sz="4" w:space="0" w:color="000000"/>
              <w:left w:val="single" w:sz="4" w:space="0" w:color="000000"/>
              <w:bottom w:val="single" w:sz="12" w:space="0" w:color="000000"/>
              <w:right w:val="single" w:sz="12" w:space="0" w:color="000000"/>
            </w:tcBorders>
          </w:tcPr>
          <w:p>
            <w:pPr>
              <w:pStyle w:val="TableParagraph"/>
              <w:spacing w:line="240" w:lineRule="auto" w:before="34"/>
              <w:ind w:left="102" w:right="0"/>
              <w:jc w:val="left"/>
              <w:rPr>
                <w:rFonts w:ascii="宋体" w:hAnsi="宋体" w:cs="宋体" w:eastAsia="宋体" w:hint="default"/>
                <w:sz w:val="15"/>
                <w:szCs w:val="15"/>
              </w:rPr>
            </w:pPr>
            <w:r>
              <w:rPr>
                <w:rFonts w:ascii="宋体" w:hAnsi="宋体" w:cs="宋体" w:eastAsia="宋体" w:hint="default"/>
                <w:w w:val="99"/>
                <w:sz w:val="15"/>
                <w:szCs w:val="15"/>
              </w:rPr>
              <w:t>无</w:t>
            </w:r>
            <w:r>
              <w:rPr>
                <w:rFonts w:ascii="宋体" w:hAnsi="宋体" w:cs="宋体" w:eastAsia="宋体" w:hint="default"/>
                <w:sz w:val="15"/>
                <w:szCs w:val="15"/>
              </w:rPr>
            </w:r>
          </w:p>
        </w:tc>
      </w:tr>
    </w:tbl>
    <w:p>
      <w:pPr>
        <w:spacing w:line="240" w:lineRule="auto" w:before="5"/>
        <w:rPr>
          <w:rFonts w:ascii="宋体" w:hAnsi="宋体" w:cs="宋体" w:eastAsia="宋体" w:hint="default"/>
          <w:sz w:val="19"/>
          <w:szCs w:val="19"/>
        </w:rPr>
      </w:pPr>
    </w:p>
    <w:p>
      <w:pPr>
        <w:spacing w:before="34"/>
        <w:ind w:left="124" w:right="1473" w:firstLine="0"/>
        <w:jc w:val="left"/>
        <w:rPr>
          <w:rFonts w:ascii="宋体" w:hAnsi="宋体" w:cs="宋体" w:eastAsia="宋体" w:hint="default"/>
          <w:sz w:val="21"/>
          <w:szCs w:val="21"/>
        </w:rPr>
      </w:pPr>
      <w:bookmarkStart w:name="3、委托他人进行现金资产管理情况" w:id="93"/>
      <w:bookmarkEnd w:id="93"/>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、委托他人进行现金资产管理情况</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24" w:right="1473" w:firstLine="0"/>
        <w:jc w:val="left"/>
        <w:rPr>
          <w:rFonts w:ascii="宋体" w:hAnsi="宋体" w:cs="宋体" w:eastAsia="宋体" w:hint="default"/>
          <w:sz w:val="21"/>
          <w:szCs w:val="21"/>
        </w:rPr>
      </w:pPr>
      <w:bookmarkStart w:name="（1）委托理财情况" w:id="94"/>
      <w:bookmarkEnd w:id="9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）委托理财情况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90" w:footer="1053" w:top="1480" w:bottom="1240" w:left="1320" w:right="0"/>
        </w:sectPr>
      </w:pPr>
    </w:p>
    <w:p>
      <w:pPr>
        <w:spacing w:line="360" w:lineRule="auto" w:before="44"/>
        <w:ind w:left="124" w:right="-20" w:firstLine="0"/>
        <w:jc w:val="left"/>
        <w:rPr>
          <w:rFonts w:ascii="宋体" w:hAnsi="宋体" w:cs="宋体" w:eastAsia="宋体" w:hint="default"/>
          <w:sz w:val="18"/>
          <w:szCs w:val="18"/>
        </w:rPr>
      </w:pPr>
      <w:r>
        <w:rPr>
          <w:rFonts w:ascii="宋体" w:hAnsi="宋体" w:cs="宋体" w:eastAsia="宋体" w:hint="default"/>
          <w:sz w:val="18"/>
          <w:szCs w:val="18"/>
        </w:rPr>
        <w:t>√ 适用 □ 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before="0"/>
        <w:ind w:left="124" w:right="0" w:firstLine="0"/>
        <w:jc w:val="lef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10" w:h="16840"/>
          <w:pgMar w:top="660" w:bottom="700" w:left="1320" w:right="0"/>
          <w:cols w:num="2" w:equalWidth="0">
            <w:col w:w="1925" w:space="6163"/>
            <w:col w:w="2502"/>
          </w:cols>
        </w:sectPr>
      </w:pPr>
    </w:p>
    <w:p>
      <w:pPr>
        <w:spacing w:line="240" w:lineRule="auto" w:before="1"/>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1868"/>
        <w:gridCol w:w="1962"/>
        <w:gridCol w:w="1799"/>
        <w:gridCol w:w="1475"/>
        <w:gridCol w:w="1866"/>
      </w:tblGrid>
      <w:tr>
        <w:trPr>
          <w:trHeight w:val="332" w:hRule="exact"/>
        </w:trPr>
        <w:tc>
          <w:tcPr>
            <w:tcW w:w="1868"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560"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64"/>
              <w:jc w:val="righ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799"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63"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47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81"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66"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left="207"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320" w:hRule="exact"/>
        </w:trPr>
        <w:tc>
          <w:tcPr>
            <w:tcW w:w="186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6"/>
              <w:jc w:val="right"/>
              <w:rPr>
                <w:rFonts w:ascii="宋体" w:hAnsi="宋体" w:cs="宋体" w:eastAsia="宋体" w:hint="default"/>
                <w:sz w:val="18"/>
                <w:szCs w:val="18"/>
              </w:rPr>
            </w:pPr>
            <w:r>
              <w:rPr>
                <w:rFonts w:ascii="宋体" w:hAnsi="宋体" w:cs="宋体" w:eastAsia="宋体" w:hint="default"/>
                <w:sz w:val="18"/>
                <w:szCs w:val="18"/>
              </w:rPr>
              <w:t>自有资金、募集资金</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91" w:right="0"/>
              <w:jc w:val="left"/>
              <w:rPr>
                <w:rFonts w:ascii="Times New Roman" w:hAnsi="Times New Roman" w:cs="Times New Roman" w:eastAsia="Times New Roman" w:hint="default"/>
                <w:sz w:val="18"/>
                <w:szCs w:val="18"/>
              </w:rPr>
            </w:pPr>
            <w:r>
              <w:rPr>
                <w:rFonts w:ascii="Times New Roman"/>
                <w:sz w:val="18"/>
              </w:rPr>
              <w:t>90,240</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641" w:right="0"/>
              <w:jc w:val="left"/>
              <w:rPr>
                <w:rFonts w:ascii="Times New Roman" w:hAnsi="Times New Roman" w:cs="Times New Roman" w:eastAsia="Times New Roman" w:hint="default"/>
                <w:sz w:val="18"/>
                <w:szCs w:val="18"/>
              </w:rPr>
            </w:pPr>
            <w:r>
              <w:rPr>
                <w:rFonts w:ascii="Times New Roman"/>
                <w:sz w:val="18"/>
              </w:rPr>
              <w:t>10,549.38</w:t>
            </w:r>
          </w:p>
        </w:tc>
        <w:tc>
          <w:tcPr>
            <w:tcW w:w="186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2"/>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660" w:bottom="700" w:left="1320" w:right="0"/>
        </w:sectPr>
      </w:pPr>
    </w:p>
    <w:p>
      <w:pPr>
        <w:spacing w:line="240" w:lineRule="auto" w:before="5"/>
        <w:rPr>
          <w:rFonts w:ascii="宋体" w:hAnsi="宋体" w:cs="宋体" w:eastAsia="宋体" w:hint="default"/>
          <w:sz w:val="4"/>
          <w:szCs w:val="4"/>
        </w:rPr>
      </w:pPr>
    </w:p>
    <w:tbl>
      <w:tblPr>
        <w:tblW w:w="0" w:type="auto"/>
        <w:jc w:val="left"/>
        <w:tblInd w:w="111" w:type="dxa"/>
        <w:tblLayout w:type="fixed"/>
        <w:tblCellMar>
          <w:top w:w="0" w:type="dxa"/>
          <w:left w:w="0" w:type="dxa"/>
          <w:bottom w:w="0" w:type="dxa"/>
          <w:right w:w="0" w:type="dxa"/>
        </w:tblCellMar>
        <w:tblLook w:val="01E0"/>
      </w:tblPr>
      <w:tblGrid>
        <w:gridCol w:w="3830"/>
        <w:gridCol w:w="1799"/>
        <w:gridCol w:w="1475"/>
        <w:gridCol w:w="1866"/>
      </w:tblGrid>
      <w:tr>
        <w:trPr>
          <w:trHeight w:val="332" w:hRule="exact"/>
        </w:trPr>
        <w:tc>
          <w:tcPr>
            <w:tcW w:w="3830"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9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191" w:right="0"/>
              <w:jc w:val="left"/>
              <w:rPr>
                <w:rFonts w:ascii="Times New Roman" w:hAnsi="Times New Roman" w:cs="Times New Roman" w:eastAsia="Times New Roman" w:hint="default"/>
                <w:sz w:val="18"/>
                <w:szCs w:val="18"/>
              </w:rPr>
            </w:pPr>
            <w:r>
              <w:rPr>
                <w:rFonts w:ascii="Times New Roman"/>
                <w:sz w:val="18"/>
              </w:rPr>
              <w:t>90,240</w:t>
            </w:r>
          </w:p>
        </w:tc>
        <w:tc>
          <w:tcPr>
            <w:tcW w:w="147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641" w:right="0"/>
              <w:jc w:val="left"/>
              <w:rPr>
                <w:rFonts w:ascii="Times New Roman" w:hAnsi="Times New Roman" w:cs="Times New Roman" w:eastAsia="Times New Roman" w:hint="default"/>
                <w:sz w:val="18"/>
                <w:szCs w:val="18"/>
              </w:rPr>
            </w:pPr>
            <w:r>
              <w:rPr>
                <w:rFonts w:ascii="Times New Roman"/>
                <w:sz w:val="18"/>
              </w:rPr>
              <w:t>10,549.38</w:t>
            </w:r>
          </w:p>
        </w:tc>
        <w:tc>
          <w:tcPr>
            <w:tcW w:w="186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92"/>
              <w:jc w:val="right"/>
              <w:rPr>
                <w:rFonts w:ascii="Times New Roman" w:hAnsi="Times New Roman" w:cs="Times New Roman" w:eastAsia="Times New Roman" w:hint="default"/>
                <w:sz w:val="18"/>
                <w:szCs w:val="18"/>
              </w:rPr>
            </w:pPr>
            <w:r>
              <w:rPr>
                <w:rFonts w:ascii="Times New Roman"/>
                <w:sz w:val="18"/>
              </w:rPr>
              <w:t>0</w:t>
            </w:r>
          </w:p>
        </w:tc>
      </w:tr>
    </w:tbl>
    <w:p>
      <w:pPr>
        <w:spacing w:before="52"/>
        <w:ind w:left="124" w:right="1473" w:firstLine="0"/>
        <w:jc w:val="left"/>
        <w:rPr>
          <w:rFonts w:ascii="宋体" w:hAnsi="宋体" w:cs="宋体" w:eastAsia="宋体" w:hint="default"/>
          <w:sz w:val="18"/>
          <w:szCs w:val="18"/>
        </w:rPr>
      </w:pPr>
      <w:r>
        <w:rPr/>
        <w:pict>
          <v:shape style="position:absolute;margin-left:428.399994pt;margin-top:21.041698pt;width:45.5pt;height:53.85pt;mso-position-horizontal-relative:page;mso-position-vertical-relative:paragraph;z-index:-1170232" type="#_x0000_t202" filled="false" stroked="false">
            <v:textbox inset="0,0,0,0">
              <w:txbxContent>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6"/>
                    <w:rPr>
                      <w:rFonts w:ascii="宋体" w:hAnsi="宋体" w:cs="宋体" w:eastAsia="宋体" w:hint="default"/>
                      <w:sz w:val="13"/>
                      <w:szCs w:val="13"/>
                    </w:rPr>
                  </w:pPr>
                </w:p>
                <w:p>
                  <w:pPr>
                    <w:spacing w:before="0"/>
                    <w:ind w:left="0" w:right="0" w:firstLine="0"/>
                    <w:jc w:val="left"/>
                    <w:rPr>
                      <w:rFonts w:ascii="宋体" w:hAnsi="宋体" w:cs="宋体" w:eastAsia="宋体" w:hint="default"/>
                      <w:sz w:val="15"/>
                      <w:szCs w:val="15"/>
                    </w:rPr>
                  </w:pPr>
                  <w:r>
                    <w:rPr>
                      <w:rFonts w:ascii="宋体" w:hAnsi="宋体" w:cs="宋体" w:eastAsia="宋体" w:hint="default"/>
                      <w:w w:val="99"/>
                      <w:sz w:val="15"/>
                      <w:szCs w:val="15"/>
                    </w:rPr>
                    <w:t>）</w:t>
                  </w:r>
                  <w:r>
                    <w:rPr>
                      <w:rFonts w:ascii="宋体" w:hAnsi="宋体" w:cs="宋体" w:eastAsia="宋体" w:hint="default"/>
                      <w:sz w:val="15"/>
                      <w:szCs w:val="15"/>
                    </w:rPr>
                  </w:r>
                </w:p>
              </w:txbxContent>
            </v:textbox>
            <w10:wrap type="none"/>
          </v:shape>
        </w:pict>
      </w:r>
      <w:r>
        <w:rPr>
          <w:rFonts w:ascii="宋体" w:hAnsi="宋体" w:cs="宋体" w:eastAsia="宋体" w:hint="default"/>
          <w:sz w:val="18"/>
          <w:szCs w:val="18"/>
        </w:rPr>
        <w:t>按银行分列理财产品明细表</w:t>
      </w:r>
    </w:p>
    <w:p>
      <w:pPr>
        <w:spacing w:line="240" w:lineRule="auto" w:before="1"/>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1427"/>
        <w:gridCol w:w="477"/>
        <w:gridCol w:w="835"/>
        <w:gridCol w:w="1004"/>
        <w:gridCol w:w="1065"/>
        <w:gridCol w:w="799"/>
        <w:gridCol w:w="555"/>
        <w:gridCol w:w="1056"/>
        <w:gridCol w:w="826"/>
        <w:gridCol w:w="479"/>
        <w:gridCol w:w="557"/>
      </w:tblGrid>
      <w:tr>
        <w:trPr>
          <w:trHeight w:val="1095" w:hRule="exact"/>
        </w:trPr>
        <w:tc>
          <w:tcPr>
            <w:tcW w:w="1427" w:type="dxa"/>
            <w:tcBorders>
              <w:top w:val="single" w:sz="12" w:space="0" w:color="000000"/>
              <w:left w:val="single" w:sz="12"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25" w:right="0"/>
              <w:jc w:val="left"/>
              <w:rPr>
                <w:rFonts w:ascii="宋体" w:hAnsi="宋体" w:cs="宋体" w:eastAsia="宋体" w:hint="default"/>
                <w:sz w:val="15"/>
                <w:szCs w:val="15"/>
              </w:rPr>
            </w:pPr>
            <w:r>
              <w:rPr>
                <w:rFonts w:ascii="宋体" w:hAnsi="宋体" w:cs="宋体" w:eastAsia="宋体" w:hint="default"/>
                <w:sz w:val="15"/>
                <w:szCs w:val="15"/>
              </w:rPr>
              <w:t>受托人名称</w:t>
            </w:r>
          </w:p>
        </w:tc>
        <w:tc>
          <w:tcPr>
            <w:tcW w:w="477"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92" w:lineRule="auto" w:before="118"/>
              <w:ind w:left="7" w:right="9"/>
              <w:jc w:val="left"/>
              <w:rPr>
                <w:rFonts w:ascii="宋体" w:hAnsi="宋体" w:cs="宋体" w:eastAsia="宋体" w:hint="default"/>
                <w:sz w:val="15"/>
                <w:szCs w:val="15"/>
              </w:rPr>
            </w:pPr>
            <w:r>
              <w:rPr>
                <w:rFonts w:ascii="宋体" w:hAnsi="宋体" w:cs="宋体" w:eastAsia="宋体" w:hint="default"/>
                <w:sz w:val="15"/>
                <w:szCs w:val="15"/>
              </w:rPr>
              <w:t>是否关</w:t>
            </w:r>
            <w:r>
              <w:rPr>
                <w:rFonts w:ascii="宋体" w:hAnsi="宋体" w:cs="宋体" w:eastAsia="宋体" w:hint="default"/>
                <w:w w:val="99"/>
                <w:sz w:val="15"/>
                <w:szCs w:val="15"/>
              </w:rPr>
              <w:t> </w:t>
            </w:r>
            <w:r>
              <w:rPr>
                <w:rFonts w:ascii="宋体" w:hAnsi="宋体" w:cs="宋体" w:eastAsia="宋体" w:hint="default"/>
                <w:sz w:val="15"/>
                <w:szCs w:val="15"/>
              </w:rPr>
              <w:t>联交易</w:t>
            </w:r>
          </w:p>
        </w:tc>
        <w:tc>
          <w:tcPr>
            <w:tcW w:w="835"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11" w:right="0"/>
              <w:jc w:val="left"/>
              <w:rPr>
                <w:rFonts w:ascii="宋体" w:hAnsi="宋体" w:cs="宋体" w:eastAsia="宋体" w:hint="default"/>
                <w:sz w:val="15"/>
                <w:szCs w:val="15"/>
              </w:rPr>
            </w:pPr>
            <w:r>
              <w:rPr>
                <w:rFonts w:ascii="宋体" w:hAnsi="宋体" w:cs="宋体" w:eastAsia="宋体" w:hint="default"/>
                <w:sz w:val="15"/>
                <w:szCs w:val="15"/>
              </w:rPr>
              <w:t>产品类型</w:t>
            </w:r>
          </w:p>
        </w:tc>
        <w:tc>
          <w:tcPr>
            <w:tcW w:w="1004"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8"/>
              <w:ind w:left="85" w:right="0"/>
              <w:jc w:val="left"/>
              <w:rPr>
                <w:rFonts w:ascii="宋体" w:hAnsi="宋体" w:cs="宋体" w:eastAsia="宋体" w:hint="default"/>
                <w:sz w:val="15"/>
                <w:szCs w:val="15"/>
              </w:rPr>
            </w:pPr>
            <w:r>
              <w:rPr>
                <w:rFonts w:ascii="宋体" w:hAnsi="宋体" w:cs="宋体" w:eastAsia="宋体" w:hint="default"/>
                <w:sz w:val="15"/>
                <w:szCs w:val="15"/>
              </w:rPr>
              <w:t>委托理财金额</w:t>
            </w:r>
          </w:p>
          <w:p>
            <w:pPr>
              <w:pStyle w:val="TableParagraph"/>
              <w:spacing w:line="240" w:lineRule="auto" w:before="43"/>
              <w:ind w:left="46" w:right="0"/>
              <w:jc w:val="left"/>
              <w:rPr>
                <w:rFonts w:ascii="宋体" w:hAnsi="宋体" w:cs="宋体" w:eastAsia="宋体" w:hint="default"/>
                <w:sz w:val="15"/>
                <w:szCs w:val="15"/>
              </w:rPr>
            </w:pPr>
            <w:r>
              <w:rPr>
                <w:rFonts w:ascii="宋体" w:hAnsi="宋体" w:cs="宋体" w:eastAsia="宋体" w:hint="default"/>
                <w:sz w:val="15"/>
                <w:szCs w:val="15"/>
              </w:rPr>
              <w:t>（单位：元）</w:t>
            </w:r>
          </w:p>
        </w:tc>
        <w:tc>
          <w:tcPr>
            <w:tcW w:w="1065"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28" w:right="0"/>
              <w:jc w:val="left"/>
              <w:rPr>
                <w:rFonts w:ascii="宋体" w:hAnsi="宋体" w:cs="宋体" w:eastAsia="宋体" w:hint="default"/>
                <w:sz w:val="15"/>
                <w:szCs w:val="15"/>
              </w:rPr>
            </w:pPr>
            <w:r>
              <w:rPr>
                <w:rFonts w:ascii="宋体" w:hAnsi="宋体" w:cs="宋体" w:eastAsia="宋体" w:hint="default"/>
                <w:sz w:val="15"/>
                <w:szCs w:val="15"/>
              </w:rPr>
              <w:t>起始日期</w:t>
            </w:r>
          </w:p>
        </w:tc>
        <w:tc>
          <w:tcPr>
            <w:tcW w:w="799"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94" w:right="0"/>
              <w:jc w:val="left"/>
              <w:rPr>
                <w:rFonts w:ascii="宋体" w:hAnsi="宋体" w:cs="宋体" w:eastAsia="宋体" w:hint="default"/>
                <w:sz w:val="15"/>
                <w:szCs w:val="15"/>
              </w:rPr>
            </w:pPr>
            <w:r>
              <w:rPr>
                <w:rFonts w:ascii="宋体" w:hAnsi="宋体" w:cs="宋体" w:eastAsia="宋体" w:hint="default"/>
                <w:sz w:val="15"/>
                <w:szCs w:val="15"/>
              </w:rPr>
              <w:t>终止日期</w:t>
            </w:r>
          </w:p>
        </w:tc>
        <w:tc>
          <w:tcPr>
            <w:tcW w:w="555"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92" w:lineRule="auto" w:before="118"/>
              <w:ind w:left="46" w:right="47"/>
              <w:jc w:val="left"/>
              <w:rPr>
                <w:rFonts w:ascii="宋体" w:hAnsi="宋体" w:cs="宋体" w:eastAsia="宋体" w:hint="default"/>
                <w:sz w:val="15"/>
                <w:szCs w:val="15"/>
              </w:rPr>
            </w:pPr>
            <w:r>
              <w:rPr>
                <w:rFonts w:ascii="宋体" w:hAnsi="宋体" w:cs="宋体" w:eastAsia="宋体" w:hint="default"/>
                <w:sz w:val="15"/>
                <w:szCs w:val="15"/>
              </w:rPr>
              <w:t>报酬确</w:t>
            </w:r>
            <w:r>
              <w:rPr>
                <w:rFonts w:ascii="宋体" w:hAnsi="宋体" w:cs="宋体" w:eastAsia="宋体" w:hint="default"/>
                <w:w w:val="99"/>
                <w:sz w:val="15"/>
                <w:szCs w:val="15"/>
              </w:rPr>
              <w:t> </w:t>
            </w:r>
            <w:r>
              <w:rPr>
                <w:rFonts w:ascii="宋体" w:hAnsi="宋体" w:cs="宋体" w:eastAsia="宋体" w:hint="default"/>
                <w:sz w:val="15"/>
                <w:szCs w:val="15"/>
              </w:rPr>
              <w:t>定方式</w:t>
            </w:r>
          </w:p>
        </w:tc>
        <w:tc>
          <w:tcPr>
            <w:tcW w:w="1056"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4"/>
                <w:szCs w:val="14"/>
              </w:rPr>
            </w:pPr>
          </w:p>
          <w:p>
            <w:pPr>
              <w:pStyle w:val="TableParagraph"/>
              <w:spacing w:line="292" w:lineRule="auto" w:before="118"/>
              <w:ind w:left="5" w:right="35" w:firstLine="105"/>
              <w:jc w:val="left"/>
              <w:rPr>
                <w:rFonts w:ascii="宋体" w:hAnsi="宋体" w:cs="宋体" w:eastAsia="宋体" w:hint="default"/>
                <w:sz w:val="15"/>
                <w:szCs w:val="15"/>
              </w:rPr>
            </w:pPr>
            <w:r>
              <w:rPr>
                <w:rFonts w:ascii="宋体" w:hAnsi="宋体" w:cs="宋体" w:eastAsia="宋体" w:hint="default"/>
                <w:sz w:val="15"/>
                <w:szCs w:val="15"/>
              </w:rPr>
              <w:t>本期实际收回</w:t>
            </w:r>
            <w:r>
              <w:rPr>
                <w:rFonts w:ascii="宋体" w:hAnsi="宋体" w:cs="宋体" w:eastAsia="宋体" w:hint="default"/>
                <w:w w:val="99"/>
                <w:sz w:val="15"/>
                <w:szCs w:val="15"/>
              </w:rPr>
              <w:t> </w:t>
            </w:r>
            <w:r>
              <w:rPr>
                <w:rFonts w:ascii="宋体" w:hAnsi="宋体" w:cs="宋体" w:eastAsia="宋体" w:hint="default"/>
                <w:sz w:val="15"/>
                <w:szCs w:val="15"/>
              </w:rPr>
              <w:t>本金金额</w:t>
            </w:r>
            <w:r>
              <w:rPr>
                <w:rFonts w:ascii="宋体" w:hAnsi="宋体" w:cs="宋体" w:eastAsia="宋体" w:hint="default"/>
                <w:spacing w:val="-17"/>
                <w:sz w:val="15"/>
                <w:szCs w:val="15"/>
              </w:rPr>
              <w:t> </w:t>
            </w:r>
            <w:r>
              <w:rPr>
                <w:rFonts w:ascii="宋体" w:hAnsi="宋体" w:cs="宋体" w:eastAsia="宋体" w:hint="default"/>
                <w:sz w:val="15"/>
                <w:szCs w:val="15"/>
              </w:rPr>
              <w:t>（元</w:t>
            </w:r>
          </w:p>
        </w:tc>
        <w:tc>
          <w:tcPr>
            <w:tcW w:w="826"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92" w:lineRule="auto"/>
              <w:ind w:left="33" w:right="31" w:firstLine="110"/>
              <w:jc w:val="left"/>
              <w:rPr>
                <w:rFonts w:ascii="宋体" w:hAnsi="宋体" w:cs="宋体" w:eastAsia="宋体" w:hint="default"/>
                <w:sz w:val="15"/>
                <w:szCs w:val="15"/>
              </w:rPr>
            </w:pPr>
            <w:r>
              <w:rPr>
                <w:rFonts w:ascii="宋体" w:hAnsi="宋体" w:cs="宋体" w:eastAsia="宋体" w:hint="default"/>
                <w:sz w:val="15"/>
                <w:szCs w:val="15"/>
              </w:rPr>
              <w:t>报告期实</w:t>
            </w:r>
            <w:r>
              <w:rPr>
                <w:rFonts w:ascii="宋体" w:hAnsi="宋体" w:cs="宋体" w:eastAsia="宋体" w:hint="default"/>
                <w:w w:val="99"/>
                <w:sz w:val="15"/>
                <w:szCs w:val="15"/>
              </w:rPr>
              <w:t> </w:t>
            </w:r>
            <w:r>
              <w:rPr>
                <w:rFonts w:ascii="宋体" w:hAnsi="宋体" w:cs="宋体" w:eastAsia="宋体" w:hint="default"/>
                <w:sz w:val="15"/>
                <w:szCs w:val="15"/>
              </w:rPr>
              <w:t>际损益金额</w:t>
            </w:r>
          </w:p>
          <w:p>
            <w:pPr>
              <w:pStyle w:val="TableParagraph"/>
              <w:spacing w:line="240" w:lineRule="auto" w:before="10"/>
              <w:ind w:left="182" w:right="0"/>
              <w:jc w:val="left"/>
              <w:rPr>
                <w:rFonts w:ascii="宋体" w:hAnsi="宋体" w:cs="宋体" w:eastAsia="宋体" w:hint="default"/>
                <w:sz w:val="15"/>
                <w:szCs w:val="15"/>
              </w:rPr>
            </w:pPr>
            <w:r>
              <w:rPr>
                <w:rFonts w:ascii="宋体" w:hAnsi="宋体" w:cs="宋体" w:eastAsia="宋体" w:hint="default"/>
                <w:sz w:val="15"/>
                <w:szCs w:val="15"/>
              </w:rPr>
              <w:t>（元）</w:t>
            </w:r>
          </w:p>
        </w:tc>
        <w:tc>
          <w:tcPr>
            <w:tcW w:w="479" w:type="dxa"/>
            <w:tcBorders>
              <w:top w:val="single" w:sz="12" w:space="0" w:color="000000"/>
              <w:left w:val="single" w:sz="4" w:space="0" w:color="000000"/>
              <w:bottom w:val="single" w:sz="4" w:space="0" w:color="000000"/>
              <w:right w:val="single" w:sz="4" w:space="0" w:color="000000"/>
            </w:tcBorders>
            <w:shd w:val="clear" w:color="auto" w:fill="C0C0C0"/>
          </w:tcPr>
          <w:p>
            <w:pPr>
              <w:pStyle w:val="TableParagraph"/>
              <w:spacing w:line="292" w:lineRule="auto" w:before="61"/>
              <w:ind w:left="9" w:right="8" w:firstLine="74"/>
              <w:jc w:val="center"/>
              <w:rPr>
                <w:rFonts w:ascii="宋体" w:hAnsi="宋体" w:cs="宋体" w:eastAsia="宋体" w:hint="default"/>
                <w:sz w:val="15"/>
                <w:szCs w:val="15"/>
              </w:rPr>
            </w:pPr>
            <w:r>
              <w:rPr>
                <w:rFonts w:ascii="宋体" w:hAnsi="宋体" w:cs="宋体" w:eastAsia="宋体" w:hint="default"/>
                <w:sz w:val="15"/>
                <w:szCs w:val="15"/>
              </w:rPr>
              <w:t>平均</w:t>
            </w:r>
            <w:r>
              <w:rPr>
                <w:rFonts w:ascii="宋体" w:hAnsi="宋体" w:cs="宋体" w:eastAsia="宋体" w:hint="default"/>
                <w:w w:val="99"/>
                <w:sz w:val="15"/>
                <w:szCs w:val="15"/>
              </w:rPr>
              <w:t> </w:t>
            </w:r>
            <w:r>
              <w:rPr>
                <w:rFonts w:ascii="宋体" w:hAnsi="宋体" w:cs="宋体" w:eastAsia="宋体" w:hint="default"/>
                <w:sz w:val="15"/>
                <w:szCs w:val="15"/>
              </w:rPr>
              <w:t>理财天</w:t>
            </w:r>
            <w:r>
              <w:rPr>
                <w:rFonts w:ascii="宋体" w:hAnsi="宋体" w:cs="宋体" w:eastAsia="宋体" w:hint="default"/>
                <w:w w:val="99"/>
                <w:sz w:val="15"/>
                <w:szCs w:val="15"/>
              </w:rPr>
              <w:t> </w:t>
            </w:r>
            <w:r>
              <w:rPr>
                <w:rFonts w:ascii="宋体" w:hAnsi="宋体" w:cs="宋体" w:eastAsia="宋体" w:hint="default"/>
                <w:sz w:val="15"/>
                <w:szCs w:val="15"/>
              </w:rPr>
              <w:t>数</w:t>
            </w:r>
          </w:p>
          <w:p>
            <w:pPr>
              <w:pStyle w:val="TableParagraph"/>
              <w:spacing w:line="240" w:lineRule="auto" w:before="10"/>
              <w:ind w:right="1"/>
              <w:jc w:val="center"/>
              <w:rPr>
                <w:rFonts w:ascii="宋体" w:hAnsi="宋体" w:cs="宋体" w:eastAsia="宋体" w:hint="default"/>
                <w:sz w:val="15"/>
                <w:szCs w:val="15"/>
              </w:rPr>
            </w:pPr>
            <w:r>
              <w:rPr>
                <w:rFonts w:ascii="宋体" w:hAnsi="宋体" w:cs="宋体" w:eastAsia="宋体" w:hint="default"/>
                <w:sz w:val="15"/>
                <w:szCs w:val="15"/>
              </w:rPr>
              <w:t>（天）</w:t>
            </w:r>
          </w:p>
        </w:tc>
        <w:tc>
          <w:tcPr>
            <w:tcW w:w="557" w:type="dxa"/>
            <w:tcBorders>
              <w:top w:val="single" w:sz="12" w:space="0" w:color="000000"/>
              <w:left w:val="single" w:sz="4" w:space="0" w:color="000000"/>
              <w:bottom w:val="single" w:sz="4" w:space="0" w:color="000000"/>
              <w:right w:val="single" w:sz="12" w:space="0" w:color="000000"/>
            </w:tcBorders>
            <w:shd w:val="clear" w:color="auto" w:fill="C0C0C0"/>
          </w:tcPr>
          <w:p>
            <w:pPr>
              <w:pStyle w:val="TableParagraph"/>
              <w:spacing w:line="240" w:lineRule="auto" w:before="11"/>
              <w:ind w:right="0"/>
              <w:jc w:val="left"/>
              <w:rPr>
                <w:rFonts w:ascii="宋体" w:hAnsi="宋体" w:cs="宋体" w:eastAsia="宋体" w:hint="default"/>
                <w:sz w:val="13"/>
                <w:szCs w:val="13"/>
              </w:rPr>
            </w:pPr>
          </w:p>
          <w:p>
            <w:pPr>
              <w:pStyle w:val="TableParagraph"/>
              <w:spacing w:line="292" w:lineRule="auto"/>
              <w:ind w:left="5" w:right="-40" w:firstLine="40"/>
              <w:jc w:val="both"/>
              <w:rPr>
                <w:rFonts w:ascii="宋体" w:hAnsi="宋体" w:cs="宋体" w:eastAsia="宋体" w:hint="default"/>
                <w:sz w:val="15"/>
                <w:szCs w:val="15"/>
              </w:rPr>
            </w:pPr>
            <w:r>
              <w:rPr>
                <w:rFonts w:ascii="宋体" w:hAnsi="宋体" w:cs="宋体" w:eastAsia="宋体" w:hint="default"/>
                <w:sz w:val="15"/>
                <w:szCs w:val="15"/>
              </w:rPr>
              <w:t>平均年</w:t>
            </w:r>
            <w:r>
              <w:rPr>
                <w:rFonts w:ascii="宋体" w:hAnsi="宋体" w:cs="宋体" w:eastAsia="宋体" w:hint="default"/>
                <w:w w:val="99"/>
                <w:sz w:val="15"/>
                <w:szCs w:val="15"/>
              </w:rPr>
              <w:t> </w:t>
            </w:r>
            <w:r>
              <w:rPr>
                <w:rFonts w:ascii="宋体" w:hAnsi="宋体" w:cs="宋体" w:eastAsia="宋体" w:hint="default"/>
                <w:sz w:val="15"/>
                <w:szCs w:val="15"/>
              </w:rPr>
              <w:t>化收益</w:t>
            </w:r>
            <w:r>
              <w:rPr>
                <w:rFonts w:ascii="宋体" w:hAnsi="宋体" w:cs="宋体" w:eastAsia="宋体" w:hint="default"/>
                <w:w w:val="99"/>
                <w:sz w:val="15"/>
                <w:szCs w:val="15"/>
              </w:rPr>
              <w:t> </w:t>
            </w:r>
            <w:r>
              <w:rPr>
                <w:rFonts w:ascii="宋体" w:hAnsi="宋体" w:cs="宋体" w:eastAsia="宋体" w:hint="default"/>
                <w:sz w:val="15"/>
                <w:szCs w:val="15"/>
              </w:rPr>
              <w:t>率（</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r>
      <w:tr>
        <w:trPr>
          <w:trHeight w:val="853"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2"/>
              <w:ind w:left="18" w:right="0"/>
              <w:jc w:val="left"/>
              <w:rPr>
                <w:rFonts w:ascii="宋体" w:hAnsi="宋体" w:cs="宋体" w:eastAsia="宋体" w:hint="default"/>
                <w:sz w:val="15"/>
                <w:szCs w:val="15"/>
              </w:rPr>
            </w:pPr>
            <w:r>
              <w:rPr>
                <w:rFonts w:ascii="宋体" w:hAnsi="宋体" w:cs="宋体" w:eastAsia="宋体" w:hint="default"/>
                <w:sz w:val="15"/>
                <w:szCs w:val="15"/>
              </w:rPr>
              <w:t>工商银行临安支行</w:t>
            </w:r>
          </w:p>
        </w:tc>
        <w:tc>
          <w:tcPr>
            <w:tcW w:w="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2"/>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92" w:lineRule="auto"/>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3,434,170,000.</w:t>
            </w:r>
          </w:p>
          <w:p>
            <w:pPr>
              <w:pStyle w:val="TableParagraph"/>
              <w:spacing w:line="240" w:lineRule="auto" w:before="67"/>
              <w:ind w:right="21"/>
              <w:jc w:val="right"/>
              <w:rPr>
                <w:rFonts w:ascii="Times New Roman" w:hAnsi="Times New Roman" w:cs="Times New Roman" w:eastAsia="Times New Roman" w:hint="default"/>
                <w:sz w:val="15"/>
                <w:szCs w:val="15"/>
              </w:rPr>
            </w:pPr>
            <w:r>
              <w:rPr>
                <w:rFonts w:ascii="Times New Roman"/>
                <w:spacing w:val="-1"/>
                <w:w w:val="95"/>
                <w:sz w:val="15"/>
              </w:rPr>
              <w:t>00</w:t>
            </w:r>
            <w:r>
              <w:rPr>
                <w:rFonts w:ascii="Times New Roman"/>
                <w:spacing w:val="-1"/>
                <w:sz w:val="15"/>
              </w:rPr>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92" w:lineRule="auto"/>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pacing w:val="-1"/>
                <w:sz w:val="15"/>
              </w:rPr>
              <w:t>3,434,170,000.0</w:t>
            </w:r>
          </w:p>
          <w:p>
            <w:pPr>
              <w:pStyle w:val="TableParagraph"/>
              <w:spacing w:line="240" w:lineRule="auto" w:before="67"/>
              <w:ind w:right="21"/>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3,990,655.1</w:t>
            </w:r>
          </w:p>
          <w:p>
            <w:pPr>
              <w:pStyle w:val="TableParagraph"/>
              <w:spacing w:line="240" w:lineRule="auto" w:before="67"/>
              <w:ind w:right="1"/>
              <w:jc w:val="center"/>
              <w:rPr>
                <w:rFonts w:ascii="Times New Roman" w:hAnsi="Times New Roman" w:cs="Times New Roman" w:eastAsia="Times New Roman" w:hint="default"/>
                <w:sz w:val="15"/>
                <w:szCs w:val="15"/>
              </w:rPr>
            </w:pPr>
            <w:r>
              <w:rPr>
                <w:rFonts w:ascii="Times New Roman"/>
                <w:w w:val="99"/>
                <w:sz w:val="15"/>
              </w:rPr>
              <w:t>5</w:t>
            </w:r>
            <w:r>
              <w:rPr>
                <w:rFonts w:ascii="Times New Roman"/>
                <w:sz w:val="15"/>
              </w:rPr>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14</w:t>
            </w:r>
          </w:p>
        </w:tc>
        <w:tc>
          <w:tcPr>
            <w:tcW w:w="55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72"/>
              <w:jc w:val="right"/>
              <w:rPr>
                <w:rFonts w:ascii="Times New Roman" w:hAnsi="Times New Roman" w:cs="Times New Roman" w:eastAsia="Times New Roman" w:hint="default"/>
                <w:sz w:val="15"/>
                <w:szCs w:val="15"/>
              </w:rPr>
            </w:pPr>
            <w:r>
              <w:rPr>
                <w:rFonts w:ascii="Times New Roman"/>
                <w:spacing w:val="-1"/>
                <w:sz w:val="15"/>
              </w:rPr>
              <w:t>3.36%</w:t>
            </w:r>
          </w:p>
        </w:tc>
      </w:tr>
      <w:tr>
        <w:trPr>
          <w:trHeight w:val="740"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92" w:lineRule="auto"/>
              <w:ind w:left="18" w:right="38"/>
              <w:jc w:val="left"/>
              <w:rPr>
                <w:rFonts w:ascii="宋体" w:hAnsi="宋体" w:cs="宋体" w:eastAsia="宋体" w:hint="default"/>
                <w:sz w:val="15"/>
                <w:szCs w:val="15"/>
              </w:rPr>
            </w:pPr>
            <w:r>
              <w:rPr>
                <w:rFonts w:ascii="宋体" w:hAnsi="宋体" w:cs="宋体" w:eastAsia="宋体" w:hint="default"/>
                <w:sz w:val="15"/>
                <w:szCs w:val="15"/>
              </w:rPr>
              <w:t>工商银行募集资金专</w:t>
            </w:r>
            <w:r>
              <w:rPr>
                <w:rFonts w:ascii="宋体" w:hAnsi="宋体" w:cs="宋体" w:eastAsia="宋体" w:hint="default"/>
                <w:w w:val="99"/>
                <w:sz w:val="15"/>
                <w:szCs w:val="15"/>
              </w:rPr>
              <w:t> </w:t>
            </w:r>
            <w:r>
              <w:rPr>
                <w:rFonts w:ascii="宋体" w:hAnsi="宋体" w:cs="宋体" w:eastAsia="宋体" w:hint="default"/>
                <w:sz w:val="15"/>
                <w:szCs w:val="15"/>
              </w:rPr>
              <w:t>户</w:t>
            </w:r>
          </w:p>
        </w:tc>
        <w:tc>
          <w:tcPr>
            <w:tcW w:w="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92" w:lineRule="auto"/>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500,000,000.00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92" w:lineRule="auto"/>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500,000,000.00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1"/>
              <w:ind w:right="0"/>
              <w:jc w:val="center"/>
              <w:rPr>
                <w:rFonts w:ascii="Times New Roman" w:hAnsi="Times New Roman" w:cs="Times New Roman" w:eastAsia="Times New Roman" w:hint="default"/>
                <w:sz w:val="15"/>
                <w:szCs w:val="15"/>
              </w:rPr>
            </w:pPr>
            <w:r>
              <w:rPr>
                <w:rFonts w:ascii="Times New Roman"/>
                <w:sz w:val="15"/>
              </w:rPr>
              <w:t>2,846,417.8</w:t>
            </w:r>
          </w:p>
          <w:p>
            <w:pPr>
              <w:pStyle w:val="TableParagraph"/>
              <w:spacing w:line="240" w:lineRule="auto" w:before="67"/>
              <w:ind w:right="1"/>
              <w:jc w:val="center"/>
              <w:rPr>
                <w:rFonts w:ascii="Times New Roman" w:hAnsi="Times New Roman" w:cs="Times New Roman" w:eastAsia="Times New Roman" w:hint="default"/>
                <w:sz w:val="15"/>
                <w:szCs w:val="15"/>
              </w:rPr>
            </w:pPr>
            <w:r>
              <w:rPr>
                <w:rFonts w:ascii="Times New Roman"/>
                <w:w w:val="99"/>
                <w:sz w:val="15"/>
              </w:rPr>
              <w:t>4</w:t>
            </w:r>
            <w:r>
              <w:rPr>
                <w:rFonts w:ascii="Times New Roman"/>
                <w:sz w:val="15"/>
              </w:rPr>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1"/>
              <w:ind w:right="1"/>
              <w:jc w:val="center"/>
              <w:rPr>
                <w:rFonts w:ascii="Times New Roman" w:hAnsi="Times New Roman" w:cs="Times New Roman" w:eastAsia="Times New Roman" w:hint="default"/>
                <w:sz w:val="15"/>
                <w:szCs w:val="15"/>
              </w:rPr>
            </w:pPr>
            <w:r>
              <w:rPr>
                <w:rFonts w:ascii="Times New Roman"/>
                <w:sz w:val="15"/>
              </w:rPr>
              <w:t>65</w:t>
            </w:r>
          </w:p>
        </w:tc>
        <w:tc>
          <w:tcPr>
            <w:tcW w:w="55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1"/>
              <w:ind w:right="72"/>
              <w:jc w:val="right"/>
              <w:rPr>
                <w:rFonts w:ascii="Times New Roman" w:hAnsi="Times New Roman" w:cs="Times New Roman" w:eastAsia="Times New Roman" w:hint="default"/>
                <w:sz w:val="15"/>
                <w:szCs w:val="15"/>
              </w:rPr>
            </w:pPr>
            <w:r>
              <w:rPr>
                <w:rFonts w:ascii="Times New Roman"/>
                <w:spacing w:val="-1"/>
                <w:sz w:val="15"/>
              </w:rPr>
              <w:t>3.25%</w:t>
            </w:r>
          </w:p>
        </w:tc>
      </w:tr>
      <w:tr>
        <w:trPr>
          <w:trHeight w:val="613"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8" w:right="0"/>
              <w:jc w:val="left"/>
              <w:rPr>
                <w:rFonts w:ascii="宋体" w:hAnsi="宋体" w:cs="宋体" w:eastAsia="宋体" w:hint="default"/>
                <w:sz w:val="15"/>
                <w:szCs w:val="15"/>
              </w:rPr>
            </w:pPr>
            <w:r>
              <w:rPr>
                <w:rFonts w:ascii="宋体" w:hAnsi="宋体" w:cs="宋体" w:eastAsia="宋体" w:hint="default"/>
                <w:sz w:val="15"/>
                <w:szCs w:val="15"/>
              </w:rPr>
              <w:t>华夏银行</w:t>
            </w:r>
          </w:p>
        </w:tc>
        <w:tc>
          <w:tcPr>
            <w:tcW w:w="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66"/>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804,500,000.00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66"/>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804,500,000.00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31"/>
              <w:jc w:val="right"/>
              <w:rPr>
                <w:rFonts w:ascii="Times New Roman" w:hAnsi="Times New Roman" w:cs="Times New Roman" w:eastAsia="Times New Roman" w:hint="default"/>
                <w:sz w:val="15"/>
                <w:szCs w:val="15"/>
              </w:rPr>
            </w:pPr>
            <w:r>
              <w:rPr>
                <w:rFonts w:ascii="Times New Roman"/>
                <w:spacing w:val="-1"/>
                <w:sz w:val="15"/>
              </w:rPr>
              <w:t>725,472.06</w:t>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w:t>
            </w:r>
          </w:p>
        </w:tc>
        <w:tc>
          <w:tcPr>
            <w:tcW w:w="55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72"/>
              <w:jc w:val="right"/>
              <w:rPr>
                <w:rFonts w:ascii="Times New Roman" w:hAnsi="Times New Roman" w:cs="Times New Roman" w:eastAsia="Times New Roman" w:hint="default"/>
                <w:sz w:val="15"/>
                <w:szCs w:val="15"/>
              </w:rPr>
            </w:pPr>
            <w:r>
              <w:rPr>
                <w:rFonts w:ascii="Times New Roman"/>
                <w:spacing w:val="-1"/>
                <w:sz w:val="15"/>
              </w:rPr>
              <w:t>3.34%</w:t>
            </w:r>
          </w:p>
        </w:tc>
      </w:tr>
      <w:tr>
        <w:trPr>
          <w:trHeight w:val="613"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8" w:right="0"/>
              <w:jc w:val="left"/>
              <w:rPr>
                <w:rFonts w:ascii="宋体" w:hAnsi="宋体" w:cs="宋体" w:eastAsia="宋体" w:hint="default"/>
                <w:sz w:val="15"/>
                <w:szCs w:val="15"/>
              </w:rPr>
            </w:pPr>
            <w:r>
              <w:rPr>
                <w:rFonts w:ascii="宋体" w:hAnsi="宋体" w:cs="宋体" w:eastAsia="宋体" w:hint="default"/>
                <w:sz w:val="15"/>
                <w:szCs w:val="15"/>
              </w:rPr>
              <w:t>交通银行浙江省分行</w:t>
            </w:r>
          </w:p>
        </w:tc>
        <w:tc>
          <w:tcPr>
            <w:tcW w:w="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65"/>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85" w:right="0"/>
              <w:jc w:val="center"/>
              <w:rPr>
                <w:rFonts w:ascii="Times New Roman" w:hAnsi="Times New Roman" w:cs="Times New Roman" w:eastAsia="Times New Roman" w:hint="default"/>
                <w:sz w:val="15"/>
                <w:szCs w:val="15"/>
              </w:rPr>
            </w:pPr>
            <w:r>
              <w:rPr>
                <w:rFonts w:ascii="Times New Roman"/>
                <w:sz w:val="15"/>
              </w:rPr>
              <w:t>33,500,000.00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65"/>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33,500,000.00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69"/>
              <w:jc w:val="right"/>
              <w:rPr>
                <w:rFonts w:ascii="Times New Roman" w:hAnsi="Times New Roman" w:cs="Times New Roman" w:eastAsia="Times New Roman" w:hint="default"/>
                <w:sz w:val="15"/>
                <w:szCs w:val="15"/>
              </w:rPr>
            </w:pPr>
            <w:r>
              <w:rPr>
                <w:rFonts w:ascii="Times New Roman"/>
                <w:spacing w:val="-1"/>
                <w:sz w:val="15"/>
              </w:rPr>
              <w:t>10,527.39</w:t>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w w:val="99"/>
                <w:sz w:val="15"/>
              </w:rPr>
              <w:t>3</w:t>
            </w:r>
            <w:r>
              <w:rPr>
                <w:rFonts w:ascii="Times New Roman"/>
                <w:sz w:val="15"/>
              </w:rPr>
            </w:r>
          </w:p>
        </w:tc>
        <w:tc>
          <w:tcPr>
            <w:tcW w:w="55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72"/>
              <w:jc w:val="right"/>
              <w:rPr>
                <w:rFonts w:ascii="Times New Roman" w:hAnsi="Times New Roman" w:cs="Times New Roman" w:eastAsia="Times New Roman" w:hint="default"/>
                <w:sz w:val="15"/>
                <w:szCs w:val="15"/>
              </w:rPr>
            </w:pPr>
            <w:r>
              <w:rPr>
                <w:rFonts w:ascii="Times New Roman"/>
                <w:spacing w:val="-1"/>
                <w:sz w:val="15"/>
              </w:rPr>
              <w:t>2.90%</w:t>
            </w:r>
          </w:p>
        </w:tc>
      </w:tr>
      <w:tr>
        <w:trPr>
          <w:trHeight w:val="853"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3"/>
              <w:ind w:left="18" w:right="0"/>
              <w:jc w:val="left"/>
              <w:rPr>
                <w:rFonts w:ascii="宋体" w:hAnsi="宋体" w:cs="宋体" w:eastAsia="宋体" w:hint="default"/>
                <w:sz w:val="15"/>
                <w:szCs w:val="15"/>
              </w:rPr>
            </w:pPr>
            <w:r>
              <w:rPr>
                <w:rFonts w:ascii="宋体" w:hAnsi="宋体" w:cs="宋体" w:eastAsia="宋体" w:hint="default"/>
                <w:sz w:val="15"/>
                <w:szCs w:val="15"/>
              </w:rPr>
              <w:t>浦发银行临安支行</w:t>
            </w:r>
          </w:p>
        </w:tc>
        <w:tc>
          <w:tcPr>
            <w:tcW w:w="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3"/>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92" w:lineRule="auto"/>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2,790,100,000.</w:t>
            </w:r>
          </w:p>
          <w:p>
            <w:pPr>
              <w:pStyle w:val="TableParagraph"/>
              <w:spacing w:line="240" w:lineRule="auto" w:before="67"/>
              <w:ind w:right="21"/>
              <w:jc w:val="right"/>
              <w:rPr>
                <w:rFonts w:ascii="Times New Roman" w:hAnsi="Times New Roman" w:cs="Times New Roman" w:eastAsia="Times New Roman" w:hint="default"/>
                <w:sz w:val="15"/>
                <w:szCs w:val="15"/>
              </w:rPr>
            </w:pPr>
            <w:r>
              <w:rPr>
                <w:rFonts w:ascii="Times New Roman"/>
                <w:spacing w:val="-1"/>
                <w:w w:val="95"/>
                <w:sz w:val="15"/>
              </w:rPr>
              <w:t>00</w:t>
            </w:r>
            <w:r>
              <w:rPr>
                <w:rFonts w:ascii="Times New Roman"/>
                <w:spacing w:val="-1"/>
                <w:sz w:val="15"/>
              </w:rPr>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92" w:lineRule="auto"/>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pacing w:val="-1"/>
                <w:sz w:val="15"/>
              </w:rPr>
              <w:t>2,788,600,000.0</w:t>
            </w:r>
          </w:p>
          <w:p>
            <w:pPr>
              <w:pStyle w:val="TableParagraph"/>
              <w:spacing w:line="240" w:lineRule="auto" w:before="67"/>
              <w:ind w:right="21"/>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3,703,563.1</w:t>
            </w:r>
          </w:p>
          <w:p>
            <w:pPr>
              <w:pStyle w:val="TableParagraph"/>
              <w:spacing w:line="240" w:lineRule="auto" w:before="67"/>
              <w:ind w:right="1"/>
              <w:jc w:val="center"/>
              <w:rPr>
                <w:rFonts w:ascii="Times New Roman" w:hAnsi="Times New Roman" w:cs="Times New Roman" w:eastAsia="Times New Roman" w:hint="default"/>
                <w:sz w:val="15"/>
                <w:szCs w:val="15"/>
              </w:rPr>
            </w:pPr>
            <w:r>
              <w:rPr>
                <w:rFonts w:ascii="Times New Roman"/>
                <w:w w:val="99"/>
                <w:sz w:val="15"/>
              </w:rPr>
              <w:t>3</w:t>
            </w:r>
            <w:r>
              <w:rPr>
                <w:rFonts w:ascii="Times New Roman"/>
                <w:sz w:val="15"/>
              </w:rPr>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12</w:t>
            </w:r>
          </w:p>
        </w:tc>
        <w:tc>
          <w:tcPr>
            <w:tcW w:w="55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72"/>
              <w:jc w:val="right"/>
              <w:rPr>
                <w:rFonts w:ascii="Times New Roman" w:hAnsi="Times New Roman" w:cs="Times New Roman" w:eastAsia="Times New Roman" w:hint="default"/>
                <w:sz w:val="15"/>
                <w:szCs w:val="15"/>
              </w:rPr>
            </w:pPr>
            <w:r>
              <w:rPr>
                <w:rFonts w:ascii="Times New Roman"/>
                <w:spacing w:val="-1"/>
                <w:sz w:val="15"/>
              </w:rPr>
              <w:t>3.18%</w:t>
            </w:r>
          </w:p>
        </w:tc>
      </w:tr>
      <w:tr>
        <w:trPr>
          <w:trHeight w:val="613"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8" w:right="0"/>
              <w:jc w:val="left"/>
              <w:rPr>
                <w:rFonts w:ascii="宋体" w:hAnsi="宋体" w:cs="宋体" w:eastAsia="宋体" w:hint="default"/>
                <w:sz w:val="15"/>
                <w:szCs w:val="15"/>
              </w:rPr>
            </w:pPr>
            <w:r>
              <w:rPr>
                <w:rFonts w:ascii="宋体" w:hAnsi="宋体" w:cs="宋体" w:eastAsia="宋体" w:hint="default"/>
                <w:sz w:val="15"/>
                <w:szCs w:val="15"/>
              </w:rPr>
              <w:t>招商银行</w:t>
            </w:r>
          </w:p>
        </w:tc>
        <w:tc>
          <w:tcPr>
            <w:tcW w:w="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65"/>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85" w:right="0"/>
              <w:jc w:val="center"/>
              <w:rPr>
                <w:rFonts w:ascii="Times New Roman" w:hAnsi="Times New Roman" w:cs="Times New Roman" w:eastAsia="Times New Roman" w:hint="default"/>
                <w:sz w:val="15"/>
                <w:szCs w:val="15"/>
              </w:rPr>
            </w:pPr>
            <w:r>
              <w:rPr>
                <w:rFonts w:ascii="Times New Roman"/>
                <w:sz w:val="15"/>
              </w:rPr>
              <w:t>40,600,000.00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65"/>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40,600,000.00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69"/>
              <w:jc w:val="right"/>
              <w:rPr>
                <w:rFonts w:ascii="Times New Roman" w:hAnsi="Times New Roman" w:cs="Times New Roman" w:eastAsia="Times New Roman" w:hint="default"/>
                <w:sz w:val="15"/>
                <w:szCs w:val="15"/>
              </w:rPr>
            </w:pPr>
            <w:r>
              <w:rPr>
                <w:rFonts w:ascii="Times New Roman"/>
                <w:spacing w:val="-1"/>
                <w:sz w:val="15"/>
              </w:rPr>
              <w:t>89,366.03</w:t>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25</w:t>
            </w:r>
          </w:p>
        </w:tc>
        <w:tc>
          <w:tcPr>
            <w:tcW w:w="55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72"/>
              <w:jc w:val="right"/>
              <w:rPr>
                <w:rFonts w:ascii="Times New Roman" w:hAnsi="Times New Roman" w:cs="Times New Roman" w:eastAsia="Times New Roman" w:hint="default"/>
                <w:sz w:val="15"/>
                <w:szCs w:val="15"/>
              </w:rPr>
            </w:pPr>
            <w:r>
              <w:rPr>
                <w:rFonts w:ascii="Times New Roman"/>
                <w:spacing w:val="-1"/>
                <w:sz w:val="15"/>
              </w:rPr>
              <w:t>3.23%</w:t>
            </w:r>
          </w:p>
        </w:tc>
      </w:tr>
      <w:tr>
        <w:trPr>
          <w:trHeight w:val="740"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92" w:lineRule="auto"/>
              <w:ind w:left="18" w:right="38"/>
              <w:jc w:val="left"/>
              <w:rPr>
                <w:rFonts w:ascii="宋体" w:hAnsi="宋体" w:cs="宋体" w:eastAsia="宋体" w:hint="default"/>
                <w:sz w:val="15"/>
                <w:szCs w:val="15"/>
              </w:rPr>
            </w:pPr>
            <w:r>
              <w:rPr>
                <w:rFonts w:ascii="宋体" w:hAnsi="宋体" w:cs="宋体" w:eastAsia="宋体" w:hint="default"/>
                <w:sz w:val="15"/>
                <w:szCs w:val="15"/>
              </w:rPr>
              <w:t>汇丰银行募集资金专</w:t>
            </w:r>
            <w:r>
              <w:rPr>
                <w:rFonts w:ascii="宋体" w:hAnsi="宋体" w:cs="宋体" w:eastAsia="宋体" w:hint="default"/>
                <w:w w:val="99"/>
                <w:sz w:val="15"/>
                <w:szCs w:val="15"/>
              </w:rPr>
              <w:t> </w:t>
            </w:r>
            <w:r>
              <w:rPr>
                <w:rFonts w:ascii="宋体" w:hAnsi="宋体" w:cs="宋体" w:eastAsia="宋体" w:hint="default"/>
                <w:sz w:val="15"/>
                <w:szCs w:val="15"/>
              </w:rPr>
              <w:t>户</w:t>
            </w:r>
          </w:p>
        </w:tc>
        <w:tc>
          <w:tcPr>
            <w:tcW w:w="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92" w:lineRule="auto"/>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380,000,000.00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92" w:lineRule="auto"/>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380,000,000.00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1"/>
              <w:ind w:right="23"/>
              <w:jc w:val="right"/>
              <w:rPr>
                <w:rFonts w:ascii="Times New Roman" w:hAnsi="Times New Roman" w:cs="Times New Roman" w:eastAsia="Times New Roman" w:hint="default"/>
                <w:sz w:val="15"/>
                <w:szCs w:val="15"/>
              </w:rPr>
            </w:pPr>
            <w:r>
              <w:rPr>
                <w:rFonts w:ascii="Times New Roman"/>
                <w:spacing w:val="-1"/>
                <w:sz w:val="15"/>
              </w:rPr>
              <w:t>1,300,187.5</w:t>
            </w:r>
          </w:p>
          <w:p>
            <w:pPr>
              <w:pStyle w:val="TableParagraph"/>
              <w:spacing w:line="240" w:lineRule="auto" w:before="67"/>
              <w:ind w:right="21"/>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1"/>
              <w:ind w:right="1"/>
              <w:jc w:val="center"/>
              <w:rPr>
                <w:rFonts w:ascii="Times New Roman" w:hAnsi="Times New Roman" w:cs="Times New Roman" w:eastAsia="Times New Roman" w:hint="default"/>
                <w:sz w:val="15"/>
                <w:szCs w:val="15"/>
              </w:rPr>
            </w:pPr>
            <w:r>
              <w:rPr>
                <w:rFonts w:ascii="Times New Roman"/>
                <w:sz w:val="15"/>
              </w:rPr>
              <w:t>51</w:t>
            </w:r>
          </w:p>
        </w:tc>
        <w:tc>
          <w:tcPr>
            <w:tcW w:w="55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1"/>
              <w:ind w:right="72"/>
              <w:jc w:val="right"/>
              <w:rPr>
                <w:rFonts w:ascii="Times New Roman" w:hAnsi="Times New Roman" w:cs="Times New Roman" w:eastAsia="Times New Roman" w:hint="default"/>
                <w:sz w:val="15"/>
                <w:szCs w:val="15"/>
              </w:rPr>
            </w:pPr>
            <w:r>
              <w:rPr>
                <w:rFonts w:ascii="Times New Roman"/>
                <w:spacing w:val="-1"/>
                <w:sz w:val="15"/>
              </w:rPr>
              <w:t>2.36%</w:t>
            </w:r>
          </w:p>
        </w:tc>
      </w:tr>
      <w:tr>
        <w:trPr>
          <w:trHeight w:val="680" w:hRule="exact"/>
        </w:trPr>
        <w:tc>
          <w:tcPr>
            <w:tcW w:w="1427"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8" w:right="0"/>
              <w:jc w:val="left"/>
              <w:rPr>
                <w:rFonts w:ascii="宋体" w:hAnsi="宋体" w:cs="宋体" w:eastAsia="宋体" w:hint="default"/>
                <w:sz w:val="15"/>
                <w:szCs w:val="15"/>
              </w:rPr>
            </w:pPr>
            <w:r>
              <w:rPr>
                <w:rFonts w:ascii="宋体" w:hAnsi="宋体" w:cs="宋体" w:eastAsia="宋体" w:hint="default"/>
                <w:sz w:val="15"/>
                <w:szCs w:val="15"/>
              </w:rPr>
              <w:t>中国人民银行</w:t>
            </w:r>
          </w:p>
        </w:tc>
        <w:tc>
          <w:tcPr>
            <w:tcW w:w="47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c>
          <w:tcPr>
            <w:tcW w:w="835" w:type="dxa"/>
            <w:tcBorders>
              <w:top w:val="single" w:sz="4" w:space="0" w:color="000000"/>
              <w:left w:val="single" w:sz="4" w:space="0" w:color="000000"/>
              <w:bottom w:val="single" w:sz="12" w:space="0" w:color="000000"/>
              <w:right w:val="single" w:sz="4" w:space="0" w:color="000000"/>
            </w:tcBorders>
          </w:tcPr>
          <w:p>
            <w:pPr>
              <w:pStyle w:val="TableParagraph"/>
              <w:spacing w:line="292" w:lineRule="auto" w:before="94"/>
              <w:ind w:left="336" w:right="37" w:hanging="300"/>
              <w:jc w:val="left"/>
              <w:rPr>
                <w:rFonts w:ascii="宋体" w:hAnsi="宋体" w:cs="宋体" w:eastAsia="宋体" w:hint="default"/>
                <w:sz w:val="15"/>
                <w:szCs w:val="15"/>
              </w:rPr>
            </w:pPr>
            <w:r>
              <w:rPr>
                <w:rFonts w:ascii="宋体" w:hAnsi="宋体" w:cs="宋体" w:eastAsia="宋体" w:hint="default"/>
                <w:sz w:val="15"/>
                <w:szCs w:val="15"/>
              </w:rPr>
              <w:t>保本浮动收</w:t>
            </w:r>
            <w:r>
              <w:rPr>
                <w:rFonts w:ascii="宋体" w:hAnsi="宋体" w:cs="宋体" w:eastAsia="宋体" w:hint="default"/>
                <w:w w:val="99"/>
                <w:sz w:val="15"/>
                <w:szCs w:val="15"/>
              </w:rPr>
              <w:t> </w:t>
            </w:r>
            <w:r>
              <w:rPr>
                <w:rFonts w:ascii="宋体" w:hAnsi="宋体" w:cs="宋体" w:eastAsia="宋体" w:hint="default"/>
                <w:sz w:val="15"/>
                <w:szCs w:val="15"/>
              </w:rPr>
              <w:t>益</w:t>
            </w:r>
          </w:p>
        </w:tc>
        <w:tc>
          <w:tcPr>
            <w:tcW w:w="100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62" w:right="0"/>
              <w:jc w:val="center"/>
              <w:rPr>
                <w:rFonts w:ascii="Times New Roman" w:hAnsi="Times New Roman" w:cs="Times New Roman" w:eastAsia="Times New Roman" w:hint="default"/>
                <w:sz w:val="15"/>
                <w:szCs w:val="15"/>
              </w:rPr>
            </w:pPr>
            <w:r>
              <w:rPr>
                <w:rFonts w:ascii="Times New Roman"/>
                <w:sz w:val="15"/>
              </w:rPr>
              <w:t>2,000,000.00</w:t>
            </w:r>
          </w:p>
          <w:p>
            <w:pPr>
              <w:pStyle w:val="TableParagraph"/>
              <w:spacing w:line="240" w:lineRule="auto" w:before="32"/>
              <w:ind w:left="344" w:right="0"/>
              <w:jc w:val="center"/>
              <w:rPr>
                <w:rFonts w:ascii="宋体" w:hAnsi="宋体" w:cs="宋体" w:eastAsia="宋体" w:hint="default"/>
                <w:sz w:val="15"/>
                <w:szCs w:val="15"/>
              </w:rPr>
            </w:pPr>
            <w:r>
              <w:rPr>
                <w:rFonts w:ascii="宋体" w:hAnsi="宋体" w:cs="宋体" w:eastAsia="宋体" w:hint="default"/>
                <w:sz w:val="15"/>
                <w:szCs w:val="15"/>
              </w:rPr>
              <w:t>（美元）</w:t>
            </w:r>
          </w:p>
        </w:tc>
        <w:tc>
          <w:tcPr>
            <w:tcW w:w="106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4"/>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p>
          <w:p>
            <w:pPr>
              <w:pStyle w:val="TableParagraph"/>
              <w:spacing w:line="240" w:lineRule="auto" w:before="32"/>
              <w:ind w:right="1"/>
              <w:jc w:val="center"/>
              <w:rPr>
                <w:rFonts w:ascii="宋体" w:hAnsi="宋体" w:cs="宋体" w:eastAsia="宋体" w:hint="default"/>
                <w:sz w:val="15"/>
                <w:szCs w:val="15"/>
              </w:rPr>
            </w:pPr>
            <w:r>
              <w:rPr>
                <w:rFonts w:ascii="宋体" w:hAnsi="宋体" w:cs="宋体" w:eastAsia="宋体" w:hint="default"/>
                <w:w w:val="99"/>
                <w:sz w:val="15"/>
                <w:szCs w:val="15"/>
              </w:rPr>
              <w:t>日</w:t>
            </w:r>
            <w:r>
              <w:rPr>
                <w:rFonts w:ascii="宋体" w:hAnsi="宋体" w:cs="宋体" w:eastAsia="宋体" w:hint="default"/>
                <w:sz w:val="15"/>
                <w:szCs w:val="15"/>
              </w:rPr>
            </w:r>
          </w:p>
        </w:tc>
        <w:tc>
          <w:tcPr>
            <w:tcW w:w="79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4"/>
              <w:ind w:left="5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2019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p>
          <w:p>
            <w:pPr>
              <w:pStyle w:val="TableParagraph"/>
              <w:spacing w:line="240" w:lineRule="auto" w:before="32"/>
              <w:ind w:left="132"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555" w:type="dxa"/>
            <w:tcBorders>
              <w:top w:val="single" w:sz="4" w:space="0" w:color="000000"/>
              <w:left w:val="single" w:sz="4" w:space="0" w:color="000000"/>
              <w:bottom w:val="single" w:sz="12" w:space="0" w:color="000000"/>
              <w:right w:val="single" w:sz="4" w:space="0" w:color="000000"/>
            </w:tcBorders>
          </w:tcPr>
          <w:p>
            <w:pPr>
              <w:pStyle w:val="TableParagraph"/>
              <w:spacing w:line="292" w:lineRule="auto" w:before="94"/>
              <w:ind w:left="46" w:right="47"/>
              <w:jc w:val="left"/>
              <w:rPr>
                <w:rFonts w:ascii="宋体" w:hAnsi="宋体" w:cs="宋体" w:eastAsia="宋体" w:hint="default"/>
                <w:sz w:val="15"/>
                <w:szCs w:val="15"/>
              </w:rPr>
            </w:pPr>
            <w:r>
              <w:rPr>
                <w:rFonts w:ascii="宋体" w:hAnsi="宋体" w:cs="宋体" w:eastAsia="宋体" w:hint="default"/>
                <w:sz w:val="15"/>
                <w:szCs w:val="15"/>
              </w:rPr>
              <w:t>到期还</w:t>
            </w:r>
            <w:r>
              <w:rPr>
                <w:rFonts w:ascii="宋体" w:hAnsi="宋体" w:cs="宋体" w:eastAsia="宋体" w:hint="default"/>
                <w:w w:val="99"/>
                <w:sz w:val="15"/>
                <w:szCs w:val="15"/>
              </w:rPr>
              <w:t> </w:t>
            </w:r>
            <w:r>
              <w:rPr>
                <w:rFonts w:ascii="宋体" w:hAnsi="宋体" w:cs="宋体" w:eastAsia="宋体" w:hint="default"/>
                <w:sz w:val="15"/>
                <w:szCs w:val="15"/>
              </w:rPr>
              <w:t>本付息</w:t>
            </w:r>
          </w:p>
        </w:tc>
        <w:tc>
          <w:tcPr>
            <w:tcW w:w="10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98" w:right="0"/>
              <w:jc w:val="left"/>
              <w:rPr>
                <w:rFonts w:ascii="Times New Roman" w:hAnsi="Times New Roman" w:cs="Times New Roman" w:eastAsia="Times New Roman" w:hint="default"/>
                <w:sz w:val="15"/>
                <w:szCs w:val="15"/>
              </w:rPr>
            </w:pPr>
            <w:r>
              <w:rPr>
                <w:rFonts w:ascii="Times New Roman"/>
                <w:sz w:val="15"/>
              </w:rPr>
              <w:t>2,000,000.00</w:t>
            </w:r>
          </w:p>
          <w:p>
            <w:pPr>
              <w:pStyle w:val="TableParagraph"/>
              <w:spacing w:line="240" w:lineRule="auto" w:before="32"/>
              <w:ind w:left="22" w:right="0"/>
              <w:jc w:val="left"/>
              <w:rPr>
                <w:rFonts w:ascii="宋体" w:hAnsi="宋体" w:cs="宋体" w:eastAsia="宋体" w:hint="default"/>
                <w:sz w:val="15"/>
                <w:szCs w:val="15"/>
              </w:rPr>
            </w:pPr>
            <w:r>
              <w:rPr>
                <w:rFonts w:ascii="宋体" w:hAnsi="宋体" w:cs="宋体" w:eastAsia="宋体" w:hint="default"/>
                <w:sz w:val="15"/>
                <w:szCs w:val="15"/>
              </w:rPr>
              <w:t>（美元）</w:t>
            </w:r>
          </w:p>
        </w:tc>
        <w:tc>
          <w:tcPr>
            <w:tcW w:w="8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14,525.85</w:t>
            </w:r>
          </w:p>
        </w:tc>
        <w:tc>
          <w:tcPr>
            <w:tcW w:w="47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14</w:t>
            </w:r>
          </w:p>
        </w:tc>
        <w:tc>
          <w:tcPr>
            <w:tcW w:w="55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72"/>
              <w:jc w:val="right"/>
              <w:rPr>
                <w:rFonts w:ascii="Times New Roman" w:hAnsi="Times New Roman" w:cs="Times New Roman" w:eastAsia="Times New Roman" w:hint="default"/>
                <w:sz w:val="15"/>
                <w:szCs w:val="15"/>
              </w:rPr>
            </w:pPr>
            <w:r>
              <w:rPr>
                <w:rFonts w:ascii="Times New Roman"/>
                <w:spacing w:val="-1"/>
                <w:sz w:val="15"/>
              </w:rPr>
              <w:t>2.71%</w:t>
            </w:r>
          </w:p>
        </w:tc>
      </w:tr>
    </w:tbl>
    <w:p>
      <w:pPr>
        <w:spacing w:before="52"/>
        <w:ind w:left="124" w:right="1473" w:firstLine="0"/>
        <w:jc w:val="left"/>
        <w:rPr>
          <w:rFonts w:ascii="宋体" w:hAnsi="宋体" w:cs="宋体" w:eastAsia="宋体" w:hint="default"/>
          <w:sz w:val="18"/>
          <w:szCs w:val="18"/>
        </w:rPr>
      </w:pPr>
      <w:r>
        <w:rPr>
          <w:rFonts w:ascii="宋体" w:hAnsi="宋体" w:cs="宋体" w:eastAsia="宋体" w:hint="default"/>
          <w:sz w:val="18"/>
          <w:szCs w:val="18"/>
        </w:rPr>
        <w:t>单项金额重大或安全性较低、流动性较差、不保本的高风险委托理财具体情况</w:t>
      </w:r>
    </w:p>
    <w:p>
      <w:pPr>
        <w:spacing w:line="357" w:lineRule="auto" w:before="117"/>
        <w:ind w:left="124" w:right="5402" w:firstLine="0"/>
        <w:jc w:val="left"/>
        <w:rPr>
          <w:rFonts w:ascii="宋体" w:hAnsi="宋体" w:cs="宋体" w:eastAsia="宋体" w:hint="default"/>
          <w:sz w:val="18"/>
          <w:szCs w:val="18"/>
        </w:rPr>
      </w:pPr>
      <w:r>
        <w:rPr>
          <w:rFonts w:ascii="宋体" w:hAnsi="宋体" w:cs="宋体" w:eastAsia="宋体" w:hint="default"/>
          <w:sz w:val="18"/>
          <w:szCs w:val="18"/>
        </w:rPr>
        <w:t>□ 适用 √ 不适用 委托理财出现预期无法收回本金或存在其他可能导致减值的情形</w:t>
      </w:r>
    </w:p>
    <w:p>
      <w:pPr>
        <w:spacing w:before="29"/>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24" w:right="1473" w:firstLine="0"/>
        <w:jc w:val="left"/>
        <w:rPr>
          <w:rFonts w:ascii="宋体" w:hAnsi="宋体" w:cs="宋体" w:eastAsia="宋体" w:hint="default"/>
          <w:sz w:val="21"/>
          <w:szCs w:val="21"/>
        </w:rPr>
      </w:pPr>
      <w:bookmarkStart w:name="（2）委托贷款情况" w:id="95"/>
      <w:bookmarkEnd w:id="9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）委托贷款情况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60" w:lineRule="auto" w:before="0"/>
        <w:ind w:left="124" w:right="810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公司报告期不存在委托贷款。</w:t>
      </w:r>
    </w:p>
    <w:p>
      <w:pPr>
        <w:spacing w:line="240" w:lineRule="auto" w:before="2"/>
        <w:rPr>
          <w:rFonts w:ascii="宋体" w:hAnsi="宋体" w:cs="宋体" w:eastAsia="宋体" w:hint="default"/>
          <w:sz w:val="20"/>
          <w:szCs w:val="20"/>
        </w:rPr>
      </w:pPr>
    </w:p>
    <w:p>
      <w:pPr>
        <w:spacing w:before="0"/>
        <w:ind w:left="124" w:right="1473" w:firstLine="0"/>
        <w:jc w:val="left"/>
        <w:rPr>
          <w:rFonts w:ascii="宋体" w:hAnsi="宋体" w:cs="宋体" w:eastAsia="宋体" w:hint="default"/>
          <w:sz w:val="21"/>
          <w:szCs w:val="21"/>
        </w:rPr>
      </w:pPr>
      <w:bookmarkStart w:name="4、其他重大合同" w:id="96"/>
      <w:bookmarkEnd w:id="96"/>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、其他重大合同</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24" w:right="1473"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90" w:footer="1053" w:top="1420" w:bottom="1240" w:left="13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pStyle w:val="Heading2"/>
        <w:spacing w:line="240" w:lineRule="auto" w:before="26"/>
        <w:ind w:left="124" w:right="1473"/>
        <w:jc w:val="left"/>
        <w:rPr>
          <w:b w:val="0"/>
          <w:bCs w:val="0"/>
        </w:rPr>
      </w:pPr>
      <w:r>
        <w:rPr/>
        <w:pict>
          <v:shape style="position:absolute;margin-left:71.580002pt;margin-top:-608.634399pt;width:480.85pt;height:596.75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36"/>
                    <w:gridCol w:w="639"/>
                    <w:gridCol w:w="639"/>
                    <w:gridCol w:w="640"/>
                    <w:gridCol w:w="639"/>
                    <w:gridCol w:w="639"/>
                    <w:gridCol w:w="639"/>
                    <w:gridCol w:w="638"/>
                    <w:gridCol w:w="638"/>
                    <w:gridCol w:w="638"/>
                    <w:gridCol w:w="638"/>
                    <w:gridCol w:w="638"/>
                    <w:gridCol w:w="638"/>
                    <w:gridCol w:w="638"/>
                    <w:gridCol w:w="636"/>
                  </w:tblGrid>
                  <w:tr>
                    <w:trPr>
                      <w:trHeight w:val="328" w:hRule="exact"/>
                    </w:trPr>
                    <w:tc>
                      <w:tcPr>
                        <w:tcW w:w="636" w:type="dxa"/>
                        <w:tcBorders>
                          <w:top w:val="single" w:sz="12" w:space="0" w:color="000000"/>
                          <w:left w:val="single" w:sz="12" w:space="0" w:color="000000"/>
                          <w:bottom w:val="nil" w:sz="6" w:space="0" w:color="auto"/>
                          <w:right w:val="single" w:sz="4" w:space="0" w:color="000000"/>
                        </w:tcBorders>
                        <w:shd w:val="clear" w:color="auto" w:fill="D2D2D2"/>
                      </w:tcPr>
                      <w:p>
                        <w:pPr/>
                      </w:p>
                    </w:tc>
                    <w:tc>
                      <w:tcPr>
                        <w:tcW w:w="639"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9" w:type="dxa"/>
                        <w:tcBorders>
                          <w:top w:val="single" w:sz="12" w:space="0" w:color="000000"/>
                          <w:left w:val="single" w:sz="4" w:space="0" w:color="000000"/>
                          <w:bottom w:val="nil" w:sz="6" w:space="0" w:color="auto"/>
                          <w:right w:val="single" w:sz="4" w:space="0" w:color="000000"/>
                        </w:tcBorders>
                        <w:shd w:val="clear" w:color="auto" w:fill="D2D2D2"/>
                      </w:tcPr>
                      <w:p>
                        <w:pPr/>
                      </w:p>
                    </w:tc>
                    <w:tc>
                      <w:tcPr>
                        <w:tcW w:w="640"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9"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left="1" w:right="0"/>
                          <w:jc w:val="center"/>
                          <w:rPr>
                            <w:rFonts w:ascii="宋体" w:hAnsi="宋体" w:cs="宋体" w:eastAsia="宋体" w:hint="default"/>
                            <w:sz w:val="18"/>
                            <w:szCs w:val="18"/>
                          </w:rPr>
                        </w:pPr>
                        <w:r>
                          <w:rPr>
                            <w:rFonts w:ascii="宋体" w:hAnsi="宋体" w:cs="宋体" w:eastAsia="宋体" w:hint="default"/>
                            <w:sz w:val="18"/>
                            <w:szCs w:val="18"/>
                          </w:rPr>
                          <w:t>合同</w:t>
                        </w:r>
                      </w:p>
                    </w:tc>
                    <w:tc>
                      <w:tcPr>
                        <w:tcW w:w="639" w:type="dxa"/>
                        <w:tcBorders>
                          <w:top w:val="single" w:sz="12"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合同</w:t>
                        </w:r>
                      </w:p>
                    </w:tc>
                    <w:tc>
                      <w:tcPr>
                        <w:tcW w:w="639"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8"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8"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8"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8"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8"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8"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8" w:type="dxa"/>
                        <w:tcBorders>
                          <w:top w:val="single" w:sz="12" w:space="0" w:color="000000"/>
                          <w:left w:val="single" w:sz="4" w:space="0" w:color="000000"/>
                          <w:bottom w:val="nil" w:sz="6" w:space="0" w:color="auto"/>
                          <w:right w:val="single" w:sz="4" w:space="0" w:color="000000"/>
                        </w:tcBorders>
                        <w:shd w:val="clear" w:color="auto" w:fill="D2D2D2"/>
                      </w:tcPr>
                      <w:p>
                        <w:pPr/>
                      </w:p>
                    </w:tc>
                    <w:tc>
                      <w:tcPr>
                        <w:tcW w:w="636" w:type="dxa"/>
                        <w:tcBorders>
                          <w:top w:val="single" w:sz="12" w:space="0" w:color="000000"/>
                          <w:left w:val="single" w:sz="4" w:space="0" w:color="000000"/>
                          <w:bottom w:val="nil" w:sz="6" w:space="0" w:color="auto"/>
                          <w:right w:val="single" w:sz="12" w:space="0" w:color="000000"/>
                        </w:tcBorders>
                        <w:shd w:val="clear" w:color="auto" w:fill="D2D2D2"/>
                      </w:tcPr>
                      <w:p>
                        <w:pPr/>
                      </w:p>
                    </w:tc>
                  </w:tr>
                  <w:tr>
                    <w:trPr>
                      <w:trHeight w:val="312" w:hRule="exact"/>
                    </w:trPr>
                    <w:tc>
                      <w:tcPr>
                        <w:tcW w:w="636" w:type="dxa"/>
                        <w:tcBorders>
                          <w:top w:val="nil" w:sz="6" w:space="0" w:color="auto"/>
                          <w:left w:val="single" w:sz="12" w:space="0" w:color="000000"/>
                          <w:bottom w:val="nil" w:sz="6" w:space="0" w:color="auto"/>
                          <w:right w:val="single" w:sz="4" w:space="0" w:color="000000"/>
                        </w:tcBorders>
                        <w:shd w:val="clear" w:color="auto" w:fill="D2D2D2"/>
                      </w:tcPr>
                      <w:p>
                        <w:pPr/>
                      </w:p>
                    </w:tc>
                    <w:tc>
                      <w:tcPr>
                        <w:tcW w:w="639" w:type="dxa"/>
                        <w:tcBorders>
                          <w:top w:val="nil" w:sz="6" w:space="0" w:color="auto"/>
                          <w:left w:val="single" w:sz="4" w:space="0" w:color="000000"/>
                          <w:bottom w:val="nil" w:sz="6" w:space="0" w:color="auto"/>
                          <w:right w:val="single" w:sz="4" w:space="0" w:color="000000"/>
                        </w:tcBorders>
                        <w:shd w:val="clear" w:color="auto" w:fill="D2D2D2"/>
                      </w:tcPr>
                      <w:p>
                        <w:pPr/>
                      </w:p>
                    </w:tc>
                    <w:tc>
                      <w:tcPr>
                        <w:tcW w:w="639" w:type="dxa"/>
                        <w:tcBorders>
                          <w:top w:val="nil" w:sz="6" w:space="0" w:color="auto"/>
                          <w:left w:val="single" w:sz="4" w:space="0" w:color="000000"/>
                          <w:bottom w:val="nil" w:sz="6" w:space="0" w:color="auto"/>
                          <w:right w:val="single" w:sz="4" w:space="0" w:color="000000"/>
                        </w:tcBorders>
                        <w:shd w:val="clear" w:color="auto" w:fill="D2D2D2"/>
                      </w:tcPr>
                      <w:p>
                        <w:pPr/>
                      </w:p>
                    </w:tc>
                    <w:tc>
                      <w:tcPr>
                        <w:tcW w:w="640" w:type="dxa"/>
                        <w:tcBorders>
                          <w:top w:val="nil" w:sz="6" w:space="0" w:color="auto"/>
                          <w:left w:val="single" w:sz="4" w:space="0" w:color="000000"/>
                          <w:bottom w:val="nil" w:sz="6" w:space="0" w:color="auto"/>
                          <w:right w:val="single" w:sz="4" w:space="0" w:color="000000"/>
                        </w:tcBorders>
                        <w:shd w:val="clear" w:color="auto" w:fill="D2D2D2"/>
                      </w:tcPr>
                      <w:p>
                        <w:pP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涉及</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涉及</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6" w:type="dxa"/>
                        <w:tcBorders>
                          <w:top w:val="nil" w:sz="6" w:space="0" w:color="auto"/>
                          <w:left w:val="single" w:sz="4" w:space="0" w:color="000000"/>
                          <w:bottom w:val="nil" w:sz="6" w:space="0" w:color="auto"/>
                          <w:right w:val="single" w:sz="12" w:space="0" w:color="000000"/>
                        </w:tcBorders>
                        <w:shd w:val="clear" w:color="auto" w:fill="D2D2D2"/>
                      </w:tcPr>
                      <w:p>
                        <w:pPr/>
                      </w:p>
                    </w:tc>
                  </w:tr>
                  <w:tr>
                    <w:trPr>
                      <w:trHeight w:val="1872" w:hRule="exact"/>
                    </w:trPr>
                    <w:tc>
                      <w:tcPr>
                        <w:tcW w:w="636"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23" w:right="131"/>
                          <w:jc w:val="both"/>
                          <w:rPr>
                            <w:rFonts w:ascii="宋体" w:hAnsi="宋体" w:cs="宋体" w:eastAsia="宋体" w:hint="default"/>
                            <w:sz w:val="18"/>
                            <w:szCs w:val="18"/>
                          </w:rPr>
                        </w:pPr>
                        <w:r>
                          <w:rPr>
                            <w:rFonts w:ascii="宋体" w:hAnsi="宋体" w:cs="宋体" w:eastAsia="宋体" w:hint="default"/>
                            <w:sz w:val="18"/>
                            <w:szCs w:val="18"/>
                          </w:rPr>
                          <w:t>合同 订立 公司 方名 称</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316" w:lineRule="auto"/>
                          <w:ind w:left="133" w:right="134"/>
                          <w:jc w:val="both"/>
                          <w:rPr>
                            <w:rFonts w:ascii="宋体" w:hAnsi="宋体" w:cs="宋体" w:eastAsia="宋体" w:hint="default"/>
                            <w:sz w:val="18"/>
                            <w:szCs w:val="18"/>
                          </w:rPr>
                        </w:pPr>
                        <w:r>
                          <w:rPr>
                            <w:rFonts w:ascii="宋体" w:hAnsi="宋体" w:cs="宋体" w:eastAsia="宋体" w:hint="default"/>
                            <w:sz w:val="18"/>
                            <w:szCs w:val="18"/>
                          </w:rPr>
                          <w:t>合同 订立 对方 名称</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16" w:lineRule="auto"/>
                          <w:ind w:left="134" w:right="132"/>
                          <w:jc w:val="left"/>
                          <w:rPr>
                            <w:rFonts w:ascii="宋体" w:hAnsi="宋体" w:cs="宋体" w:eastAsia="宋体" w:hint="default"/>
                            <w:sz w:val="18"/>
                            <w:szCs w:val="18"/>
                          </w:rPr>
                        </w:pPr>
                        <w:r>
                          <w:rPr>
                            <w:rFonts w:ascii="宋体" w:hAnsi="宋体" w:cs="宋体" w:eastAsia="宋体" w:hint="default"/>
                            <w:sz w:val="18"/>
                            <w:szCs w:val="18"/>
                          </w:rPr>
                          <w:t>合同 标的</w:t>
                        </w:r>
                      </w:p>
                    </w:tc>
                    <w:tc>
                      <w:tcPr>
                        <w:tcW w:w="64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316" w:lineRule="auto"/>
                          <w:ind w:left="134" w:right="134"/>
                          <w:jc w:val="both"/>
                          <w:rPr>
                            <w:rFonts w:ascii="宋体" w:hAnsi="宋体" w:cs="宋体" w:eastAsia="宋体" w:hint="default"/>
                            <w:sz w:val="18"/>
                            <w:szCs w:val="18"/>
                          </w:rPr>
                        </w:pPr>
                        <w:r>
                          <w:rPr>
                            <w:rFonts w:ascii="宋体" w:hAnsi="宋体" w:cs="宋体" w:eastAsia="宋体" w:hint="default"/>
                            <w:sz w:val="18"/>
                            <w:szCs w:val="18"/>
                          </w:rPr>
                          <w:t>合同 签订 日期</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35" w:right="132"/>
                          <w:jc w:val="both"/>
                          <w:rPr>
                            <w:rFonts w:ascii="宋体" w:hAnsi="宋体" w:cs="宋体" w:eastAsia="宋体" w:hint="default"/>
                            <w:sz w:val="18"/>
                            <w:szCs w:val="18"/>
                          </w:rPr>
                        </w:pPr>
                        <w:r>
                          <w:rPr>
                            <w:rFonts w:ascii="宋体" w:hAnsi="宋体" w:cs="宋体" w:eastAsia="宋体" w:hint="default"/>
                            <w:sz w:val="18"/>
                            <w:szCs w:val="18"/>
                          </w:rPr>
                          <w:t>资产 的账 面价 值</w:t>
                        </w:r>
                      </w:p>
                      <w:p>
                        <w:pPr>
                          <w:pStyle w:val="TableParagraph"/>
                          <w:spacing w:line="316" w:lineRule="auto" w:before="19"/>
                          <w:ind w:left="135" w:right="132"/>
                          <w:jc w:val="both"/>
                          <w:rPr>
                            <w:rFonts w:ascii="宋体" w:hAnsi="宋体" w:cs="宋体" w:eastAsia="宋体" w:hint="default"/>
                            <w:sz w:val="18"/>
                            <w:szCs w:val="18"/>
                          </w:rPr>
                        </w:pPr>
                        <w:r>
                          <w:rPr>
                            <w:rFonts w:ascii="宋体" w:hAnsi="宋体" w:cs="宋体" w:eastAsia="宋体" w:hint="default"/>
                            <w:sz w:val="18"/>
                            <w:szCs w:val="18"/>
                          </w:rPr>
                          <w:t>（万 元）</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34" w:right="132"/>
                          <w:jc w:val="both"/>
                          <w:rPr>
                            <w:rFonts w:ascii="宋体" w:hAnsi="宋体" w:cs="宋体" w:eastAsia="宋体" w:hint="default"/>
                            <w:sz w:val="18"/>
                            <w:szCs w:val="18"/>
                          </w:rPr>
                        </w:pPr>
                        <w:r>
                          <w:rPr>
                            <w:rFonts w:ascii="宋体" w:hAnsi="宋体" w:cs="宋体" w:eastAsia="宋体" w:hint="default"/>
                            <w:sz w:val="18"/>
                            <w:szCs w:val="18"/>
                          </w:rPr>
                          <w:t>资产 的评 估价 值</w:t>
                        </w:r>
                      </w:p>
                      <w:p>
                        <w:pPr>
                          <w:pStyle w:val="TableParagraph"/>
                          <w:spacing w:line="316" w:lineRule="auto" w:before="19"/>
                          <w:ind w:left="134" w:right="132"/>
                          <w:jc w:val="both"/>
                          <w:rPr>
                            <w:rFonts w:ascii="宋体" w:hAnsi="宋体" w:cs="宋体" w:eastAsia="宋体" w:hint="default"/>
                            <w:sz w:val="18"/>
                            <w:szCs w:val="18"/>
                          </w:rPr>
                        </w:pPr>
                        <w:r>
                          <w:rPr>
                            <w:rFonts w:ascii="宋体" w:hAnsi="宋体" w:cs="宋体" w:eastAsia="宋体" w:hint="default"/>
                            <w:sz w:val="18"/>
                            <w:szCs w:val="18"/>
                          </w:rPr>
                          <w:t>（万 元）</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33" w:right="133"/>
                          <w:jc w:val="both"/>
                          <w:rPr>
                            <w:rFonts w:ascii="宋体" w:hAnsi="宋体" w:cs="宋体" w:eastAsia="宋体" w:hint="default"/>
                            <w:sz w:val="18"/>
                            <w:szCs w:val="18"/>
                          </w:rPr>
                        </w:pPr>
                        <w:r>
                          <w:rPr>
                            <w:rFonts w:ascii="宋体" w:hAnsi="宋体" w:cs="宋体" w:eastAsia="宋体" w:hint="default"/>
                            <w:sz w:val="18"/>
                            <w:szCs w:val="18"/>
                          </w:rPr>
                          <w:t>评估 机构 名称</w:t>
                        </w:r>
                      </w:p>
                      <w:p>
                        <w:pPr>
                          <w:pStyle w:val="TableParagraph"/>
                          <w:spacing w:line="316" w:lineRule="auto" w:before="19"/>
                          <w:ind w:left="133" w:right="133"/>
                          <w:jc w:val="both"/>
                          <w:rPr>
                            <w:rFonts w:ascii="宋体" w:hAnsi="宋体" w:cs="宋体" w:eastAsia="宋体" w:hint="default"/>
                            <w:sz w:val="18"/>
                            <w:szCs w:val="18"/>
                          </w:rPr>
                        </w:pPr>
                        <w:r>
                          <w:rPr>
                            <w:rFonts w:ascii="宋体" w:hAnsi="宋体" w:cs="宋体" w:eastAsia="宋体" w:hint="default"/>
                            <w:sz w:val="18"/>
                            <w:szCs w:val="18"/>
                          </w:rPr>
                          <w:t>（如 有）</w:t>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33" w:right="133"/>
                          <w:jc w:val="both"/>
                          <w:rPr>
                            <w:rFonts w:ascii="宋体" w:hAnsi="宋体" w:cs="宋体" w:eastAsia="宋体" w:hint="default"/>
                            <w:sz w:val="18"/>
                            <w:szCs w:val="18"/>
                          </w:rPr>
                        </w:pPr>
                        <w:r>
                          <w:rPr>
                            <w:rFonts w:ascii="宋体" w:hAnsi="宋体" w:cs="宋体" w:eastAsia="宋体" w:hint="default"/>
                            <w:sz w:val="18"/>
                            <w:szCs w:val="18"/>
                          </w:rPr>
                          <w:t>评估 基准 日</w:t>
                        </w:r>
                      </w:p>
                      <w:p>
                        <w:pPr>
                          <w:pStyle w:val="TableParagraph"/>
                          <w:spacing w:line="316" w:lineRule="auto" w:before="19"/>
                          <w:ind w:left="133" w:right="133"/>
                          <w:jc w:val="both"/>
                          <w:rPr>
                            <w:rFonts w:ascii="宋体" w:hAnsi="宋体" w:cs="宋体" w:eastAsia="宋体" w:hint="default"/>
                            <w:sz w:val="18"/>
                            <w:szCs w:val="18"/>
                          </w:rPr>
                        </w:pPr>
                        <w:r>
                          <w:rPr>
                            <w:rFonts w:ascii="宋体" w:hAnsi="宋体" w:cs="宋体" w:eastAsia="宋体" w:hint="default"/>
                            <w:sz w:val="18"/>
                            <w:szCs w:val="18"/>
                          </w:rPr>
                          <w:t>（如 有）</w:t>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16" w:lineRule="auto"/>
                          <w:ind w:left="133" w:right="132"/>
                          <w:jc w:val="left"/>
                          <w:rPr>
                            <w:rFonts w:ascii="宋体" w:hAnsi="宋体" w:cs="宋体" w:eastAsia="宋体" w:hint="default"/>
                            <w:sz w:val="18"/>
                            <w:szCs w:val="18"/>
                          </w:rPr>
                        </w:pPr>
                        <w:r>
                          <w:rPr>
                            <w:rFonts w:ascii="宋体" w:hAnsi="宋体" w:cs="宋体" w:eastAsia="宋体" w:hint="default"/>
                            <w:sz w:val="18"/>
                            <w:szCs w:val="18"/>
                          </w:rPr>
                          <w:t>定价 原则</w:t>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316" w:lineRule="auto"/>
                          <w:ind w:left="134" w:right="132"/>
                          <w:jc w:val="left"/>
                          <w:rPr>
                            <w:rFonts w:ascii="宋体" w:hAnsi="宋体" w:cs="宋体" w:eastAsia="宋体" w:hint="default"/>
                            <w:sz w:val="18"/>
                            <w:szCs w:val="18"/>
                          </w:rPr>
                        </w:pPr>
                        <w:r>
                          <w:rPr>
                            <w:rFonts w:ascii="宋体" w:hAnsi="宋体" w:cs="宋体" w:eastAsia="宋体" w:hint="default"/>
                            <w:sz w:val="18"/>
                            <w:szCs w:val="18"/>
                          </w:rPr>
                          <w:t>交易 价格</w:t>
                        </w:r>
                      </w:p>
                      <w:p>
                        <w:pPr>
                          <w:pStyle w:val="TableParagraph"/>
                          <w:spacing w:line="316" w:lineRule="auto" w:before="19"/>
                          <w:ind w:left="134" w:right="132"/>
                          <w:jc w:val="left"/>
                          <w:rPr>
                            <w:rFonts w:ascii="宋体" w:hAnsi="宋体" w:cs="宋体" w:eastAsia="宋体" w:hint="default"/>
                            <w:sz w:val="18"/>
                            <w:szCs w:val="18"/>
                          </w:rPr>
                        </w:pPr>
                        <w:r>
                          <w:rPr>
                            <w:rFonts w:ascii="宋体" w:hAnsi="宋体" w:cs="宋体" w:eastAsia="宋体" w:hint="default"/>
                            <w:sz w:val="18"/>
                            <w:szCs w:val="18"/>
                          </w:rPr>
                          <w:t>（万 元）</w:t>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316" w:lineRule="auto"/>
                          <w:ind w:left="134" w:right="131"/>
                          <w:jc w:val="both"/>
                          <w:rPr>
                            <w:rFonts w:ascii="宋体" w:hAnsi="宋体" w:cs="宋体" w:eastAsia="宋体" w:hint="default"/>
                            <w:sz w:val="18"/>
                            <w:szCs w:val="18"/>
                          </w:rPr>
                        </w:pPr>
                        <w:r>
                          <w:rPr>
                            <w:rFonts w:ascii="宋体" w:hAnsi="宋体" w:cs="宋体" w:eastAsia="宋体" w:hint="default"/>
                            <w:sz w:val="18"/>
                            <w:szCs w:val="18"/>
                          </w:rPr>
                          <w:t>是否 关联 交易</w:t>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16" w:lineRule="auto"/>
                          <w:ind w:left="135" w:right="131"/>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32" w:right="133"/>
                          <w:jc w:val="both"/>
                          <w:rPr>
                            <w:rFonts w:ascii="宋体" w:hAnsi="宋体" w:cs="宋体" w:eastAsia="宋体" w:hint="default"/>
                            <w:sz w:val="18"/>
                            <w:szCs w:val="18"/>
                          </w:rPr>
                        </w:pPr>
                        <w:r>
                          <w:rPr>
                            <w:rFonts w:ascii="宋体" w:hAnsi="宋体" w:cs="宋体" w:eastAsia="宋体" w:hint="default"/>
                            <w:sz w:val="18"/>
                            <w:szCs w:val="18"/>
                          </w:rPr>
                          <w:t>截至 报告 期末 的执 行情 况</w:t>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16" w:lineRule="auto"/>
                          <w:ind w:left="133" w:right="133"/>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636" w:type="dxa"/>
                        <w:tcBorders>
                          <w:top w:val="nil" w:sz="6" w:space="0" w:color="auto"/>
                          <w:left w:val="single" w:sz="4" w:space="0" w:color="000000"/>
                          <w:bottom w:val="nil" w:sz="6" w:space="0" w:color="auto"/>
                          <w:right w:val="single" w:sz="12"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16" w:lineRule="auto"/>
                          <w:ind w:left="133" w:right="122"/>
                          <w:jc w:val="left"/>
                          <w:rPr>
                            <w:rFonts w:ascii="宋体" w:hAnsi="宋体" w:cs="宋体" w:eastAsia="宋体" w:hint="default"/>
                            <w:sz w:val="18"/>
                            <w:szCs w:val="18"/>
                          </w:rPr>
                        </w:pPr>
                        <w:r>
                          <w:rPr>
                            <w:rFonts w:ascii="宋体" w:hAnsi="宋体" w:cs="宋体" w:eastAsia="宋体" w:hint="default"/>
                            <w:sz w:val="18"/>
                            <w:szCs w:val="18"/>
                          </w:rPr>
                          <w:t>披露 索引</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shd w:val="clear" w:color="auto" w:fill="D2D2D2"/>
                      </w:tcPr>
                      <w:p>
                        <w:pPr/>
                      </w:p>
                    </w:tc>
                    <w:tc>
                      <w:tcPr>
                        <w:tcW w:w="639" w:type="dxa"/>
                        <w:tcBorders>
                          <w:top w:val="nil" w:sz="6" w:space="0" w:color="auto"/>
                          <w:left w:val="single" w:sz="4" w:space="0" w:color="000000"/>
                          <w:bottom w:val="nil" w:sz="6" w:space="0" w:color="auto"/>
                          <w:right w:val="single" w:sz="4" w:space="0" w:color="000000"/>
                        </w:tcBorders>
                        <w:shd w:val="clear" w:color="auto" w:fill="D2D2D2"/>
                      </w:tcPr>
                      <w:p>
                        <w:pPr/>
                      </w:p>
                    </w:tc>
                    <w:tc>
                      <w:tcPr>
                        <w:tcW w:w="639" w:type="dxa"/>
                        <w:tcBorders>
                          <w:top w:val="nil" w:sz="6" w:space="0" w:color="auto"/>
                          <w:left w:val="single" w:sz="4" w:space="0" w:color="000000"/>
                          <w:bottom w:val="nil" w:sz="6" w:space="0" w:color="auto"/>
                          <w:right w:val="single" w:sz="4" w:space="0" w:color="000000"/>
                        </w:tcBorders>
                        <w:shd w:val="clear" w:color="auto" w:fill="D2D2D2"/>
                      </w:tcPr>
                      <w:p>
                        <w:pPr/>
                      </w:p>
                    </w:tc>
                    <w:tc>
                      <w:tcPr>
                        <w:tcW w:w="640" w:type="dxa"/>
                        <w:tcBorders>
                          <w:top w:val="nil" w:sz="6" w:space="0" w:color="auto"/>
                          <w:left w:val="single" w:sz="4" w:space="0" w:color="000000"/>
                          <w:bottom w:val="nil" w:sz="6" w:space="0" w:color="auto"/>
                          <w:right w:val="single" w:sz="4" w:space="0" w:color="000000"/>
                        </w:tcBorders>
                        <w:shd w:val="clear" w:color="auto" w:fill="D2D2D2"/>
                      </w:tcPr>
                      <w:p>
                        <w:pP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（如</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（如</w:t>
                        </w:r>
                      </w:p>
                    </w:tc>
                    <w:tc>
                      <w:tcPr>
                        <w:tcW w:w="639"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8" w:type="dxa"/>
                        <w:tcBorders>
                          <w:top w:val="nil" w:sz="6" w:space="0" w:color="auto"/>
                          <w:left w:val="single" w:sz="4" w:space="0" w:color="000000"/>
                          <w:bottom w:val="nil" w:sz="6" w:space="0" w:color="auto"/>
                          <w:right w:val="single" w:sz="4" w:space="0" w:color="000000"/>
                        </w:tcBorders>
                        <w:shd w:val="clear" w:color="auto" w:fill="D2D2D2"/>
                      </w:tcPr>
                      <w:p>
                        <w:pPr/>
                      </w:p>
                    </w:tc>
                    <w:tc>
                      <w:tcPr>
                        <w:tcW w:w="636" w:type="dxa"/>
                        <w:tcBorders>
                          <w:top w:val="nil" w:sz="6" w:space="0" w:color="auto"/>
                          <w:left w:val="single" w:sz="4" w:space="0" w:color="000000"/>
                          <w:bottom w:val="nil" w:sz="6" w:space="0" w:color="auto"/>
                          <w:right w:val="single" w:sz="12" w:space="0" w:color="000000"/>
                        </w:tcBorders>
                        <w:shd w:val="clear" w:color="auto" w:fill="D2D2D2"/>
                      </w:tcPr>
                      <w:p>
                        <w:pPr/>
                      </w:p>
                    </w:tc>
                  </w:tr>
                  <w:tr>
                    <w:trPr>
                      <w:trHeight w:val="316" w:hRule="exact"/>
                    </w:trPr>
                    <w:tc>
                      <w:tcPr>
                        <w:tcW w:w="636" w:type="dxa"/>
                        <w:tcBorders>
                          <w:top w:val="nil" w:sz="6" w:space="0" w:color="auto"/>
                          <w:left w:val="single" w:sz="12" w:space="0" w:color="000000"/>
                          <w:bottom w:val="single" w:sz="4" w:space="0" w:color="000000"/>
                          <w:right w:val="single" w:sz="4" w:space="0" w:color="000000"/>
                        </w:tcBorders>
                        <w:shd w:val="clear" w:color="auto" w:fill="D2D2D2"/>
                      </w:tcPr>
                      <w:p>
                        <w:pPr/>
                      </w:p>
                    </w:tc>
                    <w:tc>
                      <w:tcPr>
                        <w:tcW w:w="639" w:type="dxa"/>
                        <w:tcBorders>
                          <w:top w:val="nil" w:sz="6" w:space="0" w:color="auto"/>
                          <w:left w:val="single" w:sz="4" w:space="0" w:color="000000"/>
                          <w:bottom w:val="single" w:sz="4" w:space="0" w:color="000000"/>
                          <w:right w:val="single" w:sz="4" w:space="0" w:color="000000"/>
                        </w:tcBorders>
                        <w:shd w:val="clear" w:color="auto" w:fill="D2D2D2"/>
                      </w:tcPr>
                      <w:p>
                        <w:pPr/>
                      </w:p>
                    </w:tc>
                    <w:tc>
                      <w:tcPr>
                        <w:tcW w:w="639" w:type="dxa"/>
                        <w:tcBorders>
                          <w:top w:val="nil" w:sz="6" w:space="0" w:color="auto"/>
                          <w:left w:val="single" w:sz="4" w:space="0" w:color="000000"/>
                          <w:bottom w:val="single" w:sz="4" w:space="0" w:color="000000"/>
                          <w:right w:val="single" w:sz="4" w:space="0" w:color="000000"/>
                        </w:tcBorders>
                        <w:shd w:val="clear" w:color="auto" w:fill="D2D2D2"/>
                      </w:tcPr>
                      <w:p>
                        <w:pPr/>
                      </w:p>
                    </w:tc>
                    <w:tc>
                      <w:tcPr>
                        <w:tcW w:w="640" w:type="dxa"/>
                        <w:tcBorders>
                          <w:top w:val="nil" w:sz="6" w:space="0" w:color="auto"/>
                          <w:left w:val="single" w:sz="4" w:space="0" w:color="000000"/>
                          <w:bottom w:val="single" w:sz="4" w:space="0" w:color="000000"/>
                          <w:right w:val="single" w:sz="4" w:space="0" w:color="000000"/>
                        </w:tcBorders>
                        <w:shd w:val="clear" w:color="auto" w:fill="D2D2D2"/>
                      </w:tcPr>
                      <w:p>
                        <w:pPr/>
                      </w:p>
                    </w:tc>
                    <w:tc>
                      <w:tcPr>
                        <w:tcW w:w="639"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有）</w:t>
                        </w:r>
                      </w:p>
                    </w:tc>
                    <w:tc>
                      <w:tcPr>
                        <w:tcW w:w="639"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有）</w:t>
                        </w:r>
                      </w:p>
                    </w:tc>
                    <w:tc>
                      <w:tcPr>
                        <w:tcW w:w="639"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c>
                      <w:tcPr>
                        <w:tcW w:w="636" w:type="dxa"/>
                        <w:tcBorders>
                          <w:top w:val="nil" w:sz="6" w:space="0" w:color="auto"/>
                          <w:left w:val="single" w:sz="4" w:space="0" w:color="000000"/>
                          <w:bottom w:val="single" w:sz="4" w:space="0" w:color="000000"/>
                          <w:right w:val="single" w:sz="12" w:space="0" w:color="000000"/>
                        </w:tcBorders>
                        <w:shd w:val="clear" w:color="auto" w:fill="D2D2D2"/>
                      </w:tcPr>
                      <w:p>
                        <w:pPr/>
                      </w:p>
                    </w:tc>
                  </w:tr>
                  <w:tr>
                    <w:trPr>
                      <w:trHeight w:val="327" w:hRule="exact"/>
                    </w:trPr>
                    <w:tc>
                      <w:tcPr>
                        <w:tcW w:w="636" w:type="dxa"/>
                        <w:tcBorders>
                          <w:top w:val="single" w:sz="4" w:space="0" w:color="000000"/>
                          <w:left w:val="single" w:sz="12" w:space="0" w:color="000000"/>
                          <w:bottom w:val="nil" w:sz="6" w:space="0" w:color="auto"/>
                          <w:right w:val="single" w:sz="4" w:space="0" w:color="000000"/>
                        </w:tcBorders>
                      </w:tcPr>
                      <w:p>
                        <w:pPr/>
                      </w:p>
                    </w:tc>
                    <w:tc>
                      <w:tcPr>
                        <w:tcW w:w="639" w:type="dxa"/>
                        <w:tcBorders>
                          <w:top w:val="single" w:sz="4" w:space="0" w:color="000000"/>
                          <w:left w:val="single" w:sz="4" w:space="0" w:color="000000"/>
                          <w:bottom w:val="nil" w:sz="6" w:space="0" w:color="auto"/>
                          <w:right w:val="single" w:sz="4" w:space="0" w:color="000000"/>
                        </w:tcBorders>
                      </w:tcPr>
                      <w:p>
                        <w:pPr/>
                      </w:p>
                    </w:tc>
                    <w:tc>
                      <w:tcPr>
                        <w:tcW w:w="639" w:type="dxa"/>
                        <w:tcBorders>
                          <w:top w:val="single" w:sz="4" w:space="0" w:color="000000"/>
                          <w:left w:val="single" w:sz="4" w:space="0" w:color="000000"/>
                          <w:bottom w:val="nil" w:sz="6" w:space="0" w:color="auto"/>
                          <w:right w:val="single" w:sz="4" w:space="0" w:color="000000"/>
                        </w:tcBorders>
                      </w:tcPr>
                      <w:p>
                        <w:pPr/>
                      </w:p>
                    </w:tc>
                    <w:tc>
                      <w:tcPr>
                        <w:tcW w:w="640" w:type="dxa"/>
                        <w:vMerge w:val="restart"/>
                        <w:tcBorders>
                          <w:top w:val="single" w:sz="4" w:space="0" w:color="000000"/>
                          <w:left w:val="single" w:sz="4" w:space="0" w:color="000000"/>
                          <w:right w:val="single" w:sz="4" w:space="0" w:color="000000"/>
                        </w:tcBorders>
                      </w:tcPr>
                      <w:p>
                        <w:pPr/>
                      </w:p>
                    </w:tc>
                    <w:tc>
                      <w:tcPr>
                        <w:tcW w:w="639" w:type="dxa"/>
                        <w:vMerge w:val="restart"/>
                        <w:tcBorders>
                          <w:top w:val="single" w:sz="4" w:space="0" w:color="000000"/>
                          <w:left w:val="single" w:sz="4" w:space="0" w:color="000000"/>
                          <w:right w:val="single" w:sz="4" w:space="0" w:color="000000"/>
                        </w:tcBorders>
                      </w:tcPr>
                      <w:p>
                        <w:pPr/>
                      </w:p>
                    </w:tc>
                    <w:tc>
                      <w:tcPr>
                        <w:tcW w:w="639" w:type="dxa"/>
                        <w:vMerge w:val="restart"/>
                        <w:tcBorders>
                          <w:top w:val="single" w:sz="4" w:space="0" w:color="000000"/>
                          <w:left w:val="single" w:sz="4" w:space="0" w:color="000000"/>
                          <w:right w:val="single" w:sz="4" w:space="0" w:color="000000"/>
                        </w:tcBorders>
                      </w:tcPr>
                      <w:p>
                        <w:pPr/>
                      </w:p>
                    </w:tc>
                    <w:tc>
                      <w:tcPr>
                        <w:tcW w:w="639" w:type="dxa"/>
                        <w:tcBorders>
                          <w:top w:val="single" w:sz="4" w:space="0" w:color="000000"/>
                          <w:left w:val="single" w:sz="4" w:space="0" w:color="000000"/>
                          <w:bottom w:val="nil" w:sz="6" w:space="0" w:color="auto"/>
                          <w:right w:val="single" w:sz="4" w:space="0" w:color="000000"/>
                        </w:tcBorders>
                      </w:tcPr>
                      <w:p>
                        <w:pPr/>
                      </w:p>
                    </w:tc>
                    <w:tc>
                      <w:tcPr>
                        <w:tcW w:w="638" w:type="dxa"/>
                        <w:vMerge w:val="restart"/>
                        <w:tcBorders>
                          <w:top w:val="single" w:sz="4" w:space="0" w:color="000000"/>
                          <w:left w:val="single" w:sz="4" w:space="0" w:color="000000"/>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6" w:type="dxa"/>
                        <w:tcBorders>
                          <w:top w:val="single" w:sz="4" w:space="0" w:color="000000"/>
                          <w:left w:val="single" w:sz="4" w:space="0" w:color="000000"/>
                          <w:bottom w:val="nil" w:sz="6" w:space="0" w:color="auto"/>
                          <w:right w:val="single" w:sz="12" w:space="0" w:color="000000"/>
                        </w:tcBorders>
                      </w:tcPr>
                      <w:p>
                        <w:pPr>
                          <w:pStyle w:val="TableParagraph"/>
                          <w:spacing w:line="240" w:lineRule="auto" w:before="53"/>
                          <w:ind w:left="102" w:right="0"/>
                          <w:jc w:val="left"/>
                          <w:rPr>
                            <w:rFonts w:ascii="Times New Roman" w:hAnsi="Times New Roman" w:cs="Times New Roman" w:eastAsia="Times New Roman" w:hint="default"/>
                            <w:sz w:val="18"/>
                            <w:szCs w:val="18"/>
                          </w:rPr>
                        </w:pPr>
                        <w:r>
                          <w:rPr>
                            <w:rFonts w:ascii="Times New Roman"/>
                            <w:sz w:val="18"/>
                          </w:rPr>
                          <w:t>www</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42"/>
                          <w:ind w:left="102" w:right="0"/>
                          <w:jc w:val="left"/>
                          <w:rPr>
                            <w:rFonts w:ascii="Times New Roman" w:hAnsi="Times New Roman" w:cs="Times New Roman" w:eastAsia="Times New Roman" w:hint="default"/>
                            <w:sz w:val="18"/>
                            <w:szCs w:val="18"/>
                          </w:rPr>
                        </w:pPr>
                        <w:r>
                          <w:rPr>
                            <w:rFonts w:ascii="Times New Roman"/>
                            <w:sz w:val="18"/>
                          </w:rPr>
                          <w:t>.cninf</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42"/>
                          <w:ind w:left="102" w:right="0"/>
                          <w:jc w:val="left"/>
                          <w:rPr>
                            <w:rFonts w:ascii="Times New Roman" w:hAnsi="Times New Roman" w:cs="Times New Roman" w:eastAsia="Times New Roman" w:hint="default"/>
                            <w:sz w:val="18"/>
                            <w:szCs w:val="18"/>
                          </w:rPr>
                        </w:pPr>
                        <w:r>
                          <w:rPr>
                            <w:rFonts w:ascii="Times New Roman"/>
                            <w:sz w:val="18"/>
                          </w:rPr>
                          <w:t>o.co</w:t>
                        </w:r>
                      </w:p>
                    </w:tc>
                  </w:tr>
                  <w:tr>
                    <w:trPr>
                      <w:trHeight w:val="307"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42"/>
                          <w:ind w:left="102" w:right="0"/>
                          <w:jc w:val="left"/>
                          <w:rPr>
                            <w:rFonts w:ascii="Times New Roman" w:hAnsi="Times New Roman" w:cs="Times New Roman" w:eastAsia="Times New Roman" w:hint="default"/>
                            <w:sz w:val="18"/>
                            <w:szCs w:val="18"/>
                          </w:rPr>
                        </w:pPr>
                        <w:r>
                          <w:rPr>
                            <w:rFonts w:ascii="Times New Roman"/>
                            <w:sz w:val="18"/>
                          </w:rPr>
                          <w:t>m.cn</w:t>
                        </w:r>
                      </w:p>
                    </w:tc>
                  </w:tr>
                  <w:tr>
                    <w:trPr>
                      <w:trHeight w:val="1867" w:hRule="exact"/>
                    </w:trPr>
                    <w:tc>
                      <w:tcPr>
                        <w:tcW w:w="636" w:type="dxa"/>
                        <w:tcBorders>
                          <w:top w:val="nil" w:sz="6" w:space="0" w:color="auto"/>
                          <w:left w:val="single" w:sz="12" w:space="0" w:color="000000"/>
                          <w:bottom w:val="nil" w:sz="6" w:space="0" w:color="auto"/>
                          <w:right w:val="single" w:sz="4" w:space="0" w:color="000000"/>
                        </w:tcBorders>
                      </w:tcPr>
                      <w:p>
                        <w:pPr>
                          <w:pStyle w:val="TableParagraph"/>
                          <w:spacing w:line="316" w:lineRule="auto" w:before="161"/>
                          <w:ind w:left="92" w:right="162"/>
                          <w:jc w:val="both"/>
                          <w:rPr>
                            <w:rFonts w:ascii="宋体" w:hAnsi="宋体" w:cs="宋体" w:eastAsia="宋体" w:hint="default"/>
                            <w:sz w:val="18"/>
                            <w:szCs w:val="18"/>
                          </w:rPr>
                        </w:pPr>
                        <w:r>
                          <w:rPr>
                            <w:rFonts w:ascii="宋体" w:hAnsi="宋体" w:cs="宋体" w:eastAsia="宋体" w:hint="default"/>
                            <w:sz w:val="18"/>
                            <w:szCs w:val="18"/>
                          </w:rPr>
                          <w:t>浙江 万马 股份 有限 公司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316" w:lineRule="auto"/>
                          <w:ind w:left="102" w:right="165"/>
                          <w:jc w:val="both"/>
                          <w:rPr>
                            <w:rFonts w:ascii="宋体" w:hAnsi="宋体" w:cs="宋体" w:eastAsia="宋体" w:hint="default"/>
                            <w:sz w:val="18"/>
                            <w:szCs w:val="18"/>
                          </w:rPr>
                        </w:pPr>
                        <w:r>
                          <w:rPr>
                            <w:rFonts w:ascii="宋体" w:hAnsi="宋体" w:cs="宋体" w:eastAsia="宋体" w:hint="default"/>
                            <w:sz w:val="18"/>
                            <w:szCs w:val="18"/>
                          </w:rPr>
                          <w:t>国家 电网 公司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58"/>
                          <w:ind w:left="103" w:right="163"/>
                          <w:jc w:val="left"/>
                          <w:rPr>
                            <w:rFonts w:ascii="宋体" w:hAnsi="宋体" w:cs="宋体" w:eastAsia="宋体" w:hint="default"/>
                            <w:sz w:val="18"/>
                            <w:szCs w:val="18"/>
                          </w:rPr>
                        </w:pPr>
                        <w:r>
                          <w:rPr>
                            <w:rFonts w:ascii="宋体" w:hAnsi="宋体" w:cs="宋体" w:eastAsia="宋体" w:hint="default"/>
                            <w:sz w:val="18"/>
                            <w:szCs w:val="18"/>
                          </w:rPr>
                          <w:t>电力 电缆</w:t>
                        </w: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58"/>
                          <w:ind w:left="102" w:right="163"/>
                          <w:jc w:val="left"/>
                          <w:rPr>
                            <w:rFonts w:ascii="宋体" w:hAnsi="宋体" w:cs="宋体" w:eastAsia="宋体" w:hint="default"/>
                            <w:sz w:val="18"/>
                            <w:szCs w:val="18"/>
                          </w:rPr>
                        </w:pPr>
                        <w:r>
                          <w:rPr>
                            <w:rFonts w:ascii="宋体" w:hAnsi="宋体" w:cs="宋体" w:eastAsia="宋体" w:hint="default"/>
                            <w:sz w:val="18"/>
                            <w:szCs w:val="18"/>
                          </w:rPr>
                          <w:t>招投 标</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25,48</w:t>
                        </w:r>
                      </w:p>
                      <w:p>
                        <w:pPr>
                          <w:pStyle w:val="TableParagraph"/>
                          <w:spacing w:line="240" w:lineRule="auto" w:before="105"/>
                          <w:ind w:left="211" w:right="0"/>
                          <w:jc w:val="left"/>
                          <w:rPr>
                            <w:rFonts w:ascii="Times New Roman" w:hAnsi="Times New Roman" w:cs="Times New Roman" w:eastAsia="Times New Roman" w:hint="default"/>
                            <w:sz w:val="18"/>
                            <w:szCs w:val="18"/>
                          </w:rPr>
                        </w:pPr>
                        <w:r>
                          <w:rPr>
                            <w:rFonts w:ascii="Times New Roman"/>
                            <w:sz w:val="18"/>
                          </w:rPr>
                          <w:t>1.18</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left="104" w:right="0"/>
                          <w:jc w:val="left"/>
                          <w:rPr>
                            <w:rFonts w:ascii="Times New Roman" w:hAnsi="Times New Roman" w:cs="Times New Roman" w:eastAsia="Times New Roman" w:hint="default"/>
                            <w:sz w:val="18"/>
                            <w:szCs w:val="18"/>
                          </w:rPr>
                        </w:pPr>
                        <w:r>
                          <w:rPr>
                            <w:rFonts w:ascii="Times New Roman"/>
                            <w:sz w:val="18"/>
                          </w:rPr>
                          <w:t>100%</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102"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63"/>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316" w:lineRule="auto" w:before="5"/>
                          <w:ind w:left="102" w:right="152"/>
                          <w:jc w:val="both"/>
                          <w:rPr>
                            <w:rFonts w:ascii="宋体" w:hAnsi="宋体" w:cs="宋体" w:eastAsia="宋体" w:hint="default"/>
                            <w:sz w:val="18"/>
                            <w:szCs w:val="18"/>
                          </w:rPr>
                        </w:pPr>
                        <w:r>
                          <w:rPr>
                            <w:rFonts w:ascii="宋体" w:hAnsi="宋体" w:cs="宋体" w:eastAsia="宋体" w:hint="default"/>
                            <w:sz w:val="18"/>
                            <w:szCs w:val="18"/>
                          </w:rPr>
                          <w:t>《万 马股 份： 国家 电网 中标</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的提</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示性</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公</w:t>
                        </w:r>
                      </w:p>
                    </w:tc>
                  </w:tr>
                  <w:tr>
                    <w:trPr>
                      <w:trHeight w:val="317" w:hRule="exact"/>
                    </w:trPr>
                    <w:tc>
                      <w:tcPr>
                        <w:tcW w:w="636" w:type="dxa"/>
                        <w:tcBorders>
                          <w:top w:val="nil" w:sz="6" w:space="0" w:color="auto"/>
                          <w:left w:val="single" w:sz="12" w:space="0" w:color="000000"/>
                          <w:bottom w:val="single" w:sz="4" w:space="0" w:color="000000"/>
                          <w:right w:val="single" w:sz="4" w:space="0" w:color="000000"/>
                        </w:tcBorders>
                      </w:tcPr>
                      <w:p>
                        <w:pPr/>
                      </w:p>
                    </w:tc>
                    <w:tc>
                      <w:tcPr>
                        <w:tcW w:w="639" w:type="dxa"/>
                        <w:tcBorders>
                          <w:top w:val="nil" w:sz="6" w:space="0" w:color="auto"/>
                          <w:left w:val="single" w:sz="4" w:space="0" w:color="000000"/>
                          <w:bottom w:val="single" w:sz="4" w:space="0" w:color="000000"/>
                          <w:right w:val="single" w:sz="4" w:space="0" w:color="000000"/>
                        </w:tcBorders>
                      </w:tcPr>
                      <w:p>
                        <w:pPr/>
                      </w:p>
                    </w:tc>
                    <w:tc>
                      <w:tcPr>
                        <w:tcW w:w="639" w:type="dxa"/>
                        <w:tcBorders>
                          <w:top w:val="nil" w:sz="6" w:space="0" w:color="auto"/>
                          <w:left w:val="single" w:sz="4" w:space="0" w:color="000000"/>
                          <w:bottom w:val="single" w:sz="4" w:space="0" w:color="000000"/>
                          <w:right w:val="single" w:sz="4" w:space="0" w:color="000000"/>
                        </w:tcBorders>
                      </w:tcPr>
                      <w:p>
                        <w:pPr/>
                      </w:p>
                    </w:tc>
                    <w:tc>
                      <w:tcPr>
                        <w:tcW w:w="640" w:type="dxa"/>
                        <w:vMerge/>
                        <w:tcBorders>
                          <w:left w:val="single" w:sz="4" w:space="0" w:color="000000"/>
                          <w:bottom w:val="single" w:sz="4" w:space="0" w:color="000000"/>
                          <w:right w:val="single" w:sz="4" w:space="0" w:color="000000"/>
                        </w:tcBorders>
                      </w:tcPr>
                      <w:p>
                        <w:pPr/>
                      </w:p>
                    </w:tc>
                    <w:tc>
                      <w:tcPr>
                        <w:tcW w:w="639" w:type="dxa"/>
                        <w:vMerge/>
                        <w:tcBorders>
                          <w:left w:val="single" w:sz="4" w:space="0" w:color="000000"/>
                          <w:bottom w:val="single" w:sz="4" w:space="0" w:color="000000"/>
                          <w:right w:val="single" w:sz="4" w:space="0" w:color="000000"/>
                        </w:tcBorders>
                      </w:tcPr>
                      <w:p>
                        <w:pPr/>
                      </w:p>
                    </w:tc>
                    <w:tc>
                      <w:tcPr>
                        <w:tcW w:w="639" w:type="dxa"/>
                        <w:vMerge/>
                        <w:tcBorders>
                          <w:left w:val="single" w:sz="4" w:space="0" w:color="000000"/>
                          <w:bottom w:val="single" w:sz="4" w:space="0" w:color="000000"/>
                          <w:right w:val="single" w:sz="4" w:space="0" w:color="000000"/>
                        </w:tcBorders>
                      </w:tcPr>
                      <w:p>
                        <w:pPr/>
                      </w:p>
                    </w:tc>
                    <w:tc>
                      <w:tcPr>
                        <w:tcW w:w="639" w:type="dxa"/>
                        <w:tcBorders>
                          <w:top w:val="nil" w:sz="6" w:space="0" w:color="auto"/>
                          <w:left w:val="single" w:sz="4" w:space="0" w:color="000000"/>
                          <w:bottom w:val="single" w:sz="4" w:space="0" w:color="000000"/>
                          <w:right w:val="single" w:sz="4" w:space="0" w:color="000000"/>
                        </w:tcBorders>
                      </w:tcPr>
                      <w:p>
                        <w:pPr/>
                      </w:p>
                    </w:tc>
                    <w:tc>
                      <w:tcPr>
                        <w:tcW w:w="638" w:type="dxa"/>
                        <w:vMerge/>
                        <w:tcBorders>
                          <w:left w:val="single" w:sz="4" w:space="0" w:color="000000"/>
                          <w:bottom w:val="single" w:sz="4" w:space="0" w:color="000000"/>
                          <w:right w:val="single" w:sz="4" w:space="0" w:color="000000"/>
                        </w:tcBorders>
                      </w:tcPr>
                      <w:p>
                        <w:pPr/>
                      </w:p>
                    </w:tc>
                    <w:tc>
                      <w:tcPr>
                        <w:tcW w:w="638" w:type="dxa"/>
                        <w:tcBorders>
                          <w:top w:val="nil" w:sz="6" w:space="0" w:color="auto"/>
                          <w:left w:val="single" w:sz="4" w:space="0" w:color="000000"/>
                          <w:bottom w:val="single" w:sz="4" w:space="0" w:color="000000"/>
                          <w:right w:val="single" w:sz="4" w:space="0" w:color="000000"/>
                        </w:tcBorders>
                      </w:tcPr>
                      <w:p>
                        <w:pPr/>
                      </w:p>
                    </w:tc>
                    <w:tc>
                      <w:tcPr>
                        <w:tcW w:w="638" w:type="dxa"/>
                        <w:tcBorders>
                          <w:top w:val="nil" w:sz="6" w:space="0" w:color="auto"/>
                          <w:left w:val="single" w:sz="4" w:space="0" w:color="000000"/>
                          <w:bottom w:val="single" w:sz="4" w:space="0" w:color="000000"/>
                          <w:right w:val="single" w:sz="4" w:space="0" w:color="000000"/>
                        </w:tcBorders>
                      </w:tcPr>
                      <w:p>
                        <w:pPr/>
                      </w:p>
                    </w:tc>
                    <w:tc>
                      <w:tcPr>
                        <w:tcW w:w="638" w:type="dxa"/>
                        <w:tcBorders>
                          <w:top w:val="nil" w:sz="6" w:space="0" w:color="auto"/>
                          <w:left w:val="single" w:sz="4" w:space="0" w:color="000000"/>
                          <w:bottom w:val="single" w:sz="4" w:space="0" w:color="000000"/>
                          <w:right w:val="single" w:sz="4" w:space="0" w:color="000000"/>
                        </w:tcBorders>
                      </w:tcPr>
                      <w:p>
                        <w:pPr/>
                      </w:p>
                    </w:tc>
                    <w:tc>
                      <w:tcPr>
                        <w:tcW w:w="638" w:type="dxa"/>
                        <w:tcBorders>
                          <w:top w:val="nil" w:sz="6" w:space="0" w:color="auto"/>
                          <w:left w:val="single" w:sz="4" w:space="0" w:color="000000"/>
                          <w:bottom w:val="single" w:sz="4" w:space="0" w:color="000000"/>
                          <w:right w:val="single" w:sz="4" w:space="0" w:color="000000"/>
                        </w:tcBorders>
                      </w:tcPr>
                      <w:p>
                        <w:pPr/>
                      </w:p>
                    </w:tc>
                    <w:tc>
                      <w:tcPr>
                        <w:tcW w:w="638" w:type="dxa"/>
                        <w:tcBorders>
                          <w:top w:val="nil" w:sz="6" w:space="0" w:color="auto"/>
                          <w:left w:val="single" w:sz="4" w:space="0" w:color="000000"/>
                          <w:bottom w:val="single" w:sz="4" w:space="0" w:color="000000"/>
                          <w:right w:val="single" w:sz="4" w:space="0" w:color="000000"/>
                        </w:tcBorders>
                      </w:tcPr>
                      <w:p>
                        <w:pPr/>
                      </w:p>
                    </w:tc>
                    <w:tc>
                      <w:tcPr>
                        <w:tcW w:w="638" w:type="dxa"/>
                        <w:tcBorders>
                          <w:top w:val="nil" w:sz="6" w:space="0" w:color="auto"/>
                          <w:left w:val="single" w:sz="4" w:space="0" w:color="000000"/>
                          <w:bottom w:val="single" w:sz="4" w:space="0" w:color="000000"/>
                          <w:right w:val="single" w:sz="4" w:space="0" w:color="000000"/>
                        </w:tcBorders>
                      </w:tcPr>
                      <w:p>
                        <w:pPr/>
                      </w:p>
                    </w:tc>
                    <w:tc>
                      <w:tcPr>
                        <w:tcW w:w="636" w:type="dxa"/>
                        <w:tcBorders>
                          <w:top w:val="nil" w:sz="6" w:space="0" w:color="auto"/>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告》</w:t>
                        </w:r>
                      </w:p>
                    </w:tc>
                  </w:tr>
                  <w:tr>
                    <w:trPr>
                      <w:trHeight w:val="327" w:hRule="exact"/>
                    </w:trPr>
                    <w:tc>
                      <w:tcPr>
                        <w:tcW w:w="636" w:type="dxa"/>
                        <w:tcBorders>
                          <w:top w:val="single" w:sz="4" w:space="0" w:color="000000"/>
                          <w:left w:val="single" w:sz="12" w:space="0" w:color="000000"/>
                          <w:bottom w:val="nil" w:sz="6" w:space="0" w:color="auto"/>
                          <w:right w:val="single" w:sz="4" w:space="0" w:color="000000"/>
                        </w:tcBorders>
                      </w:tcPr>
                      <w:p>
                        <w:pPr/>
                      </w:p>
                    </w:tc>
                    <w:tc>
                      <w:tcPr>
                        <w:tcW w:w="639" w:type="dxa"/>
                        <w:tcBorders>
                          <w:top w:val="single" w:sz="4" w:space="0" w:color="000000"/>
                          <w:left w:val="single" w:sz="4" w:space="0" w:color="000000"/>
                          <w:bottom w:val="nil" w:sz="6" w:space="0" w:color="auto"/>
                          <w:right w:val="single" w:sz="4" w:space="0" w:color="000000"/>
                        </w:tcBorders>
                      </w:tcPr>
                      <w:p>
                        <w:pPr/>
                      </w:p>
                    </w:tc>
                    <w:tc>
                      <w:tcPr>
                        <w:tcW w:w="639" w:type="dxa"/>
                        <w:tcBorders>
                          <w:top w:val="single" w:sz="4" w:space="0" w:color="000000"/>
                          <w:left w:val="single" w:sz="4" w:space="0" w:color="000000"/>
                          <w:bottom w:val="nil" w:sz="6" w:space="0" w:color="auto"/>
                          <w:right w:val="single" w:sz="4" w:space="0" w:color="000000"/>
                        </w:tcBorders>
                      </w:tcPr>
                      <w:p>
                        <w:pPr/>
                      </w:p>
                    </w:tc>
                    <w:tc>
                      <w:tcPr>
                        <w:tcW w:w="640" w:type="dxa"/>
                        <w:vMerge w:val="restart"/>
                        <w:tcBorders>
                          <w:top w:val="single" w:sz="4" w:space="0" w:color="000000"/>
                          <w:left w:val="single" w:sz="4" w:space="0" w:color="000000"/>
                          <w:right w:val="single" w:sz="4" w:space="0" w:color="000000"/>
                        </w:tcBorders>
                      </w:tcPr>
                      <w:p>
                        <w:pPr/>
                      </w:p>
                    </w:tc>
                    <w:tc>
                      <w:tcPr>
                        <w:tcW w:w="639" w:type="dxa"/>
                        <w:vMerge w:val="restart"/>
                        <w:tcBorders>
                          <w:top w:val="single" w:sz="4" w:space="0" w:color="000000"/>
                          <w:left w:val="single" w:sz="4" w:space="0" w:color="000000"/>
                          <w:right w:val="single" w:sz="4" w:space="0" w:color="000000"/>
                        </w:tcBorders>
                      </w:tcPr>
                      <w:p>
                        <w:pPr/>
                      </w:p>
                    </w:tc>
                    <w:tc>
                      <w:tcPr>
                        <w:tcW w:w="639" w:type="dxa"/>
                        <w:vMerge w:val="restart"/>
                        <w:tcBorders>
                          <w:top w:val="single" w:sz="4" w:space="0" w:color="000000"/>
                          <w:left w:val="single" w:sz="4" w:space="0" w:color="000000"/>
                          <w:right w:val="single" w:sz="4" w:space="0" w:color="000000"/>
                        </w:tcBorders>
                      </w:tcPr>
                      <w:p>
                        <w:pPr/>
                      </w:p>
                    </w:tc>
                    <w:tc>
                      <w:tcPr>
                        <w:tcW w:w="639" w:type="dxa"/>
                        <w:tcBorders>
                          <w:top w:val="single" w:sz="4" w:space="0" w:color="000000"/>
                          <w:left w:val="single" w:sz="4" w:space="0" w:color="000000"/>
                          <w:bottom w:val="nil" w:sz="6" w:space="0" w:color="auto"/>
                          <w:right w:val="single" w:sz="4" w:space="0" w:color="000000"/>
                        </w:tcBorders>
                      </w:tcPr>
                      <w:p>
                        <w:pPr/>
                      </w:p>
                    </w:tc>
                    <w:tc>
                      <w:tcPr>
                        <w:tcW w:w="638" w:type="dxa"/>
                        <w:vMerge w:val="restart"/>
                        <w:tcBorders>
                          <w:top w:val="single" w:sz="4" w:space="0" w:color="000000"/>
                          <w:left w:val="single" w:sz="4" w:space="0" w:color="000000"/>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8" w:type="dxa"/>
                        <w:tcBorders>
                          <w:top w:val="single" w:sz="4" w:space="0" w:color="000000"/>
                          <w:left w:val="single" w:sz="4" w:space="0" w:color="000000"/>
                          <w:bottom w:val="nil" w:sz="6" w:space="0" w:color="auto"/>
                          <w:right w:val="single" w:sz="4" w:space="0" w:color="000000"/>
                        </w:tcBorders>
                      </w:tcPr>
                      <w:p>
                        <w:pPr/>
                      </w:p>
                    </w:tc>
                    <w:tc>
                      <w:tcPr>
                        <w:tcW w:w="636" w:type="dxa"/>
                        <w:tcBorders>
                          <w:top w:val="single" w:sz="4" w:space="0" w:color="000000"/>
                          <w:left w:val="single" w:sz="4" w:space="0" w:color="000000"/>
                          <w:bottom w:val="nil" w:sz="6" w:space="0" w:color="auto"/>
                          <w:right w:val="single" w:sz="12" w:space="0" w:color="000000"/>
                        </w:tcBorders>
                      </w:tcPr>
                      <w:p>
                        <w:pPr>
                          <w:pStyle w:val="TableParagraph"/>
                          <w:spacing w:line="240" w:lineRule="auto" w:before="52"/>
                          <w:ind w:left="102" w:right="0"/>
                          <w:jc w:val="left"/>
                          <w:rPr>
                            <w:rFonts w:ascii="Times New Roman" w:hAnsi="Times New Roman" w:cs="Times New Roman" w:eastAsia="Times New Roman" w:hint="default"/>
                            <w:sz w:val="18"/>
                            <w:szCs w:val="18"/>
                          </w:rPr>
                        </w:pPr>
                        <w:r>
                          <w:rPr>
                            <w:rFonts w:ascii="Times New Roman"/>
                            <w:sz w:val="18"/>
                          </w:rPr>
                          <w:t>www</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42"/>
                          <w:ind w:left="102" w:right="0"/>
                          <w:jc w:val="left"/>
                          <w:rPr>
                            <w:rFonts w:ascii="Times New Roman" w:hAnsi="Times New Roman" w:cs="Times New Roman" w:eastAsia="Times New Roman" w:hint="default"/>
                            <w:sz w:val="18"/>
                            <w:szCs w:val="18"/>
                          </w:rPr>
                        </w:pPr>
                        <w:r>
                          <w:rPr>
                            <w:rFonts w:ascii="Times New Roman"/>
                            <w:sz w:val="18"/>
                          </w:rPr>
                          <w:t>.cninf</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42"/>
                          <w:ind w:left="102" w:right="0"/>
                          <w:jc w:val="left"/>
                          <w:rPr>
                            <w:rFonts w:ascii="Times New Roman" w:hAnsi="Times New Roman" w:cs="Times New Roman" w:eastAsia="Times New Roman" w:hint="default"/>
                            <w:sz w:val="18"/>
                            <w:szCs w:val="18"/>
                          </w:rPr>
                        </w:pPr>
                        <w:r>
                          <w:rPr>
                            <w:rFonts w:ascii="Times New Roman"/>
                            <w:sz w:val="18"/>
                          </w:rPr>
                          <w:t>o.co</w:t>
                        </w:r>
                      </w:p>
                    </w:tc>
                  </w:tr>
                  <w:tr>
                    <w:trPr>
                      <w:trHeight w:val="307"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42"/>
                          <w:ind w:left="102" w:right="0"/>
                          <w:jc w:val="left"/>
                          <w:rPr>
                            <w:rFonts w:ascii="Times New Roman" w:hAnsi="Times New Roman" w:cs="Times New Roman" w:eastAsia="Times New Roman" w:hint="default"/>
                            <w:sz w:val="18"/>
                            <w:szCs w:val="18"/>
                          </w:rPr>
                        </w:pPr>
                        <w:r>
                          <w:rPr>
                            <w:rFonts w:ascii="Times New Roman"/>
                            <w:sz w:val="18"/>
                          </w:rPr>
                          <w:t>m.cn</w:t>
                        </w:r>
                      </w:p>
                    </w:tc>
                  </w:tr>
                  <w:tr>
                    <w:trPr>
                      <w:trHeight w:val="1867" w:hRule="exact"/>
                    </w:trPr>
                    <w:tc>
                      <w:tcPr>
                        <w:tcW w:w="636" w:type="dxa"/>
                        <w:tcBorders>
                          <w:top w:val="nil" w:sz="6" w:space="0" w:color="auto"/>
                          <w:left w:val="single" w:sz="12" w:space="0" w:color="000000"/>
                          <w:bottom w:val="nil" w:sz="6" w:space="0" w:color="auto"/>
                          <w:right w:val="single" w:sz="4" w:space="0" w:color="000000"/>
                        </w:tcBorders>
                      </w:tcPr>
                      <w:p>
                        <w:pPr>
                          <w:pStyle w:val="TableParagraph"/>
                          <w:spacing w:line="316" w:lineRule="auto" w:before="161"/>
                          <w:ind w:left="92" w:right="162"/>
                          <w:jc w:val="both"/>
                          <w:rPr>
                            <w:rFonts w:ascii="宋体" w:hAnsi="宋体" w:cs="宋体" w:eastAsia="宋体" w:hint="default"/>
                            <w:sz w:val="18"/>
                            <w:szCs w:val="18"/>
                          </w:rPr>
                        </w:pPr>
                        <w:r>
                          <w:rPr>
                            <w:rFonts w:ascii="宋体" w:hAnsi="宋体" w:cs="宋体" w:eastAsia="宋体" w:hint="default"/>
                            <w:sz w:val="18"/>
                            <w:szCs w:val="18"/>
                          </w:rPr>
                          <w:t>浙江 万马 股份 有限 公司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316" w:lineRule="auto"/>
                          <w:ind w:left="102" w:right="165"/>
                          <w:jc w:val="both"/>
                          <w:rPr>
                            <w:rFonts w:ascii="宋体" w:hAnsi="宋体" w:cs="宋体" w:eastAsia="宋体" w:hint="default"/>
                            <w:sz w:val="18"/>
                            <w:szCs w:val="18"/>
                          </w:rPr>
                        </w:pPr>
                        <w:r>
                          <w:rPr>
                            <w:rFonts w:ascii="宋体" w:hAnsi="宋体" w:cs="宋体" w:eastAsia="宋体" w:hint="default"/>
                            <w:sz w:val="18"/>
                            <w:szCs w:val="18"/>
                          </w:rPr>
                          <w:t>国家 电网 公司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58"/>
                          <w:ind w:left="103" w:right="163"/>
                          <w:jc w:val="left"/>
                          <w:rPr>
                            <w:rFonts w:ascii="宋体" w:hAnsi="宋体" w:cs="宋体" w:eastAsia="宋体" w:hint="default"/>
                            <w:sz w:val="18"/>
                            <w:szCs w:val="18"/>
                          </w:rPr>
                        </w:pPr>
                        <w:r>
                          <w:rPr>
                            <w:rFonts w:ascii="宋体" w:hAnsi="宋体" w:cs="宋体" w:eastAsia="宋体" w:hint="default"/>
                            <w:sz w:val="18"/>
                            <w:szCs w:val="18"/>
                          </w:rPr>
                          <w:t>电力 电缆</w:t>
                        </w: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58"/>
                          <w:ind w:left="102" w:right="163"/>
                          <w:jc w:val="left"/>
                          <w:rPr>
                            <w:rFonts w:ascii="宋体" w:hAnsi="宋体" w:cs="宋体" w:eastAsia="宋体" w:hint="default"/>
                            <w:sz w:val="18"/>
                            <w:szCs w:val="18"/>
                          </w:rPr>
                        </w:pPr>
                        <w:r>
                          <w:rPr>
                            <w:rFonts w:ascii="宋体" w:hAnsi="宋体" w:cs="宋体" w:eastAsia="宋体" w:hint="default"/>
                            <w:sz w:val="18"/>
                            <w:szCs w:val="18"/>
                          </w:rPr>
                          <w:t>招投 标</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15,92</w:t>
                        </w:r>
                      </w:p>
                      <w:p>
                        <w:pPr>
                          <w:pStyle w:val="TableParagraph"/>
                          <w:spacing w:line="240" w:lineRule="auto" w:before="105"/>
                          <w:ind w:left="211" w:right="0"/>
                          <w:jc w:val="left"/>
                          <w:rPr>
                            <w:rFonts w:ascii="Times New Roman" w:hAnsi="Times New Roman" w:cs="Times New Roman" w:eastAsia="Times New Roman" w:hint="default"/>
                            <w:sz w:val="18"/>
                            <w:szCs w:val="18"/>
                          </w:rPr>
                        </w:pPr>
                        <w:r>
                          <w:rPr>
                            <w:rFonts w:ascii="Times New Roman"/>
                            <w:sz w:val="18"/>
                          </w:rPr>
                          <w:t>9.20</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left="104" w:right="0"/>
                          <w:jc w:val="left"/>
                          <w:rPr>
                            <w:rFonts w:ascii="Times New Roman" w:hAnsi="Times New Roman" w:cs="Times New Roman" w:eastAsia="Times New Roman" w:hint="default"/>
                            <w:sz w:val="18"/>
                            <w:szCs w:val="18"/>
                          </w:rPr>
                        </w:pPr>
                        <w:r>
                          <w:rPr>
                            <w:rFonts w:ascii="Times New Roman"/>
                            <w:sz w:val="18"/>
                          </w:rPr>
                          <w:t>35%</w:t>
                        </w:r>
                      </w:p>
                    </w:tc>
                    <w:tc>
                      <w:tcPr>
                        <w:tcW w:w="6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102"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3"/>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316" w:lineRule="auto" w:before="5"/>
                          <w:ind w:left="102" w:right="152"/>
                          <w:jc w:val="both"/>
                          <w:rPr>
                            <w:rFonts w:ascii="宋体" w:hAnsi="宋体" w:cs="宋体" w:eastAsia="宋体" w:hint="default"/>
                            <w:sz w:val="18"/>
                            <w:szCs w:val="18"/>
                          </w:rPr>
                        </w:pPr>
                        <w:r>
                          <w:rPr>
                            <w:rFonts w:ascii="宋体" w:hAnsi="宋体" w:cs="宋体" w:eastAsia="宋体" w:hint="default"/>
                            <w:sz w:val="18"/>
                            <w:szCs w:val="18"/>
                          </w:rPr>
                          <w:t>《万 马股 份： 国家 电网 中标</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的提</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示性</w:t>
                        </w:r>
                      </w:p>
                    </w:tc>
                  </w:tr>
                  <w:tr>
                    <w:trPr>
                      <w:trHeight w:val="312" w:hRule="exact"/>
                    </w:trPr>
                    <w:tc>
                      <w:tcPr>
                        <w:tcW w:w="636" w:type="dxa"/>
                        <w:tcBorders>
                          <w:top w:val="nil" w:sz="6" w:space="0" w:color="auto"/>
                          <w:left w:val="single" w:sz="12"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40"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vMerge/>
                        <w:tcBorders>
                          <w:left w:val="single" w:sz="4" w:space="0" w:color="000000"/>
                          <w:right w:val="single" w:sz="4" w:space="0" w:color="000000"/>
                        </w:tcBorders>
                      </w:tcPr>
                      <w:p>
                        <w:pPr/>
                      </w:p>
                    </w:tc>
                    <w:tc>
                      <w:tcPr>
                        <w:tcW w:w="639" w:type="dxa"/>
                        <w:tcBorders>
                          <w:top w:val="nil" w:sz="6" w:space="0" w:color="auto"/>
                          <w:left w:val="single" w:sz="4" w:space="0" w:color="000000"/>
                          <w:bottom w:val="nil" w:sz="6" w:space="0" w:color="auto"/>
                          <w:right w:val="single" w:sz="4" w:space="0" w:color="000000"/>
                        </w:tcBorders>
                      </w:tcPr>
                      <w:p>
                        <w:pPr/>
                      </w:p>
                    </w:tc>
                    <w:tc>
                      <w:tcPr>
                        <w:tcW w:w="638" w:type="dxa"/>
                        <w:vMerge/>
                        <w:tcBorders>
                          <w:left w:val="single" w:sz="4" w:space="0" w:color="000000"/>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8"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公</w:t>
                        </w:r>
                      </w:p>
                    </w:tc>
                  </w:tr>
                  <w:tr>
                    <w:trPr>
                      <w:trHeight w:val="327" w:hRule="exact"/>
                    </w:trPr>
                    <w:tc>
                      <w:tcPr>
                        <w:tcW w:w="636" w:type="dxa"/>
                        <w:tcBorders>
                          <w:top w:val="nil" w:sz="6" w:space="0" w:color="auto"/>
                          <w:left w:val="single" w:sz="12" w:space="0" w:color="000000"/>
                          <w:bottom w:val="single" w:sz="12" w:space="0" w:color="000000"/>
                          <w:right w:val="single" w:sz="4" w:space="0" w:color="000000"/>
                        </w:tcBorders>
                      </w:tcPr>
                      <w:p>
                        <w:pPr/>
                      </w:p>
                    </w:tc>
                    <w:tc>
                      <w:tcPr>
                        <w:tcW w:w="639" w:type="dxa"/>
                        <w:tcBorders>
                          <w:top w:val="nil" w:sz="6" w:space="0" w:color="auto"/>
                          <w:left w:val="single" w:sz="4" w:space="0" w:color="000000"/>
                          <w:bottom w:val="single" w:sz="12" w:space="0" w:color="000000"/>
                          <w:right w:val="single" w:sz="4" w:space="0" w:color="000000"/>
                        </w:tcBorders>
                      </w:tcPr>
                      <w:p>
                        <w:pPr/>
                      </w:p>
                    </w:tc>
                    <w:tc>
                      <w:tcPr>
                        <w:tcW w:w="639" w:type="dxa"/>
                        <w:tcBorders>
                          <w:top w:val="nil" w:sz="6" w:space="0" w:color="auto"/>
                          <w:left w:val="single" w:sz="4" w:space="0" w:color="000000"/>
                          <w:bottom w:val="single" w:sz="12" w:space="0" w:color="000000"/>
                          <w:right w:val="single" w:sz="4" w:space="0" w:color="000000"/>
                        </w:tcBorders>
                      </w:tcPr>
                      <w:p>
                        <w:pPr/>
                      </w:p>
                    </w:tc>
                    <w:tc>
                      <w:tcPr>
                        <w:tcW w:w="640" w:type="dxa"/>
                        <w:vMerge/>
                        <w:tcBorders>
                          <w:left w:val="single" w:sz="4" w:space="0" w:color="000000"/>
                          <w:bottom w:val="single" w:sz="12" w:space="0" w:color="000000"/>
                          <w:right w:val="single" w:sz="4" w:space="0" w:color="000000"/>
                        </w:tcBorders>
                      </w:tcPr>
                      <w:p>
                        <w:pPr/>
                      </w:p>
                    </w:tc>
                    <w:tc>
                      <w:tcPr>
                        <w:tcW w:w="639" w:type="dxa"/>
                        <w:vMerge/>
                        <w:tcBorders>
                          <w:left w:val="single" w:sz="4" w:space="0" w:color="000000"/>
                          <w:bottom w:val="single" w:sz="12" w:space="0" w:color="000000"/>
                          <w:right w:val="single" w:sz="4" w:space="0" w:color="000000"/>
                        </w:tcBorders>
                      </w:tcPr>
                      <w:p>
                        <w:pPr/>
                      </w:p>
                    </w:tc>
                    <w:tc>
                      <w:tcPr>
                        <w:tcW w:w="639" w:type="dxa"/>
                        <w:vMerge/>
                        <w:tcBorders>
                          <w:left w:val="single" w:sz="4" w:space="0" w:color="000000"/>
                          <w:bottom w:val="single" w:sz="12" w:space="0" w:color="000000"/>
                          <w:right w:val="single" w:sz="4" w:space="0" w:color="000000"/>
                        </w:tcBorders>
                      </w:tcPr>
                      <w:p>
                        <w:pPr/>
                      </w:p>
                    </w:tc>
                    <w:tc>
                      <w:tcPr>
                        <w:tcW w:w="639" w:type="dxa"/>
                        <w:tcBorders>
                          <w:top w:val="nil" w:sz="6" w:space="0" w:color="auto"/>
                          <w:left w:val="single" w:sz="4" w:space="0" w:color="000000"/>
                          <w:bottom w:val="single" w:sz="12" w:space="0" w:color="000000"/>
                          <w:right w:val="single" w:sz="4" w:space="0" w:color="000000"/>
                        </w:tcBorders>
                      </w:tcPr>
                      <w:p>
                        <w:pPr/>
                      </w:p>
                    </w:tc>
                    <w:tc>
                      <w:tcPr>
                        <w:tcW w:w="638" w:type="dxa"/>
                        <w:vMerge/>
                        <w:tcBorders>
                          <w:left w:val="single" w:sz="4" w:space="0" w:color="000000"/>
                          <w:bottom w:val="single" w:sz="12" w:space="0" w:color="000000"/>
                          <w:right w:val="single" w:sz="4" w:space="0" w:color="000000"/>
                        </w:tcBorders>
                      </w:tcPr>
                      <w:p>
                        <w:pPr/>
                      </w:p>
                    </w:tc>
                    <w:tc>
                      <w:tcPr>
                        <w:tcW w:w="638" w:type="dxa"/>
                        <w:tcBorders>
                          <w:top w:val="nil" w:sz="6" w:space="0" w:color="auto"/>
                          <w:left w:val="single" w:sz="4" w:space="0" w:color="000000"/>
                          <w:bottom w:val="single" w:sz="12" w:space="0" w:color="000000"/>
                          <w:right w:val="single" w:sz="4" w:space="0" w:color="000000"/>
                        </w:tcBorders>
                      </w:tcPr>
                      <w:p>
                        <w:pPr/>
                      </w:p>
                    </w:tc>
                    <w:tc>
                      <w:tcPr>
                        <w:tcW w:w="638" w:type="dxa"/>
                        <w:tcBorders>
                          <w:top w:val="nil" w:sz="6" w:space="0" w:color="auto"/>
                          <w:left w:val="single" w:sz="4" w:space="0" w:color="000000"/>
                          <w:bottom w:val="single" w:sz="12" w:space="0" w:color="000000"/>
                          <w:right w:val="single" w:sz="4" w:space="0" w:color="000000"/>
                        </w:tcBorders>
                      </w:tcPr>
                      <w:p>
                        <w:pPr/>
                      </w:p>
                    </w:tc>
                    <w:tc>
                      <w:tcPr>
                        <w:tcW w:w="638" w:type="dxa"/>
                        <w:tcBorders>
                          <w:top w:val="nil" w:sz="6" w:space="0" w:color="auto"/>
                          <w:left w:val="single" w:sz="4" w:space="0" w:color="000000"/>
                          <w:bottom w:val="single" w:sz="12" w:space="0" w:color="000000"/>
                          <w:right w:val="single" w:sz="4" w:space="0" w:color="000000"/>
                        </w:tcBorders>
                      </w:tcPr>
                      <w:p>
                        <w:pPr/>
                      </w:p>
                    </w:tc>
                    <w:tc>
                      <w:tcPr>
                        <w:tcW w:w="638" w:type="dxa"/>
                        <w:tcBorders>
                          <w:top w:val="nil" w:sz="6" w:space="0" w:color="auto"/>
                          <w:left w:val="single" w:sz="4" w:space="0" w:color="000000"/>
                          <w:bottom w:val="single" w:sz="12" w:space="0" w:color="000000"/>
                          <w:right w:val="single" w:sz="4" w:space="0" w:color="000000"/>
                        </w:tcBorders>
                      </w:tcPr>
                      <w:p>
                        <w:pPr/>
                      </w:p>
                    </w:tc>
                    <w:tc>
                      <w:tcPr>
                        <w:tcW w:w="638" w:type="dxa"/>
                        <w:tcBorders>
                          <w:top w:val="nil" w:sz="6" w:space="0" w:color="auto"/>
                          <w:left w:val="single" w:sz="4" w:space="0" w:color="000000"/>
                          <w:bottom w:val="single" w:sz="12" w:space="0" w:color="000000"/>
                          <w:right w:val="single" w:sz="4" w:space="0" w:color="000000"/>
                        </w:tcBorders>
                      </w:tcPr>
                      <w:p>
                        <w:pPr/>
                      </w:p>
                    </w:tc>
                    <w:tc>
                      <w:tcPr>
                        <w:tcW w:w="638" w:type="dxa"/>
                        <w:tcBorders>
                          <w:top w:val="nil" w:sz="6" w:space="0" w:color="auto"/>
                          <w:left w:val="single" w:sz="4" w:space="0" w:color="000000"/>
                          <w:bottom w:val="single" w:sz="12" w:space="0" w:color="000000"/>
                          <w:right w:val="single" w:sz="4" w:space="0" w:color="000000"/>
                        </w:tcBorders>
                      </w:tcPr>
                      <w:p>
                        <w:pPr/>
                      </w:p>
                    </w:tc>
                    <w:tc>
                      <w:tcPr>
                        <w:tcW w:w="636" w:type="dxa"/>
                        <w:tcBorders>
                          <w:top w:val="nil" w:sz="6" w:space="0" w:color="auto"/>
                          <w:left w:val="single" w:sz="4" w:space="0" w:color="000000"/>
                          <w:bottom w:val="single" w:sz="12"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告》</w:t>
                        </w:r>
                      </w:p>
                    </w:tc>
                  </w:tr>
                </w:tbl>
                <w:p>
                  <w:pPr/>
                </w:p>
              </w:txbxContent>
            </v:textbox>
            <w10:wrap type="none"/>
          </v:shape>
        </w:pict>
      </w:r>
      <w:bookmarkStart w:name="十八、社会责任情况" w:id="97"/>
      <w:bookmarkEnd w:id="97"/>
      <w:r>
        <w:rPr>
          <w:b w:val="0"/>
          <w:bCs w:val="0"/>
        </w:rPr>
      </w:r>
      <w:r>
        <w:rPr/>
        <w:t>十八、社会责任情况</w:t>
      </w:r>
      <w:r>
        <w:rPr>
          <w:b w:val="0"/>
          <w:bCs w:val="0"/>
        </w:rPr>
      </w:r>
    </w:p>
    <w:p>
      <w:pPr>
        <w:spacing w:line="240" w:lineRule="auto" w:before="9"/>
        <w:rPr>
          <w:rFonts w:ascii="宋体" w:hAnsi="宋体" w:cs="宋体" w:eastAsia="宋体" w:hint="default"/>
          <w:b/>
          <w:bCs/>
          <w:sz w:val="24"/>
          <w:szCs w:val="24"/>
        </w:rPr>
      </w:pPr>
    </w:p>
    <w:p>
      <w:pPr>
        <w:spacing w:before="0"/>
        <w:ind w:left="124" w:right="1473" w:firstLine="0"/>
        <w:jc w:val="left"/>
        <w:rPr>
          <w:rFonts w:ascii="宋体" w:hAnsi="宋体" w:cs="宋体" w:eastAsia="宋体" w:hint="default"/>
          <w:sz w:val="21"/>
          <w:szCs w:val="21"/>
        </w:rPr>
      </w:pPr>
      <w:bookmarkStart w:name="1、履行社会责任情况" w:id="98"/>
      <w:bookmarkEnd w:id="98"/>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484" w:right="1473"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）维护股东及债权人的合法权益。</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90" w:footer="1053" w:top="1500" w:bottom="1240" w:left="1320" w:right="0"/>
        </w:sectPr>
      </w:pPr>
    </w:p>
    <w:p>
      <w:pPr>
        <w:spacing w:line="316" w:lineRule="auto" w:before="66"/>
        <w:ind w:left="104" w:right="1471" w:firstLine="480"/>
        <w:jc w:val="both"/>
        <w:rPr>
          <w:rFonts w:ascii="宋体" w:hAnsi="宋体" w:cs="宋体" w:eastAsia="宋体" w:hint="default"/>
          <w:sz w:val="18"/>
          <w:szCs w:val="18"/>
        </w:rPr>
      </w:pPr>
      <w:r>
        <w:rPr>
          <w:rFonts w:ascii="宋体" w:hAnsi="宋体" w:cs="宋体" w:eastAsia="宋体" w:hint="default"/>
          <w:sz w:val="18"/>
          <w:szCs w:val="18"/>
        </w:rPr>
        <w:t>保护股东权益。公司严格按照法律法规的要求，严格履行股东大会召集、召开、审议程序，保证股东及中小 </w:t>
      </w:r>
      <w:r>
        <w:rPr>
          <w:rFonts w:ascii="宋体" w:hAnsi="宋体" w:cs="宋体" w:eastAsia="宋体" w:hint="default"/>
          <w:spacing w:val="-1"/>
          <w:sz w:val="18"/>
          <w:szCs w:val="18"/>
        </w:rPr>
        <w:t>投资者的合法权益，切实保障中小股东在审议重大事项方面的表决权；对影响中小投资者利益的重大事项实行单独</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pacing w:val="-1"/>
          <w:sz w:val="18"/>
          <w:szCs w:val="18"/>
        </w:rPr>
        <w:t>计票，充分保障中小投资者股东权益。公司严格按照有关法律、法规和公司相关制度，秉持公平、公正、公开的原</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则认真履行信息披露义务，确保公司所有股东能及时、公平获得公司信息。</w:t>
      </w:r>
    </w:p>
    <w:p>
      <w:pPr>
        <w:spacing w:line="309" w:lineRule="auto" w:before="19"/>
        <w:ind w:left="104" w:right="1471" w:firstLine="480"/>
        <w:jc w:val="both"/>
        <w:rPr>
          <w:rFonts w:ascii="宋体" w:hAnsi="宋体" w:cs="宋体" w:eastAsia="宋体" w:hint="default"/>
          <w:sz w:val="18"/>
          <w:szCs w:val="18"/>
        </w:rPr>
      </w:pPr>
      <w:r>
        <w:rPr>
          <w:rFonts w:ascii="宋体" w:hAnsi="宋体" w:cs="宋体" w:eastAsia="宋体" w:hint="default"/>
          <w:sz w:val="18"/>
          <w:szCs w:val="18"/>
        </w:rPr>
        <w:t>重视股东回报。自上市以来，公司一直重视对投资者合理回报，持续稳健的实施利润分配政策，结合公司所 </w:t>
      </w:r>
      <w:r>
        <w:rPr>
          <w:rFonts w:ascii="宋体" w:hAnsi="宋体" w:cs="宋体" w:eastAsia="宋体" w:hint="default"/>
          <w:spacing w:val="-1"/>
          <w:sz w:val="18"/>
          <w:szCs w:val="18"/>
        </w:rPr>
        <w:t>属行业、发展阶段、投资状态等实际情况，切实履行现金分红承诺。自</w:t>
      </w:r>
      <w:r>
        <w:rPr>
          <w:rFonts w:ascii="Times New Roman" w:hAnsi="Times New Roman" w:cs="Times New Roman" w:eastAsia="Times New Roman" w:hint="default"/>
          <w:spacing w:val="-1"/>
          <w:sz w:val="18"/>
          <w:szCs w:val="18"/>
        </w:rPr>
        <w:t>2009</w:t>
      </w:r>
      <w:r>
        <w:rPr>
          <w:rFonts w:ascii="宋体" w:hAnsi="宋体" w:cs="宋体" w:eastAsia="宋体" w:hint="default"/>
          <w:spacing w:val="-1"/>
          <w:sz w:val="18"/>
          <w:szCs w:val="18"/>
        </w:rPr>
        <w:t>年上市以来，除两个年度因定增等因素</w:t>
      </w:r>
      <w:r>
        <w:rPr>
          <w:rFonts w:ascii="宋体" w:hAnsi="宋体" w:cs="宋体" w:eastAsia="宋体" w:hint="default"/>
          <w:spacing w:val="-54"/>
          <w:sz w:val="18"/>
          <w:szCs w:val="18"/>
        </w:rPr>
        <w:t> </w:t>
      </w:r>
      <w:r>
        <w:rPr>
          <w:rFonts w:ascii="宋体" w:hAnsi="宋体" w:cs="宋体" w:eastAsia="宋体" w:hint="default"/>
          <w:sz w:val="18"/>
          <w:szCs w:val="18"/>
        </w:rPr>
        <w:t>未实施现金分红外，基本每年实施现金分红，累计分红</w:t>
      </w:r>
      <w:r>
        <w:rPr>
          <w:rFonts w:ascii="Times New Roman" w:hAnsi="Times New Roman" w:cs="Times New Roman" w:eastAsia="Times New Roman" w:hint="default"/>
          <w:sz w:val="18"/>
          <w:szCs w:val="18"/>
        </w:rPr>
        <w:t>4.02</w:t>
      </w:r>
      <w:r>
        <w:rPr>
          <w:rFonts w:ascii="宋体" w:hAnsi="宋体" w:cs="宋体" w:eastAsia="宋体" w:hint="default"/>
          <w:sz w:val="18"/>
          <w:szCs w:val="18"/>
        </w:rPr>
        <w:t>亿元。</w:t>
      </w:r>
    </w:p>
    <w:p>
      <w:pPr>
        <w:spacing w:before="5"/>
        <w:ind w:left="464"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）以客户服务为中心，建设健康朋友圈。</w:t>
      </w:r>
      <w:r>
        <w:rPr>
          <w:rFonts w:ascii="宋体" w:hAnsi="宋体" w:cs="宋体" w:eastAsia="宋体" w:hint="default"/>
          <w:sz w:val="18"/>
          <w:szCs w:val="18"/>
        </w:rPr>
      </w:r>
    </w:p>
    <w:p>
      <w:pPr>
        <w:spacing w:line="300" w:lineRule="auto" w:before="63"/>
        <w:ind w:left="104" w:right="0" w:firstLine="48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年，公司通过不断增强转型升级、创新引领的内在动力，坚持以客户需求为导向，牢牢抓住行业发展契 </w:t>
      </w:r>
      <w:r>
        <w:rPr>
          <w:rFonts w:ascii="宋体" w:hAnsi="宋体" w:cs="宋体" w:eastAsia="宋体" w:hint="default"/>
          <w:spacing w:val="-1"/>
          <w:sz w:val="18"/>
          <w:szCs w:val="18"/>
        </w:rPr>
        <w:t>机，不断优化产业结构，提升发展空间，促进行业与企业健康发展。万马股份荣获“</w:t>
      </w: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年中国线缆行业最具竞争</w:t>
      </w:r>
      <w:r>
        <w:rPr>
          <w:rFonts w:ascii="宋体" w:hAnsi="宋体" w:cs="宋体" w:eastAsia="宋体" w:hint="default"/>
          <w:spacing w:val="-54"/>
          <w:sz w:val="18"/>
          <w:szCs w:val="18"/>
        </w:rPr>
        <w:t> </w:t>
      </w:r>
      <w:r>
        <w:rPr>
          <w:rFonts w:ascii="宋体" w:hAnsi="宋体" w:cs="宋体" w:eastAsia="宋体" w:hint="default"/>
          <w:sz w:val="18"/>
          <w:szCs w:val="18"/>
        </w:rPr>
        <w:t>力</w:t>
      </w:r>
      <w:r>
        <w:rPr>
          <w:rFonts w:ascii="Times New Roman" w:hAnsi="Times New Roman" w:cs="Times New Roman" w:eastAsia="Times New Roman" w:hint="default"/>
          <w:sz w:val="18"/>
          <w:szCs w:val="18"/>
        </w:rPr>
        <w:t>10</w:t>
      </w:r>
      <w:r>
        <w:rPr>
          <w:rFonts w:ascii="宋体" w:hAnsi="宋体" w:cs="宋体" w:eastAsia="宋体" w:hint="default"/>
          <w:sz w:val="18"/>
          <w:szCs w:val="18"/>
        </w:rPr>
        <w:t>强”、“</w:t>
      </w:r>
      <w:r>
        <w:rPr>
          <w:rFonts w:ascii="Times New Roman" w:hAnsi="Times New Roman" w:cs="Times New Roman" w:eastAsia="Times New Roman" w:hint="default"/>
          <w:sz w:val="18"/>
          <w:szCs w:val="18"/>
        </w:rPr>
        <w:t>2019</w:t>
      </w:r>
      <w:r>
        <w:rPr>
          <w:rFonts w:ascii="宋体" w:hAnsi="宋体" w:cs="宋体" w:eastAsia="宋体" w:hint="default"/>
          <w:sz w:val="18"/>
          <w:szCs w:val="18"/>
        </w:rPr>
        <w:t>全球新能源企业</w:t>
      </w:r>
      <w:r>
        <w:rPr>
          <w:rFonts w:ascii="Times New Roman" w:hAnsi="Times New Roman" w:cs="Times New Roman" w:eastAsia="Times New Roman" w:hint="default"/>
          <w:sz w:val="18"/>
          <w:szCs w:val="18"/>
        </w:rPr>
        <w:t>500</w:t>
      </w:r>
      <w:r>
        <w:rPr>
          <w:rFonts w:ascii="宋体" w:hAnsi="宋体" w:cs="宋体" w:eastAsia="宋体" w:hint="default"/>
          <w:sz w:val="18"/>
          <w:szCs w:val="18"/>
        </w:rPr>
        <w:t>强”等称号，子公司万马高分子荣获“杭州市政府质量提名奖”的称号，得 到社会各界及专家的广泛认可。</w:t>
      </w:r>
    </w:p>
    <w:p>
      <w:pPr>
        <w:spacing w:line="316" w:lineRule="auto" w:before="31"/>
        <w:ind w:left="104" w:right="1370" w:firstLine="480"/>
        <w:jc w:val="left"/>
        <w:rPr>
          <w:rFonts w:ascii="宋体" w:hAnsi="宋体" w:cs="宋体" w:eastAsia="宋体" w:hint="default"/>
          <w:sz w:val="18"/>
          <w:szCs w:val="18"/>
        </w:rPr>
      </w:pPr>
      <w:r>
        <w:rPr>
          <w:rFonts w:ascii="宋体" w:hAnsi="宋体" w:cs="宋体" w:eastAsia="宋体" w:hint="default"/>
          <w:spacing w:val="-1"/>
          <w:sz w:val="18"/>
          <w:szCs w:val="18"/>
        </w:rPr>
        <w:t>以客户服务为中心。公司始终践行“以客户为中心”的管理理念，将客户需求放在首位，用过硬的产品质量、</w:t>
      </w:r>
      <w:r>
        <w:rPr>
          <w:rFonts w:ascii="宋体" w:hAnsi="宋体" w:cs="宋体" w:eastAsia="宋体" w:hint="default"/>
          <w:sz w:val="18"/>
          <w:szCs w:val="18"/>
        </w:rPr>
        <w:t> 专业的销售服务、真诚的售后服务赢得客户的肯定。公司举办经销商大会，给客户营造良好的经营环境，更好地服 务客户；同时号召全体员工始终秉承“正人、正事、正品”的核心价值观，真诚为客户服务。与供应商实现共赢。 公司尊重并保护供应商、客户的著作权、商标权、专利权等知识产权、商业机密，合理正当地使用相关方信息。</w:t>
      </w:r>
    </w:p>
    <w:p>
      <w:pPr>
        <w:spacing w:line="300" w:lineRule="auto" w:before="19"/>
        <w:ind w:left="584" w:right="1502" w:hanging="12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）为员工提供发挥个人价值的平台</w:t>
      </w:r>
      <w:r>
        <w:rPr>
          <w:rFonts w:ascii="宋体" w:hAnsi="宋体" w:cs="宋体" w:eastAsia="宋体" w:hint="default"/>
          <w:b/>
          <w:bCs/>
          <w:w w:val="99"/>
          <w:sz w:val="18"/>
          <w:szCs w:val="18"/>
        </w:rPr>
        <w:t> </w:t>
      </w:r>
      <w:r>
        <w:rPr>
          <w:rFonts w:ascii="宋体" w:hAnsi="宋体" w:cs="宋体" w:eastAsia="宋体" w:hint="default"/>
          <w:sz w:val="18"/>
          <w:szCs w:val="18"/>
        </w:rPr>
        <w:t>公司奉行“诚信为基，人力为本，德才兼备，唯才是举”的人才观，重视建设员工与企业和谐稳定的劳动关</w:t>
      </w:r>
    </w:p>
    <w:p>
      <w:pPr>
        <w:spacing w:line="316" w:lineRule="auto" w:before="31"/>
        <w:ind w:left="104" w:right="0" w:firstLine="0"/>
        <w:jc w:val="left"/>
        <w:rPr>
          <w:rFonts w:ascii="宋体" w:hAnsi="宋体" w:cs="宋体" w:eastAsia="宋体" w:hint="default"/>
          <w:sz w:val="18"/>
          <w:szCs w:val="18"/>
        </w:rPr>
      </w:pPr>
      <w:r>
        <w:rPr>
          <w:rFonts w:ascii="宋体" w:hAnsi="宋体" w:cs="宋体" w:eastAsia="宋体" w:hint="default"/>
          <w:sz w:val="18"/>
          <w:szCs w:val="18"/>
        </w:rPr>
        <w:t>系，依法与员工签订劳动合同，建立合理、公平的薪酬、考核、培训体系，充分调动员工的工作积极性，同时把最 大限度地发挥员工才能、实现员工的全面发展，作为公司重要课题，致力于公司价值最大化与个人价值最大化的和 谐统一，实现公司与员工共成长。公司持续为残疾人就业做出贡献。公司有三家福利企业，为众多残疾员工提供了 就业岗位，为社会福利事业贡献了自己的力量。公司关心困难员工生活，为了及时发现和解决他们的难处，公司工 </w:t>
      </w:r>
      <w:r>
        <w:rPr>
          <w:rFonts w:ascii="宋体" w:hAnsi="宋体" w:cs="宋体" w:eastAsia="宋体" w:hint="default"/>
          <w:spacing w:val="-3"/>
          <w:sz w:val="18"/>
          <w:szCs w:val="18"/>
        </w:rPr>
        <w:t>会每年对困难职工家庭情况进行深入细致的摸底调查，建立和完善了困难职工档案；同时积极为生病员工募集善款，</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解决其实际困难；“送温暖到岗、送温暖到家”每年公司都会组织高层管理人员对困难员工进行慰问活动。</w:t>
      </w:r>
    </w:p>
    <w:p>
      <w:pPr>
        <w:spacing w:line="300" w:lineRule="auto" w:before="19"/>
        <w:ind w:left="584" w:right="1502" w:hanging="58"/>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）保护环境，热心社会公益事业</w:t>
      </w:r>
      <w:r>
        <w:rPr>
          <w:rFonts w:ascii="宋体" w:hAnsi="宋体" w:cs="宋体" w:eastAsia="宋体" w:hint="default"/>
          <w:b/>
          <w:bCs/>
          <w:w w:val="99"/>
          <w:sz w:val="18"/>
          <w:szCs w:val="18"/>
        </w:rPr>
        <w:t> </w:t>
      </w:r>
      <w:r>
        <w:rPr>
          <w:rFonts w:ascii="宋体" w:hAnsi="宋体" w:cs="宋体" w:eastAsia="宋体" w:hint="default"/>
          <w:sz w:val="18"/>
          <w:szCs w:val="18"/>
        </w:rPr>
        <w:t>公司属于电线电缆制造业，生产过程有少量油污、废水、废气、固体废物、噪音、安全隐患、职业健康等环</w:t>
      </w:r>
    </w:p>
    <w:p>
      <w:pPr>
        <w:spacing w:line="309" w:lineRule="auto" w:before="31"/>
        <w:ind w:left="104" w:right="1473" w:firstLine="0"/>
        <w:jc w:val="both"/>
        <w:rPr>
          <w:rFonts w:ascii="宋体" w:hAnsi="宋体" w:cs="宋体" w:eastAsia="宋体" w:hint="default"/>
          <w:sz w:val="18"/>
          <w:szCs w:val="18"/>
        </w:rPr>
      </w:pPr>
      <w:r>
        <w:rPr>
          <w:rFonts w:ascii="宋体" w:hAnsi="宋体" w:cs="宋体" w:eastAsia="宋体" w:hint="default"/>
          <w:sz w:val="18"/>
          <w:szCs w:val="18"/>
        </w:rPr>
        <w:t>境影响因素。公司通过</w:t>
      </w:r>
      <w:r>
        <w:rPr>
          <w:rFonts w:ascii="Times New Roman" w:hAnsi="Times New Roman" w:cs="Times New Roman" w:eastAsia="Times New Roman" w:hint="default"/>
          <w:sz w:val="18"/>
          <w:szCs w:val="18"/>
        </w:rPr>
        <w:t>ISO14001</w:t>
      </w:r>
      <w:r>
        <w:rPr>
          <w:rFonts w:ascii="宋体" w:hAnsi="宋体" w:cs="宋体" w:eastAsia="宋体" w:hint="default"/>
          <w:sz w:val="18"/>
          <w:szCs w:val="18"/>
        </w:rPr>
        <w:t>体系认证，并通过了</w:t>
      </w:r>
      <w:r>
        <w:rPr>
          <w:rFonts w:ascii="Times New Roman" w:hAnsi="Times New Roman" w:cs="Times New Roman" w:eastAsia="Times New Roman" w:hint="default"/>
          <w:sz w:val="18"/>
          <w:szCs w:val="18"/>
        </w:rPr>
        <w:t>OHSAS18001</w:t>
      </w:r>
      <w:r>
        <w:rPr>
          <w:rFonts w:ascii="宋体" w:hAnsi="宋体" w:cs="宋体" w:eastAsia="宋体" w:hint="default"/>
          <w:sz w:val="18"/>
          <w:szCs w:val="18"/>
        </w:rPr>
        <w:t>职业健康安全管理体系认证，清洁生产通过审核 </w:t>
      </w:r>
      <w:r>
        <w:rPr>
          <w:rFonts w:ascii="宋体" w:hAnsi="宋体" w:cs="宋体" w:eastAsia="宋体" w:hint="default"/>
          <w:spacing w:val="-1"/>
          <w:sz w:val="18"/>
          <w:szCs w:val="18"/>
        </w:rPr>
        <w:t>验收，公司视环境保护、能源利用、安全生产、产品安全、公共卫生五方面为企业的生命线，采取了具有可操作性</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的控制措施。报告期内，公司未发生环境污染事故及环境违法事件。</w:t>
      </w:r>
    </w:p>
    <w:p>
      <w:pPr>
        <w:spacing w:line="316" w:lineRule="auto" w:before="24"/>
        <w:ind w:left="104" w:right="1382" w:firstLine="480"/>
        <w:jc w:val="both"/>
        <w:rPr>
          <w:rFonts w:ascii="宋体" w:hAnsi="宋体" w:cs="宋体" w:eastAsia="宋体" w:hint="default"/>
          <w:sz w:val="18"/>
          <w:szCs w:val="18"/>
        </w:rPr>
      </w:pPr>
      <w:r>
        <w:rPr>
          <w:rFonts w:ascii="宋体" w:hAnsi="宋体" w:cs="宋体" w:eastAsia="宋体" w:hint="default"/>
          <w:sz w:val="18"/>
          <w:szCs w:val="18"/>
        </w:rPr>
        <w:t>在社会公益方面，公司捐资临安春风行动项目，设立万马扶贫帮困基金、万马电缆博爱救助资金、哈工大万 </w:t>
      </w:r>
      <w:r>
        <w:rPr>
          <w:rFonts w:ascii="宋体" w:hAnsi="宋体" w:cs="宋体" w:eastAsia="宋体" w:hint="default"/>
          <w:spacing w:val="-3"/>
          <w:sz w:val="18"/>
          <w:szCs w:val="18"/>
        </w:rPr>
        <w:t>马助学金、捐资爱佑基金等，筑起爱心桥梁。公司党员经常到当地敬老院，开展“春风送暖，爱心送情”慰问活动。</w:t>
      </w:r>
    </w:p>
    <w:p>
      <w:pPr>
        <w:spacing w:line="312" w:lineRule="auto" w:before="19"/>
        <w:ind w:left="104" w:right="1471" w:firstLine="480"/>
        <w:jc w:val="both"/>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宋体" w:hAnsi="宋体" w:cs="宋体" w:eastAsia="宋体" w:hint="default"/>
          <w:sz w:val="18"/>
          <w:szCs w:val="18"/>
        </w:rPr>
        <w:t>年初，全国爆发新冠疫情，公司立即行动，组织全体员工进行核查登记，纪律严明，防控措施得力，未 </w:t>
      </w:r>
      <w:r>
        <w:rPr>
          <w:rFonts w:ascii="宋体" w:hAnsi="宋体" w:cs="宋体" w:eastAsia="宋体" w:hint="default"/>
          <w:spacing w:val="-1"/>
          <w:sz w:val="18"/>
          <w:szCs w:val="18"/>
        </w:rPr>
        <w:t>发生群体性感染事件。公司在做好内部防控工作的同时，还积极参与国家防控工作，在接到雷神山医院建设线缆需</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pacing w:val="-1"/>
          <w:sz w:val="18"/>
          <w:szCs w:val="18"/>
        </w:rPr>
        <w:t>求时，组织一切力量，加班加点，排除物流等困难，组织供货；为支持当地疫情防控工作，通过杭州市临安区慈善</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总会向临安区捐专款</w:t>
      </w:r>
      <w:r>
        <w:rPr>
          <w:rFonts w:ascii="Times New Roman" w:hAnsi="Times New Roman" w:cs="Times New Roman" w:eastAsia="Times New Roman" w:hint="default"/>
          <w:sz w:val="18"/>
          <w:szCs w:val="18"/>
        </w:rPr>
        <w:t>200</w:t>
      </w:r>
      <w:r>
        <w:rPr>
          <w:rFonts w:ascii="宋体" w:hAnsi="宋体" w:cs="宋体" w:eastAsia="宋体" w:hint="default"/>
          <w:sz w:val="18"/>
          <w:szCs w:val="18"/>
        </w:rPr>
        <w:t>万元。</w:t>
      </w:r>
    </w:p>
    <w:p>
      <w:pPr>
        <w:spacing w:line="240" w:lineRule="auto" w:before="5"/>
        <w:rPr>
          <w:rFonts w:ascii="宋体" w:hAnsi="宋体" w:cs="宋体" w:eastAsia="宋体" w:hint="default"/>
          <w:sz w:val="7"/>
          <w:szCs w:val="7"/>
        </w:rPr>
      </w:pPr>
    </w:p>
    <w:p>
      <w:pPr>
        <w:spacing w:line="2592" w:lineRule="exact"/>
        <w:ind w:left="587" w:right="0" w:firstLine="0"/>
        <w:rPr>
          <w:rFonts w:ascii="宋体" w:hAnsi="宋体" w:cs="宋体" w:eastAsia="宋体" w:hint="default"/>
          <w:sz w:val="20"/>
          <w:szCs w:val="20"/>
        </w:rPr>
      </w:pPr>
      <w:r>
        <w:rPr>
          <w:rFonts w:ascii="宋体" w:hAnsi="宋体" w:cs="宋体" w:eastAsia="宋体" w:hint="default"/>
          <w:position w:val="-51"/>
          <w:sz w:val="20"/>
          <w:szCs w:val="20"/>
        </w:rPr>
        <w:drawing>
          <wp:inline distT="0" distB="0" distL="0" distR="0">
            <wp:extent cx="4360776" cy="1645920"/>
            <wp:effectExtent l="0" t="0" r="0" b="0"/>
            <wp:docPr id="15" name="image12.jpeg" descr=""/>
            <wp:cNvGraphicFramePr>
              <a:graphicFrameLocks noChangeAspect="1"/>
            </wp:cNvGraphicFramePr>
            <a:graphic>
              <a:graphicData uri="http://schemas.openxmlformats.org/drawingml/2006/picture">
                <pic:pic>
                  <pic:nvPicPr>
                    <pic:cNvPr id="16" name="image12.jpeg"/>
                    <pic:cNvPicPr/>
                  </pic:nvPicPr>
                  <pic:blipFill>
                    <a:blip r:embed="rId29" cstate="print"/>
                    <a:stretch>
                      <a:fillRect/>
                    </a:stretch>
                  </pic:blipFill>
                  <pic:spPr>
                    <a:xfrm>
                      <a:off x="0" y="0"/>
                      <a:ext cx="4360776" cy="1645920"/>
                    </a:xfrm>
                    <a:prstGeom prst="rect">
                      <a:avLst/>
                    </a:prstGeom>
                  </pic:spPr>
                </pic:pic>
              </a:graphicData>
            </a:graphic>
          </wp:inline>
        </w:drawing>
      </w:r>
      <w:r>
        <w:rPr>
          <w:rFonts w:ascii="宋体" w:hAnsi="宋体" w:cs="宋体" w:eastAsia="宋体" w:hint="default"/>
          <w:position w:val="-51"/>
          <w:sz w:val="20"/>
          <w:szCs w:val="20"/>
        </w:rPr>
      </w:r>
    </w:p>
    <w:p>
      <w:pPr>
        <w:spacing w:after="0" w:line="2592" w:lineRule="exact"/>
        <w:rPr>
          <w:rFonts w:ascii="宋体" w:hAnsi="宋体" w:cs="宋体" w:eastAsia="宋体" w:hint="default"/>
          <w:sz w:val="20"/>
          <w:szCs w:val="20"/>
        </w:rPr>
        <w:sectPr>
          <w:pgSz w:w="11910" w:h="16840"/>
          <w:pgMar w:header="890" w:footer="1053" w:top="1420" w:bottom="1240" w:left="1340" w:right="0"/>
        </w:sectPr>
      </w:pPr>
    </w:p>
    <w:p>
      <w:pPr>
        <w:spacing w:line="316" w:lineRule="auto" w:before="66"/>
        <w:ind w:left="104" w:right="1471" w:firstLine="360"/>
        <w:jc w:val="both"/>
        <w:rPr>
          <w:rFonts w:ascii="宋体" w:hAnsi="宋体" w:cs="宋体" w:eastAsia="宋体" w:hint="default"/>
          <w:sz w:val="18"/>
          <w:szCs w:val="18"/>
        </w:rPr>
      </w:pPr>
      <w:r>
        <w:rPr>
          <w:rFonts w:ascii="宋体" w:hAnsi="宋体" w:cs="宋体" w:eastAsia="宋体" w:hint="default"/>
          <w:spacing w:val="-1"/>
          <w:sz w:val="18"/>
          <w:szCs w:val="18"/>
        </w:rPr>
        <w:t>作为上市公司，公司愿意持续积极履行社会责任，完善公司社会责任体系建设，在追求经济效益、保护股东权</w:t>
      </w:r>
      <w:r>
        <w:rPr>
          <w:rFonts w:ascii="宋体" w:hAnsi="宋体" w:cs="宋体" w:eastAsia="宋体" w:hint="default"/>
          <w:sz w:val="18"/>
          <w:szCs w:val="18"/>
        </w:rPr>
        <w:t> </w:t>
      </w:r>
      <w:r>
        <w:rPr>
          <w:rFonts w:ascii="宋体" w:hAnsi="宋体" w:cs="宋体" w:eastAsia="宋体" w:hint="default"/>
          <w:spacing w:val="-1"/>
          <w:sz w:val="18"/>
          <w:szCs w:val="18"/>
        </w:rPr>
        <w:t>利的同时，保护债权人、职工的合法权益，诚信对待供应商、客户；以“绿色能源传输专家、环保新材领跑者”为</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pacing w:val="-1"/>
          <w:sz w:val="18"/>
          <w:szCs w:val="18"/>
        </w:rPr>
        <w:t>愿景，大力布局新能源产业，助力低碳出行事业，促进企业与社会协调发展。以“为客户创造满意，为员工创造幸</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福，为社会创造价值”为使命，坚持科技创新，知行合一，走向成功。</w:t>
      </w:r>
    </w:p>
    <w:p>
      <w:pPr>
        <w:spacing w:line="240" w:lineRule="auto" w:before="8"/>
        <w:rPr>
          <w:rFonts w:ascii="宋体" w:hAnsi="宋体" w:cs="宋体" w:eastAsia="宋体" w:hint="default"/>
          <w:sz w:val="22"/>
          <w:szCs w:val="22"/>
        </w:rPr>
      </w:pPr>
    </w:p>
    <w:p>
      <w:pPr>
        <w:spacing w:before="0"/>
        <w:ind w:left="104" w:right="0" w:firstLine="0"/>
        <w:jc w:val="left"/>
        <w:rPr>
          <w:rFonts w:ascii="宋体" w:hAnsi="宋体" w:cs="宋体" w:eastAsia="宋体" w:hint="default"/>
          <w:sz w:val="21"/>
          <w:szCs w:val="21"/>
        </w:rPr>
      </w:pPr>
      <w:bookmarkStart w:name="2、履行精准扶贫社会责任情况" w:id="99"/>
      <w:bookmarkEnd w:id="9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04" w:right="0" w:firstLine="0"/>
        <w:jc w:val="left"/>
        <w:rPr>
          <w:rFonts w:ascii="宋体" w:hAnsi="宋体" w:cs="宋体" w:eastAsia="宋体" w:hint="default"/>
          <w:sz w:val="18"/>
          <w:szCs w:val="18"/>
        </w:rPr>
      </w:pPr>
      <w:r>
        <w:rPr>
          <w:rFonts w:ascii="宋体" w:hAnsi="宋体" w:cs="宋体" w:eastAsia="宋体" w:hint="default"/>
          <w:sz w:val="18"/>
          <w:szCs w:val="18"/>
        </w:rPr>
        <w:t>公司报告年度暂未开展精准扶贫工作，也暂无后续精准扶贫计划。</w:t>
      </w:r>
    </w:p>
    <w:p>
      <w:pPr>
        <w:spacing w:line="240" w:lineRule="auto" w:before="11"/>
        <w:rPr>
          <w:rFonts w:ascii="宋体" w:hAnsi="宋体" w:cs="宋体" w:eastAsia="宋体" w:hint="default"/>
          <w:sz w:val="26"/>
          <w:szCs w:val="26"/>
        </w:rPr>
      </w:pPr>
    </w:p>
    <w:p>
      <w:pPr>
        <w:spacing w:before="0"/>
        <w:ind w:left="104" w:right="0" w:firstLine="0"/>
        <w:jc w:val="left"/>
        <w:rPr>
          <w:rFonts w:ascii="宋体" w:hAnsi="宋体" w:cs="宋体" w:eastAsia="宋体" w:hint="default"/>
          <w:sz w:val="21"/>
          <w:szCs w:val="21"/>
        </w:rPr>
      </w:pPr>
      <w:bookmarkStart w:name="3、环境保护相关的情况" w:id="100"/>
      <w:bookmarkEnd w:id="100"/>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、环境保护相关的情况</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60" w:lineRule="auto" w:before="0"/>
        <w:ind w:left="104" w:right="5402"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w:t>
      </w:r>
    </w:p>
    <w:p>
      <w:pPr>
        <w:spacing w:before="27"/>
        <w:ind w:left="104" w:right="0" w:firstLine="0"/>
        <w:jc w:val="left"/>
        <w:rPr>
          <w:rFonts w:ascii="宋体" w:hAnsi="宋体" w:cs="宋体" w:eastAsia="宋体" w:hint="default"/>
          <w:sz w:val="18"/>
          <w:szCs w:val="18"/>
        </w:rPr>
      </w:pPr>
      <w:r>
        <w:rPr>
          <w:rFonts w:ascii="宋体" w:hAnsi="宋体" w:cs="宋体" w:eastAsia="宋体" w:hint="default"/>
          <w:sz w:val="18"/>
          <w:szCs w:val="18"/>
        </w:rPr>
        <w:t>公司及子公司不属于环境保护部门公布的重点排污单位。</w:t>
      </w:r>
    </w:p>
    <w:p>
      <w:pPr>
        <w:spacing w:line="240" w:lineRule="auto" w:before="1"/>
        <w:rPr>
          <w:rFonts w:ascii="宋体" w:hAnsi="宋体" w:cs="宋体" w:eastAsia="宋体" w:hint="default"/>
          <w:sz w:val="25"/>
          <w:szCs w:val="25"/>
        </w:rPr>
      </w:pPr>
    </w:p>
    <w:p>
      <w:pPr>
        <w:pStyle w:val="Heading2"/>
        <w:spacing w:line="240" w:lineRule="auto"/>
        <w:ind w:left="104" w:right="0"/>
        <w:jc w:val="left"/>
        <w:rPr>
          <w:b w:val="0"/>
          <w:bCs w:val="0"/>
        </w:rPr>
      </w:pPr>
      <w:bookmarkStart w:name="十九、其他重大事项的说明" w:id="101"/>
      <w:bookmarkEnd w:id="101"/>
      <w:r>
        <w:rPr>
          <w:b w:val="0"/>
          <w:bCs w:val="0"/>
        </w:rPr>
      </w:r>
      <w:r>
        <w:rPr/>
        <w:t>十九、其他重大事项的说明</w:t>
      </w:r>
      <w:r>
        <w:rPr>
          <w:b w:val="0"/>
          <w:bCs w:val="0"/>
        </w:rPr>
      </w:r>
    </w:p>
    <w:p>
      <w:pPr>
        <w:spacing w:line="240" w:lineRule="auto" w:before="6"/>
        <w:rPr>
          <w:rFonts w:ascii="宋体" w:hAnsi="宋体" w:cs="宋体" w:eastAsia="宋体" w:hint="default"/>
          <w:b/>
          <w:bCs/>
          <w:sz w:val="26"/>
          <w:szCs w:val="26"/>
        </w:rPr>
      </w:pPr>
    </w:p>
    <w:p>
      <w:pPr>
        <w:spacing w:before="0"/>
        <w:ind w:left="10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460" w:lineRule="atLeast" w:before="21"/>
        <w:ind w:left="524" w:right="0" w:firstLine="2"/>
        <w:jc w:val="left"/>
        <w:rPr>
          <w:rFonts w:ascii="宋体" w:hAnsi="宋体" w:cs="宋体" w:eastAsia="宋体" w:hint="default"/>
          <w:sz w:val="21"/>
          <w:szCs w:val="21"/>
        </w:rPr>
      </w:pPr>
      <w:r>
        <w:rPr>
          <w:rFonts w:ascii="宋体" w:hAnsi="宋体" w:cs="宋体" w:eastAsia="宋体" w:hint="default"/>
          <w:b/>
          <w:bCs/>
          <w:sz w:val="21"/>
          <w:szCs w:val="21"/>
        </w:rPr>
        <w:t>1.发行公司债券（不超过8亿元）获证监会核准</w:t>
      </w:r>
      <w:r>
        <w:rPr>
          <w:rFonts w:ascii="宋体" w:hAnsi="宋体" w:cs="宋体" w:eastAsia="宋体" w:hint="default"/>
          <w:b/>
          <w:bCs/>
          <w:w w:val="99"/>
          <w:sz w:val="21"/>
          <w:szCs w:val="21"/>
        </w:rPr>
        <w:t> </w:t>
      </w:r>
      <w:r>
        <w:rPr>
          <w:rFonts w:ascii="宋体" w:hAnsi="宋体" w:cs="宋体" w:eastAsia="宋体" w:hint="default"/>
          <w:spacing w:val="-1"/>
          <w:w w:val="95"/>
          <w:sz w:val="21"/>
          <w:szCs w:val="21"/>
        </w:rPr>
        <w:t>为拓宽融资渠道，优化公司债务结构，募集公司发展亟需的中长期资金，满足公司拓展主营业</w:t>
      </w:r>
      <w:r>
        <w:rPr>
          <w:rFonts w:ascii="宋体" w:hAnsi="宋体" w:cs="宋体" w:eastAsia="宋体" w:hint="default"/>
          <w:spacing w:val="-1"/>
          <w:sz w:val="21"/>
          <w:szCs w:val="21"/>
        </w:rPr>
      </w:r>
    </w:p>
    <w:p>
      <w:pPr>
        <w:spacing w:line="273" w:lineRule="auto" w:before="37"/>
        <w:ind w:left="104" w:right="1468" w:firstLine="0"/>
        <w:jc w:val="both"/>
        <w:rPr>
          <w:rFonts w:ascii="宋体" w:hAnsi="宋体" w:cs="宋体" w:eastAsia="宋体" w:hint="default"/>
          <w:sz w:val="21"/>
          <w:szCs w:val="21"/>
        </w:rPr>
      </w:pPr>
      <w:r>
        <w:rPr>
          <w:rFonts w:ascii="宋体" w:hAnsi="宋体" w:cs="宋体" w:eastAsia="宋体" w:hint="default"/>
          <w:spacing w:val="2"/>
          <w:w w:val="95"/>
          <w:sz w:val="21"/>
          <w:szCs w:val="21"/>
        </w:rPr>
        <w:t>务的资金需求，确保公司经营效益持续稳步增长，公司拟发行公司债券面值总额不超过人民币8亿</w:t>
      </w:r>
      <w:r>
        <w:rPr>
          <w:rFonts w:ascii="宋体" w:hAnsi="宋体" w:cs="宋体" w:eastAsia="宋体" w:hint="default"/>
          <w:spacing w:val="6"/>
          <w:w w:val="95"/>
          <w:sz w:val="21"/>
          <w:szCs w:val="21"/>
        </w:rPr>
        <w:t> </w:t>
      </w:r>
      <w:r>
        <w:rPr>
          <w:rFonts w:ascii="宋体" w:hAnsi="宋体" w:cs="宋体" w:eastAsia="宋体" w:hint="default"/>
          <w:spacing w:val="6"/>
          <w:w w:val="95"/>
          <w:sz w:val="21"/>
          <w:szCs w:val="21"/>
        </w:rPr>
      </w:r>
      <w:r>
        <w:rPr>
          <w:rFonts w:ascii="宋体" w:hAnsi="宋体" w:cs="宋体" w:eastAsia="宋体" w:hint="default"/>
          <w:spacing w:val="-5"/>
          <w:w w:val="95"/>
          <w:sz w:val="21"/>
          <w:szCs w:val="21"/>
        </w:rPr>
        <w:t>元（含8亿元）。详见2019年5月16日巨潮资讯网公司《第四届董事会第三十一次会议决议公告》（公</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w w:val="95"/>
          <w:sz w:val="21"/>
          <w:szCs w:val="21"/>
        </w:rPr>
        <w:t>告编号：2019-027）等。2019年12月，公司收到中国证监会印发的《关于核准浙江万马股份有限公</w:t>
      </w:r>
      <w:r>
        <w:rPr>
          <w:rFonts w:ascii="宋体" w:hAnsi="宋体" w:cs="宋体" w:eastAsia="宋体" w:hint="default"/>
          <w:spacing w:val="87"/>
          <w:w w:val="95"/>
          <w:sz w:val="21"/>
          <w:szCs w:val="21"/>
        </w:rPr>
        <w:t> </w:t>
      </w:r>
      <w:r>
        <w:rPr>
          <w:rFonts w:ascii="宋体" w:hAnsi="宋体" w:cs="宋体" w:eastAsia="宋体" w:hint="default"/>
          <w:spacing w:val="87"/>
          <w:w w:val="95"/>
          <w:sz w:val="21"/>
          <w:szCs w:val="21"/>
        </w:rPr>
      </w:r>
      <w:r>
        <w:rPr>
          <w:rFonts w:ascii="宋体" w:hAnsi="宋体" w:cs="宋体" w:eastAsia="宋体" w:hint="default"/>
          <w:w w:val="95"/>
          <w:sz w:val="21"/>
          <w:szCs w:val="21"/>
        </w:rPr>
        <w:t>司向合格投资者公开发行公司债券的批复》（证监许可〔2019〕2809号），核准公司向合格投资者</w:t>
      </w:r>
      <w:r>
        <w:rPr>
          <w:rFonts w:ascii="宋体" w:hAnsi="宋体" w:cs="宋体" w:eastAsia="宋体" w:hint="default"/>
          <w:spacing w:val="93"/>
          <w:w w:val="95"/>
          <w:sz w:val="21"/>
          <w:szCs w:val="21"/>
        </w:rPr>
        <w:t> </w:t>
      </w:r>
      <w:r>
        <w:rPr>
          <w:rFonts w:ascii="宋体" w:hAnsi="宋体" w:cs="宋体" w:eastAsia="宋体" w:hint="default"/>
          <w:spacing w:val="93"/>
          <w:w w:val="95"/>
          <w:sz w:val="21"/>
          <w:szCs w:val="21"/>
        </w:rPr>
      </w:r>
      <w:r>
        <w:rPr>
          <w:rFonts w:ascii="宋体" w:hAnsi="宋体" w:cs="宋体" w:eastAsia="宋体" w:hint="default"/>
          <w:sz w:val="21"/>
          <w:szCs w:val="21"/>
        </w:rPr>
        <w:t>公开发行面值总额不超过</w:t>
      </w:r>
      <w:r>
        <w:rPr>
          <w:rFonts w:ascii="宋体" w:hAnsi="宋体" w:cs="宋体" w:eastAsia="宋体" w:hint="default"/>
          <w:spacing w:val="25"/>
          <w:sz w:val="21"/>
          <w:szCs w:val="21"/>
        </w:rPr>
        <w:t> </w:t>
      </w:r>
      <w:r>
        <w:rPr>
          <w:rFonts w:ascii="宋体" w:hAnsi="宋体" w:cs="宋体" w:eastAsia="宋体" w:hint="default"/>
          <w:sz w:val="21"/>
          <w:szCs w:val="21"/>
        </w:rPr>
        <w:t>8</w:t>
      </w:r>
      <w:r>
        <w:rPr>
          <w:rFonts w:ascii="宋体" w:hAnsi="宋体" w:cs="宋体" w:eastAsia="宋体" w:hint="default"/>
          <w:spacing w:val="20"/>
          <w:sz w:val="21"/>
          <w:szCs w:val="21"/>
        </w:rPr>
        <w:t> </w:t>
      </w:r>
      <w:r>
        <w:rPr>
          <w:rFonts w:ascii="宋体" w:hAnsi="宋体" w:cs="宋体" w:eastAsia="宋体" w:hint="default"/>
          <w:sz w:val="21"/>
          <w:szCs w:val="21"/>
        </w:rPr>
        <w:t>亿元的公司债券。详见2019年12月26日巨潮资讯网公司《关于获得中</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国证监会核准向合格投资者公开发行公司债券批复的公告》（公告编号：2019-065）。</w:t>
      </w:r>
    </w:p>
    <w:p>
      <w:pPr>
        <w:spacing w:line="468" w:lineRule="exact" w:before="34"/>
        <w:ind w:left="524" w:right="1468" w:firstLine="2"/>
        <w:jc w:val="left"/>
        <w:rPr>
          <w:rFonts w:ascii="宋体" w:hAnsi="宋体" w:cs="宋体" w:eastAsia="宋体" w:hint="default"/>
          <w:sz w:val="21"/>
          <w:szCs w:val="21"/>
        </w:rPr>
      </w:pPr>
      <w:r>
        <w:rPr>
          <w:rFonts w:ascii="宋体" w:hAnsi="宋体" w:cs="宋体" w:eastAsia="宋体" w:hint="default"/>
          <w:b/>
          <w:bCs/>
          <w:sz w:val="21"/>
          <w:szCs w:val="21"/>
        </w:rPr>
        <w:t>2.“14万马01”债券如期兑付</w:t>
      </w:r>
      <w:r>
        <w:rPr>
          <w:rFonts w:ascii="宋体" w:hAnsi="宋体" w:cs="宋体" w:eastAsia="宋体" w:hint="default"/>
          <w:b/>
          <w:bCs/>
          <w:w w:val="99"/>
          <w:sz w:val="21"/>
          <w:szCs w:val="21"/>
        </w:rPr>
        <w:t> </w:t>
      </w:r>
      <w:r>
        <w:rPr>
          <w:rFonts w:ascii="宋体" w:hAnsi="宋体" w:cs="宋体" w:eastAsia="宋体" w:hint="default"/>
          <w:sz w:val="21"/>
          <w:szCs w:val="21"/>
        </w:rPr>
        <w:t>公司于2014年7月23日发行2014年公司债券（第一期）（简称“14 万马</w:t>
      </w:r>
      <w:r>
        <w:rPr>
          <w:rFonts w:ascii="宋体" w:hAnsi="宋体" w:cs="宋体" w:eastAsia="宋体" w:hint="default"/>
          <w:spacing w:val="49"/>
          <w:sz w:val="21"/>
          <w:szCs w:val="21"/>
        </w:rPr>
        <w:t> </w:t>
      </w:r>
      <w:r>
        <w:rPr>
          <w:rFonts w:ascii="宋体" w:hAnsi="宋体" w:cs="宋体" w:eastAsia="宋体" w:hint="default"/>
          <w:sz w:val="21"/>
          <w:szCs w:val="21"/>
        </w:rPr>
        <w:t>01”）。根据《公司</w:t>
      </w:r>
    </w:p>
    <w:p>
      <w:pPr>
        <w:spacing w:line="248" w:lineRule="exact" w:before="0"/>
        <w:ind w:left="104" w:right="0" w:firstLine="0"/>
        <w:jc w:val="left"/>
        <w:rPr>
          <w:rFonts w:ascii="宋体" w:hAnsi="宋体" w:cs="宋体" w:eastAsia="宋体" w:hint="default"/>
          <w:sz w:val="21"/>
          <w:szCs w:val="21"/>
        </w:rPr>
      </w:pPr>
      <w:r>
        <w:rPr>
          <w:rFonts w:ascii="宋体" w:hAnsi="宋体" w:cs="宋体" w:eastAsia="宋体" w:hint="default"/>
          <w:spacing w:val="-3"/>
          <w:sz w:val="21"/>
          <w:szCs w:val="21"/>
        </w:rPr>
        <w:t>公开发行公司债券募集说明书》和《公司2014年公司债券（第一期）上市公告书》有关条款的规定，</w:t>
      </w:r>
    </w:p>
    <w:p>
      <w:pPr>
        <w:spacing w:before="37"/>
        <w:ind w:left="104" w:right="0" w:firstLine="0"/>
        <w:jc w:val="left"/>
        <w:rPr>
          <w:rFonts w:ascii="宋体" w:hAnsi="宋体" w:cs="宋体" w:eastAsia="宋体" w:hint="default"/>
          <w:sz w:val="21"/>
          <w:szCs w:val="21"/>
        </w:rPr>
      </w:pPr>
      <w:r>
        <w:rPr>
          <w:rFonts w:ascii="宋体" w:hAnsi="宋体" w:cs="宋体" w:eastAsia="宋体" w:hint="default"/>
          <w:spacing w:val="-3"/>
          <w:sz w:val="21"/>
          <w:szCs w:val="21"/>
        </w:rPr>
        <w:t>14万马01于2019年7月23日到期如期兑付本息并摘牌。详见2019年7月17日巨潮资讯网《“14万马01”</w:t>
      </w:r>
    </w:p>
    <w:p>
      <w:pPr>
        <w:spacing w:before="37"/>
        <w:ind w:left="104" w:right="0" w:firstLine="0"/>
        <w:jc w:val="left"/>
        <w:rPr>
          <w:rFonts w:ascii="宋体" w:hAnsi="宋体" w:cs="宋体" w:eastAsia="宋体" w:hint="default"/>
          <w:sz w:val="21"/>
          <w:szCs w:val="21"/>
        </w:rPr>
      </w:pPr>
      <w:r>
        <w:rPr>
          <w:rFonts w:ascii="宋体" w:hAnsi="宋体" w:cs="宋体" w:eastAsia="宋体" w:hint="default"/>
          <w:sz w:val="21"/>
          <w:szCs w:val="21"/>
        </w:rPr>
        <w:t>2019年本息兑付暨摘牌公告》（公告编号：2019-040）。</w:t>
      </w:r>
    </w:p>
    <w:p>
      <w:pPr>
        <w:spacing w:line="240" w:lineRule="auto" w:before="0"/>
        <w:rPr>
          <w:rFonts w:ascii="宋体" w:hAnsi="宋体" w:cs="宋体" w:eastAsia="宋体" w:hint="default"/>
          <w:sz w:val="24"/>
          <w:szCs w:val="24"/>
        </w:rPr>
      </w:pPr>
    </w:p>
    <w:p>
      <w:pPr>
        <w:pStyle w:val="Heading2"/>
        <w:spacing w:line="240" w:lineRule="auto"/>
        <w:ind w:left="104" w:right="0"/>
        <w:jc w:val="left"/>
        <w:rPr>
          <w:b w:val="0"/>
          <w:bCs w:val="0"/>
        </w:rPr>
      </w:pPr>
      <w:bookmarkStart w:name="二十、公司子公司重大事项" w:id="102"/>
      <w:bookmarkEnd w:id="102"/>
      <w:r>
        <w:rPr>
          <w:b w:val="0"/>
          <w:bCs w:val="0"/>
        </w:rPr>
      </w:r>
      <w:r>
        <w:rPr/>
        <w:t>二十、公司子公司重大事项</w:t>
      </w:r>
      <w:r>
        <w:rPr>
          <w:b w:val="0"/>
          <w:bCs w:val="0"/>
        </w:rPr>
      </w:r>
    </w:p>
    <w:p>
      <w:pPr>
        <w:spacing w:line="240" w:lineRule="auto" w:before="9"/>
        <w:rPr>
          <w:rFonts w:ascii="宋体" w:hAnsi="宋体" w:cs="宋体" w:eastAsia="宋体" w:hint="default"/>
          <w:b/>
          <w:bCs/>
          <w:sz w:val="26"/>
          <w:szCs w:val="26"/>
        </w:rPr>
      </w:pPr>
    </w:p>
    <w:p>
      <w:pPr>
        <w:spacing w:before="0"/>
        <w:ind w:left="10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470" w:lineRule="atLeast" w:before="12"/>
        <w:ind w:left="524" w:right="0" w:firstLine="2"/>
        <w:jc w:val="left"/>
        <w:rPr>
          <w:rFonts w:ascii="宋体" w:hAnsi="宋体" w:cs="宋体" w:eastAsia="宋体" w:hint="default"/>
          <w:sz w:val="21"/>
          <w:szCs w:val="21"/>
        </w:rPr>
      </w:pPr>
      <w:r>
        <w:rPr>
          <w:rFonts w:ascii="宋体" w:hAnsi="宋体" w:cs="宋体" w:eastAsia="宋体" w:hint="default"/>
          <w:b/>
          <w:bCs/>
          <w:sz w:val="21"/>
          <w:szCs w:val="21"/>
        </w:rPr>
        <w:t>1.成立新能源产业集团</w:t>
      </w:r>
      <w:r>
        <w:rPr>
          <w:rFonts w:ascii="宋体" w:hAnsi="宋体" w:cs="宋体" w:eastAsia="宋体" w:hint="default"/>
          <w:b/>
          <w:bCs/>
          <w:w w:val="99"/>
          <w:sz w:val="21"/>
          <w:szCs w:val="21"/>
        </w:rPr>
        <w:t> </w:t>
      </w:r>
      <w:r>
        <w:rPr>
          <w:rFonts w:ascii="宋体" w:hAnsi="宋体" w:cs="宋体" w:eastAsia="宋体" w:hint="default"/>
          <w:spacing w:val="-1"/>
          <w:w w:val="95"/>
          <w:sz w:val="21"/>
          <w:szCs w:val="21"/>
        </w:rPr>
        <w:t>为公司战略发展需要，子公司“浙江万马奔腾新能源产业有限公司”更名为“万马奔腾新能源</w:t>
      </w:r>
      <w:r>
        <w:rPr>
          <w:rFonts w:ascii="宋体" w:hAnsi="宋体" w:cs="宋体" w:eastAsia="宋体" w:hint="default"/>
          <w:spacing w:val="-1"/>
          <w:sz w:val="21"/>
          <w:szCs w:val="21"/>
        </w:rPr>
      </w:r>
    </w:p>
    <w:p>
      <w:pPr>
        <w:spacing w:line="273" w:lineRule="auto" w:before="37"/>
        <w:ind w:left="104" w:right="0" w:firstLine="0"/>
        <w:jc w:val="left"/>
        <w:rPr>
          <w:rFonts w:ascii="宋体" w:hAnsi="宋体" w:cs="宋体" w:eastAsia="宋体" w:hint="default"/>
          <w:sz w:val="21"/>
          <w:szCs w:val="21"/>
        </w:rPr>
      </w:pPr>
      <w:r>
        <w:rPr>
          <w:rFonts w:ascii="宋体" w:hAnsi="宋体" w:cs="宋体" w:eastAsia="宋体" w:hint="default"/>
          <w:spacing w:val="-3"/>
          <w:w w:val="95"/>
          <w:sz w:val="21"/>
          <w:szCs w:val="21"/>
        </w:rPr>
        <w:t>产业集团有限公司”(以下简称“奔腾新能源产业集团”），并于2019年6月26日领取新的营业执照，</w:t>
      </w:r>
      <w:r>
        <w:rPr>
          <w:rFonts w:ascii="宋体" w:hAnsi="宋体" w:cs="宋体" w:eastAsia="宋体" w:hint="default"/>
          <w:spacing w:val="48"/>
          <w:w w:val="95"/>
          <w:sz w:val="21"/>
          <w:szCs w:val="21"/>
        </w:rPr>
        <w:t> </w:t>
      </w:r>
      <w:r>
        <w:rPr>
          <w:rFonts w:ascii="宋体" w:hAnsi="宋体" w:cs="宋体" w:eastAsia="宋体" w:hint="default"/>
          <w:spacing w:val="48"/>
          <w:w w:val="95"/>
          <w:sz w:val="21"/>
          <w:szCs w:val="21"/>
        </w:rPr>
      </w:r>
      <w:r>
        <w:rPr>
          <w:rFonts w:ascii="宋体" w:hAnsi="宋体" w:cs="宋体" w:eastAsia="宋体" w:hint="default"/>
          <w:sz w:val="21"/>
          <w:szCs w:val="21"/>
        </w:rPr>
        <w:t>其他注册内容不变。奔腾新能源产业集团下属子公司包括：万马联合新能源投资有限公司、浙江爱</w:t>
      </w:r>
      <w:r>
        <w:rPr>
          <w:rFonts w:ascii="宋体" w:hAnsi="宋体" w:cs="宋体" w:eastAsia="宋体" w:hint="default"/>
          <w:w w:val="99"/>
          <w:sz w:val="21"/>
          <w:szCs w:val="21"/>
        </w:rPr>
        <w:t> </w:t>
      </w:r>
      <w:r>
        <w:rPr>
          <w:rFonts w:ascii="宋体" w:hAnsi="宋体" w:cs="宋体" w:eastAsia="宋体" w:hint="default"/>
          <w:sz w:val="21"/>
          <w:szCs w:val="21"/>
        </w:rPr>
        <w:t>充网络科技有限公司、浙江万马新能源有限公司、浙江万马光伏有限公司等。</w:t>
      </w:r>
    </w:p>
    <w:p>
      <w:pPr>
        <w:spacing w:after="0" w:line="273" w:lineRule="auto"/>
        <w:jc w:val="left"/>
        <w:rPr>
          <w:rFonts w:ascii="宋体" w:hAnsi="宋体" w:cs="宋体" w:eastAsia="宋体" w:hint="default"/>
          <w:sz w:val="21"/>
          <w:szCs w:val="21"/>
        </w:rPr>
        <w:sectPr>
          <w:headerReference w:type="default" r:id="rId30"/>
          <w:pgSz w:w="11910" w:h="16840"/>
          <w:pgMar w:header="890" w:footer="1053" w:top="1420" w:bottom="1240" w:left="1340" w:right="0"/>
        </w:sectPr>
      </w:pPr>
    </w:p>
    <w:p>
      <w:pPr>
        <w:spacing w:before="43"/>
        <w:ind w:left="527" w:right="0" w:firstLine="0"/>
        <w:jc w:val="left"/>
        <w:rPr>
          <w:rFonts w:ascii="宋体" w:hAnsi="宋体" w:cs="宋体" w:eastAsia="宋体" w:hint="default"/>
          <w:sz w:val="21"/>
          <w:szCs w:val="21"/>
        </w:rPr>
      </w:pPr>
      <w:r>
        <w:rPr>
          <w:rFonts w:ascii="宋体" w:hAnsi="宋体" w:cs="宋体" w:eastAsia="宋体" w:hint="default"/>
          <w:b/>
          <w:bCs/>
          <w:sz w:val="21"/>
          <w:szCs w:val="21"/>
        </w:rPr>
        <w:t>2.成立高分子材料集团</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line="273" w:lineRule="auto" w:before="0"/>
        <w:ind w:left="104" w:right="0" w:firstLine="420"/>
        <w:jc w:val="left"/>
        <w:rPr>
          <w:rFonts w:ascii="宋体" w:hAnsi="宋体" w:cs="宋体" w:eastAsia="宋体" w:hint="default"/>
          <w:sz w:val="21"/>
          <w:szCs w:val="21"/>
        </w:rPr>
      </w:pPr>
      <w:r>
        <w:rPr>
          <w:rFonts w:ascii="宋体" w:hAnsi="宋体" w:cs="宋体" w:eastAsia="宋体" w:hint="default"/>
          <w:spacing w:val="-1"/>
          <w:w w:val="95"/>
          <w:sz w:val="21"/>
          <w:szCs w:val="21"/>
        </w:rPr>
        <w:t>基于公司战略发展需要，整合新材料板块资源，凝聚合力，子公司浙江万马高分子材料有限公</w:t>
      </w:r>
      <w:r>
        <w:rPr>
          <w:rFonts w:ascii="宋体" w:hAnsi="宋体" w:cs="宋体" w:eastAsia="宋体" w:hint="default"/>
          <w:w w:val="99"/>
          <w:sz w:val="21"/>
          <w:szCs w:val="21"/>
        </w:rPr>
        <w:t> </w:t>
      </w:r>
      <w:r>
        <w:rPr>
          <w:rFonts w:ascii="宋体" w:hAnsi="宋体" w:cs="宋体" w:eastAsia="宋体" w:hint="default"/>
          <w:sz w:val="21"/>
          <w:szCs w:val="21"/>
        </w:rPr>
        <w:t>司更名为“浙江万马高分子材料集团有限公司”（以下简称“万马高分子集团”），并于 2019</w:t>
      </w:r>
      <w:r>
        <w:rPr>
          <w:rFonts w:ascii="宋体" w:hAnsi="宋体" w:cs="宋体" w:eastAsia="宋体" w:hint="default"/>
          <w:spacing w:val="-57"/>
          <w:sz w:val="21"/>
          <w:szCs w:val="21"/>
        </w:rPr>
        <w:t> </w:t>
      </w:r>
      <w:r>
        <w:rPr>
          <w:rFonts w:ascii="宋体" w:hAnsi="宋体" w:cs="宋体" w:eastAsia="宋体" w:hint="default"/>
          <w:sz w:val="21"/>
          <w:szCs w:val="21"/>
        </w:rPr>
        <w:t>年</w:t>
      </w:r>
    </w:p>
    <w:p>
      <w:pPr>
        <w:spacing w:line="273" w:lineRule="auto" w:before="7"/>
        <w:ind w:left="104" w:right="1430" w:firstLine="0"/>
        <w:jc w:val="both"/>
        <w:rPr>
          <w:rFonts w:ascii="宋体" w:hAnsi="宋体" w:cs="宋体" w:eastAsia="宋体" w:hint="default"/>
          <w:sz w:val="21"/>
          <w:szCs w:val="21"/>
        </w:rPr>
      </w:pPr>
      <w:r>
        <w:rPr>
          <w:rFonts w:ascii="宋体" w:hAnsi="宋体" w:cs="宋体" w:eastAsia="宋体" w:hint="default"/>
          <w:sz w:val="21"/>
          <w:szCs w:val="21"/>
        </w:rPr>
        <w:t>8 月</w:t>
      </w:r>
      <w:r>
        <w:rPr>
          <w:rFonts w:ascii="宋体" w:hAnsi="宋体" w:cs="宋体" w:eastAsia="宋体" w:hint="default"/>
          <w:spacing w:val="-49"/>
          <w:sz w:val="21"/>
          <w:szCs w:val="21"/>
        </w:rPr>
        <w:t> </w:t>
      </w:r>
      <w:r>
        <w:rPr>
          <w:rFonts w:ascii="宋体" w:hAnsi="宋体" w:cs="宋体" w:eastAsia="宋体" w:hint="default"/>
          <w:sz w:val="21"/>
          <w:szCs w:val="21"/>
        </w:rPr>
        <w:t>7日申领到了新的营业执照。万马高分子集团下属子公司包括：浙江万马聚力新材料科技有限</w:t>
      </w:r>
      <w:r>
        <w:rPr>
          <w:rFonts w:ascii="宋体" w:hAnsi="宋体" w:cs="宋体" w:eastAsia="宋体" w:hint="default"/>
          <w:w w:val="99"/>
          <w:sz w:val="21"/>
          <w:szCs w:val="21"/>
        </w:rPr>
        <w:t> </w:t>
      </w:r>
      <w:r>
        <w:rPr>
          <w:rFonts w:ascii="宋体" w:hAnsi="宋体" w:cs="宋体" w:eastAsia="宋体" w:hint="default"/>
          <w:w w:val="95"/>
          <w:sz w:val="21"/>
          <w:szCs w:val="21"/>
        </w:rPr>
        <w:t>公司、四川万马高分子材料有限公司、清远万马新材料有限公司。万马高分子集团今后将进行集团</w:t>
      </w:r>
      <w:r>
        <w:rPr>
          <w:rFonts w:ascii="宋体" w:hAnsi="宋体" w:cs="宋体" w:eastAsia="宋体" w:hint="default"/>
          <w:spacing w:val="88"/>
          <w:w w:val="95"/>
          <w:sz w:val="21"/>
          <w:szCs w:val="21"/>
        </w:rPr>
        <w:t> </w:t>
      </w:r>
      <w:r>
        <w:rPr>
          <w:rFonts w:ascii="宋体" w:hAnsi="宋体" w:cs="宋体" w:eastAsia="宋体" w:hint="default"/>
          <w:spacing w:val="88"/>
          <w:w w:val="95"/>
          <w:sz w:val="21"/>
          <w:szCs w:val="21"/>
        </w:rPr>
      </w:r>
      <w:r>
        <w:rPr>
          <w:rFonts w:ascii="宋体" w:hAnsi="宋体" w:cs="宋体" w:eastAsia="宋体" w:hint="default"/>
          <w:w w:val="95"/>
          <w:sz w:val="21"/>
          <w:szCs w:val="21"/>
        </w:rPr>
        <w:t>的平台化管理，致力于高分子主业的发展和技术研发，并对材料领域和高科技项目进行持续投资。</w:t>
      </w:r>
      <w:r>
        <w:rPr>
          <w:rFonts w:ascii="宋体" w:hAnsi="宋体" w:cs="宋体" w:eastAsia="宋体" w:hint="default"/>
          <w:sz w:val="21"/>
          <w:szCs w:val="21"/>
        </w:rPr>
      </w:r>
    </w:p>
    <w:p>
      <w:pPr>
        <w:spacing w:after="0" w:line="273" w:lineRule="auto"/>
        <w:jc w:val="both"/>
        <w:rPr>
          <w:rFonts w:ascii="宋体" w:hAnsi="宋体" w:cs="宋体" w:eastAsia="宋体" w:hint="default"/>
          <w:sz w:val="21"/>
          <w:szCs w:val="21"/>
        </w:rPr>
        <w:sectPr>
          <w:headerReference w:type="default" r:id="rId31"/>
          <w:pgSz w:w="11910" w:h="16840"/>
          <w:pgMar w:header="890" w:footer="1053" w:top="1420" w:bottom="1240" w:left="134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Heading1"/>
        <w:spacing w:line="240" w:lineRule="auto"/>
        <w:ind w:left="3027" w:right="1164"/>
        <w:jc w:val="left"/>
        <w:rPr>
          <w:b w:val="0"/>
          <w:bCs w:val="0"/>
        </w:rPr>
      </w:pPr>
      <w:bookmarkStart w:name="第六节股份变动及股东情况" w:id="103"/>
      <w:bookmarkEnd w:id="103"/>
      <w:r>
        <w:rPr>
          <w:b w:val="0"/>
          <w:bCs w:val="0"/>
        </w:rPr>
      </w:r>
      <w:bookmarkStart w:name="_bookmark5" w:id="104"/>
      <w:bookmarkEnd w:id="104"/>
      <w:r>
        <w:rPr>
          <w:b w:val="0"/>
          <w:bCs w:val="0"/>
        </w:rPr>
      </w:r>
      <w:r>
        <w:rPr/>
        <w:t>第六节股份变动及股东情况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1164"/>
        <w:jc w:val="left"/>
        <w:rPr>
          <w:b w:val="0"/>
          <w:bCs w:val="0"/>
        </w:rPr>
      </w:pPr>
      <w:bookmarkStart w:name="一、股份变动情况" w:id="105"/>
      <w:bookmarkEnd w:id="105"/>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股份变动情况" w:id="106"/>
      <w:bookmarkEnd w:id="106"/>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、股份变动情况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227"/>
        <w:gridCol w:w="823"/>
        <w:gridCol w:w="823"/>
        <w:gridCol w:w="823"/>
        <w:gridCol w:w="822"/>
        <w:gridCol w:w="822"/>
        <w:gridCol w:w="822"/>
        <w:gridCol w:w="822"/>
        <w:gridCol w:w="794"/>
        <w:gridCol w:w="794"/>
      </w:tblGrid>
      <w:tr>
        <w:trPr>
          <w:trHeight w:val="332" w:hRule="exact"/>
        </w:trPr>
        <w:tc>
          <w:tcPr>
            <w:tcW w:w="2227" w:type="dxa"/>
            <w:vMerge w:val="restart"/>
            <w:tcBorders>
              <w:top w:val="single" w:sz="12" w:space="0" w:color="000000"/>
              <w:left w:val="single" w:sz="12" w:space="0" w:color="000000"/>
              <w:right w:val="single" w:sz="4" w:space="0" w:color="000000"/>
            </w:tcBorders>
            <w:shd w:val="clear" w:color="auto" w:fill="D2D2D2"/>
          </w:tcPr>
          <w:p>
            <w:pPr/>
          </w:p>
        </w:tc>
        <w:tc>
          <w:tcPr>
            <w:tcW w:w="1646" w:type="dxa"/>
            <w:gridSpan w:val="2"/>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36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1" w:type="dxa"/>
            <w:gridSpan w:val="5"/>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6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8" w:type="dxa"/>
            <w:gridSpan w:val="2"/>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634" w:hRule="exact"/>
        </w:trPr>
        <w:tc>
          <w:tcPr>
            <w:tcW w:w="2227" w:type="dxa"/>
            <w:vMerge/>
            <w:tcBorders>
              <w:left w:val="single" w:sz="12" w:space="0" w:color="000000"/>
              <w:bottom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316" w:right="135"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26" w:right="135"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634" w:hRule="exact"/>
        </w:trPr>
        <w:tc>
          <w:tcPr>
            <w:tcW w:w="222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69" w:right="0"/>
              <w:jc w:val="left"/>
              <w:rPr>
                <w:rFonts w:ascii="Times New Roman" w:hAnsi="Times New Roman" w:cs="Times New Roman" w:eastAsia="Times New Roman" w:hint="default"/>
                <w:sz w:val="18"/>
                <w:szCs w:val="18"/>
              </w:rPr>
            </w:pPr>
            <w:r>
              <w:rPr>
                <w:rFonts w:ascii="Times New Roman"/>
                <w:sz w:val="18"/>
              </w:rPr>
              <w:t>1,458,0</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70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0.14%</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166,405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166,405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41" w:right="0"/>
              <w:jc w:val="left"/>
              <w:rPr>
                <w:rFonts w:ascii="Times New Roman" w:hAnsi="Times New Roman" w:cs="Times New Roman" w:eastAsia="Times New Roman" w:hint="default"/>
                <w:sz w:val="18"/>
                <w:szCs w:val="18"/>
              </w:rPr>
            </w:pPr>
            <w:r>
              <w:rPr>
                <w:rFonts w:ascii="Times New Roman"/>
                <w:sz w:val="18"/>
              </w:rPr>
              <w:t>1,624,4</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sz w:val="18"/>
              </w:rPr>
              <w:t>75</w:t>
            </w:r>
          </w:p>
        </w:tc>
        <w:tc>
          <w:tcPr>
            <w:tcW w:w="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0.16%</w:t>
            </w:r>
          </w:p>
        </w:tc>
      </w:tr>
      <w:tr>
        <w:trPr>
          <w:trHeight w:val="634" w:hRule="exact"/>
        </w:trPr>
        <w:tc>
          <w:tcPr>
            <w:tcW w:w="222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69" w:right="0"/>
              <w:jc w:val="left"/>
              <w:rPr>
                <w:rFonts w:ascii="Times New Roman" w:hAnsi="Times New Roman" w:cs="Times New Roman" w:eastAsia="Times New Roman" w:hint="default"/>
                <w:sz w:val="18"/>
                <w:szCs w:val="18"/>
              </w:rPr>
            </w:pPr>
            <w:r>
              <w:rPr>
                <w:rFonts w:ascii="Times New Roman"/>
                <w:sz w:val="18"/>
              </w:rPr>
              <w:t>1,458,0</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70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0.14%</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166,405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166,405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41" w:right="0"/>
              <w:jc w:val="left"/>
              <w:rPr>
                <w:rFonts w:ascii="Times New Roman" w:hAnsi="Times New Roman" w:cs="Times New Roman" w:eastAsia="Times New Roman" w:hint="default"/>
                <w:sz w:val="18"/>
                <w:szCs w:val="18"/>
              </w:rPr>
            </w:pPr>
            <w:r>
              <w:rPr>
                <w:rFonts w:ascii="Times New Roman"/>
                <w:sz w:val="18"/>
              </w:rPr>
              <w:t>1,624,4</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sz w:val="18"/>
              </w:rPr>
              <w:t>75</w:t>
            </w:r>
          </w:p>
        </w:tc>
        <w:tc>
          <w:tcPr>
            <w:tcW w:w="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0.16%</w:t>
            </w:r>
          </w:p>
        </w:tc>
      </w:tr>
      <w:tr>
        <w:trPr>
          <w:trHeight w:val="634" w:hRule="exact"/>
        </w:trPr>
        <w:tc>
          <w:tcPr>
            <w:tcW w:w="222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3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9" w:right="0"/>
              <w:jc w:val="left"/>
              <w:rPr>
                <w:rFonts w:ascii="Times New Roman" w:hAnsi="Times New Roman" w:cs="Times New Roman" w:eastAsia="Times New Roman" w:hint="default"/>
                <w:sz w:val="18"/>
                <w:szCs w:val="18"/>
              </w:rPr>
            </w:pPr>
            <w:r>
              <w:rPr>
                <w:rFonts w:ascii="Times New Roman"/>
                <w:sz w:val="18"/>
              </w:rPr>
              <w:t>1,458,0</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70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0.14%</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166,405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166,405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1" w:right="0"/>
              <w:jc w:val="left"/>
              <w:rPr>
                <w:rFonts w:ascii="Times New Roman" w:hAnsi="Times New Roman" w:cs="Times New Roman" w:eastAsia="Times New Roman" w:hint="default"/>
                <w:sz w:val="18"/>
                <w:szCs w:val="18"/>
              </w:rPr>
            </w:pPr>
            <w:r>
              <w:rPr>
                <w:rFonts w:ascii="Times New Roman"/>
                <w:sz w:val="18"/>
              </w:rPr>
              <w:t>1,624,4</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sz w:val="18"/>
              </w:rPr>
              <w:t>75</w:t>
            </w:r>
          </w:p>
        </w:tc>
        <w:tc>
          <w:tcPr>
            <w:tcW w:w="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0.16%</w:t>
            </w:r>
          </w:p>
        </w:tc>
      </w:tr>
      <w:tr>
        <w:trPr>
          <w:trHeight w:val="634" w:hRule="exact"/>
        </w:trPr>
        <w:tc>
          <w:tcPr>
            <w:tcW w:w="222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9" w:right="0"/>
              <w:jc w:val="left"/>
              <w:rPr>
                <w:rFonts w:ascii="Times New Roman" w:hAnsi="Times New Roman" w:cs="Times New Roman" w:eastAsia="Times New Roman" w:hint="default"/>
                <w:sz w:val="18"/>
                <w:szCs w:val="18"/>
              </w:rPr>
            </w:pPr>
            <w:r>
              <w:rPr>
                <w:rFonts w:ascii="Times New Roman"/>
                <w:sz w:val="18"/>
              </w:rPr>
              <w:t>1,034,0</w:t>
            </w:r>
          </w:p>
          <w:p>
            <w:pPr>
              <w:pStyle w:val="TableParagraph"/>
              <w:spacing w:line="240" w:lineRule="auto" w:before="105"/>
              <w:ind w:left="214" w:right="0"/>
              <w:jc w:val="left"/>
              <w:rPr>
                <w:rFonts w:ascii="Times New Roman" w:hAnsi="Times New Roman" w:cs="Times New Roman" w:eastAsia="Times New Roman" w:hint="default"/>
                <w:sz w:val="18"/>
                <w:szCs w:val="18"/>
              </w:rPr>
            </w:pPr>
            <w:r>
              <w:rPr>
                <w:rFonts w:ascii="Times New Roman"/>
                <w:sz w:val="18"/>
              </w:rPr>
              <w:t>31,028</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99.86%</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-166,40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-166,40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1" w:right="0"/>
              <w:jc w:val="left"/>
              <w:rPr>
                <w:rFonts w:ascii="Times New Roman" w:hAnsi="Times New Roman" w:cs="Times New Roman" w:eastAsia="Times New Roman" w:hint="default"/>
                <w:sz w:val="18"/>
                <w:szCs w:val="18"/>
              </w:rPr>
            </w:pPr>
            <w:r>
              <w:rPr>
                <w:rFonts w:ascii="Times New Roman"/>
                <w:sz w:val="18"/>
              </w:rPr>
              <w:t>1,033,8</w:t>
            </w:r>
          </w:p>
          <w:p>
            <w:pPr>
              <w:pStyle w:val="TableParagraph"/>
              <w:spacing w:line="240" w:lineRule="auto" w:before="105"/>
              <w:ind w:left="186" w:right="0"/>
              <w:jc w:val="left"/>
              <w:rPr>
                <w:rFonts w:ascii="Times New Roman" w:hAnsi="Times New Roman" w:cs="Times New Roman" w:eastAsia="Times New Roman" w:hint="default"/>
                <w:sz w:val="18"/>
                <w:szCs w:val="18"/>
              </w:rPr>
            </w:pPr>
            <w:r>
              <w:rPr>
                <w:rFonts w:ascii="Times New Roman"/>
                <w:sz w:val="18"/>
              </w:rPr>
              <w:t>64,623</w:t>
            </w:r>
          </w:p>
        </w:tc>
        <w:tc>
          <w:tcPr>
            <w:tcW w:w="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 w:right="0"/>
              <w:jc w:val="center"/>
              <w:rPr>
                <w:rFonts w:ascii="Times New Roman" w:hAnsi="Times New Roman" w:cs="Times New Roman" w:eastAsia="Times New Roman" w:hint="default"/>
                <w:sz w:val="18"/>
                <w:szCs w:val="18"/>
              </w:rPr>
            </w:pPr>
            <w:r>
              <w:rPr>
                <w:rFonts w:ascii="Times New Roman"/>
                <w:sz w:val="18"/>
              </w:rPr>
              <w:t>99.84%</w:t>
            </w:r>
          </w:p>
        </w:tc>
      </w:tr>
      <w:tr>
        <w:trPr>
          <w:trHeight w:val="634" w:hRule="exact"/>
        </w:trPr>
        <w:tc>
          <w:tcPr>
            <w:tcW w:w="222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69" w:right="0"/>
              <w:jc w:val="left"/>
              <w:rPr>
                <w:rFonts w:ascii="Times New Roman" w:hAnsi="Times New Roman" w:cs="Times New Roman" w:eastAsia="Times New Roman" w:hint="default"/>
                <w:sz w:val="18"/>
                <w:szCs w:val="18"/>
              </w:rPr>
            </w:pPr>
            <w:r>
              <w:rPr>
                <w:rFonts w:ascii="Times New Roman"/>
                <w:sz w:val="18"/>
              </w:rPr>
              <w:t>1,034,0</w:t>
            </w:r>
          </w:p>
          <w:p>
            <w:pPr>
              <w:pStyle w:val="TableParagraph"/>
              <w:spacing w:line="240" w:lineRule="auto" w:before="105"/>
              <w:ind w:left="214" w:right="0"/>
              <w:jc w:val="left"/>
              <w:rPr>
                <w:rFonts w:ascii="Times New Roman" w:hAnsi="Times New Roman" w:cs="Times New Roman" w:eastAsia="Times New Roman" w:hint="default"/>
                <w:sz w:val="18"/>
                <w:szCs w:val="18"/>
              </w:rPr>
            </w:pPr>
            <w:r>
              <w:rPr>
                <w:rFonts w:ascii="Times New Roman"/>
                <w:sz w:val="18"/>
              </w:rPr>
              <w:t>31,028</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99.86%</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-166,40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-166,40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41" w:right="0"/>
              <w:jc w:val="left"/>
              <w:rPr>
                <w:rFonts w:ascii="Times New Roman" w:hAnsi="Times New Roman" w:cs="Times New Roman" w:eastAsia="Times New Roman" w:hint="default"/>
                <w:sz w:val="18"/>
                <w:szCs w:val="18"/>
              </w:rPr>
            </w:pPr>
            <w:r>
              <w:rPr>
                <w:rFonts w:ascii="Times New Roman"/>
                <w:sz w:val="18"/>
              </w:rPr>
              <w:t>1,033,8</w:t>
            </w:r>
          </w:p>
          <w:p>
            <w:pPr>
              <w:pStyle w:val="TableParagraph"/>
              <w:spacing w:line="240" w:lineRule="auto" w:before="105"/>
              <w:ind w:left="186" w:right="0"/>
              <w:jc w:val="left"/>
              <w:rPr>
                <w:rFonts w:ascii="Times New Roman" w:hAnsi="Times New Roman" w:cs="Times New Roman" w:eastAsia="Times New Roman" w:hint="default"/>
                <w:sz w:val="18"/>
                <w:szCs w:val="18"/>
              </w:rPr>
            </w:pPr>
            <w:r>
              <w:rPr>
                <w:rFonts w:ascii="Times New Roman"/>
                <w:sz w:val="18"/>
              </w:rPr>
              <w:t>64,623</w:t>
            </w:r>
          </w:p>
        </w:tc>
        <w:tc>
          <w:tcPr>
            <w:tcW w:w="7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35" w:right="0"/>
              <w:jc w:val="center"/>
              <w:rPr>
                <w:rFonts w:ascii="Times New Roman" w:hAnsi="Times New Roman" w:cs="Times New Roman" w:eastAsia="Times New Roman" w:hint="default"/>
                <w:sz w:val="18"/>
                <w:szCs w:val="18"/>
              </w:rPr>
            </w:pPr>
            <w:r>
              <w:rPr>
                <w:rFonts w:ascii="Times New Roman"/>
                <w:sz w:val="18"/>
              </w:rPr>
              <w:t>99.84%</w:t>
            </w:r>
          </w:p>
        </w:tc>
      </w:tr>
      <w:tr>
        <w:trPr>
          <w:trHeight w:val="644" w:hRule="exact"/>
        </w:trPr>
        <w:tc>
          <w:tcPr>
            <w:tcW w:w="2227"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left="169" w:right="0"/>
              <w:jc w:val="left"/>
              <w:rPr>
                <w:rFonts w:ascii="Times New Roman" w:hAnsi="Times New Roman" w:cs="Times New Roman" w:eastAsia="Times New Roman" w:hint="default"/>
                <w:sz w:val="18"/>
                <w:szCs w:val="18"/>
              </w:rPr>
            </w:pPr>
            <w:r>
              <w:rPr>
                <w:rFonts w:ascii="Times New Roman"/>
                <w:sz w:val="18"/>
              </w:rPr>
              <w:t>1,035,4</w:t>
            </w:r>
          </w:p>
          <w:p>
            <w:pPr>
              <w:pStyle w:val="TableParagraph"/>
              <w:spacing w:line="240" w:lineRule="auto" w:before="105"/>
              <w:ind w:left="214" w:right="0"/>
              <w:jc w:val="left"/>
              <w:rPr>
                <w:rFonts w:ascii="Times New Roman" w:hAnsi="Times New Roman" w:cs="Times New Roman" w:eastAsia="Times New Roman" w:hint="default"/>
                <w:sz w:val="18"/>
                <w:szCs w:val="18"/>
              </w:rPr>
            </w:pPr>
            <w:r>
              <w:rPr>
                <w:rFonts w:ascii="Times New Roman"/>
                <w:sz w:val="18"/>
              </w:rPr>
              <w:t>89,098</w:t>
            </w:r>
          </w:p>
        </w:tc>
        <w:tc>
          <w:tcPr>
            <w:tcW w:w="8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3" w:type="dxa"/>
            <w:tcBorders>
              <w:top w:val="single" w:sz="4" w:space="0" w:color="000000"/>
              <w:left w:val="single" w:sz="4" w:space="0" w:color="000000"/>
              <w:bottom w:val="single" w:sz="12" w:space="0" w:color="000000"/>
              <w:right w:val="single" w:sz="4" w:space="0" w:color="000000"/>
            </w:tcBorders>
          </w:tcPr>
          <w:p>
            <w:pPr/>
          </w:p>
        </w:tc>
        <w:tc>
          <w:tcPr>
            <w:tcW w:w="822" w:type="dxa"/>
            <w:tcBorders>
              <w:top w:val="single" w:sz="4" w:space="0" w:color="000000"/>
              <w:left w:val="single" w:sz="4" w:space="0" w:color="000000"/>
              <w:bottom w:val="single" w:sz="12" w:space="0" w:color="000000"/>
              <w:right w:val="single" w:sz="4" w:space="0" w:color="000000"/>
            </w:tcBorders>
          </w:tcPr>
          <w:p>
            <w:pPr/>
          </w:p>
        </w:tc>
        <w:tc>
          <w:tcPr>
            <w:tcW w:w="822" w:type="dxa"/>
            <w:tcBorders>
              <w:top w:val="single" w:sz="4" w:space="0" w:color="000000"/>
              <w:left w:val="single" w:sz="4" w:space="0" w:color="000000"/>
              <w:bottom w:val="single" w:sz="12" w:space="0" w:color="000000"/>
              <w:right w:val="single" w:sz="4" w:space="0" w:color="000000"/>
            </w:tcBorders>
          </w:tcPr>
          <w:p>
            <w:pPr/>
          </w:p>
        </w:tc>
        <w:tc>
          <w:tcPr>
            <w:tcW w:w="8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left="141" w:right="0"/>
              <w:jc w:val="left"/>
              <w:rPr>
                <w:rFonts w:ascii="Times New Roman" w:hAnsi="Times New Roman" w:cs="Times New Roman" w:eastAsia="Times New Roman" w:hint="default"/>
                <w:sz w:val="18"/>
                <w:szCs w:val="18"/>
              </w:rPr>
            </w:pPr>
            <w:r>
              <w:rPr>
                <w:rFonts w:ascii="Times New Roman"/>
                <w:sz w:val="18"/>
              </w:rPr>
              <w:t>1,035,4</w:t>
            </w:r>
          </w:p>
          <w:p>
            <w:pPr>
              <w:pStyle w:val="TableParagraph"/>
              <w:spacing w:line="240" w:lineRule="auto" w:before="105"/>
              <w:ind w:left="186" w:right="0"/>
              <w:jc w:val="left"/>
              <w:rPr>
                <w:rFonts w:ascii="Times New Roman" w:hAnsi="Times New Roman" w:cs="Times New Roman" w:eastAsia="Times New Roman" w:hint="default"/>
                <w:sz w:val="18"/>
                <w:szCs w:val="18"/>
              </w:rPr>
            </w:pPr>
            <w:r>
              <w:rPr>
                <w:rFonts w:ascii="Times New Roman"/>
                <w:sz w:val="18"/>
              </w:rPr>
              <w:t>89,098</w:t>
            </w:r>
          </w:p>
        </w:tc>
        <w:tc>
          <w:tcPr>
            <w:tcW w:w="794"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before="51"/>
        <w:ind w:left="132" w:right="1164"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line="357" w:lineRule="auto" w:before="117"/>
        <w:ind w:left="132" w:right="5534" w:firstLine="0"/>
        <w:jc w:val="left"/>
        <w:rPr>
          <w:rFonts w:ascii="宋体" w:hAnsi="宋体" w:cs="宋体" w:eastAsia="宋体" w:hint="default"/>
          <w:sz w:val="18"/>
          <w:szCs w:val="18"/>
        </w:rPr>
      </w:pPr>
      <w:r>
        <w:rPr>
          <w:rFonts w:ascii="宋体" w:hAnsi="宋体" w:cs="宋体" w:eastAsia="宋体" w:hint="default"/>
          <w:sz w:val="18"/>
          <w:szCs w:val="18"/>
        </w:rPr>
        <w:t>√ 适用 □ 不适用 公司董监高正常年度股份变动及换届离任等原因引起的股份变动。 股份变动的批准情况</w:t>
      </w:r>
    </w:p>
    <w:p>
      <w:pPr>
        <w:spacing w:line="360" w:lineRule="auto" w:before="29"/>
        <w:ind w:left="132" w:right="9134" w:firstLine="0"/>
        <w:jc w:val="left"/>
        <w:rPr>
          <w:rFonts w:ascii="宋体" w:hAnsi="宋体" w:cs="宋体" w:eastAsia="宋体" w:hint="default"/>
          <w:sz w:val="18"/>
          <w:szCs w:val="18"/>
        </w:rPr>
      </w:pPr>
      <w:r>
        <w:rPr>
          <w:rFonts w:ascii="宋体" w:hAnsi="宋体" w:cs="宋体" w:eastAsia="宋体" w:hint="default"/>
          <w:sz w:val="18"/>
          <w:szCs w:val="18"/>
        </w:rPr>
        <w:t>□ 适用 √ 不适用 股份变动的过户情况</w:t>
      </w:r>
    </w:p>
    <w:p>
      <w:pPr>
        <w:spacing w:line="360" w:lineRule="auto" w:before="25"/>
        <w:ind w:left="132" w:right="8774" w:firstLine="0"/>
        <w:jc w:val="left"/>
        <w:rPr>
          <w:rFonts w:ascii="宋体" w:hAnsi="宋体" w:cs="宋体" w:eastAsia="宋体" w:hint="default"/>
          <w:sz w:val="18"/>
          <w:szCs w:val="18"/>
        </w:rPr>
      </w:pPr>
      <w:r>
        <w:rPr>
          <w:rFonts w:ascii="宋体" w:hAnsi="宋体" w:cs="宋体" w:eastAsia="宋体" w:hint="default"/>
          <w:sz w:val="18"/>
          <w:szCs w:val="18"/>
        </w:rPr>
        <w:t>□ 适用 √ 不适用 股份回购的实施进展情况</w:t>
      </w:r>
    </w:p>
    <w:p>
      <w:pPr>
        <w:spacing w:line="357" w:lineRule="auto" w:before="27"/>
        <w:ind w:left="132" w:right="6974" w:firstLine="0"/>
        <w:jc w:val="left"/>
        <w:rPr>
          <w:rFonts w:ascii="宋体" w:hAnsi="宋体" w:cs="宋体" w:eastAsia="宋体" w:hint="default"/>
          <w:sz w:val="18"/>
          <w:szCs w:val="18"/>
        </w:rPr>
      </w:pPr>
      <w:r>
        <w:rPr>
          <w:rFonts w:ascii="宋体" w:hAnsi="宋体" w:cs="宋体" w:eastAsia="宋体" w:hint="default"/>
          <w:sz w:val="18"/>
          <w:szCs w:val="18"/>
        </w:rPr>
        <w:t>□ 适用 √ 不适用 采用集中竞价方式减持回购股份的实施进展情况</w:t>
      </w:r>
    </w:p>
    <w:p>
      <w:pPr>
        <w:spacing w:line="360" w:lineRule="auto" w:before="29"/>
        <w:ind w:left="132" w:right="1394" w:firstLine="0"/>
        <w:jc w:val="left"/>
        <w:rPr>
          <w:rFonts w:ascii="宋体" w:hAnsi="宋体" w:cs="宋体" w:eastAsia="宋体" w:hint="default"/>
          <w:sz w:val="18"/>
          <w:szCs w:val="18"/>
        </w:rPr>
      </w:pPr>
      <w:r>
        <w:rPr>
          <w:rFonts w:ascii="宋体" w:hAnsi="宋体" w:cs="宋体" w:eastAsia="宋体" w:hint="default"/>
          <w:sz w:val="18"/>
          <w:szCs w:val="18"/>
        </w:rPr>
        <w:t>□ 适用 √ 不适用 股份变动对最近一年和最近一期基本每股收益和稀释每股收益、归属于公司普通股股东的每股净资产等财务指标的影响</w:t>
      </w:r>
    </w:p>
    <w:p>
      <w:pPr>
        <w:spacing w:line="360" w:lineRule="auto" w:before="25"/>
        <w:ind w:left="132" w:right="6794" w:firstLine="0"/>
        <w:jc w:val="left"/>
        <w:rPr>
          <w:rFonts w:ascii="宋体" w:hAnsi="宋体" w:cs="宋体" w:eastAsia="宋体" w:hint="default"/>
          <w:sz w:val="18"/>
          <w:szCs w:val="18"/>
        </w:rPr>
      </w:pPr>
      <w:r>
        <w:rPr>
          <w:rFonts w:ascii="宋体" w:hAnsi="宋体" w:cs="宋体" w:eastAsia="宋体" w:hint="default"/>
          <w:sz w:val="18"/>
          <w:szCs w:val="18"/>
        </w:rPr>
        <w:t>□ 适用 √ 不适用 公司认为必要或证券监管机构要求披露的其他内容</w:t>
      </w:r>
    </w:p>
    <w:p>
      <w:pPr>
        <w:spacing w:before="27"/>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headerReference w:type="default" r:id="rId32"/>
          <w:pgSz w:w="11910" w:h="16840"/>
          <w:pgMar w:header="890" w:footer="1053" w:top="1420" w:bottom="1240" w:left="1000" w:right="0"/>
        </w:sectPr>
      </w:pPr>
    </w:p>
    <w:p>
      <w:pPr>
        <w:spacing w:before="43"/>
        <w:ind w:left="132" w:right="1164" w:firstLine="0"/>
        <w:jc w:val="left"/>
        <w:rPr>
          <w:rFonts w:ascii="宋体" w:hAnsi="宋体" w:cs="宋体" w:eastAsia="宋体" w:hint="default"/>
          <w:sz w:val="21"/>
          <w:szCs w:val="21"/>
        </w:rPr>
      </w:pPr>
      <w:bookmarkStart w:name="2、限售股份变动情况" w:id="107"/>
      <w:bookmarkEnd w:id="107"/>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、限售股份变动情况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644" w:hRule="exact"/>
        </w:trPr>
        <w:tc>
          <w:tcPr>
            <w:tcW w:w="1369"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38"/>
              <w:jc w:val="right"/>
              <w:rPr>
                <w:rFonts w:ascii="宋体" w:hAnsi="宋体" w:cs="宋体" w:eastAsia="宋体" w:hint="default"/>
                <w:sz w:val="18"/>
                <w:szCs w:val="18"/>
              </w:rPr>
            </w:pPr>
            <w:r>
              <w:rPr>
                <w:rFonts w:ascii="宋体" w:hAnsi="宋体" w:cs="宋体" w:eastAsia="宋体" w:hint="default"/>
                <w:sz w:val="18"/>
                <w:szCs w:val="18"/>
              </w:rPr>
              <w:t>期初限售股数</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2"/>
              <w:ind w:left="497" w:right="137" w:hanging="360"/>
              <w:jc w:val="left"/>
              <w:rPr>
                <w:rFonts w:ascii="宋体" w:hAnsi="宋体" w:cs="宋体" w:eastAsia="宋体" w:hint="default"/>
                <w:sz w:val="18"/>
                <w:szCs w:val="18"/>
              </w:rPr>
            </w:pPr>
            <w:r>
              <w:rPr>
                <w:rFonts w:ascii="宋体" w:hAnsi="宋体" w:cs="宋体" w:eastAsia="宋体" w:hint="default"/>
                <w:sz w:val="18"/>
                <w:szCs w:val="18"/>
              </w:rPr>
              <w:t>本期增加限售 股数</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2"/>
              <w:ind w:left="498" w:right="136"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期末限售股数</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367"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634"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1"/>
              <w:ind w:left="92" w:right="175"/>
              <w:jc w:val="left"/>
              <w:rPr>
                <w:rFonts w:ascii="宋体" w:hAnsi="宋体" w:cs="宋体" w:eastAsia="宋体" w:hint="default"/>
                <w:sz w:val="18"/>
                <w:szCs w:val="18"/>
              </w:rPr>
            </w:pPr>
            <w:r>
              <w:rPr>
                <w:rFonts w:ascii="宋体" w:hAnsi="宋体" w:cs="宋体" w:eastAsia="宋体" w:hint="default"/>
                <w:sz w:val="18"/>
                <w:szCs w:val="18"/>
              </w:rPr>
              <w:t>董事、监事、 高管限售股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1,458,070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166,405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1,624,475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72"/>
              <w:jc w:val="left"/>
              <w:rPr>
                <w:rFonts w:ascii="宋体" w:hAnsi="宋体" w:cs="宋体" w:eastAsia="宋体" w:hint="default"/>
                <w:sz w:val="18"/>
                <w:szCs w:val="18"/>
              </w:rPr>
            </w:pPr>
            <w:r>
              <w:rPr>
                <w:rFonts w:ascii="宋体" w:hAnsi="宋体" w:cs="宋体" w:eastAsia="宋体" w:hint="default"/>
                <w:sz w:val="18"/>
                <w:szCs w:val="18"/>
              </w:rPr>
              <w:t>董事高管每年 按比例解锁</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1"/>
              <w:ind w:left="103" w:right="162"/>
              <w:jc w:val="left"/>
              <w:rPr>
                <w:rFonts w:ascii="宋体" w:hAnsi="宋体" w:cs="宋体" w:eastAsia="宋体" w:hint="default"/>
                <w:sz w:val="18"/>
                <w:szCs w:val="18"/>
              </w:rPr>
            </w:pPr>
            <w:r>
              <w:rPr>
                <w:rFonts w:ascii="宋体" w:hAnsi="宋体" w:cs="宋体" w:eastAsia="宋体" w:hint="default"/>
                <w:sz w:val="18"/>
                <w:szCs w:val="18"/>
              </w:rPr>
              <w:t>每年年初或按 期解锁</w:t>
            </w:r>
          </w:p>
        </w:tc>
      </w:tr>
      <w:tr>
        <w:trPr>
          <w:trHeight w:val="332" w:hRule="exact"/>
        </w:trPr>
        <w:tc>
          <w:tcPr>
            <w:tcW w:w="136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1,458,070</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166,405</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1,624,475</w:t>
            </w:r>
          </w:p>
        </w:tc>
        <w:tc>
          <w:tcPr>
            <w:tcW w:w="1367"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3"/>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12" w:space="0" w:color="000000"/>
              <w:right w:val="single" w:sz="12" w:space="0" w:color="000000"/>
            </w:tcBorders>
            <w:shd w:val="clear" w:color="auto" w:fill="D2D2D2"/>
          </w:tcPr>
          <w:p>
            <w:pPr>
              <w:pStyle w:val="TableParagraph"/>
              <w:spacing w:line="240" w:lineRule="auto" w:before="53"/>
              <w:ind w:left="11"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8"/>
          <w:szCs w:val="18"/>
        </w:rPr>
      </w:pPr>
    </w:p>
    <w:p>
      <w:pPr>
        <w:pStyle w:val="Heading2"/>
        <w:spacing w:line="240" w:lineRule="auto" w:before="26"/>
        <w:ind w:right="1164"/>
        <w:jc w:val="left"/>
        <w:rPr>
          <w:b w:val="0"/>
          <w:bCs w:val="0"/>
        </w:rPr>
      </w:pPr>
      <w:bookmarkStart w:name="二、证券发行与上市情况" w:id="108"/>
      <w:bookmarkEnd w:id="108"/>
      <w:r>
        <w:rPr>
          <w:b w:val="0"/>
          <w:bCs w:val="0"/>
        </w:rPr>
      </w:r>
      <w:r>
        <w:rPr/>
        <w:t>二、证券发行与上市情况</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报告期内证券发行（不含优先股）情况" w:id="109"/>
      <w:bookmarkEnd w:id="10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、报告期内证券发行（不含优先股）情况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2、公司股份总数及股东结构的变动、公司资产和负债结构的变动情况说明" w:id="110"/>
      <w:bookmarkEnd w:id="11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、公司股份总数及股东结构的变动、公司资产和负债结构的变动情况说明</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3、现存的内部职工股情况" w:id="111"/>
      <w:bookmarkEnd w:id="111"/>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、现存的内部职工股情况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三、股东和实际控制人情况" w:id="112"/>
      <w:bookmarkEnd w:id="112"/>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公司股东数量及持股情况" w:id="113"/>
      <w:bookmarkEnd w:id="113"/>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、公司股东数量及持股情况</w:t>
      </w:r>
      <w:r>
        <w:rPr>
          <w:rFonts w:ascii="宋体" w:hAnsi="宋体" w:cs="宋体" w:eastAsia="宋体" w:hint="default"/>
          <w:sz w:val="21"/>
          <w:szCs w:val="21"/>
        </w:rPr>
      </w:r>
    </w:p>
    <w:p>
      <w:pPr>
        <w:spacing w:line="240" w:lineRule="auto" w:before="1"/>
        <w:rPr>
          <w:rFonts w:ascii="宋体" w:hAnsi="宋体" w:cs="宋体" w:eastAsia="宋体" w:hint="default"/>
          <w:b/>
          <w:bCs/>
          <w:sz w:val="23"/>
          <w:szCs w:val="23"/>
        </w:rPr>
      </w:pPr>
    </w:p>
    <w:p>
      <w:pPr>
        <w:spacing w:before="44"/>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195"/>
        <w:gridCol w:w="274"/>
        <w:gridCol w:w="730"/>
        <w:gridCol w:w="682"/>
        <w:gridCol w:w="788"/>
        <w:gridCol w:w="210"/>
        <w:gridCol w:w="872"/>
        <w:gridCol w:w="588"/>
        <w:gridCol w:w="692"/>
        <w:gridCol w:w="778"/>
        <w:gridCol w:w="367"/>
        <w:gridCol w:w="673"/>
        <w:gridCol w:w="890"/>
        <w:gridCol w:w="470"/>
        <w:gridCol w:w="455"/>
      </w:tblGrid>
      <w:tr>
        <w:trPr>
          <w:trHeight w:val="1268" w:hRule="exact"/>
        </w:trPr>
        <w:tc>
          <w:tcPr>
            <w:tcW w:w="1195"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92" w:right="181"/>
              <w:jc w:val="both"/>
              <w:rPr>
                <w:rFonts w:ascii="宋体" w:hAnsi="宋体" w:cs="宋体" w:eastAsia="宋体" w:hint="default"/>
                <w:sz w:val="18"/>
                <w:szCs w:val="18"/>
              </w:rPr>
            </w:pPr>
            <w:r>
              <w:rPr>
                <w:rFonts w:ascii="宋体" w:hAnsi="宋体" w:cs="宋体" w:eastAsia="宋体" w:hint="default"/>
                <w:sz w:val="18"/>
                <w:szCs w:val="18"/>
              </w:rPr>
              <w:t>报告期末普 通股股东总 数</w:t>
            </w:r>
          </w:p>
        </w:tc>
        <w:tc>
          <w:tcPr>
            <w:tcW w:w="100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06" w:right="0"/>
              <w:jc w:val="left"/>
              <w:rPr>
                <w:rFonts w:ascii="Times New Roman" w:hAnsi="Times New Roman" w:cs="Times New Roman" w:eastAsia="Times New Roman" w:hint="default"/>
                <w:sz w:val="18"/>
                <w:szCs w:val="18"/>
              </w:rPr>
            </w:pPr>
            <w:r>
              <w:rPr>
                <w:rFonts w:ascii="Times New Roman"/>
                <w:sz w:val="18"/>
              </w:rPr>
              <w:t>107,158</w:t>
            </w:r>
          </w:p>
        </w:tc>
        <w:tc>
          <w:tcPr>
            <w:tcW w:w="1680" w:type="dxa"/>
            <w:gridSpan w:val="3"/>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3" w:right="124"/>
              <w:jc w:val="both"/>
              <w:rPr>
                <w:rFonts w:ascii="宋体" w:hAnsi="宋体" w:cs="宋体" w:eastAsia="宋体" w:hint="default"/>
                <w:sz w:val="18"/>
                <w:szCs w:val="18"/>
              </w:rPr>
            </w:pPr>
            <w:r>
              <w:rPr>
                <w:rFonts w:ascii="宋体" w:hAnsi="宋体" w:cs="宋体" w:eastAsia="宋体" w:hint="default"/>
                <w:sz w:val="18"/>
                <w:szCs w:val="18"/>
              </w:rPr>
              <w:t>年度报告披露日前 上一月末普通股股 东总数</w:t>
            </w:r>
          </w:p>
        </w:tc>
        <w:tc>
          <w:tcPr>
            <w:tcW w:w="87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124,696</w:t>
            </w:r>
          </w:p>
        </w:tc>
        <w:tc>
          <w:tcPr>
            <w:tcW w:w="2058" w:type="dxa"/>
            <w:gridSpan w:val="3"/>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34" w:right="11"/>
              <w:jc w:val="left"/>
              <w:rPr>
                <w:rFonts w:ascii="宋体" w:hAnsi="宋体" w:cs="宋体" w:eastAsia="宋体" w:hint="default"/>
                <w:sz w:val="18"/>
                <w:szCs w:val="18"/>
              </w:rPr>
            </w:pPr>
            <w:r>
              <w:rPr>
                <w:rFonts w:ascii="宋体" w:hAnsi="宋体" w:cs="宋体" w:eastAsia="宋体" w:hint="default"/>
                <w:sz w:val="18"/>
                <w:szCs w:val="18"/>
              </w:rPr>
              <w:t>报告期末表决权恢复的 </w:t>
            </w:r>
            <w:r>
              <w:rPr>
                <w:rFonts w:ascii="宋体" w:hAnsi="宋体" w:cs="宋体" w:eastAsia="宋体" w:hint="default"/>
                <w:spacing w:val="-8"/>
                <w:sz w:val="18"/>
                <w:szCs w:val="18"/>
              </w:rPr>
              <w:t>优先股股东总数（如有）</w:t>
            </w:r>
          </w:p>
          <w:p>
            <w:pPr>
              <w:pStyle w:val="TableParagraph"/>
              <w:spacing w:line="240" w:lineRule="auto" w:before="19"/>
              <w:ind w:left="134"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36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64" w:right="0"/>
              <w:jc w:val="left"/>
              <w:rPr>
                <w:rFonts w:ascii="Times New Roman" w:hAnsi="Times New Roman" w:cs="Times New Roman" w:eastAsia="Times New Roman" w:hint="default"/>
                <w:sz w:val="18"/>
                <w:szCs w:val="18"/>
              </w:rPr>
            </w:pPr>
            <w:r>
              <w:rPr>
                <w:rFonts w:ascii="Times New Roman"/>
                <w:sz w:val="18"/>
              </w:rPr>
              <w:t>0</w:t>
            </w:r>
          </w:p>
        </w:tc>
        <w:tc>
          <w:tcPr>
            <w:tcW w:w="2033" w:type="dxa"/>
            <w:gridSpan w:val="3"/>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01" w:right="100"/>
              <w:jc w:val="both"/>
              <w:rPr>
                <w:rFonts w:ascii="宋体" w:hAnsi="宋体" w:cs="宋体" w:eastAsia="宋体" w:hint="default"/>
                <w:sz w:val="18"/>
                <w:szCs w:val="18"/>
              </w:rPr>
            </w:pPr>
            <w:r>
              <w:rPr>
                <w:rFonts w:ascii="宋体" w:hAnsi="宋体" w:cs="宋体" w:eastAsia="宋体" w:hint="default"/>
                <w:sz w:val="18"/>
                <w:szCs w:val="18"/>
              </w:rPr>
              <w:t>年度报告披露日前上一 月末表决权恢复的优先 </w:t>
            </w:r>
            <w:r>
              <w:rPr>
                <w:rFonts w:ascii="宋体" w:hAnsi="宋体" w:cs="宋体" w:eastAsia="宋体" w:hint="default"/>
                <w:spacing w:val="-15"/>
                <w:sz w:val="18"/>
                <w:szCs w:val="18"/>
              </w:rPr>
              <w:t>股股东总数（如有）（参</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455"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252" w:right="0"/>
              <w:jc w:val="lef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9664" w:type="dxa"/>
            <w:gridSpan w:val="15"/>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left="3099"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322" w:hRule="exact"/>
        </w:trPr>
        <w:tc>
          <w:tcPr>
            <w:tcW w:w="1469" w:type="dxa"/>
            <w:gridSpan w:val="2"/>
            <w:vMerge w:val="restart"/>
            <w:tcBorders>
              <w:top w:val="single" w:sz="4" w:space="0" w:color="000000"/>
              <w:left w:val="single" w:sz="12"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5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300" w:right="116"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108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160" w:right="190"/>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93" w:right="123"/>
              <w:jc w:val="both"/>
              <w:rPr>
                <w:rFonts w:ascii="宋体" w:hAnsi="宋体" w:cs="宋体" w:eastAsia="宋体" w:hint="default"/>
                <w:sz w:val="18"/>
                <w:szCs w:val="18"/>
              </w:rPr>
            </w:pPr>
            <w:r>
              <w:rPr>
                <w:rFonts w:ascii="宋体" w:hAnsi="宋体" w:cs="宋体" w:eastAsia="宋体" w:hint="default"/>
                <w:sz w:val="18"/>
                <w:szCs w:val="18"/>
              </w:rPr>
              <w:t>报告 期内 增减 变动 情况</w:t>
            </w:r>
          </w:p>
        </w:tc>
        <w:tc>
          <w:tcPr>
            <w:tcW w:w="6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
              <w:ind w:left="160" w:right="159"/>
              <w:jc w:val="both"/>
              <w:rPr>
                <w:rFonts w:ascii="宋体" w:hAnsi="宋体" w:cs="宋体" w:eastAsia="宋体" w:hint="default"/>
                <w:sz w:val="18"/>
                <w:szCs w:val="18"/>
              </w:rPr>
            </w:pPr>
            <w:r>
              <w:rPr>
                <w:rFonts w:ascii="宋体" w:hAnsi="宋体" w:cs="宋体" w:eastAsia="宋体" w:hint="default"/>
                <w:sz w:val="18"/>
                <w:szCs w:val="18"/>
              </w:rPr>
              <w:t>持有 有限 售条 件的 股份 数量</w:t>
            </w:r>
          </w:p>
        </w:tc>
        <w:tc>
          <w:tcPr>
            <w:tcW w:w="1818"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543" w:right="182" w:hanging="360"/>
              <w:jc w:val="left"/>
              <w:rPr>
                <w:rFonts w:ascii="宋体" w:hAnsi="宋体" w:cs="宋体" w:eastAsia="宋体" w:hint="default"/>
                <w:sz w:val="18"/>
                <w:szCs w:val="18"/>
              </w:rPr>
            </w:pPr>
            <w:r>
              <w:rPr>
                <w:rFonts w:ascii="宋体" w:hAnsi="宋体" w:cs="宋体" w:eastAsia="宋体" w:hint="default"/>
                <w:sz w:val="18"/>
                <w:szCs w:val="18"/>
              </w:rPr>
              <w:t>持有无限售条件的 股份数量</w:t>
            </w:r>
          </w:p>
        </w:tc>
        <w:tc>
          <w:tcPr>
            <w:tcW w:w="1815" w:type="dxa"/>
            <w:gridSpan w:val="3"/>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
              <w:ind w:left="271"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0" w:hRule="exact"/>
        </w:trPr>
        <w:tc>
          <w:tcPr>
            <w:tcW w:w="1469" w:type="dxa"/>
            <w:gridSpan w:val="2"/>
            <w:vMerge/>
            <w:tcBorders>
              <w:left w:val="single" w:sz="12" w:space="0" w:color="000000"/>
              <w:bottom w:val="single" w:sz="4" w:space="0" w:color="000000"/>
              <w:right w:val="single" w:sz="4" w:space="0" w:color="000000"/>
            </w:tcBorders>
            <w:shd w:val="clear" w:color="auto" w:fill="D2D2D2"/>
          </w:tcPr>
          <w:p>
            <w:pPr/>
          </w:p>
        </w:tc>
        <w:tc>
          <w:tcPr>
            <w:tcW w:w="1412"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1082" w:type="dxa"/>
            <w:gridSpan w:val="2"/>
            <w:vMerge/>
            <w:tcBorders>
              <w:left w:val="single" w:sz="4" w:space="0" w:color="000000"/>
              <w:bottom w:val="single" w:sz="4" w:space="0" w:color="000000"/>
              <w:right w:val="single" w:sz="4" w:space="0" w:color="000000"/>
            </w:tcBorders>
            <w:shd w:val="clear" w:color="auto" w:fill="D2D2D2"/>
          </w:tcPr>
          <w:p>
            <w:pPr/>
          </w:p>
        </w:tc>
        <w:tc>
          <w:tcPr>
            <w:tcW w:w="588" w:type="dxa"/>
            <w:vMerge/>
            <w:tcBorders>
              <w:left w:val="single" w:sz="4" w:space="0" w:color="000000"/>
              <w:bottom w:val="single" w:sz="4" w:space="0" w:color="000000"/>
              <w:right w:val="single" w:sz="4" w:space="0" w:color="000000"/>
            </w:tcBorders>
            <w:shd w:val="clear" w:color="auto" w:fill="D2D2D2"/>
          </w:tcPr>
          <w:p>
            <w:pPr/>
          </w:p>
        </w:tc>
        <w:tc>
          <w:tcPr>
            <w:tcW w:w="692" w:type="dxa"/>
            <w:vMerge/>
            <w:tcBorders>
              <w:left w:val="single" w:sz="4" w:space="0" w:color="000000"/>
              <w:bottom w:val="single" w:sz="4" w:space="0" w:color="000000"/>
              <w:right w:val="single" w:sz="4" w:space="0" w:color="000000"/>
            </w:tcBorders>
            <w:shd w:val="clear" w:color="auto" w:fill="D2D2D2"/>
          </w:tcPr>
          <w:p>
            <w:pPr/>
          </w:p>
        </w:tc>
        <w:tc>
          <w:tcPr>
            <w:tcW w:w="1818" w:type="dxa"/>
            <w:gridSpan w:val="3"/>
            <w:vMerge/>
            <w:tcBorders>
              <w:left w:val="single" w:sz="4" w:space="0" w:color="000000"/>
              <w:bottom w:val="single" w:sz="4" w:space="0" w:color="000000"/>
              <w:right w:val="single" w:sz="4" w:space="0" w:color="000000"/>
            </w:tcBorders>
            <w:shd w:val="clear" w:color="auto" w:fill="D2D2D2"/>
          </w:tcPr>
          <w:p>
            <w:pPr/>
          </w:p>
        </w:tc>
        <w:tc>
          <w:tcPr>
            <w:tcW w:w="8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316" w:lineRule="auto"/>
              <w:ind w:left="350" w:right="167" w:hanging="180"/>
              <w:jc w:val="left"/>
              <w:rPr>
                <w:rFonts w:ascii="宋体" w:hAnsi="宋体" w:cs="宋体" w:eastAsia="宋体" w:hint="default"/>
                <w:sz w:val="18"/>
                <w:szCs w:val="18"/>
              </w:rPr>
            </w:pPr>
            <w:r>
              <w:rPr>
                <w:rFonts w:ascii="宋体" w:hAnsi="宋体" w:cs="宋体" w:eastAsia="宋体" w:hint="default"/>
                <w:sz w:val="18"/>
                <w:szCs w:val="18"/>
              </w:rPr>
              <w:t>股份状 态</w:t>
            </w:r>
          </w:p>
        </w:tc>
        <w:tc>
          <w:tcPr>
            <w:tcW w:w="925" w:type="dxa"/>
            <w:gridSpan w:val="2"/>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76"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946" w:hRule="exact"/>
        </w:trPr>
        <w:tc>
          <w:tcPr>
            <w:tcW w:w="1469" w:type="dxa"/>
            <w:gridSpan w:val="2"/>
            <w:tcBorders>
              <w:top w:val="single" w:sz="4" w:space="0" w:color="000000"/>
              <w:left w:val="single" w:sz="12" w:space="0" w:color="000000"/>
              <w:bottom w:val="single" w:sz="4" w:space="0" w:color="000000"/>
              <w:right w:val="single" w:sz="4" w:space="0" w:color="000000"/>
            </w:tcBorders>
          </w:tcPr>
          <w:p>
            <w:pPr>
              <w:pStyle w:val="TableParagraph"/>
              <w:spacing w:line="316" w:lineRule="auto" w:before="12"/>
              <w:ind w:left="92" w:right="275"/>
              <w:jc w:val="both"/>
              <w:rPr>
                <w:rFonts w:ascii="宋体" w:hAnsi="宋体" w:cs="宋体" w:eastAsia="宋体" w:hint="default"/>
                <w:sz w:val="18"/>
                <w:szCs w:val="18"/>
              </w:rPr>
            </w:pPr>
            <w:r>
              <w:rPr>
                <w:rFonts w:ascii="宋体" w:hAnsi="宋体" w:cs="宋体" w:eastAsia="宋体" w:hint="default"/>
                <w:sz w:val="18"/>
                <w:szCs w:val="18"/>
              </w:rPr>
              <w:t>浙江万马智能 科技集团有限 公司</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4" w:right="216"/>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25.41%</w:t>
            </w:r>
          </w:p>
        </w:tc>
        <w:tc>
          <w:tcPr>
            <w:tcW w:w="10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33"/>
              <w:jc w:val="right"/>
              <w:rPr>
                <w:rFonts w:ascii="Times New Roman" w:hAnsi="Times New Roman" w:cs="Times New Roman" w:eastAsia="Times New Roman" w:hint="default"/>
                <w:sz w:val="18"/>
                <w:szCs w:val="18"/>
              </w:rPr>
            </w:pPr>
            <w:r>
              <w:rPr>
                <w:rFonts w:ascii="Times New Roman"/>
                <w:spacing w:val="-1"/>
                <w:sz w:val="18"/>
              </w:rPr>
              <w:t>263,141,81</w:t>
            </w:r>
          </w:p>
          <w:p>
            <w:pPr>
              <w:pStyle w:val="TableParagraph"/>
              <w:spacing w:line="240" w:lineRule="auto" w:before="105"/>
              <w:ind w:right="133"/>
              <w:jc w:val="right"/>
              <w:rPr>
                <w:rFonts w:ascii="Times New Roman" w:hAnsi="Times New Roman" w:cs="Times New Roman" w:eastAsia="Times New Roman" w:hint="default"/>
                <w:sz w:val="18"/>
                <w:szCs w:val="18"/>
              </w:rPr>
            </w:pPr>
            <w:r>
              <w:rPr>
                <w:rFonts w:ascii="Times New Roman"/>
                <w:sz w:val="18"/>
              </w:rPr>
              <w:t>2</w:t>
            </w:r>
          </w:p>
        </w:tc>
        <w:tc>
          <w:tcPr>
            <w:tcW w:w="588"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805" w:right="0"/>
              <w:jc w:val="left"/>
              <w:rPr>
                <w:rFonts w:ascii="Times New Roman" w:hAnsi="Times New Roman" w:cs="Times New Roman" w:eastAsia="Times New Roman" w:hint="default"/>
                <w:sz w:val="18"/>
                <w:szCs w:val="18"/>
              </w:rPr>
            </w:pPr>
            <w:r>
              <w:rPr>
                <w:rFonts w:ascii="Times New Roman"/>
                <w:sz w:val="18"/>
              </w:rPr>
              <w:t>263,141,812</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83" w:right="0"/>
              <w:jc w:val="left"/>
              <w:rPr>
                <w:rFonts w:ascii="Times New Roman" w:hAnsi="Times New Roman" w:cs="Times New Roman" w:eastAsia="Times New Roman" w:hint="default"/>
                <w:sz w:val="18"/>
                <w:szCs w:val="18"/>
              </w:rPr>
            </w:pPr>
            <w:r>
              <w:rPr>
                <w:rFonts w:ascii="Times New Roman"/>
                <w:sz w:val="18"/>
              </w:rPr>
              <w:t>120,000,</w:t>
            </w:r>
          </w:p>
          <w:p>
            <w:pPr>
              <w:pStyle w:val="TableParagraph"/>
              <w:spacing w:line="240" w:lineRule="auto" w:before="105"/>
              <w:ind w:left="542" w:right="0"/>
              <w:jc w:val="left"/>
              <w:rPr>
                <w:rFonts w:ascii="Times New Roman" w:hAnsi="Times New Roman" w:cs="Times New Roman" w:eastAsia="Times New Roman" w:hint="default"/>
                <w:sz w:val="18"/>
                <w:szCs w:val="18"/>
              </w:rPr>
            </w:pPr>
            <w:r>
              <w:rPr>
                <w:rFonts w:ascii="Times New Roman"/>
                <w:sz w:val="18"/>
              </w:rPr>
              <w:t>000</w:t>
            </w:r>
          </w:p>
        </w:tc>
      </w:tr>
      <w:tr>
        <w:trPr>
          <w:trHeight w:val="320" w:hRule="exact"/>
        </w:trPr>
        <w:tc>
          <w:tcPr>
            <w:tcW w:w="1469"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6.13%</w:t>
            </w:r>
          </w:p>
        </w:tc>
        <w:tc>
          <w:tcPr>
            <w:tcW w:w="10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6" w:right="0"/>
              <w:jc w:val="left"/>
              <w:rPr>
                <w:rFonts w:ascii="Times New Roman" w:hAnsi="Times New Roman" w:cs="Times New Roman" w:eastAsia="Times New Roman" w:hint="default"/>
                <w:sz w:val="18"/>
                <w:szCs w:val="18"/>
              </w:rPr>
            </w:pPr>
            <w:r>
              <w:rPr>
                <w:rFonts w:ascii="Times New Roman"/>
                <w:sz w:val="18"/>
              </w:rPr>
              <w:t>63,450,322</w:t>
            </w:r>
          </w:p>
        </w:tc>
        <w:tc>
          <w:tcPr>
            <w:tcW w:w="588"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4" w:right="0"/>
              <w:jc w:val="left"/>
              <w:rPr>
                <w:rFonts w:ascii="Times New Roman" w:hAnsi="Times New Roman" w:cs="Times New Roman" w:eastAsia="Times New Roman" w:hint="default"/>
                <w:sz w:val="18"/>
                <w:szCs w:val="18"/>
              </w:rPr>
            </w:pPr>
            <w:r>
              <w:rPr>
                <w:rFonts w:ascii="Times New Roman"/>
                <w:sz w:val="18"/>
              </w:rPr>
              <w:t>63,450,322</w:t>
            </w:r>
          </w:p>
        </w:tc>
        <w:tc>
          <w:tcPr>
            <w:tcW w:w="890" w:type="dxa"/>
            <w:tcBorders>
              <w:top w:val="single" w:sz="4" w:space="0" w:color="000000"/>
              <w:left w:val="single" w:sz="4" w:space="0" w:color="000000"/>
              <w:bottom w:val="single" w:sz="4" w:space="0" w:color="000000"/>
              <w:right w:val="single" w:sz="4" w:space="0" w:color="000000"/>
            </w:tcBorders>
          </w:tcPr>
          <w:p>
            <w:pPr/>
          </w:p>
        </w:tc>
        <w:tc>
          <w:tcPr>
            <w:tcW w:w="925" w:type="dxa"/>
            <w:gridSpan w:val="2"/>
            <w:tcBorders>
              <w:top w:val="single" w:sz="4" w:space="0" w:color="000000"/>
              <w:left w:val="single" w:sz="4" w:space="0" w:color="000000"/>
              <w:bottom w:val="single" w:sz="4" w:space="0" w:color="000000"/>
              <w:right w:val="single" w:sz="12" w:space="0" w:color="000000"/>
            </w:tcBorders>
          </w:tcPr>
          <w:p>
            <w:pPr/>
          </w:p>
        </w:tc>
      </w:tr>
    </w:tbl>
    <w:p>
      <w:pPr>
        <w:spacing w:after="0"/>
        <w:sectPr>
          <w:pgSz w:w="11910" w:h="16840"/>
          <w:pgMar w:header="890" w:footer="1053" w:top="1420" w:bottom="1240" w:left="1000" w:right="0"/>
        </w:sectPr>
      </w:pPr>
    </w:p>
    <w:tbl>
      <w:tblPr>
        <w:tblW w:w="0" w:type="auto"/>
        <w:jc w:val="left"/>
        <w:tblInd w:w="119" w:type="dxa"/>
        <w:tblLayout w:type="fixed"/>
        <w:tblCellMar>
          <w:top w:w="0" w:type="dxa"/>
          <w:left w:w="0" w:type="dxa"/>
          <w:bottom w:w="0" w:type="dxa"/>
          <w:right w:w="0" w:type="dxa"/>
        </w:tblCellMar>
        <w:tblLook w:val="01E0"/>
      </w:tblPr>
      <w:tblGrid>
        <w:gridCol w:w="1469"/>
        <w:gridCol w:w="1412"/>
        <w:gridCol w:w="788"/>
        <w:gridCol w:w="1050"/>
        <w:gridCol w:w="620"/>
        <w:gridCol w:w="692"/>
        <w:gridCol w:w="1145"/>
        <w:gridCol w:w="673"/>
        <w:gridCol w:w="660"/>
        <w:gridCol w:w="230"/>
        <w:gridCol w:w="925"/>
      </w:tblGrid>
      <w:tr>
        <w:trPr>
          <w:trHeight w:val="946"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陆珍玉</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8"/>
              <w:jc w:val="right"/>
              <w:rPr>
                <w:rFonts w:ascii="Times New Roman" w:hAnsi="Times New Roman" w:cs="Times New Roman" w:eastAsia="Times New Roman" w:hint="default"/>
                <w:sz w:val="18"/>
                <w:szCs w:val="18"/>
              </w:rPr>
            </w:pPr>
            <w:r>
              <w:rPr>
                <w:rFonts w:ascii="Times New Roman"/>
                <w:sz w:val="18"/>
              </w:rPr>
              <w:t>5.91%</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61,165,820</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z w:val="18"/>
              </w:rPr>
              <w:t>9,39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1,32</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w:t>
            </w: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894" w:right="0"/>
              <w:jc w:val="left"/>
              <w:rPr>
                <w:rFonts w:ascii="Times New Roman" w:hAnsi="Times New Roman" w:cs="Times New Roman" w:eastAsia="Times New Roman" w:hint="default"/>
                <w:sz w:val="18"/>
                <w:szCs w:val="18"/>
              </w:rPr>
            </w:pPr>
            <w:r>
              <w:rPr>
                <w:rFonts w:ascii="Times New Roman"/>
                <w:sz w:val="18"/>
              </w:rPr>
              <w:t>61,165,820</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634"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1"/>
              <w:ind w:left="92" w:right="275"/>
              <w:jc w:val="left"/>
              <w:rPr>
                <w:rFonts w:ascii="宋体" w:hAnsi="宋体" w:cs="宋体" w:eastAsia="宋体" w:hint="default"/>
                <w:sz w:val="18"/>
                <w:szCs w:val="18"/>
              </w:rPr>
            </w:pPr>
            <w:r>
              <w:rPr>
                <w:rFonts w:ascii="宋体" w:hAnsi="宋体" w:cs="宋体" w:eastAsia="宋体" w:hint="default"/>
                <w:sz w:val="18"/>
                <w:szCs w:val="18"/>
              </w:rPr>
              <w:t>香港中央结算 有限公司</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1.41%</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14,624,081</w:t>
            </w:r>
          </w:p>
        </w:tc>
        <w:tc>
          <w:tcPr>
            <w:tcW w:w="620"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94" w:right="0"/>
              <w:jc w:val="left"/>
              <w:rPr>
                <w:rFonts w:ascii="Times New Roman" w:hAnsi="Times New Roman" w:cs="Times New Roman" w:eastAsia="Times New Roman" w:hint="default"/>
                <w:sz w:val="18"/>
                <w:szCs w:val="18"/>
              </w:rPr>
            </w:pPr>
            <w:r>
              <w:rPr>
                <w:rFonts w:ascii="Times New Roman"/>
                <w:sz w:val="18"/>
              </w:rPr>
              <w:t>14,624,081</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634"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1"/>
              <w:ind w:left="92" w:right="275"/>
              <w:jc w:val="left"/>
              <w:rPr>
                <w:rFonts w:ascii="宋体" w:hAnsi="宋体" w:cs="宋体" w:eastAsia="宋体" w:hint="default"/>
                <w:sz w:val="18"/>
                <w:szCs w:val="18"/>
              </w:rPr>
            </w:pPr>
            <w:r>
              <w:rPr>
                <w:rFonts w:ascii="宋体" w:hAnsi="宋体" w:cs="宋体" w:eastAsia="宋体" w:hint="default"/>
                <w:sz w:val="18"/>
                <w:szCs w:val="18"/>
              </w:rPr>
              <w:t>浙江广杰投资 管理有限公司</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1.01%</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10,462,555</w:t>
            </w:r>
          </w:p>
        </w:tc>
        <w:tc>
          <w:tcPr>
            <w:tcW w:w="620"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894" w:right="0"/>
              <w:jc w:val="left"/>
              <w:rPr>
                <w:rFonts w:ascii="Times New Roman" w:hAnsi="Times New Roman" w:cs="Times New Roman" w:eastAsia="Times New Roman" w:hint="default"/>
                <w:sz w:val="18"/>
                <w:szCs w:val="18"/>
              </w:rPr>
            </w:pPr>
            <w:r>
              <w:rPr>
                <w:rFonts w:ascii="Times New Roman"/>
                <w:sz w:val="18"/>
              </w:rPr>
              <w:t>10,462,555</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潘文波</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z w:val="18"/>
              </w:rPr>
              <w:t>0.52%</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5,384,100</w:t>
            </w:r>
          </w:p>
        </w:tc>
        <w:tc>
          <w:tcPr>
            <w:tcW w:w="620"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85" w:right="0"/>
              <w:jc w:val="left"/>
              <w:rPr>
                <w:rFonts w:ascii="Times New Roman" w:hAnsi="Times New Roman" w:cs="Times New Roman" w:eastAsia="Times New Roman" w:hint="default"/>
                <w:sz w:val="18"/>
                <w:szCs w:val="18"/>
              </w:rPr>
            </w:pPr>
            <w:r>
              <w:rPr>
                <w:rFonts w:ascii="Times New Roman"/>
                <w:sz w:val="18"/>
              </w:rPr>
              <w:t>5,384,100</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蔡宏毅</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0.44%</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4,565,000</w:t>
            </w:r>
          </w:p>
        </w:tc>
        <w:tc>
          <w:tcPr>
            <w:tcW w:w="620"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85" w:right="0"/>
              <w:jc w:val="left"/>
              <w:rPr>
                <w:rFonts w:ascii="Times New Roman" w:hAnsi="Times New Roman" w:cs="Times New Roman" w:eastAsia="Times New Roman" w:hint="default"/>
                <w:sz w:val="18"/>
                <w:szCs w:val="18"/>
              </w:rPr>
            </w:pPr>
            <w:r>
              <w:rPr>
                <w:rFonts w:ascii="Times New Roman"/>
                <w:sz w:val="18"/>
              </w:rPr>
              <w:t>4,565,000</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翁波</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0.42%</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4,330,000</w:t>
            </w:r>
          </w:p>
        </w:tc>
        <w:tc>
          <w:tcPr>
            <w:tcW w:w="620"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85" w:right="0"/>
              <w:jc w:val="left"/>
              <w:rPr>
                <w:rFonts w:ascii="Times New Roman" w:hAnsi="Times New Roman" w:cs="Times New Roman" w:eastAsia="Times New Roman" w:hint="default"/>
                <w:sz w:val="18"/>
                <w:szCs w:val="18"/>
              </w:rPr>
            </w:pPr>
            <w:r>
              <w:rPr>
                <w:rFonts w:ascii="Times New Roman"/>
                <w:sz w:val="18"/>
              </w:rPr>
              <w:t>4,330,000</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634"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316" w:lineRule="auto" w:before="12"/>
              <w:ind w:left="92" w:right="275"/>
              <w:jc w:val="left"/>
              <w:rPr>
                <w:rFonts w:ascii="宋体" w:hAnsi="宋体" w:cs="宋体" w:eastAsia="宋体" w:hint="default"/>
                <w:sz w:val="18"/>
                <w:szCs w:val="18"/>
              </w:rPr>
            </w:pPr>
            <w:r>
              <w:rPr>
                <w:rFonts w:ascii="宋体" w:hAnsi="宋体" w:cs="宋体" w:eastAsia="宋体" w:hint="default"/>
                <w:sz w:val="18"/>
                <w:szCs w:val="18"/>
              </w:rPr>
              <w:t>阿布达比投资 局</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0.30%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3,078,400</w:t>
            </w:r>
          </w:p>
        </w:tc>
        <w:tc>
          <w:tcPr>
            <w:tcW w:w="620"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85" w:right="0"/>
              <w:jc w:val="left"/>
              <w:rPr>
                <w:rFonts w:ascii="Times New Roman" w:hAnsi="Times New Roman" w:cs="Times New Roman" w:eastAsia="Times New Roman" w:hint="default"/>
                <w:sz w:val="18"/>
                <w:szCs w:val="18"/>
              </w:rPr>
            </w:pPr>
            <w:r>
              <w:rPr>
                <w:rFonts w:ascii="Times New Roman"/>
                <w:sz w:val="18"/>
              </w:rPr>
              <w:t>3,078,400</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322" w:hRule="exact"/>
        </w:trPr>
        <w:tc>
          <w:tcPr>
            <w:tcW w:w="14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毕志力</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4"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0.25%</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2,617,800</w:t>
            </w:r>
          </w:p>
        </w:tc>
        <w:tc>
          <w:tcPr>
            <w:tcW w:w="620" w:type="dxa"/>
            <w:tcBorders>
              <w:top w:val="single" w:sz="4" w:space="0" w:color="000000"/>
              <w:left w:val="single" w:sz="4" w:space="0" w:color="000000"/>
              <w:bottom w:val="single" w:sz="4" w:space="0" w:color="000000"/>
              <w:right w:val="single" w:sz="4" w:space="0" w:color="000000"/>
            </w:tcBorders>
          </w:tcPr>
          <w:p>
            <w:pPr/>
          </w:p>
        </w:tc>
        <w:tc>
          <w:tcPr>
            <w:tcW w:w="692" w:type="dxa"/>
            <w:tcBorders>
              <w:top w:val="single" w:sz="4" w:space="0" w:color="000000"/>
              <w:left w:val="single" w:sz="4" w:space="0" w:color="000000"/>
              <w:bottom w:val="single" w:sz="4" w:space="0" w:color="000000"/>
              <w:right w:val="single" w:sz="4" w:space="0" w:color="000000"/>
            </w:tcBorders>
          </w:tcPr>
          <w:p>
            <w:pPr/>
          </w:p>
        </w:tc>
        <w:tc>
          <w:tcPr>
            <w:tcW w:w="1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85" w:right="0"/>
              <w:jc w:val="left"/>
              <w:rPr>
                <w:rFonts w:ascii="Times New Roman" w:hAnsi="Times New Roman" w:cs="Times New Roman" w:eastAsia="Times New Roman" w:hint="default"/>
                <w:sz w:val="18"/>
                <w:szCs w:val="18"/>
              </w:rPr>
            </w:pPr>
            <w:r>
              <w:rPr>
                <w:rFonts w:ascii="Times New Roman"/>
                <w:sz w:val="18"/>
              </w:rPr>
              <w:t>2,617,800</w:t>
            </w:r>
          </w:p>
        </w:tc>
        <w:tc>
          <w:tcPr>
            <w:tcW w:w="890" w:type="dxa"/>
            <w:gridSpan w:val="2"/>
            <w:tcBorders>
              <w:top w:val="single" w:sz="4" w:space="0" w:color="000000"/>
              <w:left w:val="single" w:sz="4" w:space="0" w:color="000000"/>
              <w:bottom w:val="single" w:sz="4" w:space="0" w:color="000000"/>
              <w:right w:val="single" w:sz="4" w:space="0" w:color="000000"/>
            </w:tcBorders>
          </w:tcPr>
          <w:p>
            <w:pPr/>
          </w:p>
        </w:tc>
        <w:tc>
          <w:tcPr>
            <w:tcW w:w="925"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2881" w:type="dxa"/>
            <w:gridSpan w:val="2"/>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1"/>
              <w:ind w:left="92" w:right="12"/>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 股成为前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名股东的情况（如有）</w:t>
            </w:r>
          </w:p>
          <w:p>
            <w:pPr>
              <w:pStyle w:val="TableParagraph"/>
              <w:spacing w:line="248" w:lineRule="exact"/>
              <w:ind w:left="92"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783" w:type="dxa"/>
            <w:gridSpan w:val="9"/>
            <w:tcBorders>
              <w:top w:val="single" w:sz="4" w:space="0" w:color="000000"/>
              <w:left w:val="single" w:sz="4" w:space="0" w:color="000000"/>
              <w:bottom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946" w:hRule="exact"/>
        </w:trPr>
        <w:tc>
          <w:tcPr>
            <w:tcW w:w="2881" w:type="dxa"/>
            <w:gridSpan w:val="2"/>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92" w:right="247"/>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 说明</w:t>
            </w:r>
          </w:p>
        </w:tc>
        <w:tc>
          <w:tcPr>
            <w:tcW w:w="6783" w:type="dxa"/>
            <w:gridSpan w:val="9"/>
            <w:tcBorders>
              <w:top w:val="single" w:sz="4" w:space="0" w:color="000000"/>
              <w:left w:val="single" w:sz="4" w:space="0" w:color="000000"/>
              <w:bottom w:val="single" w:sz="4" w:space="0" w:color="000000"/>
              <w:right w:val="single" w:sz="12" w:space="0" w:color="000000"/>
            </w:tcBorders>
          </w:tcPr>
          <w:p>
            <w:pPr>
              <w:pStyle w:val="TableParagraph"/>
              <w:spacing w:line="316" w:lineRule="auto" w:before="10"/>
              <w:ind w:left="103" w:right="93"/>
              <w:jc w:val="left"/>
              <w:rPr>
                <w:rFonts w:ascii="宋体" w:hAnsi="宋体" w:cs="宋体" w:eastAsia="宋体" w:hint="default"/>
                <w:sz w:val="18"/>
                <w:szCs w:val="18"/>
              </w:rPr>
            </w:pPr>
            <w:r>
              <w:rPr>
                <w:rFonts w:ascii="宋体" w:hAnsi="宋体" w:cs="宋体" w:eastAsia="宋体" w:hint="default"/>
                <w:sz w:val="18"/>
                <w:szCs w:val="18"/>
              </w:rPr>
              <w:t>智能科技集团、张德生（实际控制人）、陆珍玉（实际控制人之配偶）构成一致行 动关系。除此之外，公司未知前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名股东之间是否存在关联关系，也未知是否存在</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《上市公司收购管理办法》中规定的一致行动人的情况。</w:t>
            </w:r>
          </w:p>
        </w:tc>
      </w:tr>
      <w:tr>
        <w:trPr>
          <w:trHeight w:val="322" w:hRule="exact"/>
        </w:trPr>
        <w:tc>
          <w:tcPr>
            <w:tcW w:w="9664" w:type="dxa"/>
            <w:gridSpan w:val="11"/>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22" w:hRule="exact"/>
        </w:trPr>
        <w:tc>
          <w:tcPr>
            <w:tcW w:w="2881" w:type="dxa"/>
            <w:gridSpan w:val="2"/>
            <w:vMerge w:val="restart"/>
            <w:tcBorders>
              <w:top w:val="single" w:sz="4" w:space="0" w:color="000000"/>
              <w:left w:val="single" w:sz="12"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4295"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92"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488" w:type="dxa"/>
            <w:gridSpan w:val="4"/>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22" w:hRule="exact"/>
        </w:trPr>
        <w:tc>
          <w:tcPr>
            <w:tcW w:w="2881" w:type="dxa"/>
            <w:gridSpan w:val="2"/>
            <w:vMerge/>
            <w:tcBorders>
              <w:left w:val="single" w:sz="12" w:space="0" w:color="000000"/>
              <w:bottom w:val="single" w:sz="4" w:space="0" w:color="000000"/>
              <w:right w:val="single" w:sz="4" w:space="0" w:color="000000"/>
            </w:tcBorders>
            <w:shd w:val="clear" w:color="auto" w:fill="D2D2D2"/>
          </w:tcPr>
          <w:p>
            <w:pPr/>
          </w:p>
        </w:tc>
        <w:tc>
          <w:tcPr>
            <w:tcW w:w="4295" w:type="dxa"/>
            <w:gridSpan w:val="5"/>
            <w:vMerge/>
            <w:tcBorders>
              <w:left w:val="single" w:sz="4" w:space="0" w:color="000000"/>
              <w:bottom w:val="single" w:sz="4" w:space="0" w:color="000000"/>
              <w:right w:val="single" w:sz="4" w:space="0" w:color="000000"/>
            </w:tcBorders>
            <w:shd w:val="clear" w:color="auto" w:fill="D2D2D2"/>
          </w:tcPr>
          <w:p>
            <w:pPr/>
          </w:p>
        </w:tc>
        <w:tc>
          <w:tcPr>
            <w:tcW w:w="133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301"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155" w:type="dxa"/>
            <w:gridSpan w:val="2"/>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left="6"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浙江万马智能科技集团有限公司</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263,141,812</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left="141" w:right="0"/>
              <w:jc w:val="left"/>
              <w:rPr>
                <w:rFonts w:ascii="Times New Roman" w:hAnsi="Times New Roman" w:cs="Times New Roman" w:eastAsia="Times New Roman" w:hint="default"/>
                <w:sz w:val="18"/>
                <w:szCs w:val="18"/>
              </w:rPr>
            </w:pPr>
            <w:r>
              <w:rPr>
                <w:rFonts w:ascii="Times New Roman"/>
                <w:sz w:val="18"/>
              </w:rPr>
              <w:t>263,141,812</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63,450,322</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left="233" w:right="0"/>
              <w:jc w:val="left"/>
              <w:rPr>
                <w:rFonts w:ascii="Times New Roman" w:hAnsi="Times New Roman" w:cs="Times New Roman" w:eastAsia="Times New Roman" w:hint="default"/>
                <w:sz w:val="18"/>
                <w:szCs w:val="18"/>
              </w:rPr>
            </w:pPr>
            <w:r>
              <w:rPr>
                <w:rFonts w:ascii="Times New Roman"/>
                <w:sz w:val="18"/>
              </w:rPr>
              <w:t>63,450,322</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陆珍玉</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61,165,820</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left="233" w:right="0"/>
              <w:jc w:val="left"/>
              <w:rPr>
                <w:rFonts w:ascii="Times New Roman" w:hAnsi="Times New Roman" w:cs="Times New Roman" w:eastAsia="Times New Roman" w:hint="default"/>
                <w:sz w:val="18"/>
                <w:szCs w:val="18"/>
              </w:rPr>
            </w:pPr>
            <w:r>
              <w:rPr>
                <w:rFonts w:ascii="Times New Roman"/>
                <w:sz w:val="18"/>
              </w:rPr>
              <w:t>61,165,820</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14,624,081</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233" w:right="0"/>
              <w:jc w:val="left"/>
              <w:rPr>
                <w:rFonts w:ascii="Times New Roman" w:hAnsi="Times New Roman" w:cs="Times New Roman" w:eastAsia="Times New Roman" w:hint="default"/>
                <w:sz w:val="18"/>
                <w:szCs w:val="18"/>
              </w:rPr>
            </w:pPr>
            <w:r>
              <w:rPr>
                <w:rFonts w:ascii="Times New Roman"/>
                <w:sz w:val="18"/>
              </w:rPr>
              <w:t>14,624,081</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浙江广杰投资管理有限公司</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10,462,555</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233" w:right="0"/>
              <w:jc w:val="left"/>
              <w:rPr>
                <w:rFonts w:ascii="Times New Roman" w:hAnsi="Times New Roman" w:cs="Times New Roman" w:eastAsia="Times New Roman" w:hint="default"/>
                <w:sz w:val="18"/>
                <w:szCs w:val="18"/>
              </w:rPr>
            </w:pPr>
            <w:r>
              <w:rPr>
                <w:rFonts w:ascii="Times New Roman"/>
                <w:sz w:val="18"/>
              </w:rPr>
              <w:t>10,462,555</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潘文波</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5,384,100</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left="321" w:right="0"/>
              <w:jc w:val="left"/>
              <w:rPr>
                <w:rFonts w:ascii="Times New Roman" w:hAnsi="Times New Roman" w:cs="Times New Roman" w:eastAsia="Times New Roman" w:hint="default"/>
                <w:sz w:val="18"/>
                <w:szCs w:val="18"/>
              </w:rPr>
            </w:pPr>
            <w:r>
              <w:rPr>
                <w:rFonts w:ascii="Times New Roman"/>
                <w:sz w:val="18"/>
              </w:rPr>
              <w:t>5,384,100</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蔡宏毅</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4,565,000</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left="321" w:right="0"/>
              <w:jc w:val="left"/>
              <w:rPr>
                <w:rFonts w:ascii="Times New Roman" w:hAnsi="Times New Roman" w:cs="Times New Roman" w:eastAsia="Times New Roman" w:hint="default"/>
                <w:sz w:val="18"/>
                <w:szCs w:val="18"/>
              </w:rPr>
            </w:pPr>
            <w:r>
              <w:rPr>
                <w:rFonts w:ascii="Times New Roman"/>
                <w:sz w:val="18"/>
              </w:rPr>
              <w:t>4,565,000</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翁波</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4,330,000</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left="321" w:right="0"/>
              <w:jc w:val="left"/>
              <w:rPr>
                <w:rFonts w:ascii="Times New Roman" w:hAnsi="Times New Roman" w:cs="Times New Roman" w:eastAsia="Times New Roman" w:hint="default"/>
                <w:sz w:val="18"/>
                <w:szCs w:val="18"/>
              </w:rPr>
            </w:pPr>
            <w:r>
              <w:rPr>
                <w:rFonts w:ascii="Times New Roman"/>
                <w:sz w:val="18"/>
              </w:rPr>
              <w:t>4,330,000</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阿布达比投资局</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3,078,400</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left="321" w:right="0"/>
              <w:jc w:val="left"/>
              <w:rPr>
                <w:rFonts w:ascii="Times New Roman" w:hAnsi="Times New Roman" w:cs="Times New Roman" w:eastAsia="Times New Roman" w:hint="default"/>
                <w:sz w:val="18"/>
                <w:szCs w:val="18"/>
              </w:rPr>
            </w:pPr>
            <w:r>
              <w:rPr>
                <w:rFonts w:ascii="Times New Roman"/>
                <w:sz w:val="18"/>
              </w:rPr>
              <w:t>3,078,400</w:t>
            </w:r>
          </w:p>
        </w:tc>
      </w:tr>
      <w:tr>
        <w:trPr>
          <w:trHeight w:val="322" w:hRule="exact"/>
        </w:trPr>
        <w:tc>
          <w:tcPr>
            <w:tcW w:w="2881" w:type="dxa"/>
            <w:gridSpan w:val="2"/>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毕志力</w:t>
            </w:r>
          </w:p>
        </w:tc>
        <w:tc>
          <w:tcPr>
            <w:tcW w:w="429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2,617,800</w:t>
            </w:r>
          </w:p>
        </w:tc>
        <w:tc>
          <w:tcPr>
            <w:tcW w:w="13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55"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left="321" w:right="0"/>
              <w:jc w:val="left"/>
              <w:rPr>
                <w:rFonts w:ascii="Times New Roman" w:hAnsi="Times New Roman" w:cs="Times New Roman" w:eastAsia="Times New Roman" w:hint="default"/>
                <w:sz w:val="18"/>
                <w:szCs w:val="18"/>
              </w:rPr>
            </w:pPr>
            <w:r>
              <w:rPr>
                <w:rFonts w:ascii="Times New Roman"/>
                <w:sz w:val="18"/>
              </w:rPr>
              <w:t>2,617,800</w:t>
            </w:r>
          </w:p>
        </w:tc>
      </w:tr>
      <w:tr>
        <w:trPr>
          <w:trHeight w:val="1268" w:hRule="exact"/>
        </w:trPr>
        <w:tc>
          <w:tcPr>
            <w:tcW w:w="2881" w:type="dxa"/>
            <w:gridSpan w:val="2"/>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w:t>
            </w:r>
          </w:p>
          <w:p>
            <w:pPr>
              <w:pStyle w:val="TableParagraph"/>
              <w:spacing w:line="240" w:lineRule="auto" w:before="63"/>
              <w:ind w:left="92" w:right="0"/>
              <w:jc w:val="left"/>
              <w:rPr>
                <w:rFonts w:ascii="宋体" w:hAnsi="宋体" w:cs="宋体" w:eastAsia="宋体" w:hint="default"/>
                <w:sz w:val="18"/>
                <w:szCs w:val="18"/>
              </w:rPr>
            </w:pPr>
            <w:r>
              <w:rPr>
                <w:rFonts w:ascii="宋体" w:hAnsi="宋体" w:cs="宋体" w:eastAsia="宋体" w:hint="default"/>
                <w:sz w:val="18"/>
                <w:szCs w:val="18"/>
              </w:rPr>
              <w:t>以及前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名无限售流通股股东和</w:t>
            </w:r>
          </w:p>
          <w:p>
            <w:pPr>
              <w:pStyle w:val="TableParagraph"/>
              <w:spacing w:line="300" w:lineRule="auto" w:before="63"/>
              <w:ind w:left="92" w:right="156"/>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名股东之间关联关系或一致 行动的说明</w:t>
            </w:r>
          </w:p>
        </w:tc>
        <w:tc>
          <w:tcPr>
            <w:tcW w:w="6783" w:type="dxa"/>
            <w:gridSpan w:val="9"/>
            <w:tcBorders>
              <w:top w:val="single" w:sz="4" w:space="0" w:color="000000"/>
              <w:left w:val="single" w:sz="4"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93"/>
              <w:jc w:val="left"/>
              <w:rPr>
                <w:rFonts w:ascii="宋体" w:hAnsi="宋体" w:cs="宋体" w:eastAsia="宋体" w:hint="default"/>
                <w:sz w:val="18"/>
                <w:szCs w:val="18"/>
              </w:rPr>
            </w:pPr>
            <w:r>
              <w:rPr>
                <w:rFonts w:ascii="宋体" w:hAnsi="宋体" w:cs="宋体" w:eastAsia="宋体" w:hint="default"/>
                <w:sz w:val="18"/>
                <w:szCs w:val="18"/>
              </w:rPr>
              <w:t>智能科技集团、张德生（实际控制人）、陆珍玉（实际控制人之配偶）构成一致行 动关系。除此之外，公司未知前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名股东之间是否存在关联关系，也未知是否存在</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《上市公司收购管理办法》中规定的一致行动人的情况。</w:t>
            </w:r>
          </w:p>
        </w:tc>
      </w:tr>
    </w:tbl>
    <w:p>
      <w:pPr>
        <w:spacing w:before="52"/>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名无限售条件普通股股东在报告期内是否进行约定购回交易</w:t>
      </w:r>
    </w:p>
    <w:p>
      <w:pPr>
        <w:spacing w:before="101"/>
        <w:ind w:left="132" w:right="1164"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before="117"/>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3"/>
        <w:rPr>
          <w:rFonts w:ascii="宋体" w:hAnsi="宋体" w:cs="宋体" w:eastAsia="宋体" w:hint="default"/>
          <w:sz w:val="25"/>
          <w:szCs w:val="25"/>
        </w:rPr>
      </w:pPr>
    </w:p>
    <w:p>
      <w:pPr>
        <w:spacing w:before="0"/>
        <w:ind w:left="132" w:right="1164" w:firstLine="0"/>
        <w:jc w:val="left"/>
        <w:rPr>
          <w:rFonts w:ascii="宋体" w:hAnsi="宋体" w:cs="宋体" w:eastAsia="宋体" w:hint="default"/>
          <w:sz w:val="21"/>
          <w:szCs w:val="21"/>
        </w:rPr>
      </w:pPr>
      <w:bookmarkStart w:name="2、公司控股股东情况" w:id="114"/>
      <w:bookmarkEnd w:id="11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、公司控股股东情况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w:t>
      </w:r>
    </w:p>
    <w:p>
      <w:pPr>
        <w:spacing w:after="0"/>
        <w:jc w:val="left"/>
        <w:rPr>
          <w:rFonts w:ascii="宋体" w:hAnsi="宋体" w:cs="宋体" w:eastAsia="宋体" w:hint="default"/>
          <w:sz w:val="18"/>
          <w:szCs w:val="18"/>
        </w:rPr>
        <w:sectPr>
          <w:footerReference w:type="default" r:id="rId33"/>
          <w:pgSz w:w="11910" w:h="16840"/>
          <w:pgMar w:footer="1053" w:header="890" w:top="1480" w:bottom="1240" w:left="1000" w:right="0"/>
          <w:pgNumType w:start="50"/>
        </w:sectPr>
      </w:pPr>
    </w:p>
    <w:p>
      <w:pPr>
        <w:spacing w:before="66"/>
        <w:ind w:left="132" w:right="1164" w:firstLine="0"/>
        <w:jc w:val="left"/>
        <w:rPr>
          <w:rFonts w:ascii="宋体" w:hAnsi="宋体" w:cs="宋体" w:eastAsia="宋体" w:hint="default"/>
          <w:sz w:val="18"/>
          <w:szCs w:val="18"/>
        </w:rPr>
      </w:pPr>
      <w:r>
        <w:rPr>
          <w:rFonts w:ascii="宋体" w:hAnsi="宋体" w:cs="宋体" w:eastAsia="宋体" w:hint="default"/>
          <w:sz w:val="18"/>
          <w:szCs w:val="18"/>
        </w:rPr>
        <w:t>控股股东类型：法人</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104"/>
        <w:gridCol w:w="1365"/>
        <w:gridCol w:w="1730"/>
        <w:gridCol w:w="2120"/>
        <w:gridCol w:w="2249"/>
      </w:tblGrid>
      <w:tr>
        <w:trPr>
          <w:trHeight w:val="644" w:hRule="exact"/>
        </w:trPr>
        <w:tc>
          <w:tcPr>
            <w:tcW w:w="2104"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控股股东名称</w:t>
            </w:r>
          </w:p>
        </w:tc>
        <w:tc>
          <w:tcPr>
            <w:tcW w:w="136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12"/>
              <w:ind w:left="316" w:right="110" w:hanging="204"/>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 位负责人</w:t>
            </w:r>
          </w:p>
        </w:tc>
        <w:tc>
          <w:tcPr>
            <w:tcW w:w="173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212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14"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2249"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318" w:hRule="exact"/>
        </w:trPr>
        <w:tc>
          <w:tcPr>
            <w:tcW w:w="2104" w:type="dxa"/>
            <w:tcBorders>
              <w:top w:val="single" w:sz="4" w:space="0" w:color="000000"/>
              <w:left w:val="single" w:sz="12" w:space="0" w:color="000000"/>
              <w:bottom w:val="nil" w:sz="6" w:space="0" w:color="auto"/>
              <w:right w:val="single" w:sz="4" w:space="0" w:color="000000"/>
            </w:tcBorders>
          </w:tcPr>
          <w:p>
            <w:pPr/>
          </w:p>
        </w:tc>
        <w:tc>
          <w:tcPr>
            <w:tcW w:w="1365" w:type="dxa"/>
            <w:tcBorders>
              <w:top w:val="single" w:sz="4" w:space="0" w:color="000000"/>
              <w:left w:val="single" w:sz="4" w:space="0" w:color="000000"/>
              <w:bottom w:val="nil" w:sz="6" w:space="0" w:color="auto"/>
              <w:right w:val="single" w:sz="4" w:space="0" w:color="000000"/>
            </w:tcBorders>
          </w:tcPr>
          <w:p>
            <w:pPr/>
          </w:p>
        </w:tc>
        <w:tc>
          <w:tcPr>
            <w:tcW w:w="1730" w:type="dxa"/>
            <w:tcBorders>
              <w:top w:val="single" w:sz="4" w:space="0" w:color="000000"/>
              <w:left w:val="single" w:sz="4" w:space="0" w:color="000000"/>
              <w:bottom w:val="nil" w:sz="6" w:space="0" w:color="auto"/>
              <w:right w:val="single" w:sz="4" w:space="0" w:color="000000"/>
            </w:tcBorders>
          </w:tcPr>
          <w:p>
            <w:pPr/>
          </w:p>
        </w:tc>
        <w:tc>
          <w:tcPr>
            <w:tcW w:w="2120" w:type="dxa"/>
            <w:tcBorders>
              <w:top w:val="single" w:sz="4" w:space="0" w:color="000000"/>
              <w:left w:val="single" w:sz="4" w:space="0" w:color="000000"/>
              <w:bottom w:val="nil" w:sz="6" w:space="0" w:color="auto"/>
              <w:right w:val="single" w:sz="4" w:space="0" w:color="000000"/>
            </w:tcBorders>
          </w:tcPr>
          <w:p>
            <w:pPr/>
          </w:p>
        </w:tc>
        <w:tc>
          <w:tcPr>
            <w:tcW w:w="2249" w:type="dxa"/>
            <w:tcBorders>
              <w:top w:val="single" w:sz="4" w:space="0" w:color="000000"/>
              <w:left w:val="single" w:sz="4" w:space="0" w:color="000000"/>
              <w:bottom w:val="nil" w:sz="6" w:space="0" w:color="auto"/>
              <w:right w:val="single" w:sz="12" w:space="0" w:color="000000"/>
            </w:tcBorders>
          </w:tcPr>
          <w:p>
            <w:pPr>
              <w:pStyle w:val="TableParagraph"/>
              <w:spacing w:line="240" w:lineRule="auto" w:before="11"/>
              <w:ind w:right="41"/>
              <w:jc w:val="center"/>
              <w:rPr>
                <w:rFonts w:ascii="宋体" w:hAnsi="宋体" w:cs="宋体" w:eastAsia="宋体" w:hint="default"/>
                <w:sz w:val="18"/>
                <w:szCs w:val="18"/>
              </w:rPr>
            </w:pPr>
            <w:r>
              <w:rPr>
                <w:rFonts w:ascii="宋体" w:hAnsi="宋体" w:cs="宋体" w:eastAsia="宋体" w:hint="default"/>
                <w:sz w:val="18"/>
                <w:szCs w:val="18"/>
              </w:rPr>
              <w:t>实业投资；研发、销售：</w:t>
            </w:r>
          </w:p>
        </w:tc>
      </w:tr>
      <w:tr>
        <w:trPr>
          <w:trHeight w:val="628" w:hRule="exact"/>
        </w:trPr>
        <w:tc>
          <w:tcPr>
            <w:tcW w:w="2104" w:type="dxa"/>
            <w:tcBorders>
              <w:top w:val="nil" w:sz="6" w:space="0" w:color="auto"/>
              <w:left w:val="single" w:sz="12" w:space="0" w:color="000000"/>
              <w:bottom w:val="nil" w:sz="6" w:space="0" w:color="auto"/>
              <w:right w:val="single" w:sz="4" w:space="0" w:color="000000"/>
            </w:tcBorders>
          </w:tcPr>
          <w:p>
            <w:pPr>
              <w:pStyle w:val="TableParagraph"/>
              <w:spacing w:line="316" w:lineRule="auto" w:before="10"/>
              <w:ind w:left="92" w:right="190"/>
              <w:jc w:val="left"/>
              <w:rPr>
                <w:rFonts w:ascii="宋体" w:hAnsi="宋体" w:cs="宋体" w:eastAsia="宋体" w:hint="default"/>
                <w:sz w:val="18"/>
                <w:szCs w:val="18"/>
              </w:rPr>
            </w:pPr>
            <w:r>
              <w:rPr>
                <w:rFonts w:ascii="宋体" w:hAnsi="宋体" w:cs="宋体" w:eastAsia="宋体" w:hint="default"/>
                <w:sz w:val="18"/>
                <w:szCs w:val="18"/>
              </w:rPr>
              <w:t>浙江万马智能科技集团 有限公司</w:t>
            </w:r>
          </w:p>
        </w:tc>
        <w:tc>
          <w:tcPr>
            <w:tcW w:w="136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173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6"/>
              <w:jc w:val="center"/>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统一社会信用代码：</w:t>
            </w:r>
          </w:p>
          <w:p>
            <w:pPr>
              <w:pStyle w:val="TableParagraph"/>
              <w:spacing w:line="240" w:lineRule="auto" w:before="116"/>
              <w:ind w:left="103" w:right="0"/>
              <w:jc w:val="left"/>
              <w:rPr>
                <w:rFonts w:ascii="Times New Roman" w:hAnsi="Times New Roman" w:cs="Times New Roman" w:eastAsia="Times New Roman" w:hint="default"/>
                <w:sz w:val="18"/>
                <w:szCs w:val="18"/>
              </w:rPr>
            </w:pPr>
            <w:r>
              <w:rPr>
                <w:rFonts w:ascii="Times New Roman"/>
                <w:sz w:val="18"/>
              </w:rPr>
              <w:t>91330185704312491N</w:t>
            </w:r>
          </w:p>
        </w:tc>
        <w:tc>
          <w:tcPr>
            <w:tcW w:w="2249" w:type="dxa"/>
            <w:tcBorders>
              <w:top w:val="nil" w:sz="6" w:space="0" w:color="auto"/>
              <w:left w:val="single" w:sz="4" w:space="0" w:color="000000"/>
              <w:bottom w:val="nil" w:sz="6" w:space="0" w:color="auto"/>
              <w:right w:val="single" w:sz="12" w:space="0" w:color="000000"/>
            </w:tcBorders>
          </w:tcPr>
          <w:p>
            <w:pPr>
              <w:pStyle w:val="TableParagraph"/>
              <w:spacing w:line="316" w:lineRule="auto" w:before="10"/>
              <w:ind w:left="103" w:right="144"/>
              <w:jc w:val="left"/>
              <w:rPr>
                <w:rFonts w:ascii="宋体" w:hAnsi="宋体" w:cs="宋体" w:eastAsia="宋体" w:hint="default"/>
                <w:sz w:val="18"/>
                <w:szCs w:val="18"/>
              </w:rPr>
            </w:pPr>
            <w:r>
              <w:rPr>
                <w:rFonts w:ascii="宋体" w:hAnsi="宋体" w:cs="宋体" w:eastAsia="宋体" w:hint="default"/>
                <w:sz w:val="18"/>
                <w:szCs w:val="18"/>
              </w:rPr>
              <w:t>电力设备、器材，橡塑制 品、橡胶及制品、机械设</w:t>
            </w:r>
          </w:p>
        </w:tc>
      </w:tr>
      <w:tr>
        <w:trPr>
          <w:trHeight w:val="312" w:hRule="exact"/>
        </w:trPr>
        <w:tc>
          <w:tcPr>
            <w:tcW w:w="2104" w:type="dxa"/>
            <w:tcBorders>
              <w:top w:val="nil" w:sz="6" w:space="0" w:color="auto"/>
              <w:left w:val="single" w:sz="12" w:space="0" w:color="000000"/>
              <w:bottom w:val="single" w:sz="4" w:space="0" w:color="000000"/>
              <w:right w:val="single" w:sz="4" w:space="0" w:color="000000"/>
            </w:tcBorders>
          </w:tcPr>
          <w:p>
            <w:pPr/>
          </w:p>
        </w:tc>
        <w:tc>
          <w:tcPr>
            <w:tcW w:w="1365" w:type="dxa"/>
            <w:tcBorders>
              <w:top w:val="nil" w:sz="6" w:space="0" w:color="auto"/>
              <w:left w:val="single" w:sz="4" w:space="0" w:color="000000"/>
              <w:bottom w:val="single" w:sz="4" w:space="0" w:color="000000"/>
              <w:right w:val="single" w:sz="4" w:space="0" w:color="000000"/>
            </w:tcBorders>
          </w:tcPr>
          <w:p>
            <w:pPr/>
          </w:p>
        </w:tc>
        <w:tc>
          <w:tcPr>
            <w:tcW w:w="1730" w:type="dxa"/>
            <w:tcBorders>
              <w:top w:val="nil" w:sz="6" w:space="0" w:color="auto"/>
              <w:left w:val="single" w:sz="4" w:space="0" w:color="000000"/>
              <w:bottom w:val="single" w:sz="4" w:space="0" w:color="000000"/>
              <w:right w:val="single" w:sz="4" w:space="0" w:color="000000"/>
            </w:tcBorders>
          </w:tcPr>
          <w:p>
            <w:pPr/>
          </w:p>
        </w:tc>
        <w:tc>
          <w:tcPr>
            <w:tcW w:w="2120" w:type="dxa"/>
            <w:tcBorders>
              <w:top w:val="nil" w:sz="6" w:space="0" w:color="auto"/>
              <w:left w:val="single" w:sz="4" w:space="0" w:color="000000"/>
              <w:bottom w:val="single" w:sz="4" w:space="0" w:color="000000"/>
              <w:right w:val="single" w:sz="4" w:space="0" w:color="000000"/>
            </w:tcBorders>
          </w:tcPr>
          <w:p>
            <w:pPr/>
          </w:p>
        </w:tc>
        <w:tc>
          <w:tcPr>
            <w:tcW w:w="2249" w:type="dxa"/>
            <w:tcBorders>
              <w:top w:val="nil" w:sz="6" w:space="0" w:color="auto"/>
              <w:left w:val="single" w:sz="4" w:space="0" w:color="000000"/>
              <w:bottom w:val="single" w:sz="4" w:space="0" w:color="000000"/>
              <w:right w:val="single" w:sz="12" w:space="0" w:color="000000"/>
            </w:tcBorders>
          </w:tcPr>
          <w:p>
            <w:pPr>
              <w:pStyle w:val="TableParagraph"/>
              <w:spacing w:line="240" w:lineRule="auto" w:before="6"/>
              <w:ind w:right="41"/>
              <w:jc w:val="center"/>
              <w:rPr>
                <w:rFonts w:ascii="宋体" w:hAnsi="宋体" w:cs="宋体" w:eastAsia="宋体" w:hint="default"/>
                <w:sz w:val="18"/>
                <w:szCs w:val="18"/>
              </w:rPr>
            </w:pPr>
            <w:r>
              <w:rPr>
                <w:rFonts w:ascii="宋体" w:hAnsi="宋体" w:cs="宋体" w:eastAsia="宋体" w:hint="default"/>
                <w:sz w:val="18"/>
                <w:szCs w:val="18"/>
              </w:rPr>
              <w:t>备、化工产品及原料等。</w:t>
            </w:r>
          </w:p>
        </w:tc>
      </w:tr>
      <w:tr>
        <w:trPr>
          <w:trHeight w:val="318" w:hRule="exact"/>
        </w:trPr>
        <w:tc>
          <w:tcPr>
            <w:tcW w:w="2104" w:type="dxa"/>
            <w:tcBorders>
              <w:top w:val="single" w:sz="4" w:space="0" w:color="000000"/>
              <w:left w:val="single" w:sz="12" w:space="0" w:color="000000"/>
              <w:bottom w:val="nil" w:sz="6" w:space="0" w:color="auto"/>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控股股东报告期内控股</w:t>
            </w:r>
          </w:p>
        </w:tc>
        <w:tc>
          <w:tcPr>
            <w:tcW w:w="7464" w:type="dxa"/>
            <w:gridSpan w:val="4"/>
            <w:tcBorders>
              <w:top w:val="single" w:sz="4" w:space="0" w:color="000000"/>
              <w:left w:val="single" w:sz="4" w:space="0" w:color="000000"/>
              <w:bottom w:val="nil" w:sz="6" w:space="0" w:color="auto"/>
              <w:right w:val="single" w:sz="12"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截至报告期末，智能科技集团及其一致行动人张德生（实际控制人）、张珊珊（实际控制人</w:t>
            </w:r>
          </w:p>
        </w:tc>
      </w:tr>
      <w:tr>
        <w:trPr>
          <w:trHeight w:val="312" w:hRule="exact"/>
        </w:trPr>
        <w:tc>
          <w:tcPr>
            <w:tcW w:w="2104" w:type="dxa"/>
            <w:tcBorders>
              <w:top w:val="nil" w:sz="6" w:space="0" w:color="auto"/>
              <w:left w:val="single" w:sz="12" w:space="0" w:color="000000"/>
              <w:bottom w:val="nil" w:sz="6" w:space="0" w:color="auto"/>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和参股的其他境内外上</w:t>
            </w:r>
          </w:p>
        </w:tc>
        <w:tc>
          <w:tcPr>
            <w:tcW w:w="7464" w:type="dxa"/>
            <w:gridSpan w:val="4"/>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之女）合计持有创业板上市公司万马科技股份有限公司（股票简称：万马科技，股票代码：</w:t>
            </w:r>
          </w:p>
        </w:tc>
      </w:tr>
      <w:tr>
        <w:trPr>
          <w:trHeight w:val="326" w:hRule="exact"/>
        </w:trPr>
        <w:tc>
          <w:tcPr>
            <w:tcW w:w="2104" w:type="dxa"/>
            <w:tcBorders>
              <w:top w:val="nil" w:sz="6" w:space="0" w:color="auto"/>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市公司的股权情况</w:t>
            </w:r>
          </w:p>
        </w:tc>
        <w:tc>
          <w:tcPr>
            <w:tcW w:w="7464" w:type="dxa"/>
            <w:gridSpan w:val="4"/>
            <w:tcBorders>
              <w:top w:val="nil" w:sz="6" w:space="0" w:color="auto"/>
              <w:left w:val="single" w:sz="4" w:space="0" w:color="000000"/>
              <w:bottom w:val="single" w:sz="12"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300698</w:t>
            </w:r>
            <w:r>
              <w:rPr>
                <w:rFonts w:ascii="宋体" w:hAnsi="宋体" w:cs="宋体" w:eastAsia="宋体" w:hint="default"/>
                <w:sz w:val="18"/>
                <w:szCs w:val="18"/>
              </w:rPr>
              <w:t>）</w:t>
            </w:r>
            <w:r>
              <w:rPr>
                <w:rFonts w:ascii="Times New Roman" w:hAnsi="Times New Roman" w:cs="Times New Roman" w:eastAsia="Times New Roman" w:hint="default"/>
                <w:sz w:val="18"/>
                <w:szCs w:val="18"/>
              </w:rPr>
              <w:t>4,475.89 </w:t>
            </w:r>
            <w:r>
              <w:rPr>
                <w:rFonts w:ascii="宋体" w:hAnsi="宋体" w:cs="宋体" w:eastAsia="宋体" w:hint="default"/>
                <w:sz w:val="18"/>
                <w:szCs w:val="18"/>
              </w:rPr>
              <w:t>万股，占万马科技总股本</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33.40%</w:t>
            </w:r>
            <w:r>
              <w:rPr>
                <w:rFonts w:ascii="宋体" w:hAnsi="宋体" w:cs="宋体" w:eastAsia="宋体" w:hint="default"/>
                <w:sz w:val="18"/>
                <w:szCs w:val="18"/>
              </w:rPr>
              <w:t>。</w:t>
            </w:r>
          </w:p>
        </w:tc>
      </w:tr>
    </w:tbl>
    <w:p>
      <w:pPr>
        <w:spacing w:before="51"/>
        <w:ind w:left="132" w:right="1164"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57" w:lineRule="auto" w:before="117"/>
        <w:ind w:left="132" w:right="6794"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公司报告期控股股东未发生变更。</w:t>
      </w:r>
    </w:p>
    <w:p>
      <w:pPr>
        <w:spacing w:line="240" w:lineRule="auto" w:before="3"/>
        <w:rPr>
          <w:rFonts w:ascii="宋体" w:hAnsi="宋体" w:cs="宋体" w:eastAsia="宋体" w:hint="default"/>
          <w:sz w:val="20"/>
          <w:szCs w:val="20"/>
        </w:rPr>
      </w:pPr>
    </w:p>
    <w:p>
      <w:pPr>
        <w:spacing w:before="0"/>
        <w:ind w:left="132" w:right="1164" w:firstLine="0"/>
        <w:jc w:val="left"/>
        <w:rPr>
          <w:rFonts w:ascii="宋体" w:hAnsi="宋体" w:cs="宋体" w:eastAsia="宋体" w:hint="default"/>
          <w:sz w:val="21"/>
          <w:szCs w:val="21"/>
        </w:rPr>
      </w:pPr>
      <w:bookmarkStart w:name="3、公司实际控制人及其一致行动人" w:id="115"/>
      <w:bookmarkEnd w:id="11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、公司实际控制人及其一致行动人</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360" w:lineRule="auto" w:before="0"/>
        <w:ind w:left="132" w:right="8414"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tbl>
      <w:tblPr>
        <w:tblW w:w="0" w:type="auto"/>
        <w:jc w:val="left"/>
        <w:tblInd w:w="119" w:type="dxa"/>
        <w:tblLayout w:type="fixed"/>
        <w:tblCellMar>
          <w:top w:w="0" w:type="dxa"/>
          <w:left w:w="0" w:type="dxa"/>
          <w:bottom w:w="0" w:type="dxa"/>
          <w:right w:w="0" w:type="dxa"/>
        </w:tblCellMar>
        <w:tblLook w:val="01E0"/>
      </w:tblPr>
      <w:tblGrid>
        <w:gridCol w:w="2216"/>
        <w:gridCol w:w="3435"/>
        <w:gridCol w:w="1525"/>
        <w:gridCol w:w="2392"/>
      </w:tblGrid>
      <w:tr>
        <w:trPr>
          <w:trHeight w:val="644" w:hRule="exact"/>
        </w:trPr>
        <w:tc>
          <w:tcPr>
            <w:tcW w:w="2216"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64"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343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91"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152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316" w:lineRule="auto" w:before="12"/>
              <w:ind w:left="1011" w:right="99"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322" w:hRule="exact"/>
        </w:trPr>
        <w:tc>
          <w:tcPr>
            <w:tcW w:w="221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21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张珊珊</w:t>
            </w:r>
          </w:p>
        </w:tc>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一致行动（含协议、亲属、同一控制）</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21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陆珍玉</w:t>
            </w:r>
          </w:p>
        </w:tc>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一致行动（含协议、亲属、同一控制）</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21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张禾阳</w:t>
            </w:r>
          </w:p>
        </w:tc>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一致行动（含协议、亲属、同一控制）</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46" w:hRule="exact"/>
        </w:trPr>
        <w:tc>
          <w:tcPr>
            <w:tcW w:w="2216"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352" w:type="dxa"/>
            <w:gridSpan w:val="3"/>
            <w:tcBorders>
              <w:top w:val="single" w:sz="4" w:space="0" w:color="000000"/>
              <w:left w:val="single" w:sz="4" w:space="0" w:color="000000"/>
              <w:bottom w:val="single" w:sz="4" w:space="0" w:color="000000"/>
              <w:right w:val="single" w:sz="12" w:space="0" w:color="000000"/>
            </w:tcBorders>
          </w:tcPr>
          <w:p>
            <w:pPr>
              <w:pStyle w:val="TableParagraph"/>
              <w:spacing w:line="300" w:lineRule="auto" w:before="12"/>
              <w:ind w:left="103" w:right="161"/>
              <w:jc w:val="both"/>
              <w:rPr>
                <w:rFonts w:ascii="宋体" w:hAnsi="宋体" w:cs="宋体" w:eastAsia="宋体" w:hint="default"/>
                <w:sz w:val="18"/>
                <w:szCs w:val="18"/>
              </w:rPr>
            </w:pPr>
            <w:r>
              <w:rPr>
                <w:rFonts w:ascii="宋体" w:hAnsi="宋体" w:cs="宋体" w:eastAsia="宋体" w:hint="default"/>
                <w:sz w:val="18"/>
                <w:szCs w:val="18"/>
              </w:rPr>
              <w:t>张德生：</w:t>
            </w:r>
            <w:r>
              <w:rPr>
                <w:rFonts w:ascii="Times New Roman" w:hAnsi="Times New Roman" w:cs="Times New Roman" w:eastAsia="Times New Roman" w:hint="default"/>
                <w:sz w:val="18"/>
                <w:szCs w:val="18"/>
              </w:rPr>
              <w:t>1974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年起历任临天乡农机厂副厂长、临天乡标牌厂副厂长、临天乡供销社公司经 理；</w:t>
            </w:r>
            <w:r>
              <w:rPr>
                <w:rFonts w:ascii="Times New Roman" w:hAnsi="Times New Roman" w:cs="Times New Roman" w:eastAsia="Times New Roman" w:hint="default"/>
                <w:sz w:val="18"/>
                <w:szCs w:val="18"/>
              </w:rPr>
              <w:t>1989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年起创业，逐步发展壮大。最近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年内一直担任万马联合控股集团有限公司董事 长。</w:t>
            </w:r>
          </w:p>
        </w:tc>
      </w:tr>
      <w:tr>
        <w:trPr>
          <w:trHeight w:val="644" w:hRule="exact"/>
        </w:trPr>
        <w:tc>
          <w:tcPr>
            <w:tcW w:w="2216"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300" w:lineRule="auto" w:before="11"/>
              <w:ind w:left="92" w:right="211"/>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 外上市公司情况</w:t>
            </w:r>
          </w:p>
        </w:tc>
        <w:tc>
          <w:tcPr>
            <w:tcW w:w="7352" w:type="dxa"/>
            <w:gridSpan w:val="3"/>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4"/>
                <w:sz w:val="18"/>
                <w:szCs w:val="18"/>
              </w:rPr>
              <w:t>张德生先生直接持有万马科技（</w:t>
            </w:r>
            <w:r>
              <w:rPr>
                <w:rFonts w:ascii="Times New Roman" w:hAnsi="Times New Roman" w:cs="Times New Roman" w:eastAsia="Times New Roman" w:hint="default"/>
                <w:spacing w:val="-4"/>
                <w:sz w:val="18"/>
                <w:szCs w:val="18"/>
              </w:rPr>
              <w:t>300698</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30.75%</w:t>
            </w:r>
            <w:r>
              <w:rPr>
                <w:rFonts w:ascii="宋体" w:hAnsi="宋体" w:cs="宋体" w:eastAsia="宋体" w:hint="default"/>
                <w:spacing w:val="-4"/>
                <w:sz w:val="18"/>
                <w:szCs w:val="18"/>
              </w:rPr>
              <w:t>的股份，为万马科技控股股东、实际控制人。</w:t>
            </w:r>
          </w:p>
        </w:tc>
      </w:tr>
    </w:tbl>
    <w:p>
      <w:pPr>
        <w:spacing w:before="67"/>
        <w:ind w:left="132" w:right="1164"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57" w:lineRule="auto" w:before="117"/>
        <w:ind w:left="132" w:right="6794"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公司报告期实际控制人未发生变更。 公司与实际控制人之间的产权及控制关系的方框图</w:t>
      </w:r>
    </w:p>
    <w:p>
      <w:pPr>
        <w:spacing w:after="0" w:line="357" w:lineRule="auto"/>
        <w:jc w:val="left"/>
        <w:rPr>
          <w:rFonts w:ascii="宋体" w:hAnsi="宋体" w:cs="宋体" w:eastAsia="宋体" w:hint="default"/>
          <w:sz w:val="18"/>
          <w:szCs w:val="18"/>
        </w:rPr>
        <w:sectPr>
          <w:pgSz w:w="11910" w:h="16840"/>
          <w:pgMar w:header="890" w:footer="1053" w:top="1420" w:bottom="1240" w:left="1000" w:right="0"/>
        </w:sectPr>
      </w:pPr>
    </w:p>
    <w:p>
      <w:pPr>
        <w:spacing w:line="240" w:lineRule="auto" w:before="4"/>
        <w:rPr>
          <w:rFonts w:ascii="宋体" w:hAnsi="宋体" w:cs="宋体" w:eastAsia="宋体" w:hint="default"/>
          <w:sz w:val="14"/>
          <w:szCs w:val="14"/>
        </w:rPr>
      </w:pPr>
    </w:p>
    <w:p>
      <w:pPr>
        <w:spacing w:line="3494" w:lineRule="exact"/>
        <w:ind w:left="895" w:right="0" w:firstLine="0"/>
        <w:rPr>
          <w:rFonts w:ascii="宋体" w:hAnsi="宋体" w:cs="宋体" w:eastAsia="宋体" w:hint="default"/>
          <w:sz w:val="20"/>
          <w:szCs w:val="20"/>
        </w:rPr>
      </w:pPr>
      <w:r>
        <w:rPr>
          <w:rFonts w:ascii="宋体" w:hAnsi="宋体" w:cs="宋体" w:eastAsia="宋体" w:hint="default"/>
          <w:position w:val="-69"/>
          <w:sz w:val="20"/>
          <w:szCs w:val="20"/>
        </w:rPr>
        <w:drawing>
          <wp:inline distT="0" distB="0" distL="0" distR="0">
            <wp:extent cx="5144402" cy="2218944"/>
            <wp:effectExtent l="0" t="0" r="0" b="0"/>
            <wp:docPr id="17" name="image13.jpeg" descr=""/>
            <wp:cNvGraphicFramePr>
              <a:graphicFrameLocks noChangeAspect="1"/>
            </wp:cNvGraphicFramePr>
            <a:graphic>
              <a:graphicData uri="http://schemas.openxmlformats.org/drawingml/2006/picture">
                <pic:pic>
                  <pic:nvPicPr>
                    <pic:cNvPr id="18" name="image13.jpeg"/>
                    <pic:cNvPicPr/>
                  </pic:nvPicPr>
                  <pic:blipFill>
                    <a:blip r:embed="rId34" cstate="print"/>
                    <a:stretch>
                      <a:fillRect/>
                    </a:stretch>
                  </pic:blipFill>
                  <pic:spPr>
                    <a:xfrm>
                      <a:off x="0" y="0"/>
                      <a:ext cx="5144402" cy="2218944"/>
                    </a:xfrm>
                    <a:prstGeom prst="rect">
                      <a:avLst/>
                    </a:prstGeom>
                  </pic:spPr>
                </pic:pic>
              </a:graphicData>
            </a:graphic>
          </wp:inline>
        </w:drawing>
      </w:r>
      <w:r>
        <w:rPr>
          <w:rFonts w:ascii="宋体" w:hAnsi="宋体" w:cs="宋体" w:eastAsia="宋体" w:hint="default"/>
          <w:position w:val="-69"/>
          <w:sz w:val="20"/>
          <w:szCs w:val="20"/>
        </w:rPr>
      </w:r>
    </w:p>
    <w:p>
      <w:pPr>
        <w:spacing w:line="240" w:lineRule="auto" w:before="8"/>
        <w:rPr>
          <w:rFonts w:ascii="宋体" w:hAnsi="宋体" w:cs="宋体" w:eastAsia="宋体" w:hint="default"/>
          <w:sz w:val="19"/>
          <w:szCs w:val="19"/>
        </w:rPr>
      </w:pPr>
    </w:p>
    <w:p>
      <w:pPr>
        <w:pStyle w:val="Heading3"/>
        <w:spacing w:line="240" w:lineRule="auto" w:before="26"/>
        <w:ind w:right="1115"/>
        <w:jc w:val="left"/>
      </w:pPr>
      <w:r>
        <w:rPr/>
        <w:t>实际控制人通过信托或其他资产管理方式控制公司</w:t>
      </w:r>
    </w:p>
    <w:p>
      <w:pPr>
        <w:spacing w:line="240" w:lineRule="auto" w:before="10"/>
        <w:rPr>
          <w:rFonts w:ascii="宋体" w:hAnsi="宋体" w:cs="宋体" w:eastAsia="宋体" w:hint="default"/>
          <w:sz w:val="18"/>
          <w:szCs w:val="18"/>
        </w:rPr>
      </w:pPr>
    </w:p>
    <w:p>
      <w:pPr>
        <w:spacing w:before="0"/>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12" w:right="1115" w:firstLine="0"/>
        <w:jc w:val="left"/>
        <w:rPr>
          <w:rFonts w:ascii="宋体" w:hAnsi="宋体" w:cs="宋体" w:eastAsia="宋体" w:hint="default"/>
          <w:sz w:val="21"/>
          <w:szCs w:val="21"/>
        </w:rPr>
      </w:pPr>
      <w:bookmarkStart w:name="4、其他持股在10%以上的法人股东" w:id="116"/>
      <w:bookmarkEnd w:id="116"/>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、其他持股在</w:t>
      </w:r>
      <w:r>
        <w:rPr>
          <w:rFonts w:ascii="宋体" w:hAnsi="宋体" w:cs="宋体" w:eastAsia="宋体" w:hint="default"/>
          <w:b/>
          <w:bCs/>
          <w:spacing w:val="-60"/>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以上的法人股东</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2" w:right="1115" w:firstLine="0"/>
        <w:jc w:val="left"/>
        <w:rPr>
          <w:rFonts w:ascii="宋体" w:hAnsi="宋体" w:cs="宋体" w:eastAsia="宋体" w:hint="default"/>
          <w:sz w:val="21"/>
          <w:szCs w:val="21"/>
        </w:rPr>
      </w:pPr>
      <w:bookmarkStart w:name="5、控股股东、实际控制人、重组方及其他承诺主体股份限制减持情况" w:id="117"/>
      <w:bookmarkEnd w:id="117"/>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、控股股东、实际控制人、重组方及其他承诺主体股份限制减持情况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90" w:footer="1053" w:top="1420" w:bottom="1240" w:left="102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3328" w:right="1115"/>
        <w:jc w:val="left"/>
        <w:rPr>
          <w:b w:val="0"/>
          <w:bCs w:val="0"/>
        </w:rPr>
      </w:pPr>
      <w:bookmarkStart w:name="第七节优先股相关情况" w:id="118"/>
      <w:bookmarkEnd w:id="118"/>
      <w:r>
        <w:rPr>
          <w:b w:val="0"/>
          <w:bCs w:val="0"/>
        </w:rPr>
      </w:r>
      <w:bookmarkStart w:name="_bookmark6" w:id="119"/>
      <w:bookmarkEnd w:id="119"/>
      <w:r>
        <w:rPr>
          <w:b w:val="0"/>
          <w:bCs w:val="0"/>
        </w:rPr>
      </w:r>
      <w:r>
        <w:rPr/>
        <w:t>第七节优先股相关情况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spacing w:line="360" w:lineRule="auto" w:before="44"/>
        <w:ind w:left="112" w:right="8594" w:firstLine="0"/>
        <w:jc w:val="left"/>
        <w:rPr>
          <w:rFonts w:ascii="宋体" w:hAnsi="宋体" w:cs="宋体" w:eastAsia="宋体" w:hint="default"/>
          <w:sz w:val="18"/>
          <w:szCs w:val="18"/>
        </w:rPr>
      </w:pPr>
      <w:r>
        <w:rPr>
          <w:rFonts w:ascii="宋体" w:hAnsi="宋体" w:cs="宋体" w:eastAsia="宋体" w:hint="default"/>
          <w:sz w:val="18"/>
          <w:szCs w:val="18"/>
        </w:rPr>
        <w:t>□ 适用 √ 不适用 报告期公司不存在优先股。</w:t>
      </w:r>
    </w:p>
    <w:p>
      <w:pPr>
        <w:spacing w:after="0" w:line="360" w:lineRule="auto"/>
        <w:jc w:val="left"/>
        <w:rPr>
          <w:rFonts w:ascii="宋体" w:hAnsi="宋体" w:cs="宋体" w:eastAsia="宋体" w:hint="default"/>
          <w:sz w:val="18"/>
          <w:szCs w:val="18"/>
        </w:rPr>
        <w:sectPr>
          <w:pgSz w:w="11910" w:h="16840"/>
          <w:pgMar w:header="890" w:footer="1053" w:top="1420" w:bottom="1240" w:left="102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2685" w:right="1115"/>
        <w:jc w:val="left"/>
        <w:rPr>
          <w:b w:val="0"/>
          <w:bCs w:val="0"/>
        </w:rPr>
      </w:pPr>
      <w:bookmarkStart w:name="第八节可转换公司债券相关情况" w:id="120"/>
      <w:bookmarkEnd w:id="120"/>
      <w:r>
        <w:rPr>
          <w:b w:val="0"/>
          <w:bCs w:val="0"/>
        </w:rPr>
      </w:r>
      <w:bookmarkStart w:name="_bookmark7" w:id="121"/>
      <w:bookmarkEnd w:id="121"/>
      <w:r>
        <w:rPr>
          <w:b w:val="0"/>
          <w:bCs w:val="0"/>
        </w:rPr>
      </w:r>
      <w:r>
        <w:rPr/>
        <w:t>第八节可转换公司债券相关情况</w:t>
      </w:r>
      <w:r>
        <w:rPr>
          <w:b w:val="0"/>
          <w:bCs w:val="0"/>
        </w:rPr>
      </w:r>
    </w:p>
    <w:p>
      <w:pPr>
        <w:spacing w:line="240" w:lineRule="auto" w:before="6"/>
        <w:rPr>
          <w:rFonts w:ascii="宋体" w:hAnsi="宋体" w:cs="宋体" w:eastAsia="宋体" w:hint="default"/>
          <w:b/>
          <w:bCs/>
          <w:sz w:val="42"/>
          <w:szCs w:val="42"/>
        </w:rPr>
      </w:pPr>
    </w:p>
    <w:p>
      <w:pPr>
        <w:spacing w:line="360" w:lineRule="auto" w:before="0"/>
        <w:ind w:left="112" w:right="7874" w:firstLine="0"/>
        <w:jc w:val="left"/>
        <w:rPr>
          <w:rFonts w:ascii="宋体" w:hAnsi="宋体" w:cs="宋体" w:eastAsia="宋体" w:hint="default"/>
          <w:sz w:val="18"/>
          <w:szCs w:val="18"/>
        </w:rPr>
      </w:pPr>
      <w:r>
        <w:rPr>
          <w:rFonts w:ascii="宋体" w:hAnsi="宋体" w:cs="宋体" w:eastAsia="宋体" w:hint="default"/>
          <w:sz w:val="18"/>
          <w:szCs w:val="18"/>
        </w:rPr>
        <w:t>□ 适用 √ 不适用 报告期公司不存在可转换公司债券。</w:t>
      </w:r>
    </w:p>
    <w:p>
      <w:pPr>
        <w:spacing w:after="0" w:line="360" w:lineRule="auto"/>
        <w:jc w:val="left"/>
        <w:rPr>
          <w:rFonts w:ascii="宋体" w:hAnsi="宋体" w:cs="宋体" w:eastAsia="宋体" w:hint="default"/>
          <w:sz w:val="18"/>
          <w:szCs w:val="18"/>
        </w:rPr>
        <w:sectPr>
          <w:pgSz w:w="11910" w:h="16840"/>
          <w:pgMar w:header="890" w:footer="1053" w:top="1420" w:bottom="1240" w:left="102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1743" w:right="1164"/>
        <w:jc w:val="left"/>
        <w:rPr>
          <w:b w:val="0"/>
          <w:bCs w:val="0"/>
        </w:rPr>
      </w:pPr>
      <w:bookmarkStart w:name="第九节董事、监事、高级管理人员和员工情况" w:id="122"/>
      <w:bookmarkEnd w:id="122"/>
      <w:r>
        <w:rPr>
          <w:b w:val="0"/>
          <w:bCs w:val="0"/>
        </w:rPr>
      </w:r>
      <w:bookmarkStart w:name="_bookmark8" w:id="123"/>
      <w:bookmarkEnd w:id="123"/>
      <w:r>
        <w:rPr>
          <w:b w:val="0"/>
          <w:bCs w:val="0"/>
        </w:rPr>
      </w:r>
      <w:r>
        <w:rPr/>
        <w:t>第九节董事、监事、高级管理人员和员工情况</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1164"/>
        <w:jc w:val="left"/>
        <w:rPr>
          <w:b w:val="0"/>
          <w:bCs w:val="0"/>
        </w:rPr>
      </w:pPr>
      <w:bookmarkStart w:name="一、董事、监事和高级管理人员持股变动" w:id="124"/>
      <w:bookmarkEnd w:id="124"/>
      <w:r>
        <w:rPr>
          <w:b w:val="0"/>
          <w:bCs w:val="0"/>
        </w:rPr>
      </w:r>
      <w:r>
        <w:rPr/>
        <w:t>一、董事、监事和高级管理人员持股变动</w:t>
      </w:r>
      <w:r>
        <w:rPr>
          <w:b w:val="0"/>
          <w:bCs w:val="0"/>
        </w:rPr>
      </w:r>
    </w:p>
    <w:p>
      <w:pPr>
        <w:spacing w:line="240" w:lineRule="auto" w:before="10"/>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798"/>
        <w:gridCol w:w="797"/>
        <w:gridCol w:w="797"/>
        <w:gridCol w:w="797"/>
        <w:gridCol w:w="798"/>
        <w:gridCol w:w="797"/>
        <w:gridCol w:w="798"/>
        <w:gridCol w:w="798"/>
        <w:gridCol w:w="798"/>
        <w:gridCol w:w="798"/>
        <w:gridCol w:w="798"/>
        <w:gridCol w:w="798"/>
      </w:tblGrid>
      <w:tr>
        <w:trPr>
          <w:trHeight w:val="1268" w:hRule="exact"/>
        </w:trPr>
        <w:tc>
          <w:tcPr>
            <w:tcW w:w="798"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05"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任职状 态</w:t>
            </w:r>
          </w:p>
        </w:tc>
        <w:tc>
          <w:tcPr>
            <w:tcW w:w="79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122" w:right="122"/>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79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125" w:right="121"/>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79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215" w:right="122" w:hanging="92"/>
              <w:jc w:val="left"/>
              <w:rPr>
                <w:rFonts w:ascii="宋体" w:hAnsi="宋体" w:cs="宋体" w:eastAsia="宋体" w:hint="default"/>
                <w:sz w:val="18"/>
                <w:szCs w:val="18"/>
              </w:rPr>
            </w:pPr>
            <w:r>
              <w:rPr>
                <w:rFonts w:ascii="宋体" w:hAnsi="宋体" w:cs="宋体" w:eastAsia="宋体" w:hint="default"/>
                <w:sz w:val="18"/>
                <w:szCs w:val="18"/>
              </w:rPr>
              <w:t>期初持 股数</w:t>
            </w:r>
          </w:p>
          <w:p>
            <w:pPr>
              <w:pStyle w:val="TableParagraph"/>
              <w:spacing w:line="240" w:lineRule="auto" w:before="19"/>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25" w:right="121"/>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19"/>
              <w:ind w:left="125"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23" w:right="122"/>
              <w:jc w:val="both"/>
              <w:rPr>
                <w:rFonts w:ascii="宋体" w:hAnsi="宋体" w:cs="宋体" w:eastAsia="宋体" w:hint="default"/>
                <w:sz w:val="18"/>
                <w:szCs w:val="18"/>
              </w:rPr>
            </w:pPr>
            <w:r>
              <w:rPr>
                <w:rFonts w:ascii="宋体" w:hAnsi="宋体" w:cs="宋体" w:eastAsia="宋体" w:hint="default"/>
                <w:sz w:val="18"/>
                <w:szCs w:val="18"/>
              </w:rPr>
              <w:t>本期减 持股份 数量</w:t>
            </w:r>
          </w:p>
          <w:p>
            <w:pPr>
              <w:pStyle w:val="TableParagraph"/>
              <w:spacing w:line="240" w:lineRule="auto" w:before="19"/>
              <w:ind w:left="123"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25" w:right="121"/>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19"/>
              <w:ind w:left="12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215" w:right="112" w:hanging="92"/>
              <w:jc w:val="left"/>
              <w:rPr>
                <w:rFonts w:ascii="宋体" w:hAnsi="宋体" w:cs="宋体" w:eastAsia="宋体" w:hint="default"/>
                <w:sz w:val="18"/>
                <w:szCs w:val="18"/>
              </w:rPr>
            </w:pPr>
            <w:r>
              <w:rPr>
                <w:rFonts w:ascii="宋体" w:hAnsi="宋体" w:cs="宋体" w:eastAsia="宋体" w:hint="default"/>
                <w:sz w:val="18"/>
                <w:szCs w:val="18"/>
              </w:rPr>
              <w:t>期末持 股数</w:t>
            </w:r>
          </w:p>
          <w:p>
            <w:pPr>
              <w:pStyle w:val="TableParagraph"/>
              <w:spacing w:line="240" w:lineRule="auto" w:before="19"/>
              <w:ind w:left="123"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张珊珊</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9,491,3</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20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9,391,3</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20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2"/>
              <w:jc w:val="right"/>
              <w:rPr>
                <w:rFonts w:ascii="Times New Roman" w:hAnsi="Times New Roman" w:cs="Times New Roman" w:eastAsia="Times New Roman" w:hint="default"/>
                <w:sz w:val="18"/>
                <w:szCs w:val="18"/>
              </w:rPr>
            </w:pPr>
            <w:r>
              <w:rPr>
                <w:rFonts w:ascii="Times New Roman"/>
                <w:sz w:val="18"/>
              </w:rPr>
              <w:t>0</w:t>
            </w: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姚伟国</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副董事 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5" w:right="0"/>
              <w:jc w:val="center"/>
              <w:rPr>
                <w:rFonts w:ascii="Times New Roman" w:hAnsi="Times New Roman" w:cs="Times New Roman" w:eastAsia="Times New Roman" w:hint="default"/>
                <w:sz w:val="18"/>
                <w:szCs w:val="18"/>
              </w:rPr>
            </w:pPr>
            <w:r>
              <w:rPr>
                <w:rFonts w:ascii="Times New Roman"/>
                <w:sz w:val="18"/>
              </w:rPr>
              <w:t>110,000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0"/>
              <w:jc w:val="right"/>
              <w:rPr>
                <w:rFonts w:ascii="Times New Roman" w:hAnsi="Times New Roman" w:cs="Times New Roman" w:eastAsia="Times New Roman" w:hint="default"/>
                <w:sz w:val="18"/>
                <w:szCs w:val="18"/>
              </w:rPr>
            </w:pPr>
            <w:r>
              <w:rPr>
                <w:rFonts w:ascii="Times New Roman"/>
                <w:spacing w:val="-2"/>
                <w:sz w:val="18"/>
              </w:rPr>
              <w:t>110,000</w:t>
            </w:r>
          </w:p>
        </w:tc>
      </w:tr>
      <w:tr>
        <w:trPr>
          <w:trHeight w:val="321" w:hRule="exact"/>
        </w:trPr>
        <w:tc>
          <w:tcPr>
            <w:tcW w:w="798" w:type="dxa"/>
            <w:tcBorders>
              <w:top w:val="single" w:sz="4" w:space="0" w:color="000000"/>
              <w:left w:val="single" w:sz="12"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12" w:space="0" w:color="000000"/>
            </w:tcBorders>
          </w:tcPr>
          <w:p>
            <w:pPr/>
          </w:p>
        </w:tc>
      </w:tr>
      <w:tr>
        <w:trPr>
          <w:trHeight w:val="312" w:hRule="exact"/>
        </w:trPr>
        <w:tc>
          <w:tcPr>
            <w:tcW w:w="798" w:type="dxa"/>
            <w:tcBorders>
              <w:top w:val="nil" w:sz="6" w:space="0" w:color="auto"/>
              <w:left w:val="single" w:sz="12" w:space="0" w:color="000000"/>
              <w:bottom w:val="nil" w:sz="6" w:space="0" w:color="auto"/>
              <w:right w:val="single" w:sz="4" w:space="0" w:color="000000"/>
            </w:tcBorders>
          </w:tcPr>
          <w:p>
            <w:pPr>
              <w:pStyle w:val="TableParagraph"/>
              <w:spacing w:line="240" w:lineRule="auto" w:before="5"/>
              <w:ind w:left="92" w:right="0"/>
              <w:jc w:val="left"/>
              <w:rPr>
                <w:rFonts w:ascii="宋体" w:hAnsi="宋体" w:cs="宋体" w:eastAsia="宋体" w:hint="default"/>
                <w:sz w:val="18"/>
                <w:szCs w:val="18"/>
              </w:rPr>
            </w:pPr>
            <w:r>
              <w:rPr>
                <w:rFonts w:ascii="宋体" w:hAnsi="宋体" w:cs="宋体" w:eastAsia="宋体" w:hint="default"/>
                <w:sz w:val="18"/>
                <w:szCs w:val="18"/>
              </w:rPr>
              <w:t>张禾阳</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Times New Roman" w:hAnsi="Times New Roman" w:cs="Times New Roman" w:eastAsia="Times New Roman" w:hint="default"/>
                <w:sz w:val="18"/>
                <w:szCs w:val="18"/>
              </w:rPr>
            </w:pPr>
            <w:r>
              <w:rPr>
                <w:rFonts w:ascii="Times New Roman"/>
                <w:sz w:val="18"/>
              </w:rPr>
              <w:t>35</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89" w:right="0"/>
              <w:jc w:val="center"/>
              <w:rPr>
                <w:rFonts w:ascii="Times New Roman" w:hAnsi="Times New Roman" w:cs="Times New Roman" w:eastAsia="Times New Roman" w:hint="default"/>
                <w:sz w:val="18"/>
                <w:szCs w:val="18"/>
              </w:rPr>
            </w:pPr>
            <w:r>
              <w:rPr>
                <w:rFonts w:ascii="Times New Roman"/>
                <w:sz w:val="18"/>
              </w:rPr>
              <w:t>25,000</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12" w:space="0" w:color="000000"/>
            </w:tcBorders>
          </w:tcPr>
          <w:p>
            <w:pPr>
              <w:pStyle w:val="TableParagraph"/>
              <w:spacing w:line="240" w:lineRule="auto" w:before="47"/>
              <w:ind w:right="90"/>
              <w:jc w:val="right"/>
              <w:rPr>
                <w:rFonts w:ascii="Times New Roman" w:hAnsi="Times New Roman" w:cs="Times New Roman" w:eastAsia="Times New Roman" w:hint="default"/>
                <w:sz w:val="18"/>
                <w:szCs w:val="18"/>
              </w:rPr>
            </w:pPr>
            <w:r>
              <w:rPr>
                <w:rFonts w:ascii="Times New Roman"/>
                <w:spacing w:val="-1"/>
                <w:sz w:val="18"/>
              </w:rPr>
              <w:t>25,000</w:t>
            </w:r>
          </w:p>
        </w:tc>
      </w:tr>
      <w:tr>
        <w:trPr>
          <w:trHeight w:val="313" w:hRule="exact"/>
        </w:trPr>
        <w:tc>
          <w:tcPr>
            <w:tcW w:w="798" w:type="dxa"/>
            <w:tcBorders>
              <w:top w:val="nil" w:sz="6" w:space="0" w:color="auto"/>
              <w:left w:val="single" w:sz="12"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12" w:space="0" w:color="000000"/>
            </w:tcBorders>
          </w:tcPr>
          <w:p>
            <w:pPr/>
          </w:p>
        </w:tc>
      </w:tr>
      <w:tr>
        <w:trPr>
          <w:trHeight w:val="320" w:hRule="exact"/>
        </w:trPr>
        <w:tc>
          <w:tcPr>
            <w:tcW w:w="798" w:type="dxa"/>
            <w:tcBorders>
              <w:top w:val="single" w:sz="4" w:space="0" w:color="000000"/>
              <w:left w:val="single" w:sz="12"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12" w:space="0" w:color="000000"/>
            </w:tcBorders>
          </w:tcPr>
          <w:p>
            <w:pPr/>
          </w:p>
        </w:tc>
      </w:tr>
      <w:tr>
        <w:trPr>
          <w:trHeight w:val="312" w:hRule="exact"/>
        </w:trPr>
        <w:tc>
          <w:tcPr>
            <w:tcW w:w="798" w:type="dxa"/>
            <w:tcBorders>
              <w:top w:val="nil" w:sz="6" w:space="0" w:color="auto"/>
              <w:left w:val="single" w:sz="12" w:space="0" w:color="000000"/>
              <w:bottom w:val="nil" w:sz="6" w:space="0" w:color="auto"/>
              <w:right w:val="single" w:sz="4" w:space="0" w:color="000000"/>
            </w:tcBorders>
          </w:tcPr>
          <w:p>
            <w:pPr>
              <w:pStyle w:val="TableParagraph"/>
              <w:spacing w:line="240" w:lineRule="auto" w:before="5"/>
              <w:ind w:left="92" w:right="0"/>
              <w:jc w:val="left"/>
              <w:rPr>
                <w:rFonts w:ascii="宋体" w:hAnsi="宋体" w:cs="宋体" w:eastAsia="宋体" w:hint="default"/>
                <w:sz w:val="18"/>
                <w:szCs w:val="18"/>
              </w:rPr>
            </w:pPr>
            <w:r>
              <w:rPr>
                <w:rFonts w:ascii="宋体" w:hAnsi="宋体" w:cs="宋体" w:eastAsia="宋体" w:hint="default"/>
                <w:sz w:val="18"/>
                <w:szCs w:val="18"/>
              </w:rPr>
              <w:t>张丹凤</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89" w:right="0"/>
              <w:jc w:val="center"/>
              <w:rPr>
                <w:rFonts w:ascii="Times New Roman" w:hAnsi="Times New Roman" w:cs="Times New Roman" w:eastAsia="Times New Roman" w:hint="default"/>
                <w:sz w:val="18"/>
                <w:szCs w:val="18"/>
              </w:rPr>
            </w:pPr>
            <w:r>
              <w:rPr>
                <w:rFonts w:ascii="Times New Roman"/>
                <w:sz w:val="18"/>
              </w:rPr>
              <w:t>50,000</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12" w:space="0" w:color="000000"/>
            </w:tcBorders>
          </w:tcPr>
          <w:p>
            <w:pPr>
              <w:pStyle w:val="TableParagraph"/>
              <w:spacing w:line="240" w:lineRule="auto" w:before="47"/>
              <w:ind w:right="90"/>
              <w:jc w:val="right"/>
              <w:rPr>
                <w:rFonts w:ascii="Times New Roman" w:hAnsi="Times New Roman" w:cs="Times New Roman" w:eastAsia="Times New Roman" w:hint="default"/>
                <w:sz w:val="18"/>
                <w:szCs w:val="18"/>
              </w:rPr>
            </w:pPr>
            <w:r>
              <w:rPr>
                <w:rFonts w:ascii="Times New Roman"/>
                <w:spacing w:val="-1"/>
                <w:sz w:val="18"/>
              </w:rPr>
              <w:t>50,000</w:t>
            </w:r>
          </w:p>
        </w:tc>
      </w:tr>
      <w:tr>
        <w:trPr>
          <w:trHeight w:val="314" w:hRule="exact"/>
        </w:trPr>
        <w:tc>
          <w:tcPr>
            <w:tcW w:w="798" w:type="dxa"/>
            <w:tcBorders>
              <w:top w:val="nil" w:sz="6" w:space="0" w:color="auto"/>
              <w:left w:val="single" w:sz="12"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12" w:space="0" w:color="000000"/>
            </w:tcBorders>
          </w:tcPr>
          <w:p>
            <w:pPr/>
          </w:p>
        </w:tc>
      </w:tr>
      <w:tr>
        <w:trPr>
          <w:trHeight w:val="321" w:hRule="exact"/>
        </w:trPr>
        <w:tc>
          <w:tcPr>
            <w:tcW w:w="798" w:type="dxa"/>
            <w:tcBorders>
              <w:top w:val="single" w:sz="4" w:space="0" w:color="000000"/>
              <w:left w:val="single" w:sz="12"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12" w:space="0" w:color="000000"/>
            </w:tcBorders>
          </w:tcPr>
          <w:p>
            <w:pPr/>
          </w:p>
        </w:tc>
      </w:tr>
      <w:tr>
        <w:trPr>
          <w:trHeight w:val="312" w:hRule="exact"/>
        </w:trPr>
        <w:tc>
          <w:tcPr>
            <w:tcW w:w="798" w:type="dxa"/>
            <w:tcBorders>
              <w:top w:val="nil" w:sz="6" w:space="0" w:color="auto"/>
              <w:left w:val="single" w:sz="12" w:space="0" w:color="000000"/>
              <w:bottom w:val="nil" w:sz="6" w:space="0" w:color="auto"/>
              <w:right w:val="single" w:sz="4" w:space="0" w:color="000000"/>
            </w:tcBorders>
          </w:tcPr>
          <w:p>
            <w:pPr>
              <w:pStyle w:val="TableParagraph"/>
              <w:spacing w:line="240" w:lineRule="auto" w:before="6"/>
              <w:ind w:left="92" w:right="0"/>
              <w:jc w:val="left"/>
              <w:rPr>
                <w:rFonts w:ascii="宋体" w:hAnsi="宋体" w:cs="宋体" w:eastAsia="宋体" w:hint="default"/>
                <w:sz w:val="18"/>
                <w:szCs w:val="18"/>
              </w:rPr>
            </w:pPr>
            <w:r>
              <w:rPr>
                <w:rFonts w:ascii="宋体" w:hAnsi="宋体" w:cs="宋体" w:eastAsia="宋体" w:hint="default"/>
                <w:sz w:val="18"/>
                <w:szCs w:val="18"/>
              </w:rPr>
              <w:t>徐兰芝</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9"/>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12" w:space="0" w:color="000000"/>
            </w:tcBorders>
          </w:tcPr>
          <w:p>
            <w:pPr/>
          </w:p>
        </w:tc>
      </w:tr>
      <w:tr>
        <w:trPr>
          <w:trHeight w:val="313" w:hRule="exact"/>
        </w:trPr>
        <w:tc>
          <w:tcPr>
            <w:tcW w:w="798" w:type="dxa"/>
            <w:tcBorders>
              <w:top w:val="nil" w:sz="6" w:space="0" w:color="auto"/>
              <w:left w:val="single" w:sz="12"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孙小红</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董事、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9"/>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赵健康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z w:val="18"/>
              </w:rPr>
              <w:t>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周荣</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61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吕洪仁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杨凯军</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9"/>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321" w:hRule="exact"/>
        </w:trPr>
        <w:tc>
          <w:tcPr>
            <w:tcW w:w="798" w:type="dxa"/>
            <w:tcBorders>
              <w:top w:val="single" w:sz="4" w:space="0" w:color="000000"/>
              <w:left w:val="single" w:sz="12"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12" w:space="0" w:color="000000"/>
            </w:tcBorders>
          </w:tcPr>
          <w:p>
            <w:pPr/>
          </w:p>
        </w:tc>
      </w:tr>
      <w:tr>
        <w:trPr>
          <w:trHeight w:val="312" w:hRule="exact"/>
        </w:trPr>
        <w:tc>
          <w:tcPr>
            <w:tcW w:w="798" w:type="dxa"/>
            <w:tcBorders>
              <w:top w:val="nil" w:sz="6" w:space="0" w:color="auto"/>
              <w:left w:val="single" w:sz="12" w:space="0" w:color="000000"/>
              <w:bottom w:val="nil" w:sz="6" w:space="0" w:color="auto"/>
              <w:right w:val="single" w:sz="4" w:space="0" w:color="000000"/>
            </w:tcBorders>
          </w:tcPr>
          <w:p>
            <w:pPr>
              <w:pStyle w:val="TableParagraph"/>
              <w:spacing w:line="240" w:lineRule="auto" w:before="6"/>
              <w:ind w:left="92" w:right="0"/>
              <w:jc w:val="left"/>
              <w:rPr>
                <w:rFonts w:ascii="宋体" w:hAnsi="宋体" w:cs="宋体" w:eastAsia="宋体" w:hint="default"/>
                <w:sz w:val="18"/>
                <w:szCs w:val="18"/>
              </w:rPr>
            </w:pPr>
            <w:r>
              <w:rPr>
                <w:rFonts w:ascii="宋体" w:hAnsi="宋体" w:cs="宋体" w:eastAsia="宋体" w:hint="default"/>
                <w:sz w:val="18"/>
                <w:szCs w:val="18"/>
              </w:rPr>
              <w:t>张秀倩</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9"/>
              <w:jc w:val="right"/>
              <w:rPr>
                <w:rFonts w:ascii="Times New Roman" w:hAnsi="Times New Roman" w:cs="Times New Roman" w:eastAsia="Times New Roman" w:hint="default"/>
                <w:sz w:val="18"/>
                <w:szCs w:val="18"/>
              </w:rPr>
            </w:pPr>
            <w:r>
              <w:rPr>
                <w:rFonts w:ascii="Times New Roman"/>
                <w:sz w:val="18"/>
              </w:rPr>
              <w:t>39</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12" w:space="0" w:color="000000"/>
            </w:tcBorders>
          </w:tcPr>
          <w:p>
            <w:pPr/>
          </w:p>
        </w:tc>
      </w:tr>
      <w:tr>
        <w:trPr>
          <w:trHeight w:val="311" w:hRule="exact"/>
        </w:trPr>
        <w:tc>
          <w:tcPr>
            <w:tcW w:w="798" w:type="dxa"/>
            <w:tcBorders>
              <w:top w:val="nil" w:sz="6" w:space="0" w:color="auto"/>
              <w:left w:val="single" w:sz="12"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12" w:space="0" w:color="000000"/>
            </w:tcBorders>
          </w:tcPr>
          <w:p>
            <w:pPr/>
          </w:p>
        </w:tc>
      </w:tr>
    </w:tbl>
    <w:p>
      <w:pPr>
        <w:spacing w:after="0"/>
        <w:sectPr>
          <w:pgSz w:w="11910" w:h="16840"/>
          <w:pgMar w:header="890" w:footer="1053" w:top="1420" w:bottom="1240" w:left="1000" w:right="0"/>
        </w:sectPr>
      </w:pPr>
    </w:p>
    <w:tbl>
      <w:tblPr>
        <w:tblW w:w="0" w:type="auto"/>
        <w:jc w:val="left"/>
        <w:tblInd w:w="119" w:type="dxa"/>
        <w:tblLayout w:type="fixed"/>
        <w:tblCellMar>
          <w:top w:w="0" w:type="dxa"/>
          <w:left w:w="0" w:type="dxa"/>
          <w:bottom w:w="0" w:type="dxa"/>
          <w:right w:w="0" w:type="dxa"/>
        </w:tblCellMar>
        <w:tblLook w:val="01E0"/>
      </w:tblPr>
      <w:tblGrid>
        <w:gridCol w:w="798"/>
        <w:gridCol w:w="797"/>
        <w:gridCol w:w="797"/>
        <w:gridCol w:w="797"/>
        <w:gridCol w:w="798"/>
        <w:gridCol w:w="797"/>
        <w:gridCol w:w="798"/>
        <w:gridCol w:w="798"/>
        <w:gridCol w:w="798"/>
        <w:gridCol w:w="798"/>
        <w:gridCol w:w="798"/>
        <w:gridCol w:w="798"/>
      </w:tblGrid>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俞哲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职工监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许刚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财务总 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赵宇恺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42"/>
              <w:jc w:val="both"/>
              <w:rPr>
                <w:rFonts w:ascii="宋体" w:hAnsi="宋体" w:cs="宋体" w:eastAsia="宋体" w:hint="default"/>
                <w:sz w:val="18"/>
                <w:szCs w:val="18"/>
              </w:rPr>
            </w:pPr>
            <w:r>
              <w:rPr>
                <w:rFonts w:ascii="宋体" w:hAnsi="宋体" w:cs="宋体" w:eastAsia="宋体" w:hint="default"/>
                <w:sz w:val="18"/>
                <w:szCs w:val="18"/>
              </w:rPr>
              <w:t>副总经 理、董 秘</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99"/>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何若虚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z w:val="18"/>
              </w:rPr>
              <w:t>41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2"/>
              <w:jc w:val="right"/>
              <w:rPr>
                <w:rFonts w:ascii="Times New Roman" w:hAnsi="Times New Roman" w:cs="Times New Roman" w:eastAsia="Times New Roman" w:hint="default"/>
                <w:sz w:val="18"/>
                <w:szCs w:val="18"/>
              </w:rPr>
            </w:pPr>
            <w:r>
              <w:rPr>
                <w:rFonts w:ascii="Times New Roman"/>
                <w:sz w:val="18"/>
              </w:rPr>
              <w:t>0</w:t>
            </w: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沈伟康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42"/>
              <w:jc w:val="both"/>
              <w:rPr>
                <w:rFonts w:ascii="宋体" w:hAnsi="宋体" w:cs="宋体" w:eastAsia="宋体" w:hint="default"/>
                <w:sz w:val="18"/>
                <w:szCs w:val="18"/>
              </w:rPr>
            </w:pPr>
            <w:r>
              <w:rPr>
                <w:rFonts w:ascii="宋体" w:hAnsi="宋体" w:cs="宋体" w:eastAsia="宋体" w:hint="default"/>
                <w:sz w:val="18"/>
                <w:szCs w:val="18"/>
              </w:rPr>
              <w:t>董事、 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204,75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204,75</w:t>
            </w:r>
          </w:p>
          <w:p>
            <w:pPr>
              <w:pStyle w:val="TableParagraph"/>
              <w:spacing w:line="240" w:lineRule="auto" w:before="105"/>
              <w:ind w:right="92"/>
              <w:jc w:val="right"/>
              <w:rPr>
                <w:rFonts w:ascii="Times New Roman" w:hAnsi="Times New Roman" w:cs="Times New Roman" w:eastAsia="Times New Roman" w:hint="default"/>
                <w:sz w:val="18"/>
                <w:szCs w:val="18"/>
              </w:rPr>
            </w:pPr>
            <w:r>
              <w:rPr>
                <w:rFonts w:ascii="Times New Roman"/>
                <w:sz w:val="18"/>
              </w:rPr>
              <w:t>0</w:t>
            </w: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何孙益</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42"/>
              <w:jc w:val="both"/>
              <w:rPr>
                <w:rFonts w:ascii="宋体" w:hAnsi="宋体" w:cs="宋体" w:eastAsia="宋体" w:hint="default"/>
                <w:sz w:val="18"/>
                <w:szCs w:val="18"/>
              </w:rPr>
            </w:pPr>
            <w:r>
              <w:rPr>
                <w:rFonts w:ascii="宋体" w:hAnsi="宋体" w:cs="宋体" w:eastAsia="宋体" w:hint="default"/>
                <w:sz w:val="18"/>
                <w:szCs w:val="18"/>
              </w:rPr>
              <w:t>董事、 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91" w:right="0"/>
              <w:jc w:val="left"/>
              <w:rPr>
                <w:rFonts w:ascii="Times New Roman" w:hAnsi="Times New Roman" w:cs="Times New Roman" w:eastAsia="Times New Roman" w:hint="default"/>
                <w:sz w:val="18"/>
                <w:szCs w:val="18"/>
              </w:rPr>
            </w:pPr>
            <w:r>
              <w:rPr>
                <w:rFonts w:ascii="Times New Roman"/>
                <w:sz w:val="18"/>
              </w:rPr>
              <w:t>70,000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210,00</w:t>
            </w:r>
          </w:p>
          <w:p>
            <w:pPr>
              <w:pStyle w:val="TableParagraph"/>
              <w:spacing w:line="240" w:lineRule="auto" w:before="105"/>
              <w:ind w:right="92"/>
              <w:jc w:val="right"/>
              <w:rPr>
                <w:rFonts w:ascii="Times New Roman" w:hAnsi="Times New Roman" w:cs="Times New Roman" w:eastAsia="Times New Roman" w:hint="default"/>
                <w:sz w:val="18"/>
                <w:szCs w:val="18"/>
              </w:rPr>
            </w:pPr>
            <w:r>
              <w:rPr>
                <w:rFonts w:ascii="Times New Roman"/>
                <w:sz w:val="18"/>
              </w:rPr>
              <w:t>0</w:t>
            </w: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杜烈康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阎孟昆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邹峻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99"/>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周炯</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637,50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637,50</w:t>
            </w:r>
          </w:p>
          <w:p>
            <w:pPr>
              <w:pStyle w:val="TableParagraph"/>
              <w:spacing w:line="240" w:lineRule="auto" w:before="105"/>
              <w:ind w:right="92"/>
              <w:jc w:val="right"/>
              <w:rPr>
                <w:rFonts w:ascii="Times New Roman" w:hAnsi="Times New Roman" w:cs="Times New Roman" w:eastAsia="Times New Roman" w:hint="default"/>
                <w:sz w:val="18"/>
                <w:szCs w:val="18"/>
              </w:rPr>
            </w:pPr>
            <w:r>
              <w:rPr>
                <w:rFonts w:ascii="Times New Roman"/>
                <w:sz w:val="18"/>
              </w:rPr>
              <w:t>0</w:t>
            </w: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赵亚芬</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91" w:right="0"/>
              <w:jc w:val="left"/>
              <w:rPr>
                <w:rFonts w:ascii="Times New Roman" w:hAnsi="Times New Roman" w:cs="Times New Roman" w:eastAsia="Times New Roman" w:hint="default"/>
                <w:sz w:val="18"/>
                <w:szCs w:val="18"/>
              </w:rPr>
            </w:pPr>
            <w:r>
              <w:rPr>
                <w:rFonts w:ascii="Times New Roman"/>
                <w:sz w:val="18"/>
              </w:rPr>
              <w:t>27,000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91" w:right="0"/>
              <w:jc w:val="left"/>
              <w:rPr>
                <w:rFonts w:ascii="Times New Roman" w:hAnsi="Times New Roman" w:cs="Times New Roman" w:eastAsia="Times New Roman" w:hint="default"/>
                <w:sz w:val="18"/>
                <w:szCs w:val="18"/>
              </w:rPr>
            </w:pPr>
            <w:r>
              <w:rPr>
                <w:rFonts w:ascii="Times New Roman"/>
                <w:sz w:val="18"/>
              </w:rPr>
              <w:t>27,000</w:t>
            </w: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张亦春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946" w:hRule="exact"/>
        </w:trPr>
        <w:tc>
          <w:tcPr>
            <w:tcW w:w="79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邵淑青</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322"/>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9"/>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12" w:space="0" w:color="000000"/>
            </w:tcBorders>
          </w:tcPr>
          <w:p>
            <w:pPr/>
          </w:p>
        </w:tc>
      </w:tr>
      <w:tr>
        <w:trPr>
          <w:trHeight w:val="644" w:hRule="exact"/>
        </w:trPr>
        <w:tc>
          <w:tcPr>
            <w:tcW w:w="798"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332"/>
              <w:jc w:val="right"/>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45" w:right="0"/>
              <w:jc w:val="left"/>
              <w:rPr>
                <w:rFonts w:ascii="Times New Roman" w:hAnsi="Times New Roman" w:cs="Times New Roman" w:eastAsia="Times New Roman" w:hint="default"/>
                <w:sz w:val="18"/>
                <w:szCs w:val="18"/>
              </w:rPr>
            </w:pPr>
            <w:r>
              <w:rPr>
                <w:rFonts w:ascii="Times New Roman"/>
                <w:sz w:val="18"/>
              </w:rPr>
              <w:t>10,925,</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570</w:t>
            </w:r>
          </w:p>
        </w:tc>
        <w:tc>
          <w:tcPr>
            <w:tcW w:w="7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45" w:right="0"/>
              <w:jc w:val="left"/>
              <w:rPr>
                <w:rFonts w:ascii="Times New Roman" w:hAnsi="Times New Roman" w:cs="Times New Roman" w:eastAsia="Times New Roman" w:hint="default"/>
                <w:sz w:val="18"/>
                <w:szCs w:val="18"/>
              </w:rPr>
            </w:pPr>
            <w:r>
              <w:rPr>
                <w:rFonts w:ascii="Times New Roman"/>
                <w:sz w:val="18"/>
              </w:rPr>
              <w:t>9,461,3</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20</w:t>
            </w:r>
          </w:p>
        </w:tc>
        <w:tc>
          <w:tcPr>
            <w:tcW w:w="7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left="145" w:right="0"/>
              <w:jc w:val="left"/>
              <w:rPr>
                <w:rFonts w:ascii="Times New Roman" w:hAnsi="Times New Roman" w:cs="Times New Roman" w:eastAsia="Times New Roman" w:hint="default"/>
                <w:sz w:val="18"/>
                <w:szCs w:val="18"/>
              </w:rPr>
            </w:pPr>
            <w:r>
              <w:rPr>
                <w:rFonts w:ascii="Times New Roman"/>
                <w:sz w:val="18"/>
              </w:rPr>
              <w:t>1,464,2</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50</w:t>
            </w:r>
          </w:p>
        </w:tc>
      </w:tr>
    </w:tbl>
    <w:p>
      <w:pPr>
        <w:spacing w:after="0" w:line="240" w:lineRule="auto"/>
        <w:jc w:val="left"/>
        <w:rPr>
          <w:rFonts w:ascii="Times New Roman" w:hAnsi="Times New Roman" w:cs="Times New Roman" w:eastAsia="Times New Roman" w:hint="default"/>
          <w:sz w:val="18"/>
          <w:szCs w:val="18"/>
        </w:rPr>
        <w:sectPr>
          <w:pgSz w:w="11910" w:h="16840"/>
          <w:pgMar w:header="890" w:footer="1053" w:top="1480" w:bottom="1240" w:left="1000" w:right="0"/>
        </w:sectPr>
      </w:pPr>
    </w:p>
    <w:p>
      <w:pPr>
        <w:pStyle w:val="Heading2"/>
        <w:spacing w:line="240" w:lineRule="auto" w:before="20"/>
        <w:ind w:right="1164"/>
        <w:jc w:val="left"/>
        <w:rPr>
          <w:b w:val="0"/>
          <w:bCs w:val="0"/>
        </w:rPr>
      </w:pPr>
      <w:bookmarkStart w:name="二、公司董事、监事、高级管理人员变动情况" w:id="125"/>
      <w:bookmarkEnd w:id="125"/>
      <w:r>
        <w:rPr>
          <w:b w:val="0"/>
          <w:bCs w:val="0"/>
        </w:rPr>
      </w:r>
      <w:r>
        <w:rPr/>
        <w:t>二、公司董事、监事、高级管理人员变动情况</w:t>
      </w:r>
      <w:r>
        <w:rPr>
          <w:b w:val="0"/>
          <w:bCs w:val="0"/>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106"/>
        <w:gridCol w:w="1554"/>
        <w:gridCol w:w="1330"/>
        <w:gridCol w:w="1786"/>
        <w:gridCol w:w="3791"/>
      </w:tblGrid>
      <w:tr>
        <w:trPr>
          <w:trHeight w:val="332" w:hRule="exact"/>
        </w:trPr>
        <w:tc>
          <w:tcPr>
            <w:tcW w:w="1106"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358"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55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23"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78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3791"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1"/>
              <w:ind w:left="9"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何若虚</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到期离任，仍在公司。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沈伟康</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到期离任，仍在公司。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何孙益</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到期离任，离开公司。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杜烈康</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到期离任，离开公司。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阎孟昆</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到期离任，离开公司。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邹峻</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到期离任，离开公司。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周炯</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主动辞职，离开公司。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赵亚芬</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到期离任，仍在公司。</w:t>
            </w:r>
          </w:p>
        </w:tc>
      </w:tr>
      <w:tr>
        <w:trPr>
          <w:trHeight w:val="322" w:hRule="exact"/>
        </w:trPr>
        <w:tc>
          <w:tcPr>
            <w:tcW w:w="110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2"/>
              <w:ind w:left="92" w:right="0"/>
              <w:jc w:val="left"/>
              <w:rPr>
                <w:rFonts w:ascii="宋体" w:hAnsi="宋体" w:cs="宋体" w:eastAsia="宋体" w:hint="default"/>
                <w:sz w:val="18"/>
                <w:szCs w:val="18"/>
              </w:rPr>
            </w:pPr>
            <w:r>
              <w:rPr>
                <w:rFonts w:ascii="宋体" w:hAnsi="宋体" w:cs="宋体" w:eastAsia="宋体" w:hint="default"/>
                <w:sz w:val="18"/>
                <w:szCs w:val="18"/>
              </w:rPr>
              <w:t>张亦春</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到期离任，离开公司。</w:t>
            </w:r>
          </w:p>
        </w:tc>
      </w:tr>
      <w:tr>
        <w:trPr>
          <w:trHeight w:val="332" w:hRule="exact"/>
        </w:trPr>
        <w:tc>
          <w:tcPr>
            <w:tcW w:w="110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邵淑青</w:t>
            </w:r>
          </w:p>
        </w:tc>
        <w:tc>
          <w:tcPr>
            <w:tcW w:w="15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13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7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8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79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到期离任，仍在公司。</w:t>
            </w:r>
          </w:p>
        </w:tc>
      </w:tr>
    </w:tbl>
    <w:p>
      <w:pPr>
        <w:spacing w:line="240" w:lineRule="auto" w:before="1"/>
        <w:rPr>
          <w:rFonts w:ascii="宋体" w:hAnsi="宋体" w:cs="宋体" w:eastAsia="宋体" w:hint="default"/>
          <w:sz w:val="18"/>
          <w:szCs w:val="18"/>
        </w:rPr>
      </w:pPr>
    </w:p>
    <w:p>
      <w:pPr>
        <w:pStyle w:val="Heading2"/>
        <w:spacing w:line="240" w:lineRule="auto" w:before="26"/>
        <w:ind w:right="1164"/>
        <w:jc w:val="left"/>
        <w:rPr>
          <w:b w:val="0"/>
          <w:bCs w:val="0"/>
        </w:rPr>
      </w:pPr>
      <w:bookmarkStart w:name="三、任职情况" w:id="126"/>
      <w:bookmarkEnd w:id="126"/>
      <w:r>
        <w:rPr>
          <w:b w:val="0"/>
          <w:bCs w:val="0"/>
        </w:rPr>
      </w:r>
      <w:r>
        <w:rPr/>
        <w:t>三、任职情况</w:t>
      </w:r>
      <w:r>
        <w:rPr>
          <w:b w:val="0"/>
          <w:bCs w:val="0"/>
        </w:rPr>
      </w:r>
    </w:p>
    <w:p>
      <w:pPr>
        <w:spacing w:line="240" w:lineRule="auto" w:before="9"/>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w:t>
      </w:r>
    </w:p>
    <w:p>
      <w:pPr>
        <w:spacing w:line="240" w:lineRule="auto" w:before="1"/>
        <w:rPr>
          <w:rFonts w:ascii="宋体" w:hAnsi="宋体" w:cs="宋体" w:eastAsia="宋体" w:hint="default"/>
          <w:sz w:val="14"/>
          <w:szCs w:val="14"/>
        </w:rPr>
      </w:pPr>
    </w:p>
    <w:p>
      <w:pPr>
        <w:spacing w:line="405" w:lineRule="auto" w:before="0"/>
        <w:ind w:left="492" w:right="1034" w:firstLine="0"/>
        <w:jc w:val="left"/>
        <w:rPr>
          <w:rFonts w:ascii="宋体" w:hAnsi="宋体" w:cs="宋体" w:eastAsia="宋体" w:hint="default"/>
          <w:sz w:val="18"/>
          <w:szCs w:val="18"/>
        </w:rPr>
      </w:pPr>
      <w:r>
        <w:rPr>
          <w:rFonts w:ascii="宋体" w:hAnsi="宋体" w:cs="宋体" w:eastAsia="宋体" w:hint="default"/>
          <w:sz w:val="18"/>
          <w:szCs w:val="18"/>
        </w:rPr>
        <w:t>（一）董事 </w:t>
      </w:r>
      <w:r>
        <w:rPr>
          <w:rFonts w:ascii="宋体" w:hAnsi="宋体" w:cs="宋体" w:eastAsia="宋体" w:hint="default"/>
          <w:spacing w:val="-2"/>
          <w:sz w:val="18"/>
          <w:szCs w:val="18"/>
        </w:rPr>
        <w:t>张珊珊女士：1978年出生，中国国籍，无境外居留权，本科学历。2003年2月至2007年7月任浙江万马房地产集团有限公</w:t>
      </w:r>
    </w:p>
    <w:p>
      <w:pPr>
        <w:spacing w:line="367" w:lineRule="auto" w:before="0"/>
        <w:ind w:left="132" w:right="1124" w:firstLine="0"/>
        <w:jc w:val="left"/>
        <w:rPr>
          <w:rFonts w:ascii="宋体" w:hAnsi="宋体" w:cs="宋体" w:eastAsia="宋体" w:hint="default"/>
          <w:sz w:val="18"/>
          <w:szCs w:val="18"/>
        </w:rPr>
      </w:pPr>
      <w:r>
        <w:rPr>
          <w:rFonts w:ascii="宋体" w:hAnsi="宋体" w:cs="宋体" w:eastAsia="宋体" w:hint="default"/>
          <w:sz w:val="18"/>
          <w:szCs w:val="18"/>
        </w:rPr>
        <w:t>司成本控制中心主任；2007年7月至今，历任万马联合控股集团有限公司投资总监、副总裁，现任万马联合控股集团有限公 司副董事长兼常务副总裁、万马科技股份有限公司董事、本公司董事长。</w:t>
      </w:r>
    </w:p>
    <w:p>
      <w:pPr>
        <w:spacing w:line="367" w:lineRule="auto" w:before="70"/>
        <w:ind w:left="132" w:right="1132" w:firstLine="360"/>
        <w:jc w:val="both"/>
        <w:rPr>
          <w:rFonts w:ascii="宋体" w:hAnsi="宋体" w:cs="宋体" w:eastAsia="宋体" w:hint="default"/>
          <w:sz w:val="18"/>
          <w:szCs w:val="18"/>
        </w:rPr>
      </w:pPr>
      <w:r>
        <w:rPr>
          <w:rFonts w:ascii="宋体" w:hAnsi="宋体" w:cs="宋体" w:eastAsia="宋体" w:hint="default"/>
          <w:spacing w:val="-2"/>
          <w:sz w:val="18"/>
          <w:szCs w:val="18"/>
        </w:rPr>
        <w:t>姚伟国先生：1972年出生，中国国籍，硕士研究生，中国注册会计师。历任上海无线电六厂财务科长，上海飞乐股份有</w:t>
      </w:r>
      <w:r>
        <w:rPr>
          <w:rFonts w:ascii="宋体" w:hAnsi="宋体" w:cs="宋体" w:eastAsia="宋体" w:hint="default"/>
          <w:sz w:val="18"/>
          <w:szCs w:val="18"/>
        </w:rPr>
        <w:t> </w:t>
      </w:r>
      <w:r>
        <w:rPr>
          <w:rFonts w:ascii="宋体" w:hAnsi="宋体" w:cs="宋体" w:eastAsia="宋体" w:hint="default"/>
          <w:spacing w:val="-2"/>
          <w:sz w:val="18"/>
          <w:szCs w:val="18"/>
        </w:rPr>
        <w:t>限公司财务部经理，德隆国际战略投资有限公司战略发展管理部经理。现任万马联合控股集团副总裁、万马科技董事、本公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司副董事长。</w:t>
      </w:r>
    </w:p>
    <w:p>
      <w:pPr>
        <w:spacing w:line="367" w:lineRule="auto" w:before="70"/>
        <w:ind w:left="132" w:right="1131" w:firstLine="360"/>
        <w:jc w:val="both"/>
        <w:rPr>
          <w:rFonts w:ascii="宋体" w:hAnsi="宋体" w:cs="宋体" w:eastAsia="宋体" w:hint="default"/>
          <w:sz w:val="18"/>
          <w:szCs w:val="18"/>
        </w:rPr>
      </w:pPr>
      <w:r>
        <w:rPr>
          <w:rFonts w:ascii="宋体" w:hAnsi="宋体" w:cs="宋体" w:eastAsia="宋体" w:hint="default"/>
          <w:spacing w:val="-2"/>
          <w:sz w:val="18"/>
          <w:szCs w:val="18"/>
        </w:rPr>
        <w:t>张禾阳女士：1985年出生，中国国籍，本科学历。2008-2010年任浙江万马房地产集团有限公司总经理助理；2011-2014</w:t>
      </w:r>
      <w:r>
        <w:rPr>
          <w:rFonts w:ascii="宋体" w:hAnsi="宋体" w:cs="宋体" w:eastAsia="宋体" w:hint="default"/>
          <w:sz w:val="18"/>
          <w:szCs w:val="18"/>
        </w:rPr>
        <w:t> 年任上海洋文贸易有限公司董事总经理；2014年至今任浙江万马联合控股集团有限公司副总裁；2016-2018年任万马科技股 份有限公司（股票简称：万马科技）董事，2018年8月至今任万马科技董事长。现任本公司董事。</w:t>
      </w:r>
    </w:p>
    <w:p>
      <w:pPr>
        <w:spacing w:line="367" w:lineRule="auto" w:before="67"/>
        <w:ind w:left="132" w:right="1141" w:firstLine="360"/>
        <w:jc w:val="both"/>
        <w:rPr>
          <w:rFonts w:ascii="宋体" w:hAnsi="宋体" w:cs="宋体" w:eastAsia="宋体" w:hint="default"/>
          <w:sz w:val="18"/>
          <w:szCs w:val="18"/>
        </w:rPr>
      </w:pPr>
      <w:r>
        <w:rPr>
          <w:rFonts w:ascii="宋体" w:hAnsi="宋体" w:cs="宋体" w:eastAsia="宋体" w:hint="default"/>
          <w:sz w:val="18"/>
          <w:szCs w:val="18"/>
        </w:rPr>
        <w:t>张丹凤女士：1965年出生，中国国籍，浙江工业大学MBA。曾任浙江天屹集团有限公司副总经理、2004年加入万马联合 控股集团，先后担任投资总监、总裁助理、董事长助理等职，现任本公司董事。</w:t>
      </w:r>
    </w:p>
    <w:p>
      <w:pPr>
        <w:spacing w:line="367" w:lineRule="auto" w:before="70"/>
        <w:ind w:left="132" w:right="1034" w:firstLine="360"/>
        <w:jc w:val="left"/>
        <w:rPr>
          <w:rFonts w:ascii="宋体" w:hAnsi="宋体" w:cs="宋体" w:eastAsia="宋体" w:hint="default"/>
          <w:sz w:val="18"/>
          <w:szCs w:val="18"/>
        </w:rPr>
      </w:pPr>
      <w:r>
        <w:rPr>
          <w:rFonts w:ascii="宋体" w:hAnsi="宋体" w:cs="宋体" w:eastAsia="宋体" w:hint="default"/>
          <w:spacing w:val="-2"/>
          <w:sz w:val="18"/>
          <w:szCs w:val="18"/>
        </w:rPr>
        <w:t>徐兰芝女士：1977年出生，本科学历，2000年7月至2001年6月任地税培训中心任培训教师，2001年7月至2018年9月历任</w:t>
      </w:r>
      <w:r>
        <w:rPr>
          <w:rFonts w:ascii="宋体" w:hAnsi="宋体" w:cs="宋体" w:eastAsia="宋体" w:hint="default"/>
          <w:sz w:val="18"/>
          <w:szCs w:val="18"/>
        </w:rPr>
        <w:t> 莱茵达集团行政助理、总经理助理、项目总经理、莱骏置业副总、莱茵体育副总裁兼财务总监、莱茵达控股集团副总裁等， 2018年10月至今任万马联合控股集团有限公司副总裁，现任本公司董事。</w:t>
      </w:r>
    </w:p>
    <w:p>
      <w:pPr>
        <w:spacing w:line="367" w:lineRule="auto" w:before="70"/>
        <w:ind w:left="132" w:right="1132" w:firstLine="360"/>
        <w:jc w:val="both"/>
        <w:rPr>
          <w:rFonts w:ascii="宋体" w:hAnsi="宋体" w:cs="宋体" w:eastAsia="宋体" w:hint="default"/>
          <w:sz w:val="18"/>
          <w:szCs w:val="18"/>
        </w:rPr>
      </w:pPr>
      <w:r>
        <w:rPr>
          <w:rFonts w:ascii="宋体" w:hAnsi="宋体" w:cs="宋体" w:eastAsia="宋体" w:hint="default"/>
          <w:spacing w:val="-2"/>
          <w:sz w:val="18"/>
          <w:szCs w:val="18"/>
        </w:rPr>
        <w:t>孙小红先生：1974年出生，中国国籍，工商硕士。2001年2月至2018年3月，就职于欧普照明股份有限公司，先后担任分</w:t>
      </w:r>
      <w:r>
        <w:rPr>
          <w:rFonts w:ascii="宋体" w:hAnsi="宋体" w:cs="宋体" w:eastAsia="宋体" w:hint="default"/>
          <w:sz w:val="18"/>
          <w:szCs w:val="18"/>
        </w:rPr>
        <w:t> 公司经理、大区营销总监、全国销售总监、运营发展总监、供应链总监、欧普集成家居有限公司总经理等职务。2018年4月 加入本公司，任公司董事、总经理。</w:t>
      </w:r>
    </w:p>
    <w:p>
      <w:pPr>
        <w:spacing w:line="367" w:lineRule="auto" w:before="67"/>
        <w:ind w:left="132" w:right="1132" w:firstLine="360"/>
        <w:jc w:val="both"/>
        <w:rPr>
          <w:rFonts w:ascii="宋体" w:hAnsi="宋体" w:cs="宋体" w:eastAsia="宋体" w:hint="default"/>
          <w:sz w:val="18"/>
          <w:szCs w:val="18"/>
        </w:rPr>
      </w:pPr>
      <w:r>
        <w:rPr>
          <w:rFonts w:ascii="宋体" w:hAnsi="宋体" w:cs="宋体" w:eastAsia="宋体" w:hint="default"/>
          <w:spacing w:val="-2"/>
          <w:sz w:val="18"/>
          <w:szCs w:val="18"/>
        </w:rPr>
        <w:t>赵健康先生：1963年出生，西安交通大学电气绝缘技术专业学士，武汉大学高电压与绝缘博士研究生，历任武汉高压研</w:t>
      </w:r>
      <w:r>
        <w:rPr>
          <w:rFonts w:ascii="宋体" w:hAnsi="宋体" w:cs="宋体" w:eastAsia="宋体" w:hint="default"/>
          <w:sz w:val="18"/>
          <w:szCs w:val="18"/>
        </w:rPr>
        <w:t> </w:t>
      </w:r>
      <w:r>
        <w:rPr>
          <w:rFonts w:ascii="宋体" w:hAnsi="宋体" w:cs="宋体" w:eastAsia="宋体" w:hint="default"/>
          <w:spacing w:val="-2"/>
          <w:sz w:val="18"/>
          <w:szCs w:val="18"/>
        </w:rPr>
        <w:t>究院-高级工程师、国网电力科学研究院-教授级高工，曾主持重大科研项目，获得国家科技进步二等奖、北京、江苏、湖北</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等科技进步奖。现任中国电力科学研究院首席技术专家、教授级高工，一直从事电缆运行技术研究工作。现任本公司独立董</w:t>
      </w:r>
    </w:p>
    <w:p>
      <w:pPr>
        <w:spacing w:after="0" w:line="367" w:lineRule="auto"/>
        <w:jc w:val="both"/>
        <w:rPr>
          <w:rFonts w:ascii="宋体" w:hAnsi="宋体" w:cs="宋体" w:eastAsia="宋体" w:hint="default"/>
          <w:sz w:val="18"/>
          <w:szCs w:val="18"/>
        </w:rPr>
        <w:sectPr>
          <w:pgSz w:w="11910" w:h="16840"/>
          <w:pgMar w:header="890" w:footer="1053" w:top="1420" w:bottom="1240" w:left="1000" w:right="0"/>
        </w:sectPr>
      </w:pPr>
    </w:p>
    <w:p>
      <w:pPr>
        <w:spacing w:before="136"/>
        <w:ind w:left="132" w:right="0" w:firstLine="0"/>
        <w:jc w:val="both"/>
        <w:rPr>
          <w:rFonts w:ascii="宋体" w:hAnsi="宋体" w:cs="宋体" w:eastAsia="宋体" w:hint="default"/>
          <w:sz w:val="18"/>
          <w:szCs w:val="18"/>
        </w:rPr>
      </w:pPr>
      <w:r>
        <w:rPr>
          <w:rFonts w:ascii="宋体" w:hAnsi="宋体" w:cs="宋体" w:eastAsia="宋体" w:hint="default"/>
          <w:sz w:val="18"/>
          <w:szCs w:val="18"/>
        </w:rPr>
        <w:t>事。</w:t>
      </w:r>
    </w:p>
    <w:p>
      <w:pPr>
        <w:spacing w:line="240" w:lineRule="auto" w:before="6"/>
        <w:rPr>
          <w:rFonts w:ascii="宋体" w:hAnsi="宋体" w:cs="宋体" w:eastAsia="宋体" w:hint="default"/>
          <w:sz w:val="12"/>
          <w:szCs w:val="12"/>
        </w:rPr>
      </w:pPr>
    </w:p>
    <w:p>
      <w:pPr>
        <w:spacing w:line="367" w:lineRule="auto" w:before="0"/>
        <w:ind w:left="132" w:right="1034" w:firstLine="360"/>
        <w:jc w:val="left"/>
        <w:rPr>
          <w:rFonts w:ascii="宋体" w:hAnsi="宋体" w:cs="宋体" w:eastAsia="宋体" w:hint="default"/>
          <w:sz w:val="18"/>
          <w:szCs w:val="18"/>
        </w:rPr>
      </w:pPr>
      <w:r>
        <w:rPr>
          <w:rFonts w:ascii="宋体" w:hAnsi="宋体" w:cs="宋体" w:eastAsia="宋体" w:hint="default"/>
          <w:sz w:val="18"/>
          <w:szCs w:val="18"/>
        </w:rPr>
        <w:t>周荣先生：1959年出生，研究员级高级工程师，中国汽车技术研究中心资深首席专家，汽车标准化研究所原总工程师， </w:t>
      </w:r>
      <w:r>
        <w:rPr>
          <w:rFonts w:ascii="宋体" w:hAnsi="宋体" w:cs="宋体" w:eastAsia="宋体" w:hint="default"/>
          <w:spacing w:val="-2"/>
          <w:sz w:val="18"/>
          <w:szCs w:val="18"/>
        </w:rPr>
        <w:t>全国汽车标准化技术委员会电动车辆分会秘书长，中国电工学会电动汽车充换电系统与试验专委会副主任委员，国际标准化</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组织ISO和国际电工组织IEC注册专家，河北工业大学等高校硕士和博士研究生导师。先后主持或独自承担了国家科技部863</w:t>
      </w:r>
      <w:r>
        <w:rPr>
          <w:rFonts w:ascii="宋体" w:hAnsi="宋体" w:cs="宋体" w:eastAsia="宋体" w:hint="default"/>
          <w:sz w:val="18"/>
          <w:szCs w:val="18"/>
        </w:rPr>
        <w:t> 项目、原机械工业部、天津市科委和中国汽车技术研究中心的科研项目30项。获中国汽车科技进步奖三等奖2项，天津市科 </w:t>
      </w:r>
      <w:r>
        <w:rPr>
          <w:rFonts w:ascii="宋体" w:hAnsi="宋体" w:cs="宋体" w:eastAsia="宋体" w:hint="default"/>
          <w:spacing w:val="-2"/>
          <w:sz w:val="18"/>
          <w:szCs w:val="18"/>
        </w:rPr>
        <w:t>技进步二等奖1项，中国标准创新贡献奖1项，教育部科技进步奖二等奖1项，获国家发明专利（已授权）2项，实用新型专利</w:t>
      </w:r>
    </w:p>
    <w:p>
      <w:pPr>
        <w:spacing w:line="367" w:lineRule="auto" w:before="29"/>
        <w:ind w:left="132" w:right="1034" w:firstLine="0"/>
        <w:jc w:val="left"/>
        <w:rPr>
          <w:rFonts w:ascii="宋体" w:hAnsi="宋体" w:cs="宋体" w:eastAsia="宋体" w:hint="default"/>
          <w:sz w:val="18"/>
          <w:szCs w:val="18"/>
        </w:rPr>
      </w:pPr>
      <w:r>
        <w:rPr>
          <w:rFonts w:ascii="宋体" w:hAnsi="宋体" w:cs="宋体" w:eastAsia="宋体" w:hint="default"/>
          <w:spacing w:val="-2"/>
          <w:sz w:val="18"/>
          <w:szCs w:val="18"/>
        </w:rPr>
        <w:t>（已授权）7项，主持编写电动汽车国家标准30项，编辑出版专著2本，在核心科技刊物上发表50多篇论文。2019年荣获国家</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科技进步二等奖1项。现任广东省佛山佛塑科技集团股份有限公司（股票代码000973）独立董事，本公司独立董事。</w:t>
      </w:r>
    </w:p>
    <w:p>
      <w:pPr>
        <w:spacing w:line="367" w:lineRule="auto" w:before="70"/>
        <w:ind w:left="132" w:right="1034" w:firstLine="360"/>
        <w:jc w:val="left"/>
        <w:rPr>
          <w:rFonts w:ascii="宋体" w:hAnsi="宋体" w:cs="宋体" w:eastAsia="宋体" w:hint="default"/>
          <w:sz w:val="18"/>
          <w:szCs w:val="18"/>
        </w:rPr>
      </w:pPr>
      <w:r>
        <w:rPr>
          <w:rFonts w:ascii="宋体" w:hAnsi="宋体" w:cs="宋体" w:eastAsia="宋体" w:hint="default"/>
          <w:spacing w:val="-2"/>
          <w:sz w:val="18"/>
          <w:szCs w:val="18"/>
        </w:rPr>
        <w:t>吕洪仁先生：1971年出生，现任中审众环会计师事务所（特殊普通合伙）管理合伙人兼浙江分所所长。历任浙江会计师</w:t>
      </w:r>
      <w:r>
        <w:rPr>
          <w:rFonts w:ascii="宋体" w:hAnsi="宋体" w:cs="宋体" w:eastAsia="宋体" w:hint="default"/>
          <w:sz w:val="18"/>
          <w:szCs w:val="18"/>
        </w:rPr>
        <w:t> </w:t>
      </w:r>
      <w:r>
        <w:rPr>
          <w:rFonts w:ascii="宋体" w:hAnsi="宋体" w:cs="宋体" w:eastAsia="宋体" w:hint="default"/>
          <w:spacing w:val="-2"/>
          <w:sz w:val="18"/>
          <w:szCs w:val="18"/>
        </w:rPr>
        <w:t>事务所审计助理，浙江天健会计师事务所项目经理、高级项目经理、部门负责人，数源科技股份有限公司财务总监，浙江中</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浩华天会计师事务所董事长兼总经理，杭州华天税务师事务所董事长兼总经理，利安达会计师事务所管理合伙人及利安达国</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9"/>
          <w:sz w:val="18"/>
          <w:szCs w:val="18"/>
        </w:rPr>
        <w:t>际董事，中审亚太会计师事务所（特殊普通合伙）管理合伙人兼浙江分所所长。曾任物产中拓（000906）、泰胜风能（300129）、</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剑桥科技（603083）、扬帆新材（300637）、浙江永强（002489）独立董事。现任本公司独立董事。</w:t>
      </w:r>
    </w:p>
    <w:p>
      <w:pPr>
        <w:spacing w:line="405" w:lineRule="auto" w:before="70"/>
        <w:ind w:left="492" w:right="1124" w:firstLine="0"/>
        <w:jc w:val="left"/>
        <w:rPr>
          <w:rFonts w:ascii="宋体" w:hAnsi="宋体" w:cs="宋体" w:eastAsia="宋体" w:hint="default"/>
          <w:sz w:val="18"/>
          <w:szCs w:val="18"/>
        </w:rPr>
      </w:pPr>
      <w:r>
        <w:rPr>
          <w:rFonts w:ascii="宋体" w:hAnsi="宋体" w:cs="宋体" w:eastAsia="宋体" w:hint="default"/>
          <w:sz w:val="18"/>
          <w:szCs w:val="18"/>
        </w:rPr>
        <w:t>（二）监事 杨凯军先生：1975年出生，中国国籍，大学本科，高级工程师。1998年7月至2018年10月，先后担任浙江万马高分子材</w:t>
      </w:r>
    </w:p>
    <w:p>
      <w:pPr>
        <w:spacing w:line="367" w:lineRule="auto" w:before="0"/>
        <w:ind w:left="132" w:right="1141" w:firstLine="0"/>
        <w:jc w:val="both"/>
        <w:rPr>
          <w:rFonts w:ascii="宋体" w:hAnsi="宋体" w:cs="宋体" w:eastAsia="宋体" w:hint="default"/>
          <w:sz w:val="18"/>
          <w:szCs w:val="18"/>
        </w:rPr>
      </w:pPr>
      <w:r>
        <w:rPr>
          <w:rFonts w:ascii="宋体" w:hAnsi="宋体" w:cs="宋体" w:eastAsia="宋体" w:hint="default"/>
          <w:sz w:val="18"/>
          <w:szCs w:val="18"/>
        </w:rPr>
        <w:t>料集团限公司质量部经理、生产部经理、采购经理、生产总经理助理、副总经理，2018年11月至2019年3月任杭州以田科技 有限公司生产副总。2019年3月至今，任杭州全通轻质材料有限公司负责人兼无锡会通轻质材料股份有限公司供应链总监。 现任本公司监事会主席。</w:t>
      </w:r>
    </w:p>
    <w:p>
      <w:pPr>
        <w:spacing w:line="367" w:lineRule="auto" w:before="70"/>
        <w:ind w:left="132" w:right="1034" w:firstLine="360"/>
        <w:jc w:val="left"/>
        <w:rPr>
          <w:rFonts w:ascii="宋体" w:hAnsi="宋体" w:cs="宋体" w:eastAsia="宋体" w:hint="default"/>
          <w:sz w:val="18"/>
          <w:szCs w:val="18"/>
        </w:rPr>
      </w:pPr>
      <w:r>
        <w:rPr>
          <w:rFonts w:ascii="宋体" w:hAnsi="宋体" w:cs="宋体" w:eastAsia="宋体" w:hint="default"/>
          <w:spacing w:val="-2"/>
          <w:sz w:val="18"/>
          <w:szCs w:val="18"/>
        </w:rPr>
        <w:t>张秀倩女士：1981年出生，中国国籍，杭州机电学院财务管理专业，会计师。2010年加入万马联合控股集团，先后担任</w:t>
      </w:r>
      <w:r>
        <w:rPr>
          <w:rFonts w:ascii="宋体" w:hAnsi="宋体" w:cs="宋体" w:eastAsia="宋体" w:hint="default"/>
          <w:sz w:val="18"/>
          <w:szCs w:val="18"/>
        </w:rPr>
        <w:t> 审计主管、总监助理、财务经理等职。现任万马联合控股集团财务部经理，本公司监事。</w:t>
      </w:r>
    </w:p>
    <w:p>
      <w:pPr>
        <w:spacing w:line="367" w:lineRule="auto" w:before="70"/>
        <w:ind w:left="132" w:right="1034" w:firstLine="360"/>
        <w:jc w:val="left"/>
        <w:rPr>
          <w:rFonts w:ascii="宋体" w:hAnsi="宋体" w:cs="宋体" w:eastAsia="宋体" w:hint="default"/>
          <w:sz w:val="18"/>
          <w:szCs w:val="18"/>
        </w:rPr>
      </w:pPr>
      <w:r>
        <w:rPr>
          <w:rFonts w:ascii="宋体" w:hAnsi="宋体" w:cs="宋体" w:eastAsia="宋体" w:hint="default"/>
          <w:sz w:val="18"/>
          <w:szCs w:val="18"/>
        </w:rPr>
        <w:t>俞哲先生：1975年出生，中国国籍，无境外居留权，大专学历。1993年1月至2012年9月，任万马集团资金部高级经理， 2012年10月至2014年3月，任浙江森禾种业股份有限公司财务资金部总经理，2015年3月至2018年2月，任浙江富来森控股集 团有限公司资金管理部总经理，2018年2月至今，任本公司资金部总经理；2019年10月至今，兼任本公司监事。</w:t>
      </w:r>
    </w:p>
    <w:p>
      <w:pPr>
        <w:spacing w:line="408" w:lineRule="auto" w:before="67"/>
        <w:ind w:left="492" w:right="1034" w:firstLine="0"/>
        <w:jc w:val="left"/>
        <w:rPr>
          <w:rFonts w:ascii="宋体" w:hAnsi="宋体" w:cs="宋体" w:eastAsia="宋体" w:hint="default"/>
          <w:sz w:val="18"/>
          <w:szCs w:val="18"/>
        </w:rPr>
      </w:pPr>
      <w:r>
        <w:rPr>
          <w:rFonts w:ascii="宋体" w:hAnsi="宋体" w:cs="宋体" w:eastAsia="宋体" w:hint="default"/>
          <w:sz w:val="18"/>
          <w:szCs w:val="18"/>
        </w:rPr>
        <w:t>（三）其他高级管理人员 </w:t>
      </w:r>
      <w:r>
        <w:rPr>
          <w:rFonts w:ascii="宋体" w:hAnsi="宋体" w:cs="宋体" w:eastAsia="宋体" w:hint="default"/>
          <w:spacing w:val="-2"/>
          <w:sz w:val="18"/>
          <w:szCs w:val="18"/>
        </w:rPr>
        <w:t>赵宇恺女士：1982年出生，法学硕士。历任上海锦天城律师事务所杭州分所专职律师、上海圣奥实业（集团）有限公司</w:t>
      </w:r>
    </w:p>
    <w:p>
      <w:pPr>
        <w:spacing w:line="367" w:lineRule="auto" w:before="0"/>
        <w:ind w:left="132" w:right="1124" w:firstLine="0"/>
        <w:jc w:val="left"/>
        <w:rPr>
          <w:rFonts w:ascii="宋体" w:hAnsi="宋体" w:cs="宋体" w:eastAsia="宋体" w:hint="default"/>
          <w:sz w:val="18"/>
          <w:szCs w:val="18"/>
        </w:rPr>
      </w:pPr>
      <w:r>
        <w:rPr>
          <w:rFonts w:ascii="宋体" w:hAnsi="宋体" w:cs="宋体" w:eastAsia="宋体" w:hint="default"/>
          <w:sz w:val="18"/>
          <w:szCs w:val="18"/>
        </w:rPr>
        <w:t>法务总监、浙江腾飞金鹰律师事务所专职律师、万马联合控股集团有限公司法务总监、副总裁助理。自2017年9月至今任本 公司副总经理、董事会秘书。</w:t>
      </w:r>
    </w:p>
    <w:p>
      <w:pPr>
        <w:spacing w:line="367" w:lineRule="auto" w:before="70"/>
        <w:ind w:left="132" w:right="1033" w:firstLine="271"/>
        <w:jc w:val="left"/>
        <w:rPr>
          <w:rFonts w:ascii="宋体" w:hAnsi="宋体" w:cs="宋体" w:eastAsia="宋体" w:hint="default"/>
          <w:sz w:val="18"/>
          <w:szCs w:val="18"/>
        </w:rPr>
      </w:pPr>
      <w:r>
        <w:rPr>
          <w:rFonts w:ascii="宋体" w:hAnsi="宋体" w:cs="宋体" w:eastAsia="宋体" w:hint="default"/>
          <w:sz w:val="18"/>
          <w:szCs w:val="18"/>
        </w:rPr>
        <w:t>许刚先生：1975年出生，浙江工业大学MBA，中国国籍，中国注册会计师，中国注册税务师，中国注册造价师，会计师。 2014年1月至2015年7月任苏泊尔集团有限公司审计负责人。2015年8月至2016年8月任万马联合控股集团有限公司审计总监。</w:t>
      </w:r>
    </w:p>
    <w:p>
      <w:pPr>
        <w:spacing w:line="338" w:lineRule="auto" w:before="29"/>
        <w:ind w:left="132" w:right="5174" w:firstLine="0"/>
        <w:jc w:val="left"/>
        <w:rPr>
          <w:rFonts w:ascii="宋体" w:hAnsi="宋体" w:cs="宋体" w:eastAsia="宋体" w:hint="default"/>
          <w:sz w:val="18"/>
          <w:szCs w:val="18"/>
        </w:rPr>
      </w:pPr>
      <w:r>
        <w:rPr>
          <w:rFonts w:ascii="宋体" w:hAnsi="宋体" w:cs="宋体" w:eastAsia="宋体" w:hint="default"/>
          <w:sz w:val="18"/>
          <w:szCs w:val="18"/>
        </w:rPr>
        <w:t>2016年8月至2017年4月任万马股份内审负责人。现任本公司财务总监。 在股东单位任职情况</w:t>
      </w:r>
    </w:p>
    <w:p>
      <w:pPr>
        <w:spacing w:before="43"/>
        <w:ind w:left="132"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396"/>
        <w:gridCol w:w="2791"/>
        <w:gridCol w:w="1266"/>
        <w:gridCol w:w="1515"/>
        <w:gridCol w:w="1166"/>
        <w:gridCol w:w="1426"/>
      </w:tblGrid>
      <w:tr>
        <w:trPr>
          <w:trHeight w:val="500" w:hRule="exact"/>
        </w:trPr>
        <w:tc>
          <w:tcPr>
            <w:tcW w:w="1396"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left="234" w:right="0"/>
              <w:jc w:val="left"/>
              <w:rPr>
                <w:rFonts w:ascii="宋体" w:hAnsi="宋体" w:cs="宋体" w:eastAsia="宋体" w:hint="default"/>
                <w:sz w:val="15"/>
                <w:szCs w:val="15"/>
              </w:rPr>
            </w:pPr>
            <w:r>
              <w:rPr>
                <w:rFonts w:ascii="宋体" w:hAnsi="宋体" w:cs="宋体" w:eastAsia="宋体" w:hint="default"/>
                <w:sz w:val="15"/>
                <w:szCs w:val="15"/>
              </w:rPr>
              <w:t>任职人员姓名</w:t>
            </w:r>
          </w:p>
        </w:tc>
        <w:tc>
          <w:tcPr>
            <w:tcW w:w="2791"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股东单位名称</w:t>
            </w:r>
          </w:p>
        </w:tc>
        <w:tc>
          <w:tcPr>
            <w:tcW w:w="126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92" w:lineRule="auto" w:before="18"/>
              <w:ind w:left="402" w:right="102" w:hanging="300"/>
              <w:jc w:val="left"/>
              <w:rPr>
                <w:rFonts w:ascii="宋体" w:hAnsi="宋体" w:cs="宋体" w:eastAsia="宋体" w:hint="default"/>
                <w:sz w:val="15"/>
                <w:szCs w:val="15"/>
              </w:rPr>
            </w:pPr>
            <w:r>
              <w:rPr>
                <w:rFonts w:ascii="宋体" w:hAnsi="宋体" w:cs="宋体" w:eastAsia="宋体" w:hint="default"/>
                <w:sz w:val="15"/>
                <w:szCs w:val="15"/>
              </w:rPr>
              <w:t>在股东单位担任</w:t>
            </w:r>
            <w:r>
              <w:rPr>
                <w:rFonts w:ascii="宋体" w:hAnsi="宋体" w:cs="宋体" w:eastAsia="宋体" w:hint="default"/>
                <w:w w:val="99"/>
                <w:sz w:val="15"/>
                <w:szCs w:val="15"/>
              </w:rPr>
              <w:t> </w:t>
            </w:r>
            <w:r>
              <w:rPr>
                <w:rFonts w:ascii="宋体" w:hAnsi="宋体" w:cs="宋体" w:eastAsia="宋体" w:hint="default"/>
                <w:sz w:val="15"/>
                <w:szCs w:val="15"/>
              </w:rPr>
              <w:t>的职务</w:t>
            </w:r>
          </w:p>
        </w:tc>
        <w:tc>
          <w:tcPr>
            <w:tcW w:w="1515"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3"/>
              <w:jc w:val="center"/>
              <w:rPr>
                <w:rFonts w:ascii="宋体" w:hAnsi="宋体" w:cs="宋体" w:eastAsia="宋体" w:hint="default"/>
                <w:sz w:val="15"/>
                <w:szCs w:val="15"/>
              </w:rPr>
            </w:pPr>
            <w:r>
              <w:rPr>
                <w:rFonts w:ascii="宋体" w:hAnsi="宋体" w:cs="宋体" w:eastAsia="宋体" w:hint="default"/>
                <w:sz w:val="15"/>
                <w:szCs w:val="15"/>
              </w:rPr>
              <w:t>任期起始日期</w:t>
            </w:r>
          </w:p>
        </w:tc>
        <w:tc>
          <w:tcPr>
            <w:tcW w:w="116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left="127" w:right="0"/>
              <w:jc w:val="left"/>
              <w:rPr>
                <w:rFonts w:ascii="宋体" w:hAnsi="宋体" w:cs="宋体" w:eastAsia="宋体" w:hint="default"/>
                <w:sz w:val="15"/>
                <w:szCs w:val="15"/>
              </w:rPr>
            </w:pPr>
            <w:r>
              <w:rPr>
                <w:rFonts w:ascii="宋体" w:hAnsi="宋体" w:cs="宋体" w:eastAsia="宋体" w:hint="default"/>
                <w:sz w:val="15"/>
                <w:szCs w:val="15"/>
              </w:rPr>
              <w:t>任期终止日期</w:t>
            </w:r>
          </w:p>
        </w:tc>
        <w:tc>
          <w:tcPr>
            <w:tcW w:w="1426"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92" w:lineRule="auto" w:before="18"/>
              <w:ind w:left="332" w:right="98" w:hanging="224"/>
              <w:jc w:val="left"/>
              <w:rPr>
                <w:rFonts w:ascii="宋体" w:hAnsi="宋体" w:cs="宋体" w:eastAsia="宋体" w:hint="default"/>
                <w:sz w:val="15"/>
                <w:szCs w:val="15"/>
              </w:rPr>
            </w:pPr>
            <w:r>
              <w:rPr>
                <w:rFonts w:ascii="宋体" w:hAnsi="宋体" w:cs="宋体" w:eastAsia="宋体" w:hint="default"/>
                <w:sz w:val="15"/>
                <w:szCs w:val="15"/>
              </w:rPr>
              <w:t>在股东单位是否领</w:t>
            </w:r>
            <w:r>
              <w:rPr>
                <w:rFonts w:ascii="宋体" w:hAnsi="宋体" w:cs="宋体" w:eastAsia="宋体" w:hint="default"/>
                <w:w w:val="99"/>
                <w:sz w:val="15"/>
                <w:szCs w:val="15"/>
              </w:rPr>
              <w:t> </w:t>
            </w:r>
            <w:r>
              <w:rPr>
                <w:rFonts w:ascii="宋体" w:hAnsi="宋体" w:cs="宋体" w:eastAsia="宋体" w:hint="default"/>
                <w:sz w:val="15"/>
                <w:szCs w:val="15"/>
              </w:rPr>
              <w:t>取报酬津贴</w:t>
            </w:r>
          </w:p>
        </w:tc>
      </w:tr>
      <w:tr>
        <w:trPr>
          <w:trHeight w:val="250"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万马联合控股集团有限公司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董事兼总经理</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07</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浙江万马智能科技集团有限公司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20</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万马联合控股集团有限公司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副总裁</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70"/>
              <w:jc w:val="center"/>
              <w:rPr>
                <w:rFonts w:ascii="宋体" w:hAnsi="宋体" w:cs="宋体" w:eastAsia="宋体" w:hint="default"/>
                <w:sz w:val="15"/>
                <w:szCs w:val="15"/>
              </w:rPr>
            </w:pPr>
            <w:r>
              <w:rPr>
                <w:rFonts w:ascii="Times New Roman" w:hAnsi="Times New Roman" w:cs="Times New Roman" w:eastAsia="Times New Roman" w:hint="default"/>
                <w:sz w:val="15"/>
                <w:szCs w:val="15"/>
              </w:rPr>
              <w:t>2011</w:t>
            </w:r>
            <w:r>
              <w:rPr>
                <w:rFonts w:ascii="Times New Roman" w:hAnsi="Times New Roman" w:cs="Times New Roman" w:eastAsia="Times New Roman" w:hint="default"/>
                <w:spacing w:val="-7"/>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11</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月</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08</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浙江万马智能科技集团有限公司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2012</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06</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18</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48"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万马联合控股集团有限公司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董事、副总裁</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2014</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bl>
    <w:p>
      <w:pPr>
        <w:spacing w:after="0" w:line="240" w:lineRule="auto"/>
        <w:jc w:val="left"/>
        <w:rPr>
          <w:rFonts w:ascii="宋体" w:hAnsi="宋体" w:cs="宋体" w:eastAsia="宋体" w:hint="default"/>
          <w:sz w:val="15"/>
          <w:szCs w:val="15"/>
        </w:rPr>
        <w:sectPr>
          <w:pgSz w:w="11910" w:h="16840"/>
          <w:pgMar w:header="890" w:footer="1053" w:top="1420" w:bottom="1240" w:left="1000" w:right="0"/>
        </w:sectPr>
      </w:pP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1396"/>
        <w:gridCol w:w="2791"/>
        <w:gridCol w:w="1266"/>
        <w:gridCol w:w="1515"/>
        <w:gridCol w:w="1166"/>
        <w:gridCol w:w="1426"/>
      </w:tblGrid>
      <w:tr>
        <w:trPr>
          <w:trHeight w:val="250"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浙江万马智能科技集团有限公司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20</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张丹凤</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万马联合控股集团有限公司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2014</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05</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27</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张丹凤</w:t>
            </w:r>
          </w:p>
        </w:tc>
        <w:tc>
          <w:tcPr>
            <w:tcW w:w="2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浙江万马智能科技集团有限公司</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2012</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06</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18</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60" w:hRule="exact"/>
        </w:trPr>
        <w:tc>
          <w:tcPr>
            <w:tcW w:w="1396"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279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万马联合控股集团有限公司</w:t>
            </w:r>
          </w:p>
        </w:tc>
        <w:tc>
          <w:tcPr>
            <w:tcW w:w="12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副总裁</w:t>
            </w:r>
          </w:p>
        </w:tc>
        <w:tc>
          <w:tcPr>
            <w:tcW w:w="151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7"/>
              <w:ind w:right="6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08</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日</w:t>
            </w:r>
          </w:p>
        </w:tc>
        <w:tc>
          <w:tcPr>
            <w:tcW w:w="1166" w:type="dxa"/>
            <w:tcBorders>
              <w:top w:val="single" w:sz="4" w:space="0" w:color="000000"/>
              <w:left w:val="single" w:sz="4" w:space="0" w:color="000000"/>
              <w:bottom w:val="single" w:sz="12" w:space="0" w:color="000000"/>
              <w:right w:val="single" w:sz="4" w:space="0" w:color="000000"/>
            </w:tcBorders>
          </w:tcPr>
          <w:p>
            <w:pPr/>
          </w:p>
        </w:tc>
        <w:tc>
          <w:tcPr>
            <w:tcW w:w="142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bl>
    <w:p>
      <w:pPr>
        <w:spacing w:before="51"/>
        <w:ind w:left="132" w:right="1164" w:firstLine="0"/>
        <w:jc w:val="left"/>
        <w:rPr>
          <w:rFonts w:ascii="宋体" w:hAnsi="宋体" w:cs="宋体" w:eastAsia="宋体" w:hint="default"/>
          <w:sz w:val="18"/>
          <w:szCs w:val="18"/>
        </w:rPr>
      </w:pPr>
      <w:r>
        <w:rPr>
          <w:rFonts w:ascii="宋体" w:hAnsi="宋体" w:cs="宋体" w:eastAsia="宋体" w:hint="default"/>
          <w:sz w:val="18"/>
          <w:szCs w:val="18"/>
        </w:rPr>
        <w:t>在其他单位任职情况</w:t>
      </w:r>
    </w:p>
    <w:p>
      <w:pPr>
        <w:spacing w:before="117"/>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028"/>
        <w:gridCol w:w="4376"/>
        <w:gridCol w:w="2270"/>
        <w:gridCol w:w="1606"/>
      </w:tblGrid>
      <w:tr>
        <w:trPr>
          <w:trHeight w:val="500" w:hRule="exact"/>
        </w:trPr>
        <w:tc>
          <w:tcPr>
            <w:tcW w:w="1028"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92" w:lineRule="auto" w:before="18"/>
              <w:ind w:left="423" w:right="134" w:hanging="300"/>
              <w:jc w:val="left"/>
              <w:rPr>
                <w:rFonts w:ascii="宋体" w:hAnsi="宋体" w:cs="宋体" w:eastAsia="宋体" w:hint="default"/>
                <w:sz w:val="15"/>
                <w:szCs w:val="15"/>
              </w:rPr>
            </w:pPr>
            <w:r>
              <w:rPr>
                <w:rFonts w:ascii="宋体" w:hAnsi="宋体" w:cs="宋体" w:eastAsia="宋体" w:hint="default"/>
                <w:sz w:val="15"/>
                <w:szCs w:val="15"/>
              </w:rPr>
              <w:t>任职人员姓</w:t>
            </w:r>
            <w:r>
              <w:rPr>
                <w:rFonts w:ascii="宋体" w:hAnsi="宋体" w:cs="宋体" w:eastAsia="宋体" w:hint="default"/>
                <w:w w:val="99"/>
                <w:sz w:val="15"/>
                <w:szCs w:val="15"/>
              </w:rPr>
              <w:t> </w:t>
            </w:r>
            <w:r>
              <w:rPr>
                <w:rFonts w:ascii="宋体" w:hAnsi="宋体" w:cs="宋体" w:eastAsia="宋体" w:hint="default"/>
                <w:sz w:val="15"/>
                <w:szCs w:val="15"/>
              </w:rPr>
              <w:t>名</w:t>
            </w:r>
          </w:p>
        </w:tc>
        <w:tc>
          <w:tcPr>
            <w:tcW w:w="437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其他单位名称</w:t>
            </w:r>
          </w:p>
        </w:tc>
        <w:tc>
          <w:tcPr>
            <w:tcW w:w="227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left="381" w:right="0"/>
              <w:jc w:val="left"/>
              <w:rPr>
                <w:rFonts w:ascii="宋体" w:hAnsi="宋体" w:cs="宋体" w:eastAsia="宋体" w:hint="default"/>
                <w:sz w:val="15"/>
                <w:szCs w:val="15"/>
              </w:rPr>
            </w:pPr>
            <w:r>
              <w:rPr>
                <w:rFonts w:ascii="宋体" w:hAnsi="宋体" w:cs="宋体" w:eastAsia="宋体" w:hint="default"/>
                <w:sz w:val="15"/>
                <w:szCs w:val="15"/>
              </w:rPr>
              <w:t>在其他单位担任的职务</w:t>
            </w:r>
          </w:p>
        </w:tc>
        <w:tc>
          <w:tcPr>
            <w:tcW w:w="1606"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92" w:lineRule="auto" w:before="18"/>
              <w:ind w:left="499" w:right="113" w:hanging="377"/>
              <w:jc w:val="left"/>
              <w:rPr>
                <w:rFonts w:ascii="宋体" w:hAnsi="宋体" w:cs="宋体" w:eastAsia="宋体" w:hint="default"/>
                <w:sz w:val="15"/>
                <w:szCs w:val="15"/>
              </w:rPr>
            </w:pPr>
            <w:r>
              <w:rPr>
                <w:rFonts w:ascii="宋体" w:hAnsi="宋体" w:cs="宋体" w:eastAsia="宋体" w:hint="default"/>
                <w:sz w:val="15"/>
                <w:szCs w:val="15"/>
              </w:rPr>
              <w:t>在其他单位是否领取</w:t>
            </w:r>
            <w:r>
              <w:rPr>
                <w:rFonts w:ascii="宋体" w:hAnsi="宋体" w:cs="宋体" w:eastAsia="宋体" w:hint="default"/>
                <w:w w:val="99"/>
                <w:sz w:val="15"/>
                <w:szCs w:val="15"/>
              </w:rPr>
              <w:t> </w:t>
            </w:r>
            <w:r>
              <w:rPr>
                <w:rFonts w:ascii="宋体" w:hAnsi="宋体" w:cs="宋体" w:eastAsia="宋体" w:hint="default"/>
                <w:sz w:val="15"/>
                <w:szCs w:val="15"/>
              </w:rPr>
              <w:t>报酬津贴</w:t>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浙江天屹信息房地产开发有限公司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浙江万马房地产集团有限公司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万马科技股份有限公司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浙江万马家装有限公司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万马融资租赁（上海）有限公司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浙江爱充网络科技有限公司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执行董事兼总经理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万马联合新能源投资有限公司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浙江万马电控技术有限公司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执行董事兼总经理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浙江海振市政工程有限公司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执行董事兼总经理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浙江万马融创投资有限公司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董事长兼总经理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浙江万马股权投资基金管理有限公司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浙江万马光伏有限公司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杭州临安万马网络技术有限公司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福州万充新能源科技有限公司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浙江骏业科创科技有限公司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杭州瑞正科技有限公司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浙江万马天屹通信线缆有限公司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浙江万马集团特种电子电缆有限公司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浙江万马高分子材料集团有限公司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副董事长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浙江万马海振光电科技有限公司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深圳万充新能源科技有限公司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临安万马蓝翔置业有限公司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董事兼总经理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浙江万马新能源有限公司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无锡会通轻质材料股份有限公司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上海灏竑投资管理有限公司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杭州骐骥投资管理有限公司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董事长兼总经理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上海灏竑投资管理有限公司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浙江万马股权投资基金管理有限公司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万马奔腾新能源产业集团有限公司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董事兼总经理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北京嘉清新能源科技有限公司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杭州昭焕骏轶投资管理有限责任公司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浙江万马电缆销售有限公司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杭州临安万马网络技术有限公司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上海骥驰实业有限公司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万马融资租赁（上海）有限公司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杭州全通轻质材料有限公司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万马科技股份有限公司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副董事长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浙江万马奔腾高分子材料销售有限公司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浙江万马海振光电科技有限公司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临安万马蓝翔置业有限公司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无锡会通轻质材料股份有限公司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浙江万马新能源有限公司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浙江万马天屹通信线缆有限公司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浙江万马高分子材料集团有限公司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万马联合新能源投资有限公司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48"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浙江万马集团特种电子电缆有限公司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bl>
    <w:p>
      <w:pPr>
        <w:spacing w:after="0" w:line="240" w:lineRule="auto"/>
        <w:jc w:val="left"/>
        <w:rPr>
          <w:rFonts w:ascii="宋体" w:hAnsi="宋体" w:cs="宋体" w:eastAsia="宋体" w:hint="default"/>
          <w:sz w:val="15"/>
          <w:szCs w:val="15"/>
        </w:rPr>
        <w:sectPr>
          <w:pgSz w:w="11910" w:h="16840"/>
          <w:pgMar w:header="890" w:footer="1053" w:top="1420" w:bottom="1240" w:left="1000" w:right="0"/>
        </w:sectPr>
      </w:pPr>
    </w:p>
    <w:tbl>
      <w:tblPr>
        <w:tblW w:w="0" w:type="auto"/>
        <w:jc w:val="left"/>
        <w:tblInd w:w="119" w:type="dxa"/>
        <w:tblLayout w:type="fixed"/>
        <w:tblCellMar>
          <w:top w:w="0" w:type="dxa"/>
          <w:left w:w="0" w:type="dxa"/>
          <w:bottom w:w="0" w:type="dxa"/>
          <w:right w:w="0" w:type="dxa"/>
        </w:tblCellMar>
        <w:tblLook w:val="01E0"/>
      </w:tblPr>
      <w:tblGrid>
        <w:gridCol w:w="1028"/>
        <w:gridCol w:w="4376"/>
        <w:gridCol w:w="2270"/>
        <w:gridCol w:w="1606"/>
      </w:tblGrid>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浙江万马海立斯新能源有限公司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宁波万爱新能源科技有限公司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北京万京新能源科技有限公司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武汉万爱新能源科技有限公司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江苏万充新能源科技有限公司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执行董事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上海万遥新能源科技有限公司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深圳万充新能源科技有限公司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杭州万充电力工程有限公司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执行董事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苏州万充新能源科技有限公司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无锡万充新能源科技有限公司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山东万恩新能源科技有限公司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万马科技股份有限公司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上海灏竑投资管理有限公司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杭州骐骥投资管理有限公司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浙江万马股权投资基金管理有限公司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安华智能股份公司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无锡会通轻质材料股份有限公司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浙江万马融创投资有限公司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张丹凤</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杭州临安万马网络技术有限公司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张丹凤</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杭州小马哥生态农业有限公司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张丹凤</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浙江华睿德银创业投资有限公司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南通莱茵达置业有限公司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浙江万马房地产集团有限公司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湖州万隆实业有限公司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福州万充新能源科技有限公司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陕西万充新能源科技有限公司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执行董事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浙江申通万马科技有限公司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万马联合新能源投资有限公司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浙江莱茵达新能源集团有限公司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湖州万腾实业有限公司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万马科技股份有限公司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监事会主席</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浙江莱茵达电竞文化发展有限公司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扬州莱茵西湖置业有限公司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湖州莱茵达宏业燃气有限公司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中节能（湖州）智能科技发展有限公司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孙小红</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浙江万马电缆销售有限公司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孙小红</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浙江万马电缆有限公司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总经理</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赵健康</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中国电力科学研究院</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首席技术专家、教授级高工</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周荣</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佛山佛塑科技集团股份有限公司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周荣</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中国汽车技术研究中心有限公司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资深首席专家</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周荣</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全国汽车标准化技术委员会电动车辆分会</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秘书长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周荣</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中国电工学会电动汽车充换电系统与试验专业委员会</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副主任委员</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吕洪仁</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中审众环会计师事务所（特殊普通合伙）</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管理合伙人兼浙江分所所长</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赵宇恺</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无锡会通轻质材料股份有限公司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赵宇恺</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上海灏竑投资管理有限公司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浙江万马家装有限公司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浙江万马电缆销售有限公司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杭州以田科技有限公司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浙江骏业科创科技有限公司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杭州瑞正科技有限公司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浙江万马天屹通信线缆有限公司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浙江万马集团特种电子电缆有限公司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浙江万马高分子材料集团有限公司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02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4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浙江万马奔腾高分子材料销售有限公司</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60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60" w:hRule="exact"/>
        </w:trPr>
        <w:tc>
          <w:tcPr>
            <w:tcW w:w="102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杨凯军</w:t>
            </w:r>
          </w:p>
        </w:tc>
        <w:tc>
          <w:tcPr>
            <w:tcW w:w="437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临安桃园居房产置换有限公司</w:t>
            </w:r>
          </w:p>
        </w:tc>
        <w:tc>
          <w:tcPr>
            <w:tcW w:w="22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60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bl>
    <w:p>
      <w:pPr>
        <w:spacing w:after="0" w:line="240" w:lineRule="auto"/>
        <w:jc w:val="left"/>
        <w:rPr>
          <w:rFonts w:ascii="宋体" w:hAnsi="宋体" w:cs="宋体" w:eastAsia="宋体" w:hint="default"/>
          <w:sz w:val="15"/>
          <w:szCs w:val="15"/>
        </w:rPr>
        <w:sectPr>
          <w:footerReference w:type="default" r:id="rId35"/>
          <w:pgSz w:w="11910" w:h="16840"/>
          <w:pgMar w:footer="1053" w:header="890" w:top="1480" w:bottom="1240" w:left="1000" w:right="0"/>
          <w:pgNumType w:start="60"/>
        </w:sectPr>
      </w:pPr>
    </w:p>
    <w:p>
      <w:pPr>
        <w:spacing w:before="66"/>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四、董事、监事、高级管理人员报酬情况" w:id="127"/>
      <w:bookmarkEnd w:id="127"/>
      <w:r>
        <w:rPr>
          <w:b w:val="0"/>
          <w:bCs w:val="0"/>
        </w:rPr>
      </w: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w:t>
      </w:r>
    </w:p>
    <w:p>
      <w:pPr>
        <w:spacing w:line="316" w:lineRule="auto" w:before="115"/>
        <w:ind w:left="132" w:right="1124" w:firstLine="360"/>
        <w:jc w:val="left"/>
        <w:rPr>
          <w:rFonts w:ascii="宋体" w:hAnsi="宋体" w:cs="宋体" w:eastAsia="宋体" w:hint="default"/>
          <w:sz w:val="18"/>
          <w:szCs w:val="18"/>
        </w:rPr>
      </w:pPr>
      <w:r>
        <w:rPr>
          <w:rFonts w:ascii="宋体" w:hAnsi="宋体" w:cs="宋体" w:eastAsia="宋体" w:hint="default"/>
          <w:sz w:val="18"/>
          <w:szCs w:val="18"/>
        </w:rPr>
        <w:t>（1）董事、监事、高级管理人员报酬确定依据：在公司任职的董事、监事和高级管理人员按其行政岗位及职务，根据 公司现行的年度考核体系和薪酬制度领取薪酬。未在公司担任行政职务的董事、监事无津贴。</w:t>
      </w:r>
    </w:p>
    <w:p>
      <w:pPr>
        <w:spacing w:line="360" w:lineRule="auto" w:before="59"/>
        <w:ind w:left="132" w:right="1304" w:firstLine="360"/>
        <w:jc w:val="left"/>
        <w:rPr>
          <w:rFonts w:ascii="宋体" w:hAnsi="宋体" w:cs="宋体" w:eastAsia="宋体" w:hint="default"/>
          <w:sz w:val="18"/>
          <w:szCs w:val="18"/>
        </w:rPr>
      </w:pPr>
      <w:r>
        <w:rPr>
          <w:rFonts w:ascii="宋体" w:hAnsi="宋体" w:cs="宋体" w:eastAsia="宋体" w:hint="default"/>
          <w:sz w:val="18"/>
          <w:szCs w:val="18"/>
        </w:rPr>
        <w:t>（2）独立董事报酬确定依据：公司独立董事的薪酬由董事会审议后提交股东大会批准决定，按月支付到个人帐户。 公司报告期内董事、监事和高级管理人员报酬情况</w:t>
      </w:r>
    </w:p>
    <w:p>
      <w:pPr>
        <w:spacing w:before="2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369"/>
        <w:gridCol w:w="1602"/>
        <w:gridCol w:w="1132"/>
        <w:gridCol w:w="1367"/>
        <w:gridCol w:w="1367"/>
        <w:gridCol w:w="1367"/>
        <w:gridCol w:w="1367"/>
      </w:tblGrid>
      <w:tr>
        <w:trPr>
          <w:trHeight w:val="500" w:hRule="exact"/>
        </w:trPr>
        <w:tc>
          <w:tcPr>
            <w:tcW w:w="1369"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0"/>
              <w:jc w:val="center"/>
              <w:rPr>
                <w:rFonts w:ascii="宋体" w:hAnsi="宋体" w:cs="宋体" w:eastAsia="宋体" w:hint="default"/>
                <w:sz w:val="15"/>
                <w:szCs w:val="15"/>
              </w:rPr>
            </w:pPr>
            <w:r>
              <w:rPr>
                <w:rFonts w:ascii="宋体" w:hAnsi="宋体" w:cs="宋体" w:eastAsia="宋体" w:hint="default"/>
                <w:sz w:val="15"/>
                <w:szCs w:val="15"/>
              </w:rPr>
              <w:t>姓名</w:t>
            </w:r>
          </w:p>
        </w:tc>
        <w:tc>
          <w:tcPr>
            <w:tcW w:w="160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职务</w:t>
            </w:r>
          </w:p>
        </w:tc>
        <w:tc>
          <w:tcPr>
            <w:tcW w:w="1132"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性别</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年龄</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377" w:right="0"/>
              <w:jc w:val="left"/>
              <w:rPr>
                <w:rFonts w:ascii="宋体" w:hAnsi="宋体" w:cs="宋体" w:eastAsia="宋体" w:hint="default"/>
                <w:sz w:val="15"/>
                <w:szCs w:val="15"/>
              </w:rPr>
            </w:pPr>
            <w:r>
              <w:rPr>
                <w:rFonts w:ascii="宋体" w:hAnsi="宋体" w:cs="宋体" w:eastAsia="宋体" w:hint="default"/>
                <w:sz w:val="15"/>
                <w:szCs w:val="15"/>
              </w:rPr>
              <w:t>任职状态</w:t>
            </w:r>
          </w:p>
        </w:tc>
        <w:tc>
          <w:tcPr>
            <w:tcW w:w="136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92" w:lineRule="auto" w:before="17"/>
              <w:ind w:left="304" w:right="153" w:hanging="152"/>
              <w:jc w:val="left"/>
              <w:rPr>
                <w:rFonts w:ascii="宋体" w:hAnsi="宋体" w:cs="宋体" w:eastAsia="宋体" w:hint="default"/>
                <w:sz w:val="15"/>
                <w:szCs w:val="15"/>
              </w:rPr>
            </w:pPr>
            <w:r>
              <w:rPr>
                <w:rFonts w:ascii="宋体" w:hAnsi="宋体" w:cs="宋体" w:eastAsia="宋体" w:hint="default"/>
                <w:sz w:val="15"/>
                <w:szCs w:val="15"/>
              </w:rPr>
              <w:t>从公司获得的税</w:t>
            </w:r>
            <w:r>
              <w:rPr>
                <w:rFonts w:ascii="宋体" w:hAnsi="宋体" w:cs="宋体" w:eastAsia="宋体" w:hint="default"/>
                <w:w w:val="99"/>
                <w:sz w:val="15"/>
                <w:szCs w:val="15"/>
              </w:rPr>
              <w:t> </w:t>
            </w:r>
            <w:r>
              <w:rPr>
                <w:rFonts w:ascii="宋体" w:hAnsi="宋体" w:cs="宋体" w:eastAsia="宋体" w:hint="default"/>
                <w:sz w:val="15"/>
                <w:szCs w:val="15"/>
              </w:rPr>
              <w:t>前报酬总额</w:t>
            </w:r>
          </w:p>
        </w:tc>
        <w:tc>
          <w:tcPr>
            <w:tcW w:w="1367"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92" w:lineRule="auto" w:before="17"/>
              <w:ind w:left="302" w:right="142" w:hanging="149"/>
              <w:jc w:val="left"/>
              <w:rPr>
                <w:rFonts w:ascii="宋体" w:hAnsi="宋体" w:cs="宋体" w:eastAsia="宋体" w:hint="default"/>
                <w:sz w:val="15"/>
                <w:szCs w:val="15"/>
              </w:rPr>
            </w:pPr>
            <w:r>
              <w:rPr>
                <w:rFonts w:ascii="宋体" w:hAnsi="宋体" w:cs="宋体" w:eastAsia="宋体" w:hint="default"/>
                <w:sz w:val="15"/>
                <w:szCs w:val="15"/>
              </w:rPr>
              <w:t>是否在公司关联</w:t>
            </w:r>
            <w:r>
              <w:rPr>
                <w:rFonts w:ascii="宋体" w:hAnsi="宋体" w:cs="宋体" w:eastAsia="宋体" w:hint="default"/>
                <w:w w:val="99"/>
                <w:sz w:val="15"/>
                <w:szCs w:val="15"/>
              </w:rPr>
              <w:t> </w:t>
            </w:r>
            <w:r>
              <w:rPr>
                <w:rFonts w:ascii="宋体" w:hAnsi="宋体" w:cs="宋体" w:eastAsia="宋体" w:hint="default"/>
                <w:sz w:val="15"/>
                <w:szCs w:val="15"/>
              </w:rPr>
              <w:t>方获取报酬</w:t>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张珊珊</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42</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5"/>
                <w:szCs w:val="15"/>
              </w:rPr>
            </w:pPr>
            <w:r>
              <w:rPr>
                <w:rFonts w:ascii="Times New Roman"/>
                <w:spacing w:val="-1"/>
                <w:sz w:val="15"/>
              </w:rPr>
              <w:t>4.93</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姚伟国</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副董事长</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5"/>
                <w:szCs w:val="15"/>
              </w:rPr>
            </w:pPr>
            <w:r>
              <w:rPr>
                <w:rFonts w:ascii="Times New Roman"/>
                <w:spacing w:val="-1"/>
                <w:w w:val="95"/>
                <w:sz w:val="15"/>
              </w:rPr>
              <w:t>48</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张禾阳</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35</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张丹凤</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55</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徐兰芝</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43</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孙小红</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董事、总经理</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46</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5"/>
                <w:szCs w:val="15"/>
              </w:rPr>
            </w:pPr>
            <w:r>
              <w:rPr>
                <w:rFonts w:ascii="Times New Roman"/>
                <w:spacing w:val="-1"/>
                <w:sz w:val="15"/>
              </w:rPr>
              <w:t>71.5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赵健康</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57</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5"/>
                <w:szCs w:val="15"/>
              </w:rPr>
            </w:pPr>
            <w:r>
              <w:rPr>
                <w:rFonts w:ascii="Times New Roman"/>
                <w:spacing w:val="-1"/>
                <w:sz w:val="15"/>
              </w:rPr>
              <w:t>1.25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周荣</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5"/>
                <w:szCs w:val="15"/>
              </w:rPr>
            </w:pPr>
            <w:r>
              <w:rPr>
                <w:rFonts w:ascii="Times New Roman"/>
                <w:spacing w:val="-1"/>
                <w:w w:val="95"/>
                <w:sz w:val="15"/>
              </w:rPr>
              <w:t>61</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5"/>
                <w:szCs w:val="15"/>
              </w:rPr>
            </w:pPr>
            <w:r>
              <w:rPr>
                <w:rFonts w:ascii="Times New Roman"/>
                <w:spacing w:val="-1"/>
                <w:sz w:val="15"/>
              </w:rPr>
              <w:t>1.25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吕洪仁</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49</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spacing w:val="-1"/>
                <w:sz w:val="15"/>
              </w:rPr>
              <w:t>1.25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杨凯军</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监事会主席</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45</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张秀倩</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39</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俞哲</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45</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5"/>
                <w:szCs w:val="15"/>
              </w:rPr>
            </w:pPr>
            <w:r>
              <w:rPr>
                <w:rFonts w:ascii="Times New Roman"/>
                <w:spacing w:val="-1"/>
                <w:sz w:val="15"/>
              </w:rPr>
              <w:t>36.65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许刚</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财务总监</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45</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5"/>
                <w:szCs w:val="15"/>
              </w:rPr>
            </w:pPr>
            <w:r>
              <w:rPr>
                <w:rFonts w:ascii="Times New Roman"/>
                <w:spacing w:val="-1"/>
                <w:sz w:val="15"/>
              </w:rPr>
              <w:t>52.03</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赵宇恺</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副总经理、董秘</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5"/>
                <w:szCs w:val="15"/>
              </w:rPr>
            </w:pPr>
            <w:r>
              <w:rPr>
                <w:rFonts w:ascii="Times New Roman"/>
                <w:spacing w:val="-1"/>
                <w:w w:val="95"/>
                <w:sz w:val="15"/>
              </w:rPr>
              <w:t>38</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5"/>
                <w:szCs w:val="15"/>
              </w:rPr>
            </w:pPr>
            <w:r>
              <w:rPr>
                <w:rFonts w:ascii="Times New Roman"/>
                <w:spacing w:val="-1"/>
                <w:sz w:val="15"/>
              </w:rPr>
              <w:t>43.74</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何若虚</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董事长</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41</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31.93</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沈伟康</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董事、副总经理</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55</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61.89</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何孙益</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董事、副总经理</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50</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55.65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杜烈康</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47</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5"/>
                <w:szCs w:val="15"/>
              </w:rPr>
            </w:pPr>
            <w:r>
              <w:rPr>
                <w:rFonts w:ascii="Times New Roman"/>
                <w:spacing w:val="-1"/>
                <w:sz w:val="15"/>
              </w:rPr>
              <w:t>5.95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阎孟昆</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55</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5"/>
                <w:szCs w:val="15"/>
              </w:rPr>
            </w:pPr>
            <w:r>
              <w:rPr>
                <w:rFonts w:ascii="Times New Roman"/>
                <w:spacing w:val="-1"/>
                <w:sz w:val="15"/>
              </w:rPr>
              <w:t>5.95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邹峻</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5"/>
                <w:szCs w:val="15"/>
              </w:rPr>
            </w:pPr>
            <w:r>
              <w:rPr>
                <w:rFonts w:ascii="Times New Roman"/>
                <w:spacing w:val="-1"/>
                <w:w w:val="95"/>
                <w:sz w:val="15"/>
              </w:rPr>
              <w:t>49</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5"/>
                <w:szCs w:val="15"/>
              </w:rPr>
            </w:pPr>
            <w:r>
              <w:rPr>
                <w:rFonts w:ascii="Times New Roman"/>
                <w:spacing w:val="-1"/>
                <w:sz w:val="15"/>
              </w:rPr>
              <w:t>5.95</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8"/>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周炯</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副总经理</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男</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50</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赵亚芬</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监事会主席</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46</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7"/>
              <w:ind w:left="92" w:right="0"/>
              <w:jc w:val="left"/>
              <w:rPr>
                <w:rFonts w:ascii="宋体" w:hAnsi="宋体" w:cs="宋体" w:eastAsia="宋体" w:hint="default"/>
                <w:sz w:val="15"/>
                <w:szCs w:val="15"/>
              </w:rPr>
            </w:pPr>
            <w:r>
              <w:rPr>
                <w:rFonts w:ascii="宋体" w:hAnsi="宋体" w:cs="宋体" w:eastAsia="宋体" w:hint="default"/>
                <w:sz w:val="15"/>
                <w:szCs w:val="15"/>
              </w:rPr>
              <w:t>张亦春</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5"/>
                <w:szCs w:val="15"/>
              </w:rPr>
            </w:pPr>
            <w:r>
              <w:rPr>
                <w:rFonts w:ascii="Times New Roman"/>
                <w:spacing w:val="-1"/>
                <w:w w:val="95"/>
                <w:sz w:val="15"/>
              </w:rPr>
              <w:t>50</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5"/>
                <w:szCs w:val="15"/>
              </w:rPr>
            </w:pPr>
            <w:r>
              <w:rPr>
                <w:rFonts w:ascii="Times New Roman"/>
                <w:w w:val="99"/>
                <w:sz w:val="15"/>
              </w:rPr>
              <w:t>0</w:t>
            </w:r>
            <w:r>
              <w:rPr>
                <w:rFonts w:ascii="Times New Roman"/>
                <w:sz w:val="15"/>
              </w:rPr>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r>
      <w:tr>
        <w:trPr>
          <w:trHeight w:val="250" w:hRule="exact"/>
        </w:trPr>
        <w:tc>
          <w:tcPr>
            <w:tcW w:w="136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邵淑青</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2" w:right="0"/>
              <w:jc w:val="left"/>
              <w:rPr>
                <w:rFonts w:ascii="宋体" w:hAnsi="宋体" w:cs="宋体" w:eastAsia="宋体" w:hint="default"/>
                <w:sz w:val="15"/>
                <w:szCs w:val="15"/>
              </w:rPr>
            </w:pPr>
            <w:r>
              <w:rPr>
                <w:rFonts w:ascii="宋体" w:hAnsi="宋体" w:cs="宋体" w:eastAsia="宋体" w:hint="default"/>
                <w:w w:val="99"/>
                <w:sz w:val="15"/>
                <w:szCs w:val="15"/>
              </w:rPr>
              <w:t>女</w:t>
            </w:r>
            <w:r>
              <w:rPr>
                <w:rFonts w:ascii="宋体" w:hAnsi="宋体" w:cs="宋体" w:eastAsia="宋体" w:hint="default"/>
                <w:sz w:val="15"/>
                <w:szCs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5"/>
                <w:szCs w:val="15"/>
              </w:rPr>
            </w:pPr>
            <w:r>
              <w:rPr>
                <w:rFonts w:ascii="Times New Roman"/>
                <w:spacing w:val="-1"/>
                <w:w w:val="95"/>
                <w:sz w:val="15"/>
              </w:rPr>
              <w:t>42</w:t>
            </w:r>
            <w:r>
              <w:rPr>
                <w:rFonts w:ascii="Times New Roman"/>
                <w:spacing w:val="-1"/>
                <w:sz w:val="15"/>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sz w:val="15"/>
                <w:szCs w:val="15"/>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5"/>
                <w:szCs w:val="15"/>
              </w:rPr>
            </w:pPr>
            <w:r>
              <w:rPr>
                <w:rFonts w:ascii="Times New Roman"/>
                <w:spacing w:val="-1"/>
                <w:sz w:val="15"/>
              </w:rPr>
              <w:t>28.68</w:t>
            </w:r>
          </w:p>
        </w:tc>
        <w:tc>
          <w:tcPr>
            <w:tcW w:w="136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6"/>
              <w:ind w:left="103" w:right="0"/>
              <w:jc w:val="left"/>
              <w:rPr>
                <w:rFonts w:ascii="宋体" w:hAnsi="宋体" w:cs="宋体" w:eastAsia="宋体" w:hint="default"/>
                <w:sz w:val="15"/>
                <w:szCs w:val="15"/>
              </w:rPr>
            </w:pPr>
            <w:r>
              <w:rPr>
                <w:rFonts w:ascii="宋体" w:hAnsi="宋体" w:cs="宋体" w:eastAsia="宋体" w:hint="default"/>
                <w:w w:val="99"/>
                <w:sz w:val="15"/>
                <w:szCs w:val="15"/>
              </w:rPr>
              <w:t>否</w:t>
            </w:r>
            <w:r>
              <w:rPr>
                <w:rFonts w:ascii="宋体" w:hAnsi="宋体" w:cs="宋体" w:eastAsia="宋体" w:hint="default"/>
                <w:sz w:val="15"/>
                <w:szCs w:val="15"/>
              </w:rPr>
            </w:r>
          </w:p>
        </w:tc>
      </w:tr>
      <w:tr>
        <w:trPr>
          <w:trHeight w:val="260" w:hRule="exact"/>
        </w:trPr>
        <w:tc>
          <w:tcPr>
            <w:tcW w:w="1369"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602"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1"/>
              <w:ind w:right="1"/>
              <w:jc w:val="center"/>
              <w:rPr>
                <w:rFonts w:ascii="Times New Roman" w:hAnsi="Times New Roman" w:cs="Times New Roman" w:eastAsia="Times New Roman" w:hint="default"/>
                <w:sz w:val="15"/>
                <w:szCs w:val="15"/>
              </w:rPr>
            </w:pPr>
            <w:r>
              <w:rPr>
                <w:rFonts w:ascii="Times New Roman"/>
                <w:sz w:val="15"/>
              </w:rPr>
              <w:t>--</w:t>
            </w:r>
          </w:p>
        </w:tc>
        <w:tc>
          <w:tcPr>
            <w:tcW w:w="1132"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1"/>
              <w:ind w:right="0"/>
              <w:jc w:val="center"/>
              <w:rPr>
                <w:rFonts w:ascii="Times New Roman" w:hAnsi="Times New Roman" w:cs="Times New Roman" w:eastAsia="Times New Roman" w:hint="default"/>
                <w:sz w:val="15"/>
                <w:szCs w:val="15"/>
              </w:rPr>
            </w:pPr>
            <w:r>
              <w:rPr>
                <w:rFonts w:ascii="Times New Roman"/>
                <w:sz w:val="15"/>
              </w:rPr>
              <w:t>--</w:t>
            </w:r>
          </w:p>
        </w:tc>
        <w:tc>
          <w:tcPr>
            <w:tcW w:w="1367"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1"/>
              <w:ind w:right="0"/>
              <w:jc w:val="center"/>
              <w:rPr>
                <w:rFonts w:ascii="Times New Roman" w:hAnsi="Times New Roman" w:cs="Times New Roman" w:eastAsia="Times New Roman" w:hint="default"/>
                <w:sz w:val="15"/>
                <w:szCs w:val="15"/>
              </w:rPr>
            </w:pPr>
            <w:r>
              <w:rPr>
                <w:rFonts w:ascii="Times New Roman"/>
                <w:sz w:val="15"/>
              </w:rPr>
              <w:t>--</w:t>
            </w:r>
          </w:p>
        </w:tc>
        <w:tc>
          <w:tcPr>
            <w:tcW w:w="1367" w:type="dxa"/>
            <w:tcBorders>
              <w:top w:val="single" w:sz="4" w:space="0" w:color="000000"/>
              <w:left w:val="single" w:sz="4" w:space="0" w:color="000000"/>
              <w:bottom w:val="single" w:sz="12" w:space="0" w:color="000000"/>
              <w:right w:val="single" w:sz="4" w:space="0" w:color="000000"/>
            </w:tcBorders>
            <w:shd w:val="clear" w:color="auto" w:fill="D2D2D2"/>
          </w:tcPr>
          <w:p>
            <w:pPr>
              <w:pStyle w:val="TableParagraph"/>
              <w:spacing w:line="240" w:lineRule="auto" w:before="51"/>
              <w:ind w:right="0"/>
              <w:jc w:val="center"/>
              <w:rPr>
                <w:rFonts w:ascii="Times New Roman" w:hAnsi="Times New Roman" w:cs="Times New Roman" w:eastAsia="Times New Roman" w:hint="default"/>
                <w:sz w:val="15"/>
                <w:szCs w:val="15"/>
              </w:rPr>
            </w:pPr>
            <w:r>
              <w:rPr>
                <w:rFonts w:ascii="Times New Roman"/>
                <w:sz w:val="15"/>
              </w:rPr>
              <w:t>--</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5"/>
                <w:szCs w:val="15"/>
              </w:rPr>
            </w:pPr>
            <w:r>
              <w:rPr>
                <w:rFonts w:ascii="Times New Roman"/>
                <w:spacing w:val="-1"/>
                <w:sz w:val="15"/>
              </w:rPr>
              <w:t>408.6</w:t>
            </w:r>
          </w:p>
        </w:tc>
        <w:tc>
          <w:tcPr>
            <w:tcW w:w="1367" w:type="dxa"/>
            <w:tcBorders>
              <w:top w:val="single" w:sz="4" w:space="0" w:color="000000"/>
              <w:left w:val="single" w:sz="4" w:space="0" w:color="000000"/>
              <w:bottom w:val="single" w:sz="12" w:space="0" w:color="000000"/>
              <w:right w:val="single" w:sz="12" w:space="0" w:color="000000"/>
            </w:tcBorders>
            <w:shd w:val="clear" w:color="auto" w:fill="D2D2D2"/>
          </w:tcPr>
          <w:p>
            <w:pPr>
              <w:pStyle w:val="TableParagraph"/>
              <w:spacing w:line="240" w:lineRule="auto" w:before="51"/>
              <w:ind w:left="8" w:right="0"/>
              <w:jc w:val="center"/>
              <w:rPr>
                <w:rFonts w:ascii="Times New Roman" w:hAnsi="Times New Roman" w:cs="Times New Roman" w:eastAsia="Times New Roman" w:hint="default"/>
                <w:sz w:val="15"/>
                <w:szCs w:val="15"/>
              </w:rPr>
            </w:pPr>
            <w:r>
              <w:rPr>
                <w:rFonts w:ascii="Times New Roman"/>
                <w:sz w:val="15"/>
              </w:rPr>
              <w:t>--</w:t>
            </w:r>
          </w:p>
        </w:tc>
      </w:tr>
    </w:tbl>
    <w:p>
      <w:pPr>
        <w:spacing w:before="52"/>
        <w:ind w:left="132" w:right="1164"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5"/>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25"/>
          <w:szCs w:val="25"/>
        </w:rPr>
      </w:pPr>
    </w:p>
    <w:p>
      <w:pPr>
        <w:pStyle w:val="Heading2"/>
        <w:spacing w:line="240" w:lineRule="auto"/>
        <w:ind w:right="1164"/>
        <w:jc w:val="left"/>
        <w:rPr>
          <w:b w:val="0"/>
          <w:bCs w:val="0"/>
        </w:rPr>
      </w:pPr>
      <w:bookmarkStart w:name="五、公司员工情况" w:id="128"/>
      <w:bookmarkEnd w:id="128"/>
      <w:r>
        <w:rPr>
          <w:b w:val="0"/>
          <w:bCs w:val="0"/>
        </w:rPr>
      </w:r>
      <w:r>
        <w:rPr/>
        <w:t>五、公司员工情况</w:t>
      </w:r>
      <w:r>
        <w:rPr>
          <w:b w:val="0"/>
          <w:bCs w:val="0"/>
        </w:rPr>
      </w:r>
    </w:p>
    <w:p>
      <w:pPr>
        <w:spacing w:line="240" w:lineRule="auto" w:before="7"/>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员工数量、专业构成及教育程度" w:id="129"/>
      <w:bookmarkEnd w:id="12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、员工数量、专业构成及教育程度</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4784"/>
        <w:gridCol w:w="4784"/>
      </w:tblGrid>
      <w:tr>
        <w:trPr>
          <w:trHeight w:val="260" w:hRule="exact"/>
        </w:trPr>
        <w:tc>
          <w:tcPr>
            <w:tcW w:w="4784"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母公司在职员工的数量（人）</w:t>
            </w:r>
          </w:p>
        </w:tc>
        <w:tc>
          <w:tcPr>
            <w:tcW w:w="4784"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15"/>
                <w:szCs w:val="15"/>
              </w:rPr>
            </w:pPr>
            <w:r>
              <w:rPr>
                <w:rFonts w:ascii="Times New Roman"/>
                <w:spacing w:val="-1"/>
                <w:sz w:val="15"/>
              </w:rPr>
              <w:t>1,579</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主要子公司在职员工的数量（人）</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5"/>
                <w:szCs w:val="15"/>
              </w:rPr>
            </w:pPr>
            <w:r>
              <w:rPr>
                <w:rFonts w:ascii="Times New Roman"/>
                <w:spacing w:val="-1"/>
                <w:sz w:val="15"/>
              </w:rPr>
              <w:t>3,350</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在职员工的数量合计（人）</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5"/>
                <w:szCs w:val="15"/>
              </w:rPr>
            </w:pPr>
            <w:r>
              <w:rPr>
                <w:rFonts w:ascii="Times New Roman"/>
                <w:spacing w:val="-1"/>
                <w:sz w:val="15"/>
              </w:rPr>
              <w:t>4,929</w:t>
            </w:r>
          </w:p>
        </w:tc>
      </w:tr>
      <w:tr>
        <w:trPr>
          <w:trHeight w:val="248"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6"/>
              <w:ind w:left="92" w:right="0"/>
              <w:jc w:val="left"/>
              <w:rPr>
                <w:rFonts w:ascii="宋体" w:hAnsi="宋体" w:cs="宋体" w:eastAsia="宋体" w:hint="default"/>
                <w:sz w:val="15"/>
                <w:szCs w:val="15"/>
              </w:rPr>
            </w:pPr>
            <w:r>
              <w:rPr>
                <w:rFonts w:ascii="宋体" w:hAnsi="宋体" w:cs="宋体" w:eastAsia="宋体" w:hint="default"/>
                <w:sz w:val="15"/>
                <w:szCs w:val="15"/>
              </w:rPr>
              <w:t>当期领取薪酬员工总人数（人）</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Times New Roman" w:hAnsi="Times New Roman" w:cs="Times New Roman" w:eastAsia="Times New Roman" w:hint="default"/>
                <w:sz w:val="15"/>
                <w:szCs w:val="15"/>
              </w:rPr>
            </w:pPr>
            <w:r>
              <w:rPr>
                <w:rFonts w:ascii="Times New Roman"/>
                <w:spacing w:val="-1"/>
                <w:sz w:val="15"/>
              </w:rPr>
              <w:t>4,454</w:t>
            </w:r>
          </w:p>
        </w:tc>
      </w:tr>
    </w:tbl>
    <w:p>
      <w:pPr>
        <w:spacing w:after="0" w:line="240" w:lineRule="auto"/>
        <w:jc w:val="right"/>
        <w:rPr>
          <w:rFonts w:ascii="Times New Roman" w:hAnsi="Times New Roman" w:cs="Times New Roman" w:eastAsia="Times New Roman" w:hint="default"/>
          <w:sz w:val="15"/>
          <w:szCs w:val="15"/>
        </w:rPr>
        <w:sectPr>
          <w:pgSz w:w="11910" w:h="16840"/>
          <w:pgMar w:header="890" w:footer="1053" w:top="1420" w:bottom="1240" w:left="1000" w:right="0"/>
        </w:sectPr>
      </w:pPr>
    </w:p>
    <w:p>
      <w:pPr>
        <w:spacing w:line="240" w:lineRule="auto" w:before="5"/>
        <w:rPr>
          <w:rFonts w:ascii="宋体" w:hAnsi="宋体" w:cs="宋体" w:eastAsia="宋体" w:hint="default"/>
          <w:b/>
          <w:bCs/>
          <w:sz w:val="4"/>
          <w:szCs w:val="4"/>
        </w:rPr>
      </w:pPr>
    </w:p>
    <w:tbl>
      <w:tblPr>
        <w:tblW w:w="0" w:type="auto"/>
        <w:jc w:val="left"/>
        <w:tblInd w:w="119" w:type="dxa"/>
        <w:tblLayout w:type="fixed"/>
        <w:tblCellMar>
          <w:top w:w="0" w:type="dxa"/>
          <w:left w:w="0" w:type="dxa"/>
          <w:bottom w:w="0" w:type="dxa"/>
          <w:right w:w="0" w:type="dxa"/>
        </w:tblCellMar>
        <w:tblLook w:val="01E0"/>
      </w:tblPr>
      <w:tblGrid>
        <w:gridCol w:w="4784"/>
        <w:gridCol w:w="4784"/>
      </w:tblGrid>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8"/>
              <w:ind w:left="92" w:right="0"/>
              <w:jc w:val="left"/>
              <w:rPr>
                <w:rFonts w:ascii="宋体" w:hAnsi="宋体" w:cs="宋体" w:eastAsia="宋体" w:hint="default"/>
                <w:sz w:val="15"/>
                <w:szCs w:val="15"/>
              </w:rPr>
            </w:pPr>
            <w:r>
              <w:rPr>
                <w:rFonts w:ascii="宋体" w:hAnsi="宋体" w:cs="宋体" w:eastAsia="宋体" w:hint="default"/>
                <w:sz w:val="15"/>
                <w:szCs w:val="15"/>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1"/>
              <w:jc w:val="right"/>
              <w:rPr>
                <w:rFonts w:ascii="Times New Roman" w:hAnsi="Times New Roman" w:cs="Times New Roman" w:eastAsia="Times New Roman" w:hint="default"/>
                <w:sz w:val="15"/>
                <w:szCs w:val="15"/>
              </w:rPr>
            </w:pPr>
            <w:r>
              <w:rPr>
                <w:rFonts w:ascii="Times New Roman"/>
                <w:spacing w:val="-1"/>
                <w:w w:val="95"/>
                <w:sz w:val="15"/>
              </w:rPr>
              <w:t>27</w:t>
            </w:r>
            <w:r>
              <w:rPr>
                <w:rFonts w:ascii="Times New Roman"/>
                <w:spacing w:val="-1"/>
                <w:sz w:val="15"/>
              </w:rPr>
            </w:r>
          </w:p>
        </w:tc>
      </w:tr>
      <w:tr>
        <w:trPr>
          <w:trHeight w:val="250" w:hRule="exact"/>
        </w:trPr>
        <w:tc>
          <w:tcPr>
            <w:tcW w:w="9568" w:type="dxa"/>
            <w:gridSpan w:val="2"/>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8"/>
              <w:ind w:right="1"/>
              <w:jc w:val="center"/>
              <w:rPr>
                <w:rFonts w:ascii="宋体" w:hAnsi="宋体" w:cs="宋体" w:eastAsia="宋体" w:hint="default"/>
                <w:sz w:val="15"/>
                <w:szCs w:val="15"/>
              </w:rPr>
            </w:pPr>
            <w:r>
              <w:rPr>
                <w:rFonts w:ascii="宋体" w:hAnsi="宋体" w:cs="宋体" w:eastAsia="宋体" w:hint="default"/>
                <w:sz w:val="15"/>
                <w:szCs w:val="15"/>
              </w:rPr>
              <w:t>专业构成</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8" w:lineRule="exact"/>
              <w:ind w:right="8"/>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18" w:lineRule="exact"/>
              <w:ind w:left="1577"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sz w:val="18"/>
              </w:rPr>
              <w:t>2,680</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20" w:lineRule="exact"/>
              <w:ind w:left="9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3"/>
              <w:ind w:right="90"/>
              <w:jc w:val="right"/>
              <w:rPr>
                <w:rFonts w:ascii="Times New Roman" w:hAnsi="Times New Roman" w:cs="Times New Roman" w:eastAsia="Times New Roman" w:hint="default"/>
                <w:sz w:val="18"/>
                <w:szCs w:val="18"/>
              </w:rPr>
            </w:pPr>
            <w:r>
              <w:rPr>
                <w:rFonts w:ascii="Times New Roman"/>
                <w:spacing w:val="-1"/>
                <w:sz w:val="18"/>
              </w:rPr>
              <w:t>897</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9" w:lineRule="exact"/>
              <w:ind w:left="9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3"/>
              <w:ind w:right="90"/>
              <w:jc w:val="right"/>
              <w:rPr>
                <w:rFonts w:ascii="Times New Roman" w:hAnsi="Times New Roman" w:cs="Times New Roman" w:eastAsia="Times New Roman" w:hint="default"/>
                <w:sz w:val="18"/>
                <w:szCs w:val="18"/>
              </w:rPr>
            </w:pPr>
            <w:r>
              <w:rPr>
                <w:rFonts w:ascii="Times New Roman"/>
                <w:spacing w:val="-1"/>
                <w:sz w:val="18"/>
              </w:rPr>
              <w:t>405</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9" w:lineRule="exact"/>
              <w:ind w:left="9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right="88"/>
              <w:jc w:val="right"/>
              <w:rPr>
                <w:rFonts w:ascii="Times New Roman" w:hAnsi="Times New Roman" w:cs="Times New Roman" w:eastAsia="Times New Roman" w:hint="default"/>
                <w:sz w:val="18"/>
                <w:szCs w:val="18"/>
              </w:rPr>
            </w:pPr>
            <w:r>
              <w:rPr>
                <w:rFonts w:ascii="Times New Roman"/>
                <w:spacing w:val="-2"/>
                <w:sz w:val="18"/>
              </w:rPr>
              <w:t>113</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right="90"/>
              <w:jc w:val="right"/>
              <w:rPr>
                <w:rFonts w:ascii="Times New Roman" w:hAnsi="Times New Roman" w:cs="Times New Roman" w:eastAsia="Times New Roman" w:hint="default"/>
                <w:sz w:val="18"/>
                <w:szCs w:val="18"/>
              </w:rPr>
            </w:pPr>
            <w:r>
              <w:rPr>
                <w:rFonts w:ascii="Times New Roman"/>
                <w:spacing w:val="-1"/>
                <w:sz w:val="18"/>
              </w:rPr>
              <w:t>354</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其他人员</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spacing w:val="-1"/>
                <w:sz w:val="18"/>
              </w:rPr>
              <w:t>480</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sz w:val="18"/>
              </w:rPr>
              <w:t>4,929</w:t>
            </w:r>
          </w:p>
        </w:tc>
      </w:tr>
      <w:tr>
        <w:trPr>
          <w:trHeight w:val="250" w:hRule="exact"/>
        </w:trPr>
        <w:tc>
          <w:tcPr>
            <w:tcW w:w="9568" w:type="dxa"/>
            <w:gridSpan w:val="2"/>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20" w:lineRule="exact"/>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19" w:lineRule="exact"/>
              <w:ind w:left="9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2" w:right="0"/>
              <w:jc w:val="left"/>
              <w:rPr>
                <w:rFonts w:ascii="宋体" w:hAnsi="宋体" w:cs="宋体" w:eastAsia="宋体" w:hint="default"/>
                <w:sz w:val="18"/>
                <w:szCs w:val="18"/>
              </w:rPr>
            </w:pPr>
            <w:r>
              <w:rPr>
                <w:rFonts w:ascii="宋体" w:hAnsi="宋体" w:cs="宋体" w:eastAsia="宋体" w:hint="default"/>
                <w:sz w:val="18"/>
                <w:szCs w:val="18"/>
              </w:rPr>
              <w:t>硕士及以上学历</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right="90"/>
              <w:jc w:val="right"/>
              <w:rPr>
                <w:rFonts w:ascii="Times New Roman" w:hAnsi="Times New Roman" w:cs="Times New Roman" w:eastAsia="Times New Roman" w:hint="default"/>
                <w:sz w:val="18"/>
                <w:szCs w:val="18"/>
              </w:rPr>
            </w:pPr>
            <w:r>
              <w:rPr>
                <w:rFonts w:ascii="Times New Roman"/>
                <w:sz w:val="18"/>
              </w:rPr>
              <w:t>66</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本科学历</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right="90"/>
              <w:jc w:val="right"/>
              <w:rPr>
                <w:rFonts w:ascii="Times New Roman" w:hAnsi="Times New Roman" w:cs="Times New Roman" w:eastAsia="Times New Roman" w:hint="default"/>
                <w:sz w:val="18"/>
                <w:szCs w:val="18"/>
              </w:rPr>
            </w:pPr>
            <w:r>
              <w:rPr>
                <w:rFonts w:ascii="Times New Roman"/>
                <w:spacing w:val="-1"/>
                <w:sz w:val="18"/>
              </w:rPr>
              <w:t>706</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大专学历</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spacing w:val="-1"/>
                <w:sz w:val="18"/>
              </w:rPr>
              <w:t>912</w:t>
            </w:r>
          </w:p>
        </w:tc>
      </w:tr>
      <w:tr>
        <w:trPr>
          <w:trHeight w:val="250" w:hRule="exact"/>
        </w:trPr>
        <w:tc>
          <w:tcPr>
            <w:tcW w:w="4784" w:type="dxa"/>
            <w:tcBorders>
              <w:top w:val="single" w:sz="4" w:space="0" w:color="000000"/>
              <w:left w:val="single" w:sz="12" w:space="0" w:color="000000"/>
              <w:bottom w:val="single" w:sz="4" w:space="0" w:color="000000"/>
              <w:right w:val="single" w:sz="4" w:space="0" w:color="000000"/>
            </w:tcBorders>
          </w:tcPr>
          <w:p>
            <w:pPr>
              <w:pStyle w:val="TableParagraph"/>
              <w:spacing w:line="218" w:lineRule="exact"/>
              <w:ind w:left="92" w:right="0"/>
              <w:jc w:val="left"/>
              <w:rPr>
                <w:rFonts w:ascii="宋体" w:hAnsi="宋体" w:cs="宋体" w:eastAsia="宋体" w:hint="default"/>
                <w:sz w:val="18"/>
                <w:szCs w:val="18"/>
              </w:rPr>
            </w:pPr>
            <w:r>
              <w:rPr>
                <w:rFonts w:ascii="宋体" w:hAnsi="宋体" w:cs="宋体" w:eastAsia="宋体" w:hint="default"/>
                <w:sz w:val="18"/>
                <w:szCs w:val="18"/>
              </w:rPr>
              <w:t>大专以下学历</w:t>
            </w:r>
          </w:p>
        </w:tc>
        <w:tc>
          <w:tcPr>
            <w:tcW w:w="478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0"/>
              <w:jc w:val="right"/>
              <w:rPr>
                <w:rFonts w:ascii="Times New Roman" w:hAnsi="Times New Roman" w:cs="Times New Roman" w:eastAsia="Times New Roman" w:hint="default"/>
                <w:sz w:val="18"/>
                <w:szCs w:val="18"/>
              </w:rPr>
            </w:pPr>
            <w:r>
              <w:rPr>
                <w:rFonts w:ascii="Times New Roman"/>
                <w:sz w:val="18"/>
              </w:rPr>
              <w:t>3,245</w:t>
            </w:r>
          </w:p>
        </w:tc>
      </w:tr>
      <w:tr>
        <w:trPr>
          <w:trHeight w:val="260" w:hRule="exact"/>
        </w:trPr>
        <w:tc>
          <w:tcPr>
            <w:tcW w:w="4784"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20" w:lineRule="exact"/>
              <w:ind w:left="9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3"/>
              <w:ind w:right="90"/>
              <w:jc w:val="right"/>
              <w:rPr>
                <w:rFonts w:ascii="Times New Roman" w:hAnsi="Times New Roman" w:cs="Times New Roman" w:eastAsia="Times New Roman" w:hint="default"/>
                <w:sz w:val="18"/>
                <w:szCs w:val="18"/>
              </w:rPr>
            </w:pPr>
            <w:r>
              <w:rPr>
                <w:rFonts w:ascii="Times New Roman"/>
                <w:sz w:val="18"/>
              </w:rPr>
              <w:t>4,929</w:t>
            </w:r>
          </w:p>
        </w:tc>
      </w:tr>
    </w:tbl>
    <w:p>
      <w:pPr>
        <w:spacing w:line="240" w:lineRule="auto" w:before="4"/>
        <w:rPr>
          <w:rFonts w:ascii="宋体" w:hAnsi="宋体" w:cs="宋体" w:eastAsia="宋体" w:hint="default"/>
          <w:b/>
          <w:bCs/>
          <w:sz w:val="19"/>
          <w:szCs w:val="19"/>
        </w:rPr>
      </w:pPr>
    </w:p>
    <w:p>
      <w:pPr>
        <w:spacing w:before="34"/>
        <w:ind w:left="132" w:right="0" w:firstLine="0"/>
        <w:jc w:val="both"/>
        <w:rPr>
          <w:rFonts w:ascii="宋体" w:hAnsi="宋体" w:cs="宋体" w:eastAsia="宋体" w:hint="default"/>
          <w:sz w:val="21"/>
          <w:szCs w:val="21"/>
        </w:rPr>
      </w:pPr>
      <w:bookmarkStart w:name="2、薪酬政策" w:id="130"/>
      <w:bookmarkEnd w:id="13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、薪酬政策</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before="0"/>
        <w:ind w:left="132" w:right="0" w:firstLine="0"/>
        <w:jc w:val="both"/>
        <w:rPr>
          <w:rFonts w:ascii="宋体" w:hAnsi="宋体" w:cs="宋体" w:eastAsia="宋体" w:hint="default"/>
          <w:sz w:val="18"/>
          <w:szCs w:val="18"/>
        </w:rPr>
      </w:pPr>
      <w:r>
        <w:rPr>
          <w:rFonts w:ascii="宋体" w:hAnsi="宋体" w:cs="宋体" w:eastAsia="宋体" w:hint="default"/>
          <w:sz w:val="18"/>
          <w:szCs w:val="18"/>
        </w:rPr>
        <w:t>（1）提升公司经营效益，改善员工工作环境，制定合理的薪资体系。</w:t>
      </w:r>
    </w:p>
    <w:p>
      <w:pPr>
        <w:spacing w:line="316" w:lineRule="auto" w:before="117"/>
        <w:ind w:left="132" w:right="1124" w:firstLine="0"/>
        <w:jc w:val="left"/>
        <w:rPr>
          <w:rFonts w:ascii="宋体" w:hAnsi="宋体" w:cs="宋体" w:eastAsia="宋体" w:hint="default"/>
          <w:sz w:val="18"/>
          <w:szCs w:val="18"/>
        </w:rPr>
      </w:pPr>
      <w:r>
        <w:rPr>
          <w:rFonts w:ascii="宋体" w:hAnsi="宋体" w:cs="宋体" w:eastAsia="宋体" w:hint="default"/>
          <w:sz w:val="18"/>
          <w:szCs w:val="18"/>
        </w:rPr>
        <w:t>（2）企业提高综合竞争力，是吸引员工的根本。公司全体员工共同努力，各司其职，向市场、向管理要效益，为员工创造 提薪、提升机会、实现员企双赢。</w:t>
      </w:r>
    </w:p>
    <w:p>
      <w:pPr>
        <w:spacing w:before="59"/>
        <w:ind w:left="132" w:right="0" w:firstLine="0"/>
        <w:jc w:val="both"/>
        <w:rPr>
          <w:rFonts w:ascii="宋体" w:hAnsi="宋体" w:cs="宋体" w:eastAsia="宋体" w:hint="default"/>
          <w:sz w:val="18"/>
          <w:szCs w:val="18"/>
        </w:rPr>
      </w:pPr>
      <w:r>
        <w:rPr>
          <w:rFonts w:ascii="宋体" w:hAnsi="宋体" w:cs="宋体" w:eastAsia="宋体" w:hint="default"/>
          <w:sz w:val="18"/>
          <w:szCs w:val="18"/>
        </w:rPr>
        <w:t>（3）设备更新改造、改善员工工作环境、结合实际生产情况制定合理的工时定额，稳定员工。</w:t>
      </w:r>
    </w:p>
    <w:p>
      <w:pPr>
        <w:spacing w:line="316" w:lineRule="auto" w:before="115"/>
        <w:ind w:left="132" w:right="1124" w:firstLine="0"/>
        <w:jc w:val="left"/>
        <w:rPr>
          <w:rFonts w:ascii="宋体" w:hAnsi="宋体" w:cs="宋体" w:eastAsia="宋体" w:hint="default"/>
          <w:sz w:val="18"/>
          <w:szCs w:val="18"/>
        </w:rPr>
      </w:pPr>
      <w:r>
        <w:rPr>
          <w:rFonts w:ascii="宋体" w:hAnsi="宋体" w:cs="宋体" w:eastAsia="宋体" w:hint="default"/>
          <w:sz w:val="18"/>
          <w:szCs w:val="18"/>
        </w:rPr>
        <w:t>（4）建立科学合理的薪酬激励机制，着重体现岗位价值和个人贡献，并鼓励员工长期为企业服务，共同致力于企业的不断 成长和可持续发展，同时共享企业发展所带来的成果。</w:t>
      </w:r>
    </w:p>
    <w:p>
      <w:pPr>
        <w:spacing w:line="240" w:lineRule="auto" w:before="8"/>
        <w:rPr>
          <w:rFonts w:ascii="宋体" w:hAnsi="宋体" w:cs="宋体" w:eastAsia="宋体" w:hint="default"/>
          <w:sz w:val="22"/>
          <w:szCs w:val="22"/>
        </w:rPr>
      </w:pPr>
    </w:p>
    <w:p>
      <w:pPr>
        <w:spacing w:before="0"/>
        <w:ind w:left="132" w:right="0" w:firstLine="0"/>
        <w:jc w:val="both"/>
        <w:rPr>
          <w:rFonts w:ascii="宋体" w:hAnsi="宋体" w:cs="宋体" w:eastAsia="宋体" w:hint="default"/>
          <w:sz w:val="21"/>
          <w:szCs w:val="21"/>
        </w:rPr>
      </w:pPr>
      <w:bookmarkStart w:name="3、培训计划" w:id="131"/>
      <w:bookmarkEnd w:id="131"/>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、培训计划</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line="316" w:lineRule="auto" w:before="0"/>
        <w:ind w:left="132" w:right="1124" w:firstLine="0"/>
        <w:jc w:val="left"/>
        <w:rPr>
          <w:rFonts w:ascii="宋体" w:hAnsi="宋体" w:cs="宋体" w:eastAsia="宋体" w:hint="default"/>
          <w:sz w:val="18"/>
          <w:szCs w:val="18"/>
        </w:rPr>
      </w:pPr>
      <w:r>
        <w:rPr>
          <w:rFonts w:ascii="宋体" w:hAnsi="宋体" w:cs="宋体" w:eastAsia="宋体" w:hint="default"/>
          <w:sz w:val="18"/>
          <w:szCs w:val="18"/>
        </w:rPr>
        <w:t>（1）积极组织公司中高层管理者、专业条线管理者，针对不同主题对标优秀企业参访学习，加强公司与行业标杆企业的合</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作与交流，对提升公司管理水平、条线专业能力与管理模式创新起到了良好的启示作用，拓宽了企业发展的视角。</w:t>
      </w:r>
    </w:p>
    <w:p>
      <w:pPr>
        <w:spacing w:line="316" w:lineRule="auto" w:before="57"/>
        <w:ind w:left="132" w:right="1124" w:firstLine="0"/>
        <w:jc w:val="left"/>
        <w:rPr>
          <w:rFonts w:ascii="宋体" w:hAnsi="宋体" w:cs="宋体" w:eastAsia="宋体" w:hint="default"/>
          <w:sz w:val="18"/>
          <w:szCs w:val="18"/>
        </w:rPr>
      </w:pPr>
      <w:r>
        <w:rPr>
          <w:rFonts w:ascii="宋体" w:hAnsi="宋体" w:cs="宋体" w:eastAsia="宋体" w:hint="default"/>
          <w:sz w:val="18"/>
          <w:szCs w:val="18"/>
        </w:rPr>
        <w:t>（2）积极参加培训行业学习技术大会、公开课等，参加全国CSTD学习项目设计大赛，学习优秀企业的项目设计与运营，拓</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宽专业视野，提升工作专业度。</w:t>
      </w:r>
    </w:p>
    <w:p>
      <w:pPr>
        <w:spacing w:line="316" w:lineRule="auto" w:before="59"/>
        <w:ind w:left="132" w:right="1124" w:firstLine="0"/>
        <w:jc w:val="left"/>
        <w:rPr>
          <w:rFonts w:ascii="宋体" w:hAnsi="宋体" w:cs="宋体" w:eastAsia="宋体" w:hint="default"/>
          <w:sz w:val="18"/>
          <w:szCs w:val="18"/>
        </w:rPr>
      </w:pPr>
      <w:r>
        <w:rPr>
          <w:rFonts w:ascii="宋体" w:hAnsi="宋体" w:cs="宋体" w:eastAsia="宋体" w:hint="default"/>
          <w:sz w:val="18"/>
          <w:szCs w:val="18"/>
        </w:rPr>
        <w:t>（3）持续推动学习联盟的学习和交流，针对管理、专业、技能等不同主题定期开展跨公司的交流会，进一步提高各专业线</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的专业化水平，共同发展、共同进步，提升圈内影响力。</w:t>
      </w:r>
    </w:p>
    <w:p>
      <w:pPr>
        <w:spacing w:line="316" w:lineRule="auto" w:before="59"/>
        <w:ind w:left="132" w:right="1124" w:firstLine="0"/>
        <w:jc w:val="left"/>
        <w:rPr>
          <w:rFonts w:ascii="宋体" w:hAnsi="宋体" w:cs="宋体" w:eastAsia="宋体" w:hint="default"/>
          <w:sz w:val="18"/>
          <w:szCs w:val="18"/>
        </w:rPr>
      </w:pPr>
      <w:r>
        <w:rPr>
          <w:rFonts w:ascii="宋体" w:hAnsi="宋体" w:cs="宋体" w:eastAsia="宋体" w:hint="default"/>
          <w:sz w:val="18"/>
          <w:szCs w:val="18"/>
        </w:rPr>
        <w:t>（4）拟订员工职业发展规划，帮助员工认识和明确自身发展方向，将个人意愿、资质与企业的发展相结合。根据员工绩效</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达成结果，进行动态跟踪，并为员工提供有效的培训学习机制。</w:t>
      </w:r>
    </w:p>
    <w:p>
      <w:pPr>
        <w:spacing w:line="316" w:lineRule="auto" w:before="57"/>
        <w:ind w:left="132" w:right="1125" w:firstLine="0"/>
        <w:jc w:val="both"/>
        <w:rPr>
          <w:rFonts w:ascii="宋体" w:hAnsi="宋体" w:cs="宋体" w:eastAsia="宋体" w:hint="default"/>
          <w:sz w:val="18"/>
          <w:szCs w:val="18"/>
        </w:rPr>
      </w:pPr>
      <w:r>
        <w:rPr>
          <w:rFonts w:ascii="宋体" w:hAnsi="宋体" w:cs="宋体" w:eastAsia="宋体" w:hint="default"/>
          <w:sz w:val="18"/>
          <w:szCs w:val="18"/>
        </w:rPr>
        <w:t>（5）2019年专业条线相继推出“伯乐营”HR能力提升项目、“财智营”财务能力提升项目，管理序列针对人才梯队搭建及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后备人才培养推出“燎原计划”、“青苗计划”，生产制造条线推出“快速交付”精益生产项目，资源体系建设推出“铭师</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计划二期”集团中高级内训师认证培养项目，为企业变革，人才持续发展提供强有力的支持。</w:t>
      </w:r>
    </w:p>
    <w:p>
      <w:pPr>
        <w:spacing w:line="240" w:lineRule="auto" w:before="8"/>
        <w:rPr>
          <w:rFonts w:ascii="宋体" w:hAnsi="宋体" w:cs="宋体" w:eastAsia="宋体" w:hint="default"/>
          <w:sz w:val="22"/>
          <w:szCs w:val="22"/>
        </w:rPr>
      </w:pPr>
    </w:p>
    <w:p>
      <w:pPr>
        <w:spacing w:before="0"/>
        <w:ind w:left="132" w:right="0" w:firstLine="0"/>
        <w:jc w:val="both"/>
        <w:rPr>
          <w:rFonts w:ascii="宋体" w:hAnsi="宋体" w:cs="宋体" w:eastAsia="宋体" w:hint="default"/>
          <w:sz w:val="21"/>
          <w:szCs w:val="21"/>
        </w:rPr>
      </w:pPr>
      <w:bookmarkStart w:name="4、劳务外包情况" w:id="132"/>
      <w:bookmarkEnd w:id="132"/>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、劳务外包情况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both"/>
        <w:rPr>
          <w:rFonts w:ascii="宋体" w:hAnsi="宋体" w:cs="宋体" w:eastAsia="宋体" w:hint="default"/>
          <w:sz w:val="18"/>
          <w:szCs w:val="18"/>
        </w:rPr>
        <w:sectPr>
          <w:pgSz w:w="11910" w:h="16840"/>
          <w:pgMar w:header="890" w:footer="1053" w:top="1420" w:bottom="1240" w:left="100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1020"/>
        <w:jc w:val="center"/>
        <w:rPr>
          <w:b w:val="0"/>
          <w:bCs w:val="0"/>
        </w:rPr>
      </w:pPr>
      <w:bookmarkStart w:name="第十节公司治理" w:id="133"/>
      <w:bookmarkEnd w:id="133"/>
      <w:r>
        <w:rPr>
          <w:b w:val="0"/>
          <w:bCs w:val="0"/>
        </w:rPr>
      </w:r>
      <w:bookmarkStart w:name="_bookmark9" w:id="134"/>
      <w:bookmarkEnd w:id="134"/>
      <w:r>
        <w:rPr>
          <w:b w:val="0"/>
          <w:bCs w:val="0"/>
        </w:rPr>
      </w:r>
      <w:r>
        <w:rPr/>
        <w:t>第十节公司治理</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left="112" w:right="0"/>
        <w:jc w:val="both"/>
        <w:rPr>
          <w:b w:val="0"/>
          <w:bCs w:val="0"/>
        </w:rPr>
      </w:pPr>
      <w:bookmarkStart w:name="一、公司治理的基本状况" w:id="135"/>
      <w:bookmarkEnd w:id="135"/>
      <w:r>
        <w:rPr>
          <w:b w:val="0"/>
          <w:bCs w:val="0"/>
        </w:rPr>
      </w:r>
      <w:r>
        <w:rPr/>
        <w:t>一、公司治理的基本状况</w:t>
      </w:r>
      <w:r>
        <w:rPr>
          <w:b w:val="0"/>
          <w:bCs w:val="0"/>
        </w:rPr>
      </w:r>
    </w:p>
    <w:p>
      <w:pPr>
        <w:spacing w:line="240" w:lineRule="auto" w:before="8"/>
        <w:rPr>
          <w:rFonts w:ascii="宋体" w:hAnsi="宋体" w:cs="宋体" w:eastAsia="宋体" w:hint="default"/>
          <w:b/>
          <w:bCs/>
          <w:sz w:val="30"/>
          <w:szCs w:val="30"/>
        </w:rPr>
      </w:pPr>
    </w:p>
    <w:p>
      <w:pPr>
        <w:spacing w:line="408" w:lineRule="auto" w:before="0"/>
        <w:ind w:left="112" w:right="1132" w:firstLine="410"/>
        <w:jc w:val="both"/>
        <w:rPr>
          <w:rFonts w:ascii="宋体" w:hAnsi="宋体" w:cs="宋体" w:eastAsia="宋体" w:hint="default"/>
          <w:sz w:val="21"/>
          <w:szCs w:val="21"/>
        </w:rPr>
      </w:pPr>
      <w:r>
        <w:rPr>
          <w:rFonts w:ascii="宋体" w:hAnsi="宋体" w:cs="宋体" w:eastAsia="宋体" w:hint="default"/>
          <w:w w:val="95"/>
          <w:sz w:val="21"/>
          <w:szCs w:val="21"/>
        </w:rPr>
        <w:t>报告期内，公司严格按照《公司法》、《证券法》、《上市公司治理准则》、《深圳证券交易所股票</w:t>
      </w:r>
      <w:r>
        <w:rPr>
          <w:rFonts w:ascii="宋体" w:hAnsi="宋体" w:cs="宋体" w:eastAsia="宋体" w:hint="default"/>
          <w:spacing w:val="-82"/>
          <w:w w:val="95"/>
          <w:sz w:val="21"/>
          <w:szCs w:val="21"/>
        </w:rPr>
        <w:t> </w:t>
      </w:r>
      <w:r>
        <w:rPr>
          <w:rFonts w:ascii="宋体" w:hAnsi="宋体" w:cs="宋体" w:eastAsia="宋体" w:hint="default"/>
          <w:spacing w:val="-82"/>
          <w:w w:val="95"/>
          <w:sz w:val="21"/>
          <w:szCs w:val="21"/>
        </w:rPr>
      </w:r>
      <w:r>
        <w:rPr>
          <w:rFonts w:ascii="宋体" w:hAnsi="宋体" w:cs="宋体" w:eastAsia="宋体" w:hint="default"/>
          <w:w w:val="95"/>
          <w:sz w:val="21"/>
          <w:szCs w:val="21"/>
        </w:rPr>
        <w:t>上市规则》、《深圳证券交易所中小企业板上市公司规范运作指引》及中国证监会有关法律法规要求，不</w:t>
      </w:r>
      <w:r>
        <w:rPr>
          <w:rFonts w:ascii="宋体" w:hAnsi="宋体" w:cs="宋体" w:eastAsia="宋体" w:hint="default"/>
          <w:spacing w:val="39"/>
          <w:w w:val="95"/>
          <w:sz w:val="21"/>
          <w:szCs w:val="21"/>
        </w:rPr>
        <w:t> </w:t>
      </w:r>
      <w:r>
        <w:rPr>
          <w:rFonts w:ascii="宋体" w:hAnsi="宋体" w:cs="宋体" w:eastAsia="宋体" w:hint="default"/>
          <w:spacing w:val="39"/>
          <w:w w:val="95"/>
          <w:sz w:val="21"/>
          <w:szCs w:val="21"/>
        </w:rPr>
      </w:r>
      <w:r>
        <w:rPr>
          <w:rFonts w:ascii="宋体" w:hAnsi="宋体" w:cs="宋体" w:eastAsia="宋体" w:hint="default"/>
          <w:w w:val="95"/>
          <w:sz w:val="21"/>
          <w:szCs w:val="21"/>
        </w:rPr>
        <w:t>断完善公司法人治理结构、建立健全公司内部管理和控制制度，规范运作。公司切实维护全体股东特别是</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z w:val="21"/>
          <w:szCs w:val="21"/>
        </w:rPr>
        <w:t>中小股东的利益，公司治理的实际情况符合中国证监会有关上市公司治理的规范性文件的要求。</w:t>
      </w:r>
    </w:p>
    <w:p>
      <w:pPr>
        <w:spacing w:before="148"/>
        <w:ind w:left="112" w:right="0" w:firstLine="0"/>
        <w:jc w:val="both"/>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60" w:lineRule="auto" w:before="117"/>
        <w:ind w:left="112" w:right="3554" w:firstLine="0"/>
        <w:jc w:val="left"/>
        <w:rPr>
          <w:rFonts w:ascii="宋体" w:hAnsi="宋体" w:cs="宋体" w:eastAsia="宋体" w:hint="default"/>
          <w:sz w:val="18"/>
          <w:szCs w:val="18"/>
        </w:rPr>
      </w:pPr>
      <w:r>
        <w:rPr>
          <w:rFonts w:ascii="宋体" w:hAnsi="宋体" w:cs="宋体" w:eastAsia="宋体" w:hint="default"/>
          <w:sz w:val="18"/>
          <w:szCs w:val="18"/>
        </w:rPr>
        <w:t>□ 是 √ 否 公司治理的实际状况与中国证监会发布的有关上市公司治理的规范性文件不存在重大差异。</w:t>
      </w:r>
    </w:p>
    <w:p>
      <w:pPr>
        <w:spacing w:line="240" w:lineRule="auto" w:before="2"/>
        <w:rPr>
          <w:rFonts w:ascii="宋体" w:hAnsi="宋体" w:cs="宋体" w:eastAsia="宋体" w:hint="default"/>
          <w:sz w:val="18"/>
          <w:szCs w:val="18"/>
        </w:rPr>
      </w:pPr>
    </w:p>
    <w:p>
      <w:pPr>
        <w:pStyle w:val="Heading2"/>
        <w:spacing w:line="240" w:lineRule="auto"/>
        <w:ind w:left="112" w:right="0"/>
        <w:jc w:val="both"/>
        <w:rPr>
          <w:b w:val="0"/>
          <w:bCs w:val="0"/>
        </w:rPr>
      </w:pPr>
      <w:bookmarkStart w:name="二、公司相对于控股股东在业务、人员、资产、机构、财务等方面的独立情况" w:id="136"/>
      <w:bookmarkEnd w:id="136"/>
      <w:r>
        <w:rPr>
          <w:b w:val="0"/>
          <w:bCs w:val="0"/>
        </w:rPr>
      </w:r>
      <w:r>
        <w:rPr/>
        <w:t>二、公司相对于控股股东在业务、人员、资产、机构、财务等方面的独立情况</w:t>
      </w:r>
      <w:r>
        <w:rPr>
          <w:b w:val="0"/>
          <w:bCs w:val="0"/>
        </w:rPr>
      </w:r>
    </w:p>
    <w:p>
      <w:pPr>
        <w:spacing w:line="240" w:lineRule="auto" w:before="4"/>
        <w:rPr>
          <w:rFonts w:ascii="宋体" w:hAnsi="宋体" w:cs="宋体" w:eastAsia="宋体" w:hint="default"/>
          <w:b/>
          <w:bCs/>
          <w:sz w:val="31"/>
          <w:szCs w:val="31"/>
        </w:rPr>
      </w:pPr>
    </w:p>
    <w:p>
      <w:pPr>
        <w:spacing w:line="429" w:lineRule="auto" w:before="0"/>
        <w:ind w:left="112" w:right="1115" w:firstLine="400"/>
        <w:jc w:val="left"/>
        <w:rPr>
          <w:rFonts w:ascii="宋体" w:hAnsi="宋体" w:cs="宋体" w:eastAsia="宋体" w:hint="default"/>
          <w:sz w:val="20"/>
          <w:szCs w:val="20"/>
        </w:rPr>
      </w:pPr>
      <w:r>
        <w:rPr>
          <w:rFonts w:ascii="宋体" w:hAnsi="宋体" w:cs="宋体" w:eastAsia="宋体" w:hint="default"/>
          <w:sz w:val="20"/>
          <w:szCs w:val="20"/>
        </w:rPr>
        <w:t>公司成立以来，严格按照《公司法》、《证券法》等有关法律、法规和公司章程的要求规范运作，具有独</w:t>
      </w:r>
      <w:r>
        <w:rPr>
          <w:rFonts w:ascii="宋体" w:hAnsi="宋体" w:cs="宋体" w:eastAsia="宋体" w:hint="default"/>
          <w:w w:val="99"/>
          <w:sz w:val="20"/>
          <w:szCs w:val="20"/>
        </w:rPr>
        <w:t> </w:t>
      </w:r>
      <w:r>
        <w:rPr>
          <w:rFonts w:ascii="宋体" w:hAnsi="宋体" w:cs="宋体" w:eastAsia="宋体" w:hint="default"/>
          <w:spacing w:val="-1"/>
          <w:w w:val="95"/>
          <w:sz w:val="20"/>
          <w:szCs w:val="20"/>
        </w:rPr>
        <w:t>立完整的供应、生产、销售、研发系统，完全独立运作、独立承担责任和风险。公司与控股股东在业务、人员、</w:t>
      </w:r>
      <w:r>
        <w:rPr>
          <w:rFonts w:ascii="宋体" w:hAnsi="宋体" w:cs="宋体" w:eastAsia="宋体" w:hint="default"/>
          <w:spacing w:val="82"/>
          <w:w w:val="95"/>
          <w:sz w:val="20"/>
          <w:szCs w:val="20"/>
        </w:rPr>
        <w:t> </w:t>
      </w:r>
      <w:r>
        <w:rPr>
          <w:rFonts w:ascii="宋体" w:hAnsi="宋体" w:cs="宋体" w:eastAsia="宋体" w:hint="default"/>
          <w:spacing w:val="82"/>
          <w:w w:val="95"/>
          <w:sz w:val="20"/>
          <w:szCs w:val="20"/>
        </w:rPr>
      </w:r>
      <w:r>
        <w:rPr>
          <w:rFonts w:ascii="宋体" w:hAnsi="宋体" w:cs="宋体" w:eastAsia="宋体" w:hint="default"/>
          <w:sz w:val="20"/>
          <w:szCs w:val="20"/>
        </w:rPr>
        <w:t>资产、机构、财务等方面完全分开，具有独立完整的业务及自主经营能力。</w:t>
      </w:r>
    </w:p>
    <w:p>
      <w:pPr>
        <w:spacing w:line="439" w:lineRule="auto" w:before="89"/>
        <w:ind w:left="513" w:right="1115"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业务独立</w:t>
      </w:r>
      <w:r>
        <w:rPr>
          <w:rFonts w:ascii="宋体" w:hAnsi="宋体" w:cs="宋体" w:eastAsia="宋体" w:hint="default"/>
          <w:w w:val="99"/>
          <w:sz w:val="20"/>
          <w:szCs w:val="20"/>
        </w:rPr>
        <w:t> </w:t>
      </w:r>
      <w:r>
        <w:rPr>
          <w:rFonts w:ascii="宋体" w:hAnsi="宋体" w:cs="宋体" w:eastAsia="宋体" w:hint="default"/>
          <w:w w:val="95"/>
          <w:sz w:val="20"/>
          <w:szCs w:val="20"/>
        </w:rPr>
        <w:t>公司具有独立开展业务的能力，拥有独立的经营决策权和实施权，并完全独立于控股股东、实际控制人及</w:t>
      </w:r>
      <w:r>
        <w:rPr>
          <w:rFonts w:ascii="宋体" w:hAnsi="宋体" w:cs="宋体" w:eastAsia="宋体" w:hint="default"/>
          <w:sz w:val="20"/>
          <w:szCs w:val="20"/>
        </w:rPr>
      </w:r>
    </w:p>
    <w:p>
      <w:pPr>
        <w:spacing w:line="429" w:lineRule="auto" w:before="40"/>
        <w:ind w:left="112" w:right="1171" w:firstLine="0"/>
        <w:jc w:val="both"/>
        <w:rPr>
          <w:rFonts w:ascii="宋体" w:hAnsi="宋体" w:cs="宋体" w:eastAsia="宋体" w:hint="default"/>
          <w:sz w:val="20"/>
          <w:szCs w:val="20"/>
        </w:rPr>
      </w:pPr>
      <w:r>
        <w:rPr>
          <w:rFonts w:ascii="宋体" w:hAnsi="宋体" w:cs="宋体" w:eastAsia="宋体" w:hint="default"/>
          <w:w w:val="95"/>
          <w:sz w:val="20"/>
          <w:szCs w:val="20"/>
        </w:rPr>
        <w:t>其控制的其他企业。公司与控股股东、实际控制人及其控制的其他企业间不存在同业竞争或者显失公允的关联</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sz w:val="20"/>
          <w:szCs w:val="20"/>
        </w:rPr>
        <w:t>交易。本公司拥有独立完整的业务，具备独立面向市场自主经营的能力。</w:t>
      </w:r>
    </w:p>
    <w:p>
      <w:pPr>
        <w:spacing w:line="441" w:lineRule="auto" w:before="89"/>
        <w:ind w:left="513" w:right="1115"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资产完整</w:t>
      </w:r>
      <w:r>
        <w:rPr>
          <w:rFonts w:ascii="宋体" w:hAnsi="宋体" w:cs="宋体" w:eastAsia="宋体" w:hint="default"/>
          <w:w w:val="99"/>
          <w:sz w:val="20"/>
          <w:szCs w:val="20"/>
        </w:rPr>
        <w:t> </w:t>
      </w:r>
      <w:r>
        <w:rPr>
          <w:rFonts w:ascii="宋体" w:hAnsi="宋体" w:cs="宋体" w:eastAsia="宋体" w:hint="default"/>
          <w:w w:val="95"/>
          <w:sz w:val="20"/>
          <w:szCs w:val="20"/>
        </w:rPr>
        <w:t>公司拥有独立、完整的生产经营场所，以及与生产经营有关的生产系统、辅助生产系统、配套系统和土地</w:t>
      </w:r>
      <w:r>
        <w:rPr>
          <w:rFonts w:ascii="宋体" w:hAnsi="宋体" w:cs="宋体" w:eastAsia="宋体" w:hint="default"/>
          <w:sz w:val="20"/>
          <w:szCs w:val="20"/>
        </w:rPr>
      </w:r>
    </w:p>
    <w:p>
      <w:pPr>
        <w:spacing w:line="429" w:lineRule="auto" w:before="38"/>
        <w:ind w:left="112" w:right="1171" w:firstLine="0"/>
        <w:jc w:val="both"/>
        <w:rPr>
          <w:rFonts w:ascii="宋体" w:hAnsi="宋体" w:cs="宋体" w:eastAsia="宋体" w:hint="default"/>
          <w:sz w:val="20"/>
          <w:szCs w:val="20"/>
        </w:rPr>
      </w:pPr>
      <w:r>
        <w:rPr>
          <w:rFonts w:ascii="宋体" w:hAnsi="宋体" w:cs="宋体" w:eastAsia="宋体" w:hint="default"/>
          <w:w w:val="95"/>
          <w:sz w:val="20"/>
          <w:szCs w:val="20"/>
        </w:rPr>
        <w:t>使用权、商标、专利、非专利技术的所有权或者使用权，具有独立完整的原料采购、生产、销售等配套设施及</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w w:val="95"/>
          <w:sz w:val="20"/>
          <w:szCs w:val="20"/>
        </w:rPr>
        <w:t>固定资产。公司对所有资产拥有完全的控制支配权，不存在资产、资金被各股东、实际控制人及其控制的其他</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sz w:val="20"/>
          <w:szCs w:val="20"/>
        </w:rPr>
        <w:t>企业违规占用而损害公司利益的情况。</w:t>
      </w:r>
    </w:p>
    <w:p>
      <w:pPr>
        <w:spacing w:line="441" w:lineRule="auto" w:before="86"/>
        <w:ind w:left="513" w:right="1115"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人员独立</w:t>
      </w:r>
      <w:r>
        <w:rPr>
          <w:rFonts w:ascii="宋体" w:hAnsi="宋体" w:cs="宋体" w:eastAsia="宋体" w:hint="default"/>
          <w:w w:val="99"/>
          <w:sz w:val="20"/>
          <w:szCs w:val="20"/>
        </w:rPr>
        <w:t> </w:t>
      </w:r>
      <w:r>
        <w:rPr>
          <w:rFonts w:ascii="宋体" w:hAnsi="宋体" w:cs="宋体" w:eastAsia="宋体" w:hint="default"/>
          <w:w w:val="95"/>
          <w:sz w:val="20"/>
          <w:szCs w:val="20"/>
        </w:rPr>
        <w:t>公司董事、监事及高级管理人员均严格按照《公司法》、《公司章程》规定的程序推选和任免，不存在股</w:t>
      </w:r>
      <w:r>
        <w:rPr>
          <w:rFonts w:ascii="宋体" w:hAnsi="宋体" w:cs="宋体" w:eastAsia="宋体" w:hint="default"/>
          <w:sz w:val="20"/>
          <w:szCs w:val="20"/>
        </w:rPr>
      </w:r>
    </w:p>
    <w:p>
      <w:pPr>
        <w:spacing w:line="429" w:lineRule="auto" w:before="38"/>
        <w:ind w:left="112" w:right="1171" w:firstLine="0"/>
        <w:jc w:val="both"/>
        <w:rPr>
          <w:rFonts w:ascii="宋体" w:hAnsi="宋体" w:cs="宋体" w:eastAsia="宋体" w:hint="default"/>
          <w:sz w:val="20"/>
          <w:szCs w:val="20"/>
        </w:rPr>
      </w:pPr>
      <w:r>
        <w:rPr>
          <w:rFonts w:ascii="宋体" w:hAnsi="宋体" w:cs="宋体" w:eastAsia="宋体" w:hint="default"/>
          <w:w w:val="95"/>
          <w:sz w:val="20"/>
          <w:szCs w:val="20"/>
        </w:rPr>
        <w:t>东超越公司股东大会和董事会做出人事任免决定的情况。公司的人事及工资管理与股东单位完全分离，公司总</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w w:val="95"/>
          <w:sz w:val="20"/>
          <w:szCs w:val="20"/>
        </w:rPr>
        <w:t>经理、副总经理、财务负责人和董事会秘书等高级管理人员未在控股股东、实际控制人及其控制的其他企业中</w:t>
      </w:r>
      <w:r>
        <w:rPr>
          <w:rFonts w:ascii="宋体" w:hAnsi="宋体" w:cs="宋体" w:eastAsia="宋体" w:hint="default"/>
          <w:sz w:val="20"/>
          <w:szCs w:val="20"/>
        </w:rPr>
      </w:r>
    </w:p>
    <w:p>
      <w:pPr>
        <w:spacing w:after="0" w:line="429" w:lineRule="auto"/>
        <w:jc w:val="both"/>
        <w:rPr>
          <w:rFonts w:ascii="宋体" w:hAnsi="宋体" w:cs="宋体" w:eastAsia="宋体" w:hint="default"/>
          <w:sz w:val="20"/>
          <w:szCs w:val="20"/>
        </w:rPr>
        <w:sectPr>
          <w:pgSz w:w="11910" w:h="16840"/>
          <w:pgMar w:header="890" w:footer="1053" w:top="1420" w:bottom="1240" w:left="1020" w:right="0"/>
        </w:sectPr>
      </w:pPr>
    </w:p>
    <w:p>
      <w:pPr>
        <w:spacing w:line="429" w:lineRule="auto" w:before="129"/>
        <w:ind w:left="132" w:right="1171" w:firstLine="0"/>
        <w:jc w:val="both"/>
        <w:rPr>
          <w:rFonts w:ascii="宋体" w:hAnsi="宋体" w:cs="宋体" w:eastAsia="宋体" w:hint="default"/>
          <w:sz w:val="20"/>
          <w:szCs w:val="20"/>
        </w:rPr>
      </w:pPr>
      <w:r>
        <w:rPr>
          <w:rFonts w:ascii="宋体" w:hAnsi="宋体" w:cs="宋体" w:eastAsia="宋体" w:hint="default"/>
          <w:w w:val="95"/>
          <w:sz w:val="20"/>
          <w:szCs w:val="20"/>
        </w:rPr>
        <w:t>担任除董事、监事以外的其他职务，未在控股股东、实际控制人及其控制的其他企业领薪；公司财务人员未在</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w w:val="95"/>
          <w:sz w:val="20"/>
          <w:szCs w:val="20"/>
        </w:rPr>
        <w:t>控股股东、实际控制人及其控制的其他企业中兼职；公司董事、高级管理人员不存在兼任监事的情形。同时，</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sz w:val="20"/>
          <w:szCs w:val="20"/>
        </w:rPr>
        <w:t>公司建立并独立执行人力资源及薪酬管理制度。</w:t>
      </w:r>
    </w:p>
    <w:p>
      <w:pPr>
        <w:spacing w:line="439" w:lineRule="auto" w:before="89"/>
        <w:ind w:left="533" w:right="1164"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机构独立</w:t>
      </w:r>
      <w:r>
        <w:rPr>
          <w:rFonts w:ascii="宋体" w:hAnsi="宋体" w:cs="宋体" w:eastAsia="宋体" w:hint="default"/>
          <w:w w:val="99"/>
          <w:sz w:val="20"/>
          <w:szCs w:val="20"/>
        </w:rPr>
        <w:t> </w:t>
      </w:r>
      <w:r>
        <w:rPr>
          <w:rFonts w:ascii="宋体" w:hAnsi="宋体" w:cs="宋体" w:eastAsia="宋体" w:hint="default"/>
          <w:w w:val="95"/>
          <w:sz w:val="20"/>
          <w:szCs w:val="20"/>
        </w:rPr>
        <w:t>公司通过股东大会、董事会、监事会以及独立董事制度，强化了公司的分权制衡和相互监督，形成了有效</w:t>
      </w:r>
      <w:r>
        <w:rPr>
          <w:rFonts w:ascii="宋体" w:hAnsi="宋体" w:cs="宋体" w:eastAsia="宋体" w:hint="default"/>
          <w:sz w:val="20"/>
          <w:szCs w:val="20"/>
        </w:rPr>
      </w:r>
    </w:p>
    <w:p>
      <w:pPr>
        <w:spacing w:line="429" w:lineRule="auto" w:before="40"/>
        <w:ind w:left="132" w:right="1171" w:firstLine="0"/>
        <w:jc w:val="both"/>
        <w:rPr>
          <w:rFonts w:ascii="宋体" w:hAnsi="宋体" w:cs="宋体" w:eastAsia="宋体" w:hint="default"/>
          <w:sz w:val="20"/>
          <w:szCs w:val="20"/>
        </w:rPr>
      </w:pPr>
      <w:r>
        <w:rPr>
          <w:rFonts w:ascii="宋体" w:hAnsi="宋体" w:cs="宋体" w:eastAsia="宋体" w:hint="default"/>
          <w:w w:val="95"/>
          <w:sz w:val="20"/>
          <w:szCs w:val="20"/>
        </w:rPr>
        <w:t>的法人治理结构。在内部机构设置上，公司建立了适应自身发展需要的组织机构，明确了各机构职能，定员定</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w w:val="95"/>
          <w:sz w:val="20"/>
          <w:szCs w:val="20"/>
        </w:rPr>
        <w:t>岗，并制定了相应的内部管理与控制制度，独立开展生产经营活动。公司与控股股东、实际控制人及其控制的</w:t>
      </w:r>
      <w:r>
        <w:rPr>
          <w:rFonts w:ascii="宋体" w:hAnsi="宋体" w:cs="宋体" w:eastAsia="宋体" w:hint="default"/>
          <w:spacing w:val="83"/>
          <w:w w:val="95"/>
          <w:sz w:val="20"/>
          <w:szCs w:val="20"/>
        </w:rPr>
        <w:t> </w:t>
      </w:r>
      <w:r>
        <w:rPr>
          <w:rFonts w:ascii="宋体" w:hAnsi="宋体" w:cs="宋体" w:eastAsia="宋体" w:hint="default"/>
          <w:spacing w:val="83"/>
          <w:w w:val="95"/>
          <w:sz w:val="20"/>
          <w:szCs w:val="20"/>
        </w:rPr>
      </w:r>
      <w:r>
        <w:rPr>
          <w:rFonts w:ascii="宋体" w:hAnsi="宋体" w:cs="宋体" w:eastAsia="宋体" w:hint="default"/>
          <w:sz w:val="20"/>
          <w:szCs w:val="20"/>
        </w:rPr>
        <w:t>其他企业间不存在机构混同的情形。自公司设立以来，未发生股东干预本公司正常生产经营活动的情况。</w:t>
      </w:r>
    </w:p>
    <w:p>
      <w:pPr>
        <w:spacing w:line="441" w:lineRule="auto" w:before="89"/>
        <w:ind w:left="533" w:right="1034"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5.</w:t>
      </w:r>
      <w:r>
        <w:rPr>
          <w:rFonts w:ascii="宋体" w:hAnsi="宋体" w:cs="宋体" w:eastAsia="宋体" w:hint="default"/>
          <w:sz w:val="20"/>
          <w:szCs w:val="20"/>
        </w:rPr>
        <w:t>财务独立</w:t>
      </w:r>
      <w:r>
        <w:rPr>
          <w:rFonts w:ascii="宋体" w:hAnsi="宋体" w:cs="宋体" w:eastAsia="宋体" w:hint="default"/>
          <w:w w:val="99"/>
          <w:sz w:val="20"/>
          <w:szCs w:val="20"/>
        </w:rPr>
        <w:t> </w:t>
      </w:r>
      <w:r>
        <w:rPr>
          <w:rFonts w:ascii="宋体" w:hAnsi="宋体" w:cs="宋体" w:eastAsia="宋体" w:hint="default"/>
          <w:sz w:val="20"/>
          <w:szCs w:val="20"/>
        </w:rPr>
        <w:t>公司在财务上规范运作、独立运行，设立了独立的财务部门，配备了独立的财务人员，建立了独立的会计</w:t>
      </w:r>
    </w:p>
    <w:p>
      <w:pPr>
        <w:spacing w:line="429" w:lineRule="auto" w:before="38"/>
        <w:ind w:left="132" w:right="1034" w:firstLine="0"/>
        <w:jc w:val="left"/>
        <w:rPr>
          <w:rFonts w:ascii="宋体" w:hAnsi="宋体" w:cs="宋体" w:eastAsia="宋体" w:hint="default"/>
          <w:sz w:val="20"/>
          <w:szCs w:val="20"/>
        </w:rPr>
      </w:pPr>
      <w:r>
        <w:rPr>
          <w:rFonts w:ascii="宋体" w:hAnsi="宋体" w:cs="宋体" w:eastAsia="宋体" w:hint="default"/>
          <w:sz w:val="20"/>
          <w:szCs w:val="20"/>
        </w:rPr>
        <w:t>核算体系，制定了《财务管理制度》、《关联交易决策制度》、《投资决策管理制度》、《对外担保制度》等</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多项内控制度且严格执行，独立进行财务决策，享有充分独立的资金调配权，财务会计制度和财务管理制度符</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合上市公司的要求。公司开设独立的银行账户，作为独立的纳税人，依法独立进行纳税申报和履行纳税义务。</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pacing w:val="-1"/>
          <w:w w:val="95"/>
          <w:sz w:val="20"/>
          <w:szCs w:val="20"/>
        </w:rPr>
        <w:t>公司根据企业发展规划，自主决定投资计划和资金安排，不存在公司股东干预公司财务决策、资金使用的情况；</w:t>
      </w:r>
      <w:r>
        <w:rPr>
          <w:rFonts w:ascii="宋体" w:hAnsi="宋体" w:cs="宋体" w:eastAsia="宋体" w:hint="default"/>
          <w:spacing w:val="80"/>
          <w:w w:val="95"/>
          <w:sz w:val="20"/>
          <w:szCs w:val="20"/>
        </w:rPr>
        <w:t> </w:t>
      </w:r>
      <w:r>
        <w:rPr>
          <w:rFonts w:ascii="宋体" w:hAnsi="宋体" w:cs="宋体" w:eastAsia="宋体" w:hint="default"/>
          <w:spacing w:val="80"/>
          <w:w w:val="95"/>
          <w:sz w:val="20"/>
          <w:szCs w:val="20"/>
        </w:rPr>
      </w:r>
      <w:r>
        <w:rPr>
          <w:rFonts w:ascii="宋体" w:hAnsi="宋体" w:cs="宋体" w:eastAsia="宋体" w:hint="default"/>
          <w:sz w:val="20"/>
          <w:szCs w:val="20"/>
        </w:rPr>
        <w:t>不存在以资产、权益或信誉为股东单位或任何个人债务提供担保，或以本公司名义的借款、授信额度转借给前</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述法人或个人使用的情形。</w:t>
      </w:r>
    </w:p>
    <w:p>
      <w:pPr>
        <w:spacing w:line="240" w:lineRule="auto" w:before="1"/>
        <w:rPr>
          <w:rFonts w:ascii="宋体" w:hAnsi="宋体" w:cs="宋体" w:eastAsia="宋体" w:hint="default"/>
          <w:sz w:val="18"/>
          <w:szCs w:val="18"/>
        </w:rPr>
      </w:pPr>
    </w:p>
    <w:p>
      <w:pPr>
        <w:pStyle w:val="Heading2"/>
        <w:spacing w:line="240" w:lineRule="auto"/>
        <w:ind w:right="0"/>
        <w:jc w:val="both"/>
        <w:rPr>
          <w:b w:val="0"/>
          <w:bCs w:val="0"/>
        </w:rPr>
      </w:pPr>
      <w:bookmarkStart w:name="三、同业竞争情况" w:id="137"/>
      <w:bookmarkEnd w:id="137"/>
      <w:r>
        <w:rPr>
          <w:b w:val="0"/>
          <w:bCs w:val="0"/>
        </w:rPr>
      </w:r>
      <w:r>
        <w:rPr/>
        <w:t>三、同业竞争情况</w:t>
      </w:r>
      <w:r>
        <w:rPr>
          <w:b w:val="0"/>
          <w:bCs w:val="0"/>
        </w:rPr>
      </w:r>
    </w:p>
    <w:p>
      <w:pPr>
        <w:spacing w:line="240" w:lineRule="auto" w:before="9"/>
        <w:rPr>
          <w:rFonts w:ascii="宋体" w:hAnsi="宋体" w:cs="宋体" w:eastAsia="宋体" w:hint="default"/>
          <w:b/>
          <w:bCs/>
          <w:sz w:val="26"/>
          <w:szCs w:val="26"/>
        </w:rPr>
      </w:pPr>
    </w:p>
    <w:p>
      <w:pPr>
        <w:spacing w:before="0"/>
        <w:ind w:left="132"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both"/>
        <w:rPr>
          <w:b w:val="0"/>
          <w:bCs w:val="0"/>
        </w:rPr>
      </w:pPr>
      <w:bookmarkStart w:name="四、报告期内召开的年度股东大会和临时股东大会的有关情况" w:id="138"/>
      <w:bookmarkEnd w:id="138"/>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spacing w:before="0"/>
        <w:ind w:left="132" w:right="0" w:firstLine="0"/>
        <w:jc w:val="both"/>
        <w:rPr>
          <w:rFonts w:ascii="宋体" w:hAnsi="宋体" w:cs="宋体" w:eastAsia="宋体" w:hint="default"/>
          <w:sz w:val="21"/>
          <w:szCs w:val="21"/>
        </w:rPr>
      </w:pPr>
      <w:bookmarkStart w:name="1、本报告期股东大会情况" w:id="139"/>
      <w:bookmarkEnd w:id="13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、本报告期股东大会情况</w:t>
      </w:r>
      <w:r>
        <w:rPr>
          <w:rFonts w:ascii="宋体" w:hAnsi="宋体" w:cs="宋体" w:eastAsia="宋体" w:hint="default"/>
          <w:sz w:val="21"/>
          <w:szCs w:val="21"/>
        </w:rPr>
      </w:r>
    </w:p>
    <w:p>
      <w:pPr>
        <w:spacing w:line="240" w:lineRule="auto" w:before="8"/>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1596"/>
        <w:gridCol w:w="1388"/>
        <w:gridCol w:w="973"/>
        <w:gridCol w:w="1774"/>
        <w:gridCol w:w="1693"/>
        <w:gridCol w:w="2142"/>
      </w:tblGrid>
      <w:tr>
        <w:trPr>
          <w:trHeight w:val="500" w:hRule="exact"/>
        </w:trPr>
        <w:tc>
          <w:tcPr>
            <w:tcW w:w="1596"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2"/>
              <w:ind w:left="423"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388"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left="1"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97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211" w:right="121" w:hanging="92"/>
              <w:jc w:val="left"/>
              <w:rPr>
                <w:rFonts w:ascii="宋体" w:hAnsi="宋体" w:cs="宋体" w:eastAsia="宋体" w:hint="default"/>
                <w:sz w:val="18"/>
                <w:szCs w:val="18"/>
              </w:rPr>
            </w:pPr>
            <w:r>
              <w:rPr>
                <w:rFonts w:ascii="宋体" w:hAnsi="宋体" w:cs="宋体" w:eastAsia="宋体" w:hint="default"/>
                <w:sz w:val="18"/>
                <w:szCs w:val="18"/>
              </w:rPr>
              <w:t>投资者参 与比例</w:t>
            </w:r>
          </w:p>
        </w:tc>
        <w:tc>
          <w:tcPr>
            <w:tcW w:w="1774"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693"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2"/>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2142" w:type="dxa"/>
            <w:tcBorders>
              <w:top w:val="single" w:sz="12"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2"/>
              <w:ind w:left="70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52" w:hRule="exact"/>
        </w:trPr>
        <w:tc>
          <w:tcPr>
            <w:tcW w:w="1596" w:type="dxa"/>
            <w:tcBorders>
              <w:top w:val="single" w:sz="4" w:space="0" w:color="000000"/>
              <w:left w:val="single" w:sz="12" w:space="0" w:color="000000"/>
              <w:bottom w:val="nil" w:sz="6" w:space="0" w:color="auto"/>
              <w:right w:val="single" w:sz="4" w:space="0" w:color="000000"/>
            </w:tcBorders>
          </w:tcPr>
          <w:p>
            <w:pPr/>
          </w:p>
        </w:tc>
        <w:tc>
          <w:tcPr>
            <w:tcW w:w="1388" w:type="dxa"/>
            <w:tcBorders>
              <w:top w:val="single" w:sz="4" w:space="0" w:color="000000"/>
              <w:left w:val="single" w:sz="4" w:space="0" w:color="000000"/>
              <w:bottom w:val="nil" w:sz="6" w:space="0" w:color="auto"/>
              <w:right w:val="single" w:sz="4" w:space="0" w:color="000000"/>
            </w:tcBorders>
          </w:tcPr>
          <w:p>
            <w:pPr/>
          </w:p>
        </w:tc>
        <w:tc>
          <w:tcPr>
            <w:tcW w:w="973" w:type="dxa"/>
            <w:tcBorders>
              <w:top w:val="single" w:sz="4" w:space="0" w:color="000000"/>
              <w:left w:val="single" w:sz="4" w:space="0" w:color="000000"/>
              <w:bottom w:val="nil" w:sz="6" w:space="0" w:color="auto"/>
              <w:right w:val="single" w:sz="4" w:space="0" w:color="000000"/>
            </w:tcBorders>
          </w:tcPr>
          <w:p>
            <w:pPr/>
          </w:p>
        </w:tc>
        <w:tc>
          <w:tcPr>
            <w:tcW w:w="1774" w:type="dxa"/>
            <w:tcBorders>
              <w:top w:val="single" w:sz="4" w:space="0" w:color="000000"/>
              <w:left w:val="single" w:sz="4" w:space="0" w:color="000000"/>
              <w:bottom w:val="nil" w:sz="6" w:space="0" w:color="auto"/>
              <w:right w:val="single" w:sz="4" w:space="0" w:color="000000"/>
            </w:tcBorders>
          </w:tcPr>
          <w:p>
            <w:pPr/>
          </w:p>
        </w:tc>
        <w:tc>
          <w:tcPr>
            <w:tcW w:w="1693" w:type="dxa"/>
            <w:tcBorders>
              <w:top w:val="single" w:sz="4" w:space="0" w:color="000000"/>
              <w:left w:val="single" w:sz="4" w:space="0" w:color="000000"/>
              <w:bottom w:val="nil" w:sz="6" w:space="0" w:color="auto"/>
              <w:right w:val="single" w:sz="4" w:space="0" w:color="000000"/>
            </w:tcBorders>
          </w:tcPr>
          <w:p>
            <w:pPr/>
          </w:p>
        </w:tc>
        <w:tc>
          <w:tcPr>
            <w:tcW w:w="2142" w:type="dxa"/>
            <w:tcBorders>
              <w:top w:val="single" w:sz="4" w:space="0" w:color="000000"/>
              <w:left w:val="single" w:sz="4" w:space="0" w:color="000000"/>
              <w:bottom w:val="nil" w:sz="6" w:space="0" w:color="auto"/>
              <w:right w:val="single" w:sz="12"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80" w:hRule="exact"/>
        </w:trPr>
        <w:tc>
          <w:tcPr>
            <w:tcW w:w="1596" w:type="dxa"/>
            <w:tcBorders>
              <w:top w:val="nil" w:sz="6" w:space="0" w:color="auto"/>
              <w:left w:val="single" w:sz="12" w:space="0" w:color="000000"/>
              <w:bottom w:val="nil" w:sz="6" w:space="0" w:color="auto"/>
              <w:right w:val="single" w:sz="4" w:space="0" w:color="000000"/>
            </w:tcBorders>
          </w:tcPr>
          <w:p>
            <w:pPr>
              <w:pStyle w:val="TableParagraph"/>
              <w:spacing w:line="219" w:lineRule="exact"/>
              <w:ind w:left="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w:t>
            </w:r>
          </w:p>
          <w:p>
            <w:pPr>
              <w:pStyle w:val="TableParagraph"/>
              <w:spacing w:line="231" w:lineRule="exact"/>
              <w:ind w:left="92" w:right="0"/>
              <w:jc w:val="left"/>
              <w:rPr>
                <w:rFonts w:ascii="宋体" w:hAnsi="宋体" w:cs="宋体" w:eastAsia="宋体" w:hint="default"/>
                <w:sz w:val="18"/>
                <w:szCs w:val="18"/>
              </w:rPr>
            </w:pPr>
            <w:r>
              <w:rPr>
                <w:rFonts w:ascii="宋体" w:hAnsi="宋体" w:cs="宋体" w:eastAsia="宋体" w:hint="default"/>
                <w:sz w:val="18"/>
                <w:szCs w:val="18"/>
              </w:rPr>
              <w:t>会</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2"/>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973"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00"/>
              <w:jc w:val="right"/>
              <w:rPr>
                <w:rFonts w:ascii="Times New Roman" w:hAnsi="Times New Roman" w:cs="Times New Roman" w:eastAsia="Times New Roman" w:hint="default"/>
                <w:sz w:val="18"/>
                <w:szCs w:val="18"/>
              </w:rPr>
            </w:pPr>
            <w:r>
              <w:rPr>
                <w:rFonts w:ascii="Times New Roman"/>
                <w:spacing w:val="-1"/>
                <w:sz w:val="18"/>
              </w:rPr>
              <w:t>37.56%</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7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9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42" w:type="dxa"/>
            <w:tcBorders>
              <w:top w:val="nil" w:sz="6" w:space="0" w:color="auto"/>
              <w:left w:val="single" w:sz="4" w:space="0" w:color="000000"/>
              <w:bottom w:val="nil" w:sz="6" w:space="0" w:color="auto"/>
              <w:right w:val="single" w:sz="12"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pacing w:val="-4"/>
                  <w:sz w:val="18"/>
                  <w:szCs w:val="18"/>
                </w:rPr>
                <w:t>www.cninfo.com.cn</w:t>
              </w:r>
            </w:hyperlink>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2018</w:t>
            </w:r>
          </w:p>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年度股东大会决议公告》</w:t>
            </w:r>
          </w:p>
        </w:tc>
      </w:tr>
      <w:tr>
        <w:trPr>
          <w:trHeight w:val="238" w:hRule="exact"/>
        </w:trPr>
        <w:tc>
          <w:tcPr>
            <w:tcW w:w="1596" w:type="dxa"/>
            <w:tcBorders>
              <w:top w:val="nil" w:sz="6" w:space="0" w:color="auto"/>
              <w:left w:val="single" w:sz="12" w:space="0" w:color="000000"/>
              <w:bottom w:val="single" w:sz="4" w:space="0" w:color="000000"/>
              <w:right w:val="single" w:sz="4" w:space="0" w:color="000000"/>
            </w:tcBorders>
          </w:tcPr>
          <w:p>
            <w:pPr/>
          </w:p>
        </w:tc>
        <w:tc>
          <w:tcPr>
            <w:tcW w:w="1388" w:type="dxa"/>
            <w:tcBorders>
              <w:top w:val="nil" w:sz="6" w:space="0" w:color="auto"/>
              <w:left w:val="single" w:sz="4" w:space="0" w:color="000000"/>
              <w:bottom w:val="single" w:sz="4" w:space="0" w:color="000000"/>
              <w:right w:val="single" w:sz="4" w:space="0" w:color="000000"/>
            </w:tcBorders>
          </w:tcPr>
          <w:p>
            <w:pPr/>
          </w:p>
        </w:tc>
        <w:tc>
          <w:tcPr>
            <w:tcW w:w="973" w:type="dxa"/>
            <w:tcBorders>
              <w:top w:val="nil" w:sz="6" w:space="0" w:color="auto"/>
              <w:left w:val="single" w:sz="4" w:space="0" w:color="000000"/>
              <w:bottom w:val="single" w:sz="4" w:space="0" w:color="000000"/>
              <w:right w:val="single" w:sz="4" w:space="0" w:color="000000"/>
            </w:tcBorders>
          </w:tcPr>
          <w:p>
            <w:pPr/>
          </w:p>
        </w:tc>
        <w:tc>
          <w:tcPr>
            <w:tcW w:w="1774" w:type="dxa"/>
            <w:tcBorders>
              <w:top w:val="nil" w:sz="6" w:space="0" w:color="auto"/>
              <w:left w:val="single" w:sz="4" w:space="0" w:color="000000"/>
              <w:bottom w:val="single" w:sz="4" w:space="0" w:color="000000"/>
              <w:right w:val="single" w:sz="4" w:space="0" w:color="000000"/>
            </w:tcBorders>
          </w:tcPr>
          <w:p>
            <w:pPr/>
          </w:p>
        </w:tc>
        <w:tc>
          <w:tcPr>
            <w:tcW w:w="1693" w:type="dxa"/>
            <w:tcBorders>
              <w:top w:val="nil" w:sz="6" w:space="0" w:color="auto"/>
              <w:left w:val="single" w:sz="4" w:space="0" w:color="000000"/>
              <w:bottom w:val="single" w:sz="4" w:space="0" w:color="000000"/>
              <w:right w:val="single" w:sz="4" w:space="0" w:color="000000"/>
            </w:tcBorders>
          </w:tcPr>
          <w:p>
            <w:pPr/>
          </w:p>
        </w:tc>
        <w:tc>
          <w:tcPr>
            <w:tcW w:w="2142" w:type="dxa"/>
            <w:tcBorders>
              <w:top w:val="nil" w:sz="6" w:space="0" w:color="auto"/>
              <w:left w:val="single" w:sz="4" w:space="0" w:color="000000"/>
              <w:bottom w:val="single" w:sz="4" w:space="0" w:color="000000"/>
              <w:right w:val="single" w:sz="12" w:space="0" w:color="000000"/>
            </w:tcBorders>
          </w:tcPr>
          <w:p>
            <w:pPr>
              <w:pStyle w:val="TableParagraph"/>
              <w:spacing w:line="22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2019-034</w:t>
            </w:r>
            <w:r>
              <w:rPr>
                <w:rFonts w:ascii="宋体" w:hAnsi="宋体" w:cs="宋体" w:eastAsia="宋体" w:hint="default"/>
                <w:sz w:val="18"/>
                <w:szCs w:val="18"/>
              </w:rPr>
              <w:t>）</w:t>
            </w:r>
          </w:p>
        </w:tc>
      </w:tr>
      <w:tr>
        <w:trPr>
          <w:trHeight w:val="254" w:hRule="exact"/>
        </w:trPr>
        <w:tc>
          <w:tcPr>
            <w:tcW w:w="1596" w:type="dxa"/>
            <w:tcBorders>
              <w:top w:val="single" w:sz="4" w:space="0" w:color="000000"/>
              <w:left w:val="single" w:sz="12" w:space="0" w:color="000000"/>
              <w:bottom w:val="nil" w:sz="6" w:space="0" w:color="auto"/>
              <w:right w:val="single" w:sz="4" w:space="0" w:color="000000"/>
            </w:tcBorders>
          </w:tcPr>
          <w:p>
            <w:pPr/>
          </w:p>
        </w:tc>
        <w:tc>
          <w:tcPr>
            <w:tcW w:w="1388" w:type="dxa"/>
            <w:tcBorders>
              <w:top w:val="single" w:sz="4" w:space="0" w:color="000000"/>
              <w:left w:val="single" w:sz="4" w:space="0" w:color="000000"/>
              <w:bottom w:val="nil" w:sz="6" w:space="0" w:color="auto"/>
              <w:right w:val="single" w:sz="4" w:space="0" w:color="000000"/>
            </w:tcBorders>
          </w:tcPr>
          <w:p>
            <w:pPr/>
          </w:p>
        </w:tc>
        <w:tc>
          <w:tcPr>
            <w:tcW w:w="973" w:type="dxa"/>
            <w:tcBorders>
              <w:top w:val="single" w:sz="4" w:space="0" w:color="000000"/>
              <w:left w:val="single" w:sz="4" w:space="0" w:color="000000"/>
              <w:bottom w:val="nil" w:sz="6" w:space="0" w:color="auto"/>
              <w:right w:val="single" w:sz="4" w:space="0" w:color="000000"/>
            </w:tcBorders>
          </w:tcPr>
          <w:p>
            <w:pPr/>
          </w:p>
        </w:tc>
        <w:tc>
          <w:tcPr>
            <w:tcW w:w="1774" w:type="dxa"/>
            <w:tcBorders>
              <w:top w:val="single" w:sz="4" w:space="0" w:color="000000"/>
              <w:left w:val="single" w:sz="4" w:space="0" w:color="000000"/>
              <w:bottom w:val="nil" w:sz="6" w:space="0" w:color="auto"/>
              <w:right w:val="single" w:sz="4" w:space="0" w:color="000000"/>
            </w:tcBorders>
          </w:tcPr>
          <w:p>
            <w:pPr/>
          </w:p>
        </w:tc>
        <w:tc>
          <w:tcPr>
            <w:tcW w:w="1693" w:type="dxa"/>
            <w:tcBorders>
              <w:top w:val="single" w:sz="4" w:space="0" w:color="000000"/>
              <w:left w:val="single" w:sz="4" w:space="0" w:color="000000"/>
              <w:bottom w:val="nil" w:sz="6" w:space="0" w:color="auto"/>
              <w:right w:val="single" w:sz="4" w:space="0" w:color="000000"/>
            </w:tcBorders>
          </w:tcPr>
          <w:p>
            <w:pPr/>
          </w:p>
        </w:tc>
        <w:tc>
          <w:tcPr>
            <w:tcW w:w="2142" w:type="dxa"/>
            <w:tcBorders>
              <w:top w:val="single" w:sz="4" w:space="0" w:color="000000"/>
              <w:left w:val="single" w:sz="4" w:space="0" w:color="000000"/>
              <w:bottom w:val="nil" w:sz="6" w:space="0" w:color="auto"/>
              <w:right w:val="single" w:sz="12"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20" w:hRule="exact"/>
        </w:trPr>
        <w:tc>
          <w:tcPr>
            <w:tcW w:w="1596" w:type="dxa"/>
            <w:tcBorders>
              <w:top w:val="nil" w:sz="6" w:space="0" w:color="auto"/>
              <w:left w:val="single" w:sz="12" w:space="0" w:color="000000"/>
              <w:bottom w:val="nil" w:sz="6" w:space="0" w:color="auto"/>
              <w:right w:val="single" w:sz="4" w:space="0" w:color="000000"/>
            </w:tcBorders>
          </w:tcPr>
          <w:p>
            <w:pPr>
              <w:pStyle w:val="TableParagraph"/>
              <w:spacing w:line="240" w:lineRule="exact" w:before="112"/>
              <w:ind w:left="92"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 时股东大会</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9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97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37.53%</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7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9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42" w:type="dxa"/>
            <w:tcBorders>
              <w:top w:val="nil" w:sz="6" w:space="0" w:color="auto"/>
              <w:left w:val="single" w:sz="4" w:space="0" w:color="000000"/>
              <w:bottom w:val="nil" w:sz="6" w:space="0" w:color="auto"/>
              <w:right w:val="single" w:sz="12"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pacing w:val="-4"/>
                  <w:sz w:val="18"/>
                  <w:szCs w:val="18"/>
                </w:rPr>
                <w:t>www.cninfo.com.cn</w:t>
              </w:r>
            </w:hyperlink>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2019</w:t>
            </w:r>
          </w:p>
          <w:p>
            <w:pPr>
              <w:pStyle w:val="TableParagraph"/>
              <w:spacing w:line="244" w:lineRule="auto"/>
              <w:ind w:left="103" w:right="37"/>
              <w:jc w:val="left"/>
              <w:rPr>
                <w:rFonts w:ascii="宋体" w:hAnsi="宋体" w:cs="宋体" w:eastAsia="宋体" w:hint="default"/>
                <w:sz w:val="18"/>
                <w:szCs w:val="18"/>
              </w:rPr>
            </w:pPr>
            <w:r>
              <w:rPr>
                <w:rFonts w:ascii="宋体" w:hAnsi="宋体" w:cs="宋体" w:eastAsia="宋体" w:hint="default"/>
                <w:sz w:val="18"/>
                <w:szCs w:val="18"/>
              </w:rPr>
              <w:t>年第一次临时股东大会 决议公告》（公告编号：</w:t>
            </w:r>
          </w:p>
        </w:tc>
      </w:tr>
      <w:tr>
        <w:trPr>
          <w:trHeight w:val="234" w:hRule="exact"/>
        </w:trPr>
        <w:tc>
          <w:tcPr>
            <w:tcW w:w="1596" w:type="dxa"/>
            <w:tcBorders>
              <w:top w:val="nil" w:sz="6" w:space="0" w:color="auto"/>
              <w:left w:val="single" w:sz="12" w:space="0" w:color="000000"/>
              <w:bottom w:val="single" w:sz="4" w:space="0" w:color="000000"/>
              <w:right w:val="single" w:sz="4" w:space="0" w:color="000000"/>
            </w:tcBorders>
          </w:tcPr>
          <w:p>
            <w:pPr/>
          </w:p>
        </w:tc>
        <w:tc>
          <w:tcPr>
            <w:tcW w:w="1388" w:type="dxa"/>
            <w:tcBorders>
              <w:top w:val="nil" w:sz="6" w:space="0" w:color="auto"/>
              <w:left w:val="single" w:sz="4" w:space="0" w:color="000000"/>
              <w:bottom w:val="single" w:sz="4" w:space="0" w:color="000000"/>
              <w:right w:val="single" w:sz="4" w:space="0" w:color="000000"/>
            </w:tcBorders>
          </w:tcPr>
          <w:p>
            <w:pPr/>
          </w:p>
        </w:tc>
        <w:tc>
          <w:tcPr>
            <w:tcW w:w="973" w:type="dxa"/>
            <w:tcBorders>
              <w:top w:val="nil" w:sz="6" w:space="0" w:color="auto"/>
              <w:left w:val="single" w:sz="4" w:space="0" w:color="000000"/>
              <w:bottom w:val="single" w:sz="4" w:space="0" w:color="000000"/>
              <w:right w:val="single" w:sz="4" w:space="0" w:color="000000"/>
            </w:tcBorders>
          </w:tcPr>
          <w:p>
            <w:pPr/>
          </w:p>
        </w:tc>
        <w:tc>
          <w:tcPr>
            <w:tcW w:w="1774" w:type="dxa"/>
            <w:tcBorders>
              <w:top w:val="nil" w:sz="6" w:space="0" w:color="auto"/>
              <w:left w:val="single" w:sz="4" w:space="0" w:color="000000"/>
              <w:bottom w:val="single" w:sz="4" w:space="0" w:color="000000"/>
              <w:right w:val="single" w:sz="4" w:space="0" w:color="000000"/>
            </w:tcBorders>
          </w:tcPr>
          <w:p>
            <w:pPr/>
          </w:p>
        </w:tc>
        <w:tc>
          <w:tcPr>
            <w:tcW w:w="1693" w:type="dxa"/>
            <w:tcBorders>
              <w:top w:val="nil" w:sz="6" w:space="0" w:color="auto"/>
              <w:left w:val="single" w:sz="4" w:space="0" w:color="000000"/>
              <w:bottom w:val="single" w:sz="4" w:space="0" w:color="000000"/>
              <w:right w:val="single" w:sz="4" w:space="0" w:color="000000"/>
            </w:tcBorders>
          </w:tcPr>
          <w:p>
            <w:pPr/>
          </w:p>
        </w:tc>
        <w:tc>
          <w:tcPr>
            <w:tcW w:w="2142" w:type="dxa"/>
            <w:tcBorders>
              <w:top w:val="nil" w:sz="6" w:space="0" w:color="auto"/>
              <w:left w:val="single" w:sz="4" w:space="0" w:color="000000"/>
              <w:bottom w:val="single" w:sz="4" w:space="0" w:color="000000"/>
              <w:right w:val="single" w:sz="12" w:space="0" w:color="000000"/>
            </w:tcBorders>
          </w:tcPr>
          <w:p>
            <w:pPr>
              <w:pStyle w:val="TableParagraph"/>
              <w:spacing w:line="224"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2019-036</w:t>
            </w:r>
            <w:r>
              <w:rPr>
                <w:rFonts w:ascii="宋体" w:hAnsi="宋体" w:cs="宋体" w:eastAsia="宋体" w:hint="default"/>
                <w:sz w:val="18"/>
                <w:szCs w:val="18"/>
              </w:rPr>
              <w:t>）</w:t>
            </w:r>
          </w:p>
        </w:tc>
      </w:tr>
    </w:tbl>
    <w:p>
      <w:pPr>
        <w:spacing w:after="0" w:line="224" w:lineRule="exact"/>
        <w:jc w:val="left"/>
        <w:rPr>
          <w:rFonts w:ascii="宋体" w:hAnsi="宋体" w:cs="宋体" w:eastAsia="宋体" w:hint="default"/>
          <w:sz w:val="18"/>
          <w:szCs w:val="18"/>
        </w:rPr>
        <w:sectPr>
          <w:pgSz w:w="11910" w:h="16840"/>
          <w:pgMar w:header="890" w:footer="1053" w:top="1420" w:bottom="1240" w:left="1000" w:right="0"/>
        </w:sectPr>
      </w:pPr>
    </w:p>
    <w:p>
      <w:pPr>
        <w:spacing w:line="240" w:lineRule="auto" w:before="5"/>
        <w:rPr>
          <w:rFonts w:ascii="宋体" w:hAnsi="宋体" w:cs="宋体" w:eastAsia="宋体" w:hint="default"/>
          <w:b/>
          <w:bCs/>
          <w:sz w:val="4"/>
          <w:szCs w:val="4"/>
        </w:rPr>
      </w:pPr>
    </w:p>
    <w:tbl>
      <w:tblPr>
        <w:tblW w:w="0" w:type="auto"/>
        <w:jc w:val="left"/>
        <w:tblInd w:w="119" w:type="dxa"/>
        <w:tblLayout w:type="fixed"/>
        <w:tblCellMar>
          <w:top w:w="0" w:type="dxa"/>
          <w:left w:w="0" w:type="dxa"/>
          <w:bottom w:w="0" w:type="dxa"/>
          <w:right w:w="0" w:type="dxa"/>
        </w:tblCellMar>
        <w:tblLook w:val="01E0"/>
      </w:tblPr>
      <w:tblGrid>
        <w:gridCol w:w="1596"/>
        <w:gridCol w:w="1388"/>
        <w:gridCol w:w="973"/>
        <w:gridCol w:w="1774"/>
        <w:gridCol w:w="1693"/>
        <w:gridCol w:w="2142"/>
      </w:tblGrid>
      <w:tr>
        <w:trPr>
          <w:trHeight w:val="254" w:hRule="exact"/>
        </w:trPr>
        <w:tc>
          <w:tcPr>
            <w:tcW w:w="1596" w:type="dxa"/>
            <w:tcBorders>
              <w:top w:val="single" w:sz="4" w:space="0" w:color="000000"/>
              <w:left w:val="single" w:sz="12" w:space="0" w:color="000000"/>
              <w:bottom w:val="nil" w:sz="6" w:space="0" w:color="auto"/>
              <w:right w:val="single" w:sz="4" w:space="0" w:color="000000"/>
            </w:tcBorders>
          </w:tcPr>
          <w:p>
            <w:pPr/>
          </w:p>
        </w:tc>
        <w:tc>
          <w:tcPr>
            <w:tcW w:w="1388" w:type="dxa"/>
            <w:tcBorders>
              <w:top w:val="single" w:sz="4" w:space="0" w:color="000000"/>
              <w:left w:val="single" w:sz="4" w:space="0" w:color="000000"/>
              <w:bottom w:val="nil" w:sz="6" w:space="0" w:color="auto"/>
              <w:right w:val="single" w:sz="4" w:space="0" w:color="000000"/>
            </w:tcBorders>
          </w:tcPr>
          <w:p>
            <w:pPr/>
          </w:p>
        </w:tc>
        <w:tc>
          <w:tcPr>
            <w:tcW w:w="973" w:type="dxa"/>
            <w:tcBorders>
              <w:top w:val="single" w:sz="4" w:space="0" w:color="000000"/>
              <w:left w:val="single" w:sz="4" w:space="0" w:color="000000"/>
              <w:bottom w:val="nil" w:sz="6" w:space="0" w:color="auto"/>
              <w:right w:val="single" w:sz="4" w:space="0" w:color="000000"/>
            </w:tcBorders>
          </w:tcPr>
          <w:p>
            <w:pPr/>
          </w:p>
        </w:tc>
        <w:tc>
          <w:tcPr>
            <w:tcW w:w="1774" w:type="dxa"/>
            <w:tcBorders>
              <w:top w:val="single" w:sz="4" w:space="0" w:color="000000"/>
              <w:left w:val="single" w:sz="4" w:space="0" w:color="000000"/>
              <w:bottom w:val="nil" w:sz="6" w:space="0" w:color="auto"/>
              <w:right w:val="single" w:sz="4" w:space="0" w:color="000000"/>
            </w:tcBorders>
          </w:tcPr>
          <w:p>
            <w:pPr/>
          </w:p>
        </w:tc>
        <w:tc>
          <w:tcPr>
            <w:tcW w:w="1693" w:type="dxa"/>
            <w:tcBorders>
              <w:top w:val="single" w:sz="4" w:space="0" w:color="000000"/>
              <w:left w:val="single" w:sz="4" w:space="0" w:color="000000"/>
              <w:bottom w:val="nil" w:sz="6" w:space="0" w:color="auto"/>
              <w:right w:val="single" w:sz="4" w:space="0" w:color="000000"/>
            </w:tcBorders>
          </w:tcPr>
          <w:p>
            <w:pPr/>
          </w:p>
        </w:tc>
        <w:tc>
          <w:tcPr>
            <w:tcW w:w="2142" w:type="dxa"/>
            <w:tcBorders>
              <w:top w:val="single" w:sz="4" w:space="0" w:color="000000"/>
              <w:left w:val="single" w:sz="4" w:space="0" w:color="000000"/>
              <w:bottom w:val="nil" w:sz="6" w:space="0" w:color="auto"/>
              <w:right w:val="single" w:sz="12"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20" w:hRule="exact"/>
        </w:trPr>
        <w:tc>
          <w:tcPr>
            <w:tcW w:w="1596" w:type="dxa"/>
            <w:tcBorders>
              <w:top w:val="nil" w:sz="6" w:space="0" w:color="auto"/>
              <w:left w:val="single" w:sz="12" w:space="0" w:color="000000"/>
              <w:bottom w:val="nil" w:sz="6" w:space="0" w:color="auto"/>
              <w:right w:val="single" w:sz="4" w:space="0" w:color="000000"/>
            </w:tcBorders>
          </w:tcPr>
          <w:p>
            <w:pPr>
              <w:pStyle w:val="TableParagraph"/>
              <w:spacing w:line="240" w:lineRule="exact" w:before="112"/>
              <w:ind w:left="92"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 时股东大会</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97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305" w:right="0"/>
              <w:jc w:val="left"/>
              <w:rPr>
                <w:rFonts w:ascii="Times New Roman" w:hAnsi="Times New Roman" w:cs="Times New Roman" w:eastAsia="Times New Roman" w:hint="default"/>
                <w:sz w:val="18"/>
                <w:szCs w:val="18"/>
              </w:rPr>
            </w:pPr>
            <w:r>
              <w:rPr>
                <w:rFonts w:ascii="Times New Roman"/>
                <w:sz w:val="18"/>
              </w:rPr>
              <w:t>39.02%</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9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42" w:type="dxa"/>
            <w:tcBorders>
              <w:top w:val="nil" w:sz="6" w:space="0" w:color="auto"/>
              <w:left w:val="single" w:sz="4" w:space="0" w:color="000000"/>
              <w:bottom w:val="nil" w:sz="6" w:space="0" w:color="auto"/>
              <w:right w:val="single" w:sz="12" w:space="0" w:color="000000"/>
            </w:tcBorders>
          </w:tcPr>
          <w:p>
            <w:pPr>
              <w:pStyle w:val="TableParagraph"/>
              <w:spacing w:line="219" w:lineRule="exact"/>
              <w:ind w:left="103" w:right="0"/>
              <w:jc w:val="left"/>
              <w:rPr>
                <w:rFonts w:ascii="Times New Roman" w:hAnsi="Times New Roman" w:cs="Times New Roman" w:eastAsia="Times New Roman" w:hint="default"/>
                <w:sz w:val="18"/>
                <w:szCs w:val="18"/>
              </w:rPr>
            </w:pPr>
            <w:hyperlink r:id="rId11">
              <w:r>
                <w:rPr>
                  <w:rFonts w:ascii="Times New Roman" w:hAnsi="Times New Roman" w:cs="Times New Roman" w:eastAsia="Times New Roman" w:hint="default"/>
                  <w:spacing w:val="-4"/>
                  <w:sz w:val="18"/>
                  <w:szCs w:val="18"/>
                </w:rPr>
                <w:t>www.cninfo.com.cn</w:t>
              </w:r>
            </w:hyperlink>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2019</w:t>
            </w:r>
          </w:p>
          <w:p>
            <w:pPr>
              <w:pStyle w:val="TableParagraph"/>
              <w:spacing w:line="244" w:lineRule="auto"/>
              <w:ind w:left="103" w:right="37"/>
              <w:jc w:val="left"/>
              <w:rPr>
                <w:rFonts w:ascii="宋体" w:hAnsi="宋体" w:cs="宋体" w:eastAsia="宋体" w:hint="default"/>
                <w:sz w:val="18"/>
                <w:szCs w:val="18"/>
              </w:rPr>
            </w:pPr>
            <w:r>
              <w:rPr>
                <w:rFonts w:ascii="宋体" w:hAnsi="宋体" w:cs="宋体" w:eastAsia="宋体" w:hint="default"/>
                <w:sz w:val="18"/>
                <w:szCs w:val="18"/>
              </w:rPr>
              <w:t>年第二次临时股东大会 决议公告》（公告编号：</w:t>
            </w:r>
          </w:p>
        </w:tc>
      </w:tr>
      <w:tr>
        <w:trPr>
          <w:trHeight w:val="246" w:hRule="exact"/>
        </w:trPr>
        <w:tc>
          <w:tcPr>
            <w:tcW w:w="1596" w:type="dxa"/>
            <w:tcBorders>
              <w:top w:val="nil" w:sz="6" w:space="0" w:color="auto"/>
              <w:left w:val="single" w:sz="12" w:space="0" w:color="000000"/>
              <w:bottom w:val="single" w:sz="12" w:space="0" w:color="000000"/>
              <w:right w:val="single" w:sz="4" w:space="0" w:color="000000"/>
            </w:tcBorders>
          </w:tcPr>
          <w:p>
            <w:pPr/>
          </w:p>
        </w:tc>
        <w:tc>
          <w:tcPr>
            <w:tcW w:w="1388" w:type="dxa"/>
            <w:tcBorders>
              <w:top w:val="nil" w:sz="6" w:space="0" w:color="auto"/>
              <w:left w:val="single" w:sz="4" w:space="0" w:color="000000"/>
              <w:bottom w:val="single" w:sz="12" w:space="0" w:color="000000"/>
              <w:right w:val="single" w:sz="4" w:space="0" w:color="000000"/>
            </w:tcBorders>
          </w:tcPr>
          <w:p>
            <w:pPr/>
          </w:p>
        </w:tc>
        <w:tc>
          <w:tcPr>
            <w:tcW w:w="973" w:type="dxa"/>
            <w:tcBorders>
              <w:top w:val="nil" w:sz="6" w:space="0" w:color="auto"/>
              <w:left w:val="single" w:sz="4" w:space="0" w:color="000000"/>
              <w:bottom w:val="single" w:sz="12" w:space="0" w:color="000000"/>
              <w:right w:val="single" w:sz="4" w:space="0" w:color="000000"/>
            </w:tcBorders>
          </w:tcPr>
          <w:p>
            <w:pPr/>
          </w:p>
        </w:tc>
        <w:tc>
          <w:tcPr>
            <w:tcW w:w="1774" w:type="dxa"/>
            <w:tcBorders>
              <w:top w:val="nil" w:sz="6" w:space="0" w:color="auto"/>
              <w:left w:val="single" w:sz="4" w:space="0" w:color="000000"/>
              <w:bottom w:val="single" w:sz="12" w:space="0" w:color="000000"/>
              <w:right w:val="single" w:sz="4" w:space="0" w:color="000000"/>
            </w:tcBorders>
          </w:tcPr>
          <w:p>
            <w:pPr/>
          </w:p>
        </w:tc>
        <w:tc>
          <w:tcPr>
            <w:tcW w:w="1693" w:type="dxa"/>
            <w:tcBorders>
              <w:top w:val="nil" w:sz="6" w:space="0" w:color="auto"/>
              <w:left w:val="single" w:sz="4" w:space="0" w:color="000000"/>
              <w:bottom w:val="single" w:sz="12" w:space="0" w:color="000000"/>
              <w:right w:val="single" w:sz="4" w:space="0" w:color="000000"/>
            </w:tcBorders>
          </w:tcPr>
          <w:p>
            <w:pPr/>
          </w:p>
        </w:tc>
        <w:tc>
          <w:tcPr>
            <w:tcW w:w="2142" w:type="dxa"/>
            <w:tcBorders>
              <w:top w:val="nil" w:sz="6" w:space="0" w:color="auto"/>
              <w:left w:val="single" w:sz="4" w:space="0" w:color="000000"/>
              <w:bottom w:val="single" w:sz="12" w:space="0" w:color="000000"/>
              <w:right w:val="single" w:sz="12" w:space="0" w:color="000000"/>
            </w:tcBorders>
          </w:tcPr>
          <w:p>
            <w:pPr>
              <w:pStyle w:val="TableParagraph"/>
              <w:spacing w:line="224"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2019-058</w:t>
            </w:r>
            <w:r>
              <w:rPr>
                <w:rFonts w:ascii="宋体" w:hAnsi="宋体" w:cs="宋体" w:eastAsia="宋体" w:hint="default"/>
                <w:sz w:val="18"/>
                <w:szCs w:val="18"/>
              </w:rPr>
              <w:t>）</w:t>
            </w:r>
          </w:p>
        </w:tc>
      </w:tr>
    </w:tbl>
    <w:p>
      <w:pPr>
        <w:spacing w:line="240" w:lineRule="auto" w:before="6"/>
        <w:rPr>
          <w:rFonts w:ascii="宋体" w:hAnsi="宋体" w:cs="宋体" w:eastAsia="宋体" w:hint="default"/>
          <w:b/>
          <w:bCs/>
          <w:sz w:val="19"/>
          <w:szCs w:val="19"/>
        </w:rPr>
      </w:pPr>
    </w:p>
    <w:p>
      <w:pPr>
        <w:spacing w:before="34"/>
        <w:ind w:left="132" w:right="1164" w:firstLine="0"/>
        <w:jc w:val="left"/>
        <w:rPr>
          <w:rFonts w:ascii="宋体" w:hAnsi="宋体" w:cs="宋体" w:eastAsia="宋体" w:hint="default"/>
          <w:sz w:val="21"/>
          <w:szCs w:val="21"/>
        </w:rPr>
      </w:pPr>
      <w:bookmarkStart w:name="2、表决权恢复的优先股股东请求召开临时股东大会" w:id="140"/>
      <w:bookmarkEnd w:id="14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、表决权恢复的优先股股东请求召开临时股东大会</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2"/>
        <w:spacing w:line="240" w:lineRule="auto"/>
        <w:ind w:right="1164"/>
        <w:jc w:val="left"/>
        <w:rPr>
          <w:b w:val="0"/>
          <w:bCs w:val="0"/>
        </w:rPr>
      </w:pPr>
      <w:bookmarkStart w:name="五、报告期内独立董事履行职责的情况" w:id="141"/>
      <w:bookmarkEnd w:id="141"/>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独立董事出席董事会及股东大会的情况" w:id="142"/>
      <w:bookmarkEnd w:id="142"/>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、独立董事出席董事会及股东大会的情况</w:t>
      </w:r>
      <w:r>
        <w:rPr>
          <w:rFonts w:ascii="宋体" w:hAnsi="宋体" w:cs="宋体" w:eastAsia="宋体" w:hint="default"/>
          <w:sz w:val="21"/>
          <w:szCs w:val="21"/>
        </w:rPr>
      </w:r>
    </w:p>
    <w:p>
      <w:pPr>
        <w:spacing w:line="240" w:lineRule="auto" w:before="8"/>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1427"/>
        <w:gridCol w:w="1164"/>
        <w:gridCol w:w="1164"/>
        <w:gridCol w:w="1163"/>
        <w:gridCol w:w="1163"/>
        <w:gridCol w:w="1163"/>
        <w:gridCol w:w="1357"/>
        <w:gridCol w:w="969"/>
      </w:tblGrid>
      <w:tr>
        <w:trPr>
          <w:trHeight w:val="332" w:hRule="exact"/>
        </w:trPr>
        <w:tc>
          <w:tcPr>
            <w:tcW w:w="9570" w:type="dxa"/>
            <w:gridSpan w:val="8"/>
            <w:tcBorders>
              <w:top w:val="single" w:sz="12"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946" w:hRule="exact"/>
        </w:trPr>
        <w:tc>
          <w:tcPr>
            <w:tcW w:w="1427"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159"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126" w:right="125"/>
              <w:jc w:val="center"/>
              <w:rPr>
                <w:rFonts w:ascii="宋体" w:hAnsi="宋体" w:cs="宋体" w:eastAsia="宋体" w:hint="default"/>
                <w:sz w:val="18"/>
                <w:szCs w:val="18"/>
              </w:rPr>
            </w:pPr>
            <w:r>
              <w:rPr>
                <w:rFonts w:ascii="宋体" w:hAnsi="宋体" w:cs="宋体" w:eastAsia="宋体" w:hint="default"/>
                <w:sz w:val="18"/>
                <w:szCs w:val="18"/>
              </w:rPr>
              <w:t>本报告期应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218" w:right="125" w:hanging="92"/>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126" w:right="124"/>
              <w:jc w:val="center"/>
              <w:rPr>
                <w:rFonts w:ascii="宋体" w:hAnsi="宋体" w:cs="宋体" w:eastAsia="宋体" w:hint="default"/>
                <w:sz w:val="18"/>
                <w:szCs w:val="18"/>
              </w:rPr>
            </w:pPr>
            <w:r>
              <w:rPr>
                <w:rFonts w:ascii="宋体" w:hAnsi="宋体" w:cs="宋体" w:eastAsia="宋体" w:hint="default"/>
                <w:sz w:val="18"/>
                <w:szCs w:val="18"/>
              </w:rPr>
              <w:t>以通讯方式 参加董事会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216" w:right="125" w:hanging="92"/>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395" w:right="124" w:hanging="269"/>
              <w:jc w:val="left"/>
              <w:rPr>
                <w:rFonts w:ascii="宋体" w:hAnsi="宋体" w:cs="宋体" w:eastAsia="宋体" w:hint="default"/>
                <w:sz w:val="18"/>
                <w:szCs w:val="18"/>
              </w:rPr>
            </w:pPr>
            <w:r>
              <w:rPr>
                <w:rFonts w:ascii="宋体" w:hAnsi="宋体" w:cs="宋体" w:eastAsia="宋体" w:hint="default"/>
                <w:sz w:val="18"/>
                <w:szCs w:val="18"/>
              </w:rPr>
              <w:t>缺席董事会 次数</w:t>
            </w:r>
          </w:p>
        </w:tc>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132" w:right="133"/>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969"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19" w:right="108"/>
              <w:jc w:val="left"/>
              <w:rPr>
                <w:rFonts w:ascii="宋体" w:hAnsi="宋体" w:cs="宋体" w:eastAsia="宋体" w:hint="default"/>
                <w:sz w:val="18"/>
                <w:szCs w:val="18"/>
              </w:rPr>
            </w:pPr>
            <w:r>
              <w:rPr>
                <w:rFonts w:ascii="宋体" w:hAnsi="宋体" w:cs="宋体" w:eastAsia="宋体" w:hint="default"/>
                <w:sz w:val="18"/>
                <w:szCs w:val="18"/>
              </w:rPr>
              <w:t>出席股东 大会次数</w:t>
            </w:r>
          </w:p>
        </w:tc>
      </w:tr>
      <w:tr>
        <w:trPr>
          <w:trHeight w:val="322"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杜烈康</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6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2"/>
              <w:jc w:val="right"/>
              <w:rPr>
                <w:rFonts w:ascii="Times New Roman" w:hAnsi="Times New Roman" w:cs="Times New Roman" w:eastAsia="Times New Roman" w:hint="default"/>
                <w:sz w:val="18"/>
                <w:szCs w:val="18"/>
              </w:rPr>
            </w:pPr>
            <w:r>
              <w:rPr>
                <w:rFonts w:ascii="Times New Roman"/>
                <w:sz w:val="18"/>
              </w:rPr>
              <w:t>1</w:t>
            </w:r>
          </w:p>
        </w:tc>
      </w:tr>
      <w:tr>
        <w:trPr>
          <w:trHeight w:val="322"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2" w:right="0"/>
              <w:jc w:val="left"/>
              <w:rPr>
                <w:rFonts w:ascii="宋体" w:hAnsi="宋体" w:cs="宋体" w:eastAsia="宋体" w:hint="default"/>
                <w:sz w:val="18"/>
                <w:szCs w:val="18"/>
              </w:rPr>
            </w:pPr>
            <w:r>
              <w:rPr>
                <w:rFonts w:ascii="宋体" w:hAnsi="宋体" w:cs="宋体" w:eastAsia="宋体" w:hint="default"/>
                <w:sz w:val="18"/>
                <w:szCs w:val="18"/>
              </w:rPr>
              <w:t>阎孟昆</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6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2"/>
              <w:jc w:val="right"/>
              <w:rPr>
                <w:rFonts w:ascii="Times New Roman" w:hAnsi="Times New Roman" w:cs="Times New Roman" w:eastAsia="Times New Roman" w:hint="default"/>
                <w:sz w:val="18"/>
                <w:szCs w:val="18"/>
              </w:rPr>
            </w:pPr>
            <w:r>
              <w:rPr>
                <w:rFonts w:ascii="Times New Roman"/>
                <w:sz w:val="18"/>
              </w:rPr>
              <w:t>1</w:t>
            </w:r>
          </w:p>
        </w:tc>
      </w:tr>
      <w:tr>
        <w:trPr>
          <w:trHeight w:val="322"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邹峻</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6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2"/>
              <w:jc w:val="right"/>
              <w:rPr>
                <w:rFonts w:ascii="Times New Roman" w:hAnsi="Times New Roman" w:cs="Times New Roman" w:eastAsia="Times New Roman" w:hint="default"/>
                <w:sz w:val="18"/>
                <w:szCs w:val="18"/>
              </w:rPr>
            </w:pPr>
            <w:r>
              <w:rPr>
                <w:rFonts w:ascii="Times New Roman"/>
                <w:sz w:val="18"/>
              </w:rPr>
              <w:t>1</w:t>
            </w:r>
          </w:p>
        </w:tc>
      </w:tr>
      <w:tr>
        <w:trPr>
          <w:trHeight w:val="322"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赵健康</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6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92"/>
              <w:jc w:val="right"/>
              <w:rPr>
                <w:rFonts w:ascii="Times New Roman" w:hAnsi="Times New Roman" w:cs="Times New Roman" w:eastAsia="Times New Roman" w:hint="default"/>
                <w:sz w:val="18"/>
                <w:szCs w:val="18"/>
              </w:rPr>
            </w:pPr>
            <w:r>
              <w:rPr>
                <w:rFonts w:ascii="Times New Roman"/>
                <w:sz w:val="18"/>
              </w:rPr>
              <w:t>1</w:t>
            </w:r>
          </w:p>
        </w:tc>
      </w:tr>
      <w:tr>
        <w:trPr>
          <w:trHeight w:val="322" w:hRule="exact"/>
        </w:trPr>
        <w:tc>
          <w:tcPr>
            <w:tcW w:w="142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周荣</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6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0"/>
              <w:ind w:right="92"/>
              <w:jc w:val="right"/>
              <w:rPr>
                <w:rFonts w:ascii="Times New Roman" w:hAnsi="Times New Roman" w:cs="Times New Roman" w:eastAsia="Times New Roman" w:hint="default"/>
                <w:sz w:val="18"/>
                <w:szCs w:val="18"/>
              </w:rPr>
            </w:pPr>
            <w:r>
              <w:rPr>
                <w:rFonts w:ascii="Times New Roman"/>
                <w:sz w:val="18"/>
              </w:rPr>
              <w:t>1</w:t>
            </w:r>
          </w:p>
        </w:tc>
      </w:tr>
      <w:tr>
        <w:trPr>
          <w:trHeight w:val="332" w:hRule="exact"/>
        </w:trPr>
        <w:tc>
          <w:tcPr>
            <w:tcW w:w="1427"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吕洪仁</w:t>
            </w:r>
          </w:p>
        </w:tc>
        <w:tc>
          <w:tcPr>
            <w:tcW w:w="11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1</w:t>
            </w:r>
          </w:p>
        </w:tc>
        <w:tc>
          <w:tcPr>
            <w:tcW w:w="11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z w:val="18"/>
              </w:rPr>
              <w:t>0</w:t>
            </w:r>
          </w:p>
        </w:tc>
        <w:tc>
          <w:tcPr>
            <w:tcW w:w="13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6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right="92"/>
              <w:jc w:val="right"/>
              <w:rPr>
                <w:rFonts w:ascii="Times New Roman" w:hAnsi="Times New Roman" w:cs="Times New Roman" w:eastAsia="Times New Roman" w:hint="default"/>
                <w:sz w:val="18"/>
                <w:szCs w:val="18"/>
              </w:rPr>
            </w:pPr>
            <w:r>
              <w:rPr>
                <w:rFonts w:ascii="Times New Roman"/>
                <w:sz w:val="18"/>
              </w:rPr>
              <w:t>1</w:t>
            </w:r>
          </w:p>
        </w:tc>
      </w:tr>
    </w:tbl>
    <w:p>
      <w:pPr>
        <w:spacing w:before="50"/>
        <w:ind w:left="132" w:right="1164"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0"/>
        <w:rPr>
          <w:rFonts w:ascii="宋体" w:hAnsi="宋体" w:cs="宋体" w:eastAsia="宋体" w:hint="default"/>
          <w:sz w:val="18"/>
          <w:szCs w:val="18"/>
        </w:rPr>
      </w:pPr>
    </w:p>
    <w:p>
      <w:pPr>
        <w:spacing w:before="118"/>
        <w:ind w:left="132" w:right="1164" w:firstLine="0"/>
        <w:jc w:val="left"/>
        <w:rPr>
          <w:rFonts w:ascii="宋体" w:hAnsi="宋体" w:cs="宋体" w:eastAsia="宋体" w:hint="default"/>
          <w:sz w:val="21"/>
          <w:szCs w:val="21"/>
        </w:rPr>
      </w:pPr>
      <w:bookmarkStart w:name="2、独立董事对公司有关事项提出异议的情况" w:id="143"/>
      <w:bookmarkEnd w:id="14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、独立董事对公司有关事项提出异议的情况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57" w:lineRule="auto" w:before="117"/>
        <w:ind w:left="132" w:right="6974" w:firstLine="0"/>
        <w:jc w:val="left"/>
        <w:rPr>
          <w:rFonts w:ascii="宋体" w:hAnsi="宋体" w:cs="宋体" w:eastAsia="宋体" w:hint="default"/>
          <w:sz w:val="18"/>
          <w:szCs w:val="18"/>
        </w:rPr>
      </w:pPr>
      <w:r>
        <w:rPr>
          <w:rFonts w:ascii="宋体" w:hAnsi="宋体" w:cs="宋体" w:eastAsia="宋体" w:hint="default"/>
          <w:sz w:val="18"/>
          <w:szCs w:val="18"/>
        </w:rPr>
        <w:t>□ 是 √ 否 报告期内独立董事对公司有关事项未提出异议。</w:t>
      </w:r>
    </w:p>
    <w:p>
      <w:pPr>
        <w:spacing w:line="240" w:lineRule="auto" w:before="3"/>
        <w:rPr>
          <w:rFonts w:ascii="宋体" w:hAnsi="宋体" w:cs="宋体" w:eastAsia="宋体" w:hint="default"/>
          <w:sz w:val="20"/>
          <w:szCs w:val="20"/>
        </w:rPr>
      </w:pPr>
    </w:p>
    <w:p>
      <w:pPr>
        <w:spacing w:before="0"/>
        <w:ind w:left="132" w:right="1164" w:firstLine="0"/>
        <w:jc w:val="left"/>
        <w:rPr>
          <w:rFonts w:ascii="宋体" w:hAnsi="宋体" w:cs="宋体" w:eastAsia="宋体" w:hint="default"/>
          <w:sz w:val="21"/>
          <w:szCs w:val="21"/>
        </w:rPr>
      </w:pPr>
      <w:bookmarkStart w:name="3、独立董事履行职责的其他说明" w:id="144"/>
      <w:bookmarkEnd w:id="14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、独立董事履行职责的其他说明</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60" w:lineRule="auto" w:before="115"/>
        <w:ind w:left="132" w:right="6794" w:firstLine="0"/>
        <w:jc w:val="left"/>
        <w:rPr>
          <w:rFonts w:ascii="宋体" w:hAnsi="宋体" w:cs="宋体" w:eastAsia="宋体" w:hint="default"/>
          <w:sz w:val="18"/>
          <w:szCs w:val="18"/>
        </w:rPr>
      </w:pPr>
      <w:r>
        <w:rPr>
          <w:rFonts w:ascii="宋体" w:hAnsi="宋体" w:cs="宋体" w:eastAsia="宋体" w:hint="default"/>
          <w:sz w:val="18"/>
          <w:szCs w:val="18"/>
        </w:rPr>
        <w:t>√ 是 □ 否 独立董事对公司有关建议被采纳或未被采纳的说明</w:t>
      </w:r>
    </w:p>
    <w:tbl>
      <w:tblPr>
        <w:tblW w:w="0" w:type="auto"/>
        <w:jc w:val="left"/>
        <w:tblInd w:w="119" w:type="dxa"/>
        <w:tblLayout w:type="fixed"/>
        <w:tblCellMar>
          <w:top w:w="0" w:type="dxa"/>
          <w:left w:w="0" w:type="dxa"/>
          <w:bottom w:w="0" w:type="dxa"/>
          <w:right w:w="0" w:type="dxa"/>
        </w:tblCellMar>
        <w:tblLook w:val="01E0"/>
      </w:tblPr>
      <w:tblGrid>
        <w:gridCol w:w="1501"/>
        <w:gridCol w:w="5596"/>
        <w:gridCol w:w="781"/>
        <w:gridCol w:w="781"/>
        <w:gridCol w:w="781"/>
      </w:tblGrid>
      <w:tr>
        <w:trPr>
          <w:trHeight w:val="280" w:hRule="exact"/>
        </w:trPr>
        <w:tc>
          <w:tcPr>
            <w:tcW w:w="1501" w:type="dxa"/>
            <w:vMerge w:val="restart"/>
            <w:tcBorders>
              <w:top w:val="single" w:sz="12" w:space="0" w:color="000000"/>
              <w:left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3"/>
              <w:jc w:val="center"/>
              <w:rPr>
                <w:rFonts w:ascii="宋体" w:hAnsi="宋体" w:cs="宋体" w:eastAsia="宋体" w:hint="default"/>
                <w:sz w:val="15"/>
                <w:szCs w:val="15"/>
              </w:rPr>
            </w:pPr>
            <w:r>
              <w:rPr>
                <w:rFonts w:ascii="宋体" w:hAnsi="宋体" w:cs="宋体" w:eastAsia="宋体" w:hint="default"/>
                <w:sz w:val="15"/>
                <w:szCs w:val="15"/>
              </w:rPr>
              <w:t>时间</w:t>
            </w:r>
          </w:p>
        </w:tc>
        <w:tc>
          <w:tcPr>
            <w:tcW w:w="5596"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事项</w:t>
            </w:r>
          </w:p>
        </w:tc>
        <w:tc>
          <w:tcPr>
            <w:tcW w:w="2343" w:type="dxa"/>
            <w:gridSpan w:val="3"/>
            <w:tcBorders>
              <w:top w:val="single" w:sz="12" w:space="0" w:color="000000"/>
              <w:left w:val="single" w:sz="4" w:space="0" w:color="000000"/>
              <w:bottom w:val="single" w:sz="4" w:space="0" w:color="000000"/>
              <w:right w:val="single" w:sz="12" w:space="0" w:color="000000"/>
            </w:tcBorders>
          </w:tcPr>
          <w:p>
            <w:pPr>
              <w:pStyle w:val="TableParagraph"/>
              <w:spacing w:line="240" w:lineRule="auto" w:before="26"/>
              <w:ind w:left="3" w:right="0"/>
              <w:jc w:val="center"/>
              <w:rPr>
                <w:rFonts w:ascii="宋体" w:hAnsi="宋体" w:cs="宋体" w:eastAsia="宋体" w:hint="default"/>
                <w:sz w:val="15"/>
                <w:szCs w:val="15"/>
              </w:rPr>
            </w:pPr>
            <w:r>
              <w:rPr>
                <w:rFonts w:ascii="宋体" w:hAnsi="宋体" w:cs="宋体" w:eastAsia="宋体" w:hint="default"/>
                <w:sz w:val="15"/>
                <w:szCs w:val="15"/>
              </w:rPr>
              <w:t>发表意见</w:t>
            </w:r>
          </w:p>
        </w:tc>
      </w:tr>
      <w:tr>
        <w:trPr>
          <w:trHeight w:val="270" w:hRule="exact"/>
        </w:trPr>
        <w:tc>
          <w:tcPr>
            <w:tcW w:w="1501" w:type="dxa"/>
            <w:vMerge/>
            <w:tcBorders>
              <w:left w:val="single" w:sz="12" w:space="0" w:color="000000"/>
              <w:bottom w:val="single" w:sz="4" w:space="0" w:color="000000"/>
              <w:right w:val="single" w:sz="4" w:space="0" w:color="000000"/>
            </w:tcBorders>
          </w:tcPr>
          <w:p>
            <w:pPr/>
          </w:p>
        </w:tc>
        <w:tc>
          <w:tcPr>
            <w:tcW w:w="5596" w:type="dxa"/>
            <w:vMerge/>
            <w:tcBorders>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杜烈康</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15"/>
                <w:szCs w:val="15"/>
              </w:rPr>
            </w:pPr>
            <w:r>
              <w:rPr>
                <w:rFonts w:ascii="宋体" w:hAnsi="宋体" w:cs="宋体" w:eastAsia="宋体" w:hint="default"/>
                <w:sz w:val="15"/>
                <w:szCs w:val="15"/>
              </w:rPr>
              <w:t>阎孟昆</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6"/>
              <w:ind w:left="4" w:right="0"/>
              <w:jc w:val="center"/>
              <w:rPr>
                <w:rFonts w:ascii="宋体" w:hAnsi="宋体" w:cs="宋体" w:eastAsia="宋体" w:hint="default"/>
                <w:sz w:val="15"/>
                <w:szCs w:val="15"/>
              </w:rPr>
            </w:pPr>
            <w:r>
              <w:rPr>
                <w:rFonts w:ascii="宋体" w:hAnsi="宋体" w:cs="宋体" w:eastAsia="宋体" w:hint="default"/>
                <w:sz w:val="15"/>
                <w:szCs w:val="15"/>
              </w:rPr>
              <w:t>邹峻</w:t>
            </w:r>
          </w:p>
        </w:tc>
      </w:tr>
      <w:tr>
        <w:trPr>
          <w:trHeight w:val="270" w:hRule="exact"/>
        </w:trPr>
        <w:tc>
          <w:tcPr>
            <w:tcW w:w="150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5"/>
              <w:ind w:right="3"/>
              <w:jc w:val="center"/>
              <w:rPr>
                <w:rFonts w:ascii="宋体" w:hAnsi="宋体" w:cs="宋体" w:eastAsia="宋体" w:hint="default"/>
                <w:sz w:val="15"/>
                <w:szCs w:val="15"/>
              </w:rPr>
            </w:pPr>
            <w:r>
              <w:rPr>
                <w:rFonts w:ascii="宋体" w:hAnsi="宋体" w:cs="宋体" w:eastAsia="宋体" w:hint="default"/>
                <w:sz w:val="15"/>
                <w:szCs w:val="15"/>
              </w:rPr>
              <w:t>2019年2月26日</w:t>
            </w:r>
          </w:p>
        </w:tc>
        <w:tc>
          <w:tcPr>
            <w:tcW w:w="5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 w:right="0"/>
              <w:jc w:val="left"/>
              <w:rPr>
                <w:rFonts w:ascii="宋体" w:hAnsi="宋体" w:cs="宋体" w:eastAsia="宋体" w:hint="default"/>
                <w:sz w:val="15"/>
                <w:szCs w:val="15"/>
              </w:rPr>
            </w:pPr>
            <w:r>
              <w:rPr>
                <w:rFonts w:ascii="宋体" w:hAnsi="宋体" w:cs="宋体" w:eastAsia="宋体" w:hint="default"/>
                <w:sz w:val="15"/>
                <w:szCs w:val="15"/>
              </w:rPr>
              <w:t>《独立董事关于第四届董事会第二十九次会议相关事项的独立意见》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left="4" w:right="0"/>
              <w:jc w:val="center"/>
              <w:rPr>
                <w:rFonts w:ascii="宋体" w:hAnsi="宋体" w:cs="宋体" w:eastAsia="宋体" w:hint="default"/>
                <w:sz w:val="15"/>
                <w:szCs w:val="15"/>
              </w:rPr>
            </w:pPr>
            <w:r>
              <w:rPr>
                <w:rFonts w:ascii="宋体" w:hAnsi="宋体" w:cs="宋体" w:eastAsia="宋体" w:hint="default"/>
                <w:sz w:val="15"/>
                <w:szCs w:val="15"/>
              </w:rPr>
              <w:t>同意</w:t>
            </w:r>
          </w:p>
        </w:tc>
      </w:tr>
      <w:tr>
        <w:trPr>
          <w:trHeight w:val="270" w:hRule="exact"/>
        </w:trPr>
        <w:tc>
          <w:tcPr>
            <w:tcW w:w="150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6"/>
              <w:ind w:right="3"/>
              <w:jc w:val="center"/>
              <w:rPr>
                <w:rFonts w:ascii="宋体" w:hAnsi="宋体" w:cs="宋体" w:eastAsia="宋体" w:hint="default"/>
                <w:sz w:val="15"/>
                <w:szCs w:val="15"/>
              </w:rPr>
            </w:pPr>
            <w:r>
              <w:rPr>
                <w:rFonts w:ascii="宋体" w:hAnsi="宋体" w:cs="宋体" w:eastAsia="宋体" w:hint="default"/>
                <w:sz w:val="15"/>
                <w:szCs w:val="15"/>
              </w:rPr>
              <w:t>2019年4月12日</w:t>
            </w:r>
          </w:p>
        </w:tc>
        <w:tc>
          <w:tcPr>
            <w:tcW w:w="5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5" w:right="0"/>
              <w:jc w:val="left"/>
              <w:rPr>
                <w:rFonts w:ascii="宋体" w:hAnsi="宋体" w:cs="宋体" w:eastAsia="宋体" w:hint="default"/>
                <w:sz w:val="15"/>
                <w:szCs w:val="15"/>
              </w:rPr>
            </w:pPr>
            <w:r>
              <w:rPr>
                <w:rFonts w:ascii="宋体" w:hAnsi="宋体" w:cs="宋体" w:eastAsia="宋体" w:hint="default"/>
                <w:sz w:val="15"/>
                <w:szCs w:val="15"/>
              </w:rPr>
              <w:t>《独立董事事前认可意见》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6"/>
              <w:ind w:left="4" w:right="0"/>
              <w:jc w:val="center"/>
              <w:rPr>
                <w:rFonts w:ascii="宋体" w:hAnsi="宋体" w:cs="宋体" w:eastAsia="宋体" w:hint="default"/>
                <w:sz w:val="15"/>
                <w:szCs w:val="15"/>
              </w:rPr>
            </w:pPr>
            <w:r>
              <w:rPr>
                <w:rFonts w:ascii="宋体" w:hAnsi="宋体" w:cs="宋体" w:eastAsia="宋体" w:hint="default"/>
                <w:sz w:val="15"/>
                <w:szCs w:val="15"/>
              </w:rPr>
              <w:t>同意</w:t>
            </w:r>
          </w:p>
        </w:tc>
      </w:tr>
      <w:tr>
        <w:trPr>
          <w:trHeight w:val="270" w:hRule="exact"/>
        </w:trPr>
        <w:tc>
          <w:tcPr>
            <w:tcW w:w="150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5"/>
              <w:ind w:right="3"/>
              <w:jc w:val="center"/>
              <w:rPr>
                <w:rFonts w:ascii="宋体" w:hAnsi="宋体" w:cs="宋体" w:eastAsia="宋体" w:hint="default"/>
                <w:sz w:val="15"/>
                <w:szCs w:val="15"/>
              </w:rPr>
            </w:pPr>
            <w:r>
              <w:rPr>
                <w:rFonts w:ascii="宋体" w:hAnsi="宋体" w:cs="宋体" w:eastAsia="宋体" w:hint="default"/>
                <w:sz w:val="15"/>
                <w:szCs w:val="15"/>
              </w:rPr>
              <w:t>2019年4月29日</w:t>
            </w:r>
          </w:p>
        </w:tc>
        <w:tc>
          <w:tcPr>
            <w:tcW w:w="5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 w:right="0"/>
              <w:jc w:val="left"/>
              <w:rPr>
                <w:rFonts w:ascii="宋体" w:hAnsi="宋体" w:cs="宋体" w:eastAsia="宋体" w:hint="default"/>
                <w:sz w:val="15"/>
                <w:szCs w:val="15"/>
              </w:rPr>
            </w:pPr>
            <w:r>
              <w:rPr>
                <w:rFonts w:ascii="宋体" w:hAnsi="宋体" w:cs="宋体" w:eastAsia="宋体" w:hint="default"/>
                <w:sz w:val="15"/>
                <w:szCs w:val="15"/>
              </w:rPr>
              <w:t>《独立董事关于第四届董事会第三十次会议相关事项发表的独立意见》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left="4" w:right="0"/>
              <w:jc w:val="center"/>
              <w:rPr>
                <w:rFonts w:ascii="宋体" w:hAnsi="宋体" w:cs="宋体" w:eastAsia="宋体" w:hint="default"/>
                <w:sz w:val="15"/>
                <w:szCs w:val="15"/>
              </w:rPr>
            </w:pPr>
            <w:r>
              <w:rPr>
                <w:rFonts w:ascii="宋体" w:hAnsi="宋体" w:cs="宋体" w:eastAsia="宋体" w:hint="default"/>
                <w:sz w:val="15"/>
                <w:szCs w:val="15"/>
              </w:rPr>
              <w:t>同意</w:t>
            </w:r>
          </w:p>
        </w:tc>
      </w:tr>
      <w:tr>
        <w:trPr>
          <w:trHeight w:val="270" w:hRule="exact"/>
        </w:trPr>
        <w:tc>
          <w:tcPr>
            <w:tcW w:w="150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6"/>
              <w:ind w:right="3"/>
              <w:jc w:val="center"/>
              <w:rPr>
                <w:rFonts w:ascii="宋体" w:hAnsi="宋体" w:cs="宋体" w:eastAsia="宋体" w:hint="default"/>
                <w:sz w:val="15"/>
                <w:szCs w:val="15"/>
              </w:rPr>
            </w:pPr>
            <w:r>
              <w:rPr>
                <w:rFonts w:ascii="宋体" w:hAnsi="宋体" w:cs="宋体" w:eastAsia="宋体" w:hint="default"/>
                <w:sz w:val="15"/>
                <w:szCs w:val="15"/>
              </w:rPr>
              <w:t>2019年5月16日</w:t>
            </w:r>
          </w:p>
        </w:tc>
        <w:tc>
          <w:tcPr>
            <w:tcW w:w="5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5" w:right="0"/>
              <w:jc w:val="left"/>
              <w:rPr>
                <w:rFonts w:ascii="宋体" w:hAnsi="宋体" w:cs="宋体" w:eastAsia="宋体" w:hint="default"/>
                <w:sz w:val="15"/>
                <w:szCs w:val="15"/>
              </w:rPr>
            </w:pPr>
            <w:r>
              <w:rPr>
                <w:rFonts w:ascii="宋体" w:hAnsi="宋体" w:cs="宋体" w:eastAsia="宋体" w:hint="default"/>
                <w:sz w:val="15"/>
                <w:szCs w:val="15"/>
              </w:rPr>
              <w:t>《独立董事就第四届董事会第三十一次会议相关事项发表的独立意见》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6"/>
              <w:ind w:left="4" w:right="0"/>
              <w:jc w:val="center"/>
              <w:rPr>
                <w:rFonts w:ascii="宋体" w:hAnsi="宋体" w:cs="宋体" w:eastAsia="宋体" w:hint="default"/>
                <w:sz w:val="15"/>
                <w:szCs w:val="15"/>
              </w:rPr>
            </w:pPr>
            <w:r>
              <w:rPr>
                <w:rFonts w:ascii="宋体" w:hAnsi="宋体" w:cs="宋体" w:eastAsia="宋体" w:hint="default"/>
                <w:sz w:val="15"/>
                <w:szCs w:val="15"/>
              </w:rPr>
              <w:t>同意</w:t>
            </w:r>
          </w:p>
        </w:tc>
      </w:tr>
      <w:tr>
        <w:trPr>
          <w:trHeight w:val="270" w:hRule="exact"/>
        </w:trPr>
        <w:tc>
          <w:tcPr>
            <w:tcW w:w="150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5"/>
              <w:ind w:right="3"/>
              <w:jc w:val="center"/>
              <w:rPr>
                <w:rFonts w:ascii="宋体" w:hAnsi="宋体" w:cs="宋体" w:eastAsia="宋体" w:hint="default"/>
                <w:sz w:val="15"/>
                <w:szCs w:val="15"/>
              </w:rPr>
            </w:pPr>
            <w:r>
              <w:rPr>
                <w:rFonts w:ascii="宋体" w:hAnsi="宋体" w:cs="宋体" w:eastAsia="宋体" w:hint="default"/>
                <w:sz w:val="15"/>
                <w:szCs w:val="15"/>
              </w:rPr>
              <w:t>2019年8月29日</w:t>
            </w:r>
          </w:p>
        </w:tc>
        <w:tc>
          <w:tcPr>
            <w:tcW w:w="5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 w:right="0"/>
              <w:jc w:val="left"/>
              <w:rPr>
                <w:rFonts w:ascii="宋体" w:hAnsi="宋体" w:cs="宋体" w:eastAsia="宋体" w:hint="default"/>
                <w:sz w:val="15"/>
                <w:szCs w:val="15"/>
              </w:rPr>
            </w:pPr>
            <w:r>
              <w:rPr>
                <w:rFonts w:ascii="宋体" w:hAnsi="宋体" w:cs="宋体" w:eastAsia="宋体" w:hint="default"/>
                <w:sz w:val="15"/>
                <w:szCs w:val="15"/>
              </w:rPr>
              <w:t>《独立董事关于第四届董事会第三十二次会议相关事项的独立意见》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left="4" w:right="0"/>
              <w:jc w:val="center"/>
              <w:rPr>
                <w:rFonts w:ascii="宋体" w:hAnsi="宋体" w:cs="宋体" w:eastAsia="宋体" w:hint="default"/>
                <w:sz w:val="15"/>
                <w:szCs w:val="15"/>
              </w:rPr>
            </w:pPr>
            <w:r>
              <w:rPr>
                <w:rFonts w:ascii="宋体" w:hAnsi="宋体" w:cs="宋体" w:eastAsia="宋体" w:hint="default"/>
                <w:sz w:val="15"/>
                <w:szCs w:val="15"/>
              </w:rPr>
              <w:t>同意</w:t>
            </w:r>
          </w:p>
        </w:tc>
      </w:tr>
      <w:tr>
        <w:trPr>
          <w:trHeight w:val="268" w:hRule="exact"/>
        </w:trPr>
        <w:tc>
          <w:tcPr>
            <w:tcW w:w="150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6"/>
              <w:ind w:right="3"/>
              <w:jc w:val="center"/>
              <w:rPr>
                <w:rFonts w:ascii="宋体" w:hAnsi="宋体" w:cs="宋体" w:eastAsia="宋体" w:hint="default"/>
                <w:sz w:val="15"/>
                <w:szCs w:val="15"/>
              </w:rPr>
            </w:pPr>
            <w:r>
              <w:rPr>
                <w:rFonts w:ascii="宋体" w:hAnsi="宋体" w:cs="宋体" w:eastAsia="宋体" w:hint="default"/>
                <w:sz w:val="15"/>
                <w:szCs w:val="15"/>
              </w:rPr>
              <w:t>2019年10月9日</w:t>
            </w:r>
          </w:p>
        </w:tc>
        <w:tc>
          <w:tcPr>
            <w:tcW w:w="5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5" w:right="0"/>
              <w:jc w:val="left"/>
              <w:rPr>
                <w:rFonts w:ascii="宋体" w:hAnsi="宋体" w:cs="宋体" w:eastAsia="宋体" w:hint="default"/>
                <w:sz w:val="15"/>
                <w:szCs w:val="15"/>
              </w:rPr>
            </w:pPr>
            <w:r>
              <w:rPr>
                <w:rFonts w:ascii="宋体" w:hAnsi="宋体" w:cs="宋体" w:eastAsia="宋体" w:hint="default"/>
                <w:sz w:val="15"/>
                <w:szCs w:val="15"/>
              </w:rPr>
              <w:t>《独立董事关于董事会换届选举事项发表独立意见》</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6"/>
              <w:ind w:left="4" w:right="0"/>
              <w:jc w:val="center"/>
              <w:rPr>
                <w:rFonts w:ascii="宋体" w:hAnsi="宋体" w:cs="宋体" w:eastAsia="宋体" w:hint="default"/>
                <w:sz w:val="15"/>
                <w:szCs w:val="15"/>
              </w:rPr>
            </w:pPr>
            <w:r>
              <w:rPr>
                <w:rFonts w:ascii="宋体" w:hAnsi="宋体" w:cs="宋体" w:eastAsia="宋体" w:hint="default"/>
                <w:sz w:val="15"/>
                <w:szCs w:val="15"/>
              </w:rPr>
              <w:t>同意</w:t>
            </w:r>
          </w:p>
        </w:tc>
      </w:tr>
    </w:tbl>
    <w:p>
      <w:pPr>
        <w:spacing w:after="0" w:line="240" w:lineRule="auto"/>
        <w:jc w:val="center"/>
        <w:rPr>
          <w:rFonts w:ascii="宋体" w:hAnsi="宋体" w:cs="宋体" w:eastAsia="宋体" w:hint="default"/>
          <w:sz w:val="15"/>
          <w:szCs w:val="15"/>
        </w:rPr>
        <w:sectPr>
          <w:pgSz w:w="11910" w:h="16840"/>
          <w:pgMar w:header="890" w:footer="1053" w:top="1420" w:bottom="1240" w:left="1000" w:right="0"/>
        </w:sectPr>
      </w:pPr>
    </w:p>
    <w:p>
      <w:pPr>
        <w:spacing w:line="240" w:lineRule="auto" w:before="5"/>
        <w:rPr>
          <w:rFonts w:ascii="宋体" w:hAnsi="宋体" w:cs="宋体" w:eastAsia="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1501"/>
        <w:gridCol w:w="5596"/>
        <w:gridCol w:w="781"/>
        <w:gridCol w:w="781"/>
        <w:gridCol w:w="781"/>
      </w:tblGrid>
      <w:tr>
        <w:trPr>
          <w:trHeight w:val="270" w:hRule="exact"/>
        </w:trPr>
        <w:tc>
          <w:tcPr>
            <w:tcW w:w="1501" w:type="dxa"/>
            <w:vMerge w:val="restart"/>
            <w:tcBorders>
              <w:top w:val="single" w:sz="4" w:space="0" w:color="000000"/>
              <w:left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
              <w:jc w:val="center"/>
              <w:rPr>
                <w:rFonts w:ascii="宋体" w:hAnsi="宋体" w:cs="宋体" w:eastAsia="宋体" w:hint="default"/>
                <w:sz w:val="15"/>
                <w:szCs w:val="15"/>
              </w:rPr>
            </w:pPr>
            <w:r>
              <w:rPr>
                <w:rFonts w:ascii="宋体" w:hAnsi="宋体" w:cs="宋体" w:eastAsia="宋体" w:hint="default"/>
                <w:sz w:val="15"/>
                <w:szCs w:val="15"/>
              </w:rPr>
              <w:t>时间</w:t>
            </w:r>
          </w:p>
        </w:tc>
        <w:tc>
          <w:tcPr>
            <w:tcW w:w="5596"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事项</w:t>
            </w:r>
          </w:p>
        </w:tc>
        <w:tc>
          <w:tcPr>
            <w:tcW w:w="2343" w:type="dxa"/>
            <w:gridSpan w:val="3"/>
            <w:tcBorders>
              <w:top w:val="single" w:sz="4" w:space="0" w:color="000000"/>
              <w:left w:val="single" w:sz="4" w:space="0" w:color="000000"/>
              <w:bottom w:val="single" w:sz="4" w:space="0" w:color="000000"/>
              <w:right w:val="single" w:sz="12" w:space="0" w:color="000000"/>
            </w:tcBorders>
          </w:tcPr>
          <w:p>
            <w:pPr>
              <w:pStyle w:val="TableParagraph"/>
              <w:spacing w:line="240" w:lineRule="auto" w:before="28"/>
              <w:ind w:left="3" w:right="0"/>
              <w:jc w:val="center"/>
              <w:rPr>
                <w:rFonts w:ascii="宋体" w:hAnsi="宋体" w:cs="宋体" w:eastAsia="宋体" w:hint="default"/>
                <w:sz w:val="15"/>
                <w:szCs w:val="15"/>
              </w:rPr>
            </w:pPr>
            <w:r>
              <w:rPr>
                <w:rFonts w:ascii="宋体" w:hAnsi="宋体" w:cs="宋体" w:eastAsia="宋体" w:hint="default"/>
                <w:sz w:val="15"/>
                <w:szCs w:val="15"/>
              </w:rPr>
              <w:t>发表意见</w:t>
            </w:r>
          </w:p>
        </w:tc>
      </w:tr>
      <w:tr>
        <w:trPr>
          <w:trHeight w:val="270" w:hRule="exact"/>
        </w:trPr>
        <w:tc>
          <w:tcPr>
            <w:tcW w:w="1501" w:type="dxa"/>
            <w:vMerge/>
            <w:tcBorders>
              <w:left w:val="single" w:sz="12" w:space="0" w:color="000000"/>
              <w:bottom w:val="single" w:sz="4" w:space="0" w:color="000000"/>
              <w:right w:val="single" w:sz="4" w:space="0" w:color="000000"/>
            </w:tcBorders>
          </w:tcPr>
          <w:p>
            <w:pPr/>
          </w:p>
        </w:tc>
        <w:tc>
          <w:tcPr>
            <w:tcW w:w="5596" w:type="dxa"/>
            <w:vMerge/>
            <w:tcBorders>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15"/>
                <w:szCs w:val="15"/>
              </w:rPr>
            </w:pPr>
            <w:r>
              <w:rPr>
                <w:rFonts w:ascii="宋体" w:hAnsi="宋体" w:cs="宋体" w:eastAsia="宋体" w:hint="default"/>
                <w:sz w:val="15"/>
                <w:szCs w:val="15"/>
              </w:rPr>
              <w:t>周荣</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15"/>
                <w:szCs w:val="15"/>
              </w:rPr>
            </w:pPr>
            <w:r>
              <w:rPr>
                <w:rFonts w:ascii="宋体" w:hAnsi="宋体" w:cs="宋体" w:eastAsia="宋体" w:hint="default"/>
                <w:sz w:val="15"/>
                <w:szCs w:val="15"/>
              </w:rPr>
              <w:t>赵健康</w:t>
            </w:r>
          </w:p>
        </w:tc>
        <w:tc>
          <w:tcPr>
            <w:tcW w:w="78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6"/>
              <w:ind w:left="1" w:right="0"/>
              <w:jc w:val="center"/>
              <w:rPr>
                <w:rFonts w:ascii="宋体" w:hAnsi="宋体" w:cs="宋体" w:eastAsia="宋体" w:hint="default"/>
                <w:sz w:val="15"/>
                <w:szCs w:val="15"/>
              </w:rPr>
            </w:pPr>
            <w:r>
              <w:rPr>
                <w:rFonts w:ascii="宋体" w:hAnsi="宋体" w:cs="宋体" w:eastAsia="宋体" w:hint="default"/>
                <w:sz w:val="15"/>
                <w:szCs w:val="15"/>
              </w:rPr>
              <w:t>吕洪仁</w:t>
            </w:r>
          </w:p>
        </w:tc>
      </w:tr>
      <w:tr>
        <w:trPr>
          <w:trHeight w:val="280" w:hRule="exact"/>
        </w:trPr>
        <w:tc>
          <w:tcPr>
            <w:tcW w:w="1501"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28"/>
              <w:ind w:left="212" w:right="0"/>
              <w:jc w:val="left"/>
              <w:rPr>
                <w:rFonts w:ascii="宋体" w:hAnsi="宋体" w:cs="宋体" w:eastAsia="宋体" w:hint="default"/>
                <w:sz w:val="15"/>
                <w:szCs w:val="15"/>
              </w:rPr>
            </w:pPr>
            <w:r>
              <w:rPr>
                <w:rFonts w:ascii="宋体" w:hAnsi="宋体" w:cs="宋体" w:eastAsia="宋体" w:hint="default"/>
                <w:sz w:val="15"/>
                <w:szCs w:val="15"/>
              </w:rPr>
              <w:t>2019年10月28日</w:t>
            </w:r>
          </w:p>
        </w:tc>
        <w:tc>
          <w:tcPr>
            <w:tcW w:w="55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8"/>
              <w:ind w:left="5" w:right="0"/>
              <w:jc w:val="left"/>
              <w:rPr>
                <w:rFonts w:ascii="宋体" w:hAnsi="宋体" w:cs="宋体" w:eastAsia="宋体" w:hint="default"/>
                <w:sz w:val="15"/>
                <w:szCs w:val="15"/>
              </w:rPr>
            </w:pPr>
            <w:r>
              <w:rPr>
                <w:rFonts w:ascii="宋体" w:hAnsi="宋体" w:cs="宋体" w:eastAsia="宋体" w:hint="default"/>
                <w:sz w:val="15"/>
                <w:szCs w:val="15"/>
              </w:rPr>
              <w:t>《独立董事关于聘任高级管理人员的独立意见》</w:t>
            </w:r>
          </w:p>
        </w:tc>
        <w:tc>
          <w:tcPr>
            <w:tcW w:w="7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8"/>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8"/>
              <w:ind w:right="1"/>
              <w:jc w:val="center"/>
              <w:rPr>
                <w:rFonts w:ascii="宋体" w:hAnsi="宋体" w:cs="宋体" w:eastAsia="宋体" w:hint="default"/>
                <w:sz w:val="15"/>
                <w:szCs w:val="15"/>
              </w:rPr>
            </w:pPr>
            <w:r>
              <w:rPr>
                <w:rFonts w:ascii="宋体" w:hAnsi="宋体" w:cs="宋体" w:eastAsia="宋体" w:hint="default"/>
                <w:sz w:val="15"/>
                <w:szCs w:val="15"/>
              </w:rPr>
              <w:t>同意</w:t>
            </w:r>
          </w:p>
        </w:tc>
        <w:tc>
          <w:tcPr>
            <w:tcW w:w="78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15"/>
                <w:szCs w:val="15"/>
              </w:rPr>
            </w:pPr>
            <w:r>
              <w:rPr>
                <w:rFonts w:ascii="宋体" w:hAnsi="宋体" w:cs="宋体" w:eastAsia="宋体" w:hint="default"/>
                <w:sz w:val="15"/>
                <w:szCs w:val="15"/>
              </w:rPr>
              <w:t>同意</w:t>
            </w:r>
          </w:p>
        </w:tc>
      </w:tr>
    </w:tbl>
    <w:p>
      <w:pPr>
        <w:spacing w:line="360" w:lineRule="auto" w:before="51"/>
        <w:ind w:left="492" w:right="1124" w:firstLine="0"/>
        <w:jc w:val="left"/>
        <w:rPr>
          <w:rFonts w:ascii="宋体" w:hAnsi="宋体" w:cs="宋体" w:eastAsia="宋体" w:hint="default"/>
          <w:sz w:val="18"/>
          <w:szCs w:val="18"/>
        </w:rPr>
      </w:pPr>
      <w:r>
        <w:rPr>
          <w:rFonts w:ascii="宋体" w:hAnsi="宋体" w:cs="宋体" w:eastAsia="宋体" w:hint="default"/>
          <w:sz w:val="18"/>
          <w:szCs w:val="18"/>
        </w:rPr>
        <w:t>报告期内，公司独立董事严格按照中国证监会、深交所及《公司章程》的相关规定，开展工作： 1、在董事会审议决策重大事项时，独立董事对事先提供的资料进行审核，必要时对相关部门和人员进行询问，并利用</w:t>
      </w:r>
    </w:p>
    <w:p>
      <w:pPr>
        <w:spacing w:line="222" w:lineRule="exact" w:before="0"/>
        <w:ind w:left="132" w:right="0" w:firstLine="0"/>
        <w:jc w:val="both"/>
        <w:rPr>
          <w:rFonts w:ascii="宋体" w:hAnsi="宋体" w:cs="宋体" w:eastAsia="宋体" w:hint="default"/>
          <w:sz w:val="18"/>
          <w:szCs w:val="18"/>
        </w:rPr>
      </w:pPr>
      <w:r>
        <w:rPr>
          <w:rFonts w:ascii="宋体" w:hAnsi="宋体" w:cs="宋体" w:eastAsia="宋体" w:hint="default"/>
          <w:sz w:val="18"/>
          <w:szCs w:val="18"/>
        </w:rPr>
        <w:t>自身专业知识，独立、客观、审慎地行使表决权，有效履行独立董事的职责，促进董事会决策科学、合理，切实维护公司及</w:t>
      </w:r>
    </w:p>
    <w:p>
      <w:pPr>
        <w:spacing w:line="357" w:lineRule="auto" w:before="76"/>
        <w:ind w:left="492" w:right="1124" w:hanging="360"/>
        <w:jc w:val="left"/>
        <w:rPr>
          <w:rFonts w:ascii="宋体" w:hAnsi="宋体" w:cs="宋体" w:eastAsia="宋体" w:hint="default"/>
          <w:sz w:val="18"/>
          <w:szCs w:val="18"/>
        </w:rPr>
      </w:pPr>
      <w:r>
        <w:rPr>
          <w:rFonts w:ascii="宋体" w:hAnsi="宋体" w:cs="宋体" w:eastAsia="宋体" w:hint="default"/>
          <w:sz w:val="18"/>
          <w:szCs w:val="18"/>
        </w:rPr>
        <w:t>全体股东的利益。 2、及时、深入了解公司经营状况、管理情况及董事会、股东大会决议执行情况，并对公司经营策略、关联交易、募集</w:t>
      </w:r>
    </w:p>
    <w:p>
      <w:pPr>
        <w:spacing w:line="224" w:lineRule="exact" w:before="0"/>
        <w:ind w:left="132" w:right="0" w:firstLine="0"/>
        <w:jc w:val="both"/>
        <w:rPr>
          <w:rFonts w:ascii="宋体" w:hAnsi="宋体" w:cs="宋体" w:eastAsia="宋体" w:hint="default"/>
          <w:sz w:val="18"/>
          <w:szCs w:val="18"/>
        </w:rPr>
      </w:pPr>
      <w:r>
        <w:rPr>
          <w:rFonts w:ascii="宋体" w:hAnsi="宋体" w:cs="宋体" w:eastAsia="宋体" w:hint="default"/>
          <w:sz w:val="18"/>
          <w:szCs w:val="18"/>
        </w:rPr>
        <w:t>资金使用情况等事项发表独立意见。</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6"/>
          <w:szCs w:val="16"/>
        </w:rPr>
      </w:pPr>
    </w:p>
    <w:p>
      <w:pPr>
        <w:pStyle w:val="Heading2"/>
        <w:spacing w:line="240" w:lineRule="auto"/>
        <w:ind w:right="0"/>
        <w:jc w:val="both"/>
        <w:rPr>
          <w:b w:val="0"/>
          <w:bCs w:val="0"/>
        </w:rPr>
      </w:pPr>
      <w:bookmarkStart w:name="六、董事会下设专门委员会在报告期内履行职责情况" w:id="145"/>
      <w:bookmarkEnd w:id="145"/>
      <w:r>
        <w:rPr>
          <w:b w:val="0"/>
          <w:bCs w:val="0"/>
        </w:rPr>
      </w:r>
      <w:r>
        <w:rPr/>
        <w:t>六、董事会下设专门委员会在报告期内履行职责情况</w:t>
      </w:r>
      <w:r>
        <w:rPr>
          <w:b w:val="0"/>
          <w:bCs w:val="0"/>
        </w:rPr>
      </w:r>
    </w:p>
    <w:p>
      <w:pPr>
        <w:spacing w:line="610" w:lineRule="atLeast" w:before="81"/>
        <w:ind w:left="552" w:right="1164" w:firstLine="0"/>
        <w:jc w:val="left"/>
        <w:rPr>
          <w:rFonts w:ascii="宋体" w:hAnsi="宋体" w:cs="宋体" w:eastAsia="宋体" w:hint="default"/>
          <w:sz w:val="21"/>
          <w:szCs w:val="21"/>
        </w:rPr>
      </w:pPr>
      <w:bookmarkStart w:name="1.董事会审计委员会" w:id="146"/>
      <w:bookmarkEnd w:id="146"/>
      <w:r>
        <w:rPr/>
      </w:r>
      <w:r>
        <w:rPr>
          <w:rFonts w:ascii="Times New Roman" w:hAnsi="Times New Roman" w:cs="Times New Roman" w:eastAsia="Times New Roman" w:hint="default"/>
          <w:sz w:val="21"/>
          <w:szCs w:val="21"/>
        </w:rPr>
        <w:t>1.</w:t>
      </w:r>
      <w:r>
        <w:rPr>
          <w:rFonts w:ascii="宋体" w:hAnsi="宋体" w:cs="宋体" w:eastAsia="宋体" w:hint="default"/>
          <w:sz w:val="21"/>
          <w:szCs w:val="21"/>
        </w:rPr>
        <w:t>董事会审计委员会</w:t>
      </w:r>
      <w:r>
        <w:rPr>
          <w:rFonts w:ascii="宋体" w:hAnsi="宋体" w:cs="宋体" w:eastAsia="宋体" w:hint="default"/>
          <w:w w:val="99"/>
          <w:sz w:val="21"/>
          <w:szCs w:val="21"/>
        </w:rPr>
        <w:t> </w:t>
      </w:r>
      <w:r>
        <w:rPr>
          <w:rFonts w:ascii="宋体" w:hAnsi="宋体" w:cs="宋体" w:eastAsia="宋体" w:hint="default"/>
          <w:w w:val="95"/>
          <w:sz w:val="21"/>
          <w:szCs w:val="21"/>
        </w:rPr>
        <w:t>报告期内，董事会审计委员会严格按照相关法律法规及《公司章程》、公司《董事会审计委员会工作</w:t>
      </w:r>
      <w:r>
        <w:rPr>
          <w:rFonts w:ascii="宋体" w:hAnsi="宋体" w:cs="宋体" w:eastAsia="宋体" w:hint="default"/>
          <w:sz w:val="21"/>
          <w:szCs w:val="21"/>
        </w:rPr>
      </w:r>
    </w:p>
    <w:p>
      <w:pPr>
        <w:spacing w:line="240" w:lineRule="auto" w:before="10"/>
        <w:rPr>
          <w:rFonts w:ascii="宋体" w:hAnsi="宋体" w:cs="宋体" w:eastAsia="宋体" w:hint="default"/>
          <w:sz w:val="14"/>
          <w:szCs w:val="14"/>
        </w:rPr>
      </w:pPr>
    </w:p>
    <w:p>
      <w:pPr>
        <w:spacing w:line="403" w:lineRule="auto" w:before="0"/>
        <w:ind w:left="132" w:right="1130" w:firstLine="0"/>
        <w:jc w:val="both"/>
        <w:rPr>
          <w:rFonts w:ascii="宋体" w:hAnsi="宋体" w:cs="宋体" w:eastAsia="宋体" w:hint="default"/>
          <w:sz w:val="21"/>
          <w:szCs w:val="21"/>
        </w:rPr>
      </w:pPr>
      <w:r>
        <w:rPr>
          <w:rFonts w:ascii="宋体" w:hAnsi="宋体" w:cs="宋体" w:eastAsia="宋体" w:hint="default"/>
          <w:w w:val="95"/>
          <w:sz w:val="21"/>
          <w:szCs w:val="21"/>
        </w:rPr>
        <w:t>细则》的规定开展相关工作。报告期内，审计委员会定期审核公司的财务信息，听取审计工作总结，在向</w:t>
      </w:r>
      <w:r>
        <w:rPr>
          <w:rFonts w:ascii="宋体" w:hAnsi="宋体" w:cs="宋体" w:eastAsia="宋体" w:hint="default"/>
          <w:spacing w:val="45"/>
          <w:w w:val="95"/>
          <w:sz w:val="21"/>
          <w:szCs w:val="21"/>
        </w:rPr>
        <w:t> </w:t>
      </w:r>
      <w:r>
        <w:rPr>
          <w:rFonts w:ascii="宋体" w:hAnsi="宋体" w:cs="宋体" w:eastAsia="宋体" w:hint="default"/>
          <w:spacing w:val="45"/>
          <w:w w:val="95"/>
          <w:sz w:val="21"/>
          <w:szCs w:val="21"/>
        </w:rPr>
      </w:r>
      <w:r>
        <w:rPr>
          <w:rFonts w:ascii="宋体" w:hAnsi="宋体" w:cs="宋体" w:eastAsia="宋体" w:hint="default"/>
          <w:w w:val="95"/>
          <w:sz w:val="21"/>
          <w:szCs w:val="21"/>
        </w:rPr>
        <w:t>董事会提交季度、中期及年度财务报告前，审计委员会均进行了先行审阅。完成第五届董事会审计委员会</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z w:val="21"/>
          <w:szCs w:val="21"/>
        </w:rPr>
        <w:t>换届选举工作。在 </w:t>
      </w:r>
      <w:r>
        <w:rPr>
          <w:rFonts w:ascii="Times New Roman" w:hAnsi="Times New Roman" w:cs="Times New Roman" w:eastAsia="Times New Roman" w:hint="default"/>
          <w:sz w:val="21"/>
          <w:szCs w:val="21"/>
        </w:rPr>
        <w:t>2019</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年度审计工作中，审计委员会会同外部审计机构、公司内审部和财务部共同协商</w:t>
      </w:r>
      <w:r>
        <w:rPr>
          <w:rFonts w:ascii="宋体" w:hAnsi="宋体" w:cs="宋体" w:eastAsia="宋体" w:hint="default"/>
          <w:w w:val="99"/>
          <w:sz w:val="21"/>
          <w:szCs w:val="21"/>
        </w:rPr>
        <w:t> </w:t>
      </w:r>
      <w:r>
        <w:rPr>
          <w:rFonts w:ascii="宋体" w:hAnsi="宋体" w:cs="宋体" w:eastAsia="宋体" w:hint="default"/>
          <w:w w:val="95"/>
          <w:sz w:val="21"/>
          <w:szCs w:val="21"/>
        </w:rPr>
        <w:t>确定年度财务报告审计工作的时间安排和重点审计范围，并持续关注审计进程的推进，确保审计的独立性</w:t>
      </w:r>
      <w:r>
        <w:rPr>
          <w:rFonts w:ascii="宋体" w:hAnsi="宋体" w:cs="宋体" w:eastAsia="宋体" w:hint="default"/>
          <w:spacing w:val="37"/>
          <w:w w:val="95"/>
          <w:sz w:val="21"/>
          <w:szCs w:val="21"/>
        </w:rPr>
        <w:t> </w:t>
      </w:r>
      <w:r>
        <w:rPr>
          <w:rFonts w:ascii="宋体" w:hAnsi="宋体" w:cs="宋体" w:eastAsia="宋体" w:hint="default"/>
          <w:spacing w:val="37"/>
          <w:w w:val="95"/>
          <w:sz w:val="21"/>
          <w:szCs w:val="21"/>
        </w:rPr>
      </w:r>
      <w:r>
        <w:rPr>
          <w:rFonts w:ascii="宋体" w:hAnsi="宋体" w:cs="宋体" w:eastAsia="宋体" w:hint="default"/>
          <w:sz w:val="21"/>
          <w:szCs w:val="21"/>
        </w:rPr>
        <w:t>和审计工作按时保质完成。</w:t>
      </w:r>
    </w:p>
    <w:p>
      <w:pPr>
        <w:spacing w:line="240" w:lineRule="auto" w:before="10"/>
        <w:rPr>
          <w:rFonts w:ascii="宋体" w:hAnsi="宋体" w:cs="宋体" w:eastAsia="宋体" w:hint="default"/>
          <w:sz w:val="15"/>
          <w:szCs w:val="15"/>
        </w:rPr>
      </w:pPr>
    </w:p>
    <w:p>
      <w:pPr>
        <w:spacing w:before="0"/>
        <w:ind w:left="552" w:right="1164" w:firstLine="0"/>
        <w:jc w:val="left"/>
        <w:rPr>
          <w:rFonts w:ascii="宋体" w:hAnsi="宋体" w:cs="宋体" w:eastAsia="宋体" w:hint="default"/>
          <w:sz w:val="21"/>
          <w:szCs w:val="21"/>
        </w:rPr>
      </w:pPr>
      <w:bookmarkStart w:name="2.董事会薪酬与考核委员会" w:id="147"/>
      <w:bookmarkEnd w:id="147"/>
      <w:r>
        <w:rPr/>
      </w:r>
      <w:r>
        <w:rPr>
          <w:rFonts w:ascii="Times New Roman" w:hAnsi="Times New Roman" w:cs="Times New Roman" w:eastAsia="Times New Roman" w:hint="default"/>
          <w:sz w:val="21"/>
          <w:szCs w:val="21"/>
        </w:rPr>
        <w:t>2.</w:t>
      </w:r>
      <w:r>
        <w:rPr>
          <w:rFonts w:ascii="宋体" w:hAnsi="宋体" w:cs="宋体" w:eastAsia="宋体" w:hint="default"/>
          <w:sz w:val="21"/>
          <w:szCs w:val="21"/>
        </w:rPr>
        <w:t>董事会薪酬与考核委员会</w:t>
      </w:r>
    </w:p>
    <w:p>
      <w:pPr>
        <w:spacing w:line="240" w:lineRule="auto" w:before="6"/>
        <w:rPr>
          <w:rFonts w:ascii="宋体" w:hAnsi="宋体" w:cs="宋体" w:eastAsia="宋体" w:hint="default"/>
          <w:sz w:val="25"/>
          <w:szCs w:val="25"/>
        </w:rPr>
      </w:pPr>
    </w:p>
    <w:p>
      <w:pPr>
        <w:spacing w:line="408" w:lineRule="auto" w:before="0"/>
        <w:ind w:left="132" w:right="1112" w:firstLine="420"/>
        <w:jc w:val="both"/>
        <w:rPr>
          <w:rFonts w:ascii="宋体" w:hAnsi="宋体" w:cs="宋体" w:eastAsia="宋体" w:hint="default"/>
          <w:sz w:val="21"/>
          <w:szCs w:val="21"/>
        </w:rPr>
      </w:pPr>
      <w:r>
        <w:rPr>
          <w:rFonts w:ascii="宋体" w:hAnsi="宋体" w:cs="宋体" w:eastAsia="宋体" w:hint="default"/>
          <w:w w:val="95"/>
          <w:sz w:val="21"/>
          <w:szCs w:val="21"/>
        </w:rPr>
        <w:t>报告期内，董事会薪酬与考核委员会严格按照相关法律法规及《公司章程》等的规定开展相关工作。</w:t>
      </w:r>
      <w:r>
        <w:rPr>
          <w:rFonts w:ascii="宋体" w:hAnsi="宋体" w:cs="宋体" w:eastAsia="宋体" w:hint="default"/>
          <w:spacing w:val="-79"/>
          <w:w w:val="95"/>
          <w:sz w:val="21"/>
          <w:szCs w:val="21"/>
        </w:rPr>
        <w:t> </w:t>
      </w:r>
      <w:r>
        <w:rPr>
          <w:rFonts w:ascii="宋体" w:hAnsi="宋体" w:cs="宋体" w:eastAsia="宋体" w:hint="default"/>
          <w:spacing w:val="-79"/>
          <w:w w:val="95"/>
          <w:sz w:val="21"/>
          <w:szCs w:val="21"/>
        </w:rPr>
      </w:r>
      <w:r>
        <w:rPr>
          <w:rFonts w:ascii="宋体" w:hAnsi="宋体" w:cs="宋体" w:eastAsia="宋体" w:hint="default"/>
          <w:sz w:val="21"/>
          <w:szCs w:val="21"/>
        </w:rPr>
        <w:t>完成第五届董事会薪酬与考核委员会换届选举工作。参与讨论并审议董事及管理层考核激励方案。</w:t>
      </w:r>
    </w:p>
    <w:p>
      <w:pPr>
        <w:spacing w:line="240" w:lineRule="auto" w:before="6"/>
        <w:rPr>
          <w:rFonts w:ascii="宋体" w:hAnsi="宋体" w:cs="宋体" w:eastAsia="宋体" w:hint="default"/>
          <w:sz w:val="15"/>
          <w:szCs w:val="15"/>
        </w:rPr>
      </w:pPr>
    </w:p>
    <w:p>
      <w:pPr>
        <w:spacing w:before="0"/>
        <w:ind w:left="552" w:right="1164" w:firstLine="0"/>
        <w:jc w:val="left"/>
        <w:rPr>
          <w:rFonts w:ascii="宋体" w:hAnsi="宋体" w:cs="宋体" w:eastAsia="宋体" w:hint="default"/>
          <w:sz w:val="21"/>
          <w:szCs w:val="21"/>
        </w:rPr>
      </w:pPr>
      <w:bookmarkStart w:name="3.董事会战略委员会" w:id="148"/>
      <w:bookmarkEnd w:id="148"/>
      <w:r>
        <w:rPr/>
      </w:r>
      <w:r>
        <w:rPr>
          <w:rFonts w:ascii="Times New Roman" w:hAnsi="Times New Roman" w:cs="Times New Roman" w:eastAsia="Times New Roman" w:hint="default"/>
          <w:sz w:val="21"/>
          <w:szCs w:val="21"/>
        </w:rPr>
        <w:t>3.</w:t>
      </w:r>
      <w:r>
        <w:rPr>
          <w:rFonts w:ascii="宋体" w:hAnsi="宋体" w:cs="宋体" w:eastAsia="宋体" w:hint="default"/>
          <w:sz w:val="21"/>
          <w:szCs w:val="21"/>
        </w:rPr>
        <w:t>董事会战略委员会</w:t>
      </w:r>
    </w:p>
    <w:p>
      <w:pPr>
        <w:spacing w:line="240" w:lineRule="auto" w:before="6"/>
        <w:rPr>
          <w:rFonts w:ascii="宋体" w:hAnsi="宋体" w:cs="宋体" w:eastAsia="宋体" w:hint="default"/>
          <w:sz w:val="25"/>
          <w:szCs w:val="25"/>
        </w:rPr>
      </w:pPr>
    </w:p>
    <w:p>
      <w:pPr>
        <w:spacing w:line="408" w:lineRule="auto" w:before="0"/>
        <w:ind w:left="132" w:right="1130" w:firstLine="420"/>
        <w:jc w:val="both"/>
        <w:rPr>
          <w:rFonts w:ascii="宋体" w:hAnsi="宋体" w:cs="宋体" w:eastAsia="宋体" w:hint="default"/>
          <w:sz w:val="21"/>
          <w:szCs w:val="21"/>
        </w:rPr>
      </w:pPr>
      <w:r>
        <w:rPr>
          <w:rFonts w:ascii="宋体" w:hAnsi="宋体" w:cs="宋体" w:eastAsia="宋体" w:hint="default"/>
          <w:w w:val="95"/>
          <w:sz w:val="21"/>
          <w:szCs w:val="21"/>
        </w:rPr>
        <w:t>报告期内，董事会战略委员会严格按照相关法律法规及《公司章程》等的规定开展相关工作。报告期</w:t>
      </w:r>
      <w:r>
        <w:rPr>
          <w:rFonts w:ascii="宋体" w:hAnsi="宋体" w:cs="宋体" w:eastAsia="宋体" w:hint="default"/>
          <w:w w:val="99"/>
          <w:sz w:val="21"/>
          <w:szCs w:val="21"/>
        </w:rPr>
        <w:t> </w:t>
      </w:r>
      <w:r>
        <w:rPr>
          <w:rFonts w:ascii="宋体" w:hAnsi="宋体" w:cs="宋体" w:eastAsia="宋体" w:hint="default"/>
          <w:w w:val="95"/>
          <w:sz w:val="21"/>
          <w:szCs w:val="21"/>
        </w:rPr>
        <w:t>内，公司董事会战略委员会参与各业务板块未来发展规划的研讨，为子公司发展策略提供咨询服务。并顺</w:t>
      </w:r>
      <w:r>
        <w:rPr>
          <w:rFonts w:ascii="宋体" w:hAnsi="宋体" w:cs="宋体" w:eastAsia="宋体" w:hint="default"/>
          <w:spacing w:val="43"/>
          <w:w w:val="95"/>
          <w:sz w:val="21"/>
          <w:szCs w:val="21"/>
        </w:rPr>
        <w:t> </w:t>
      </w:r>
      <w:r>
        <w:rPr>
          <w:rFonts w:ascii="宋体" w:hAnsi="宋体" w:cs="宋体" w:eastAsia="宋体" w:hint="default"/>
          <w:spacing w:val="43"/>
          <w:w w:val="95"/>
          <w:sz w:val="21"/>
          <w:szCs w:val="21"/>
        </w:rPr>
      </w:r>
      <w:r>
        <w:rPr>
          <w:rFonts w:ascii="宋体" w:hAnsi="宋体" w:cs="宋体" w:eastAsia="宋体" w:hint="default"/>
          <w:sz w:val="21"/>
          <w:szCs w:val="21"/>
        </w:rPr>
        <w:t>利完成了公司董事会第五届战略委员会的选举工作。</w:t>
      </w:r>
    </w:p>
    <w:p>
      <w:pPr>
        <w:spacing w:line="240" w:lineRule="auto" w:before="6"/>
        <w:rPr>
          <w:rFonts w:ascii="宋体" w:hAnsi="宋体" w:cs="宋体" w:eastAsia="宋体" w:hint="default"/>
          <w:sz w:val="15"/>
          <w:szCs w:val="15"/>
        </w:rPr>
      </w:pPr>
    </w:p>
    <w:p>
      <w:pPr>
        <w:spacing w:before="0"/>
        <w:ind w:left="552" w:right="1164" w:firstLine="0"/>
        <w:jc w:val="left"/>
        <w:rPr>
          <w:rFonts w:ascii="宋体" w:hAnsi="宋体" w:cs="宋体" w:eastAsia="宋体" w:hint="default"/>
          <w:sz w:val="21"/>
          <w:szCs w:val="21"/>
        </w:rPr>
      </w:pPr>
      <w:bookmarkStart w:name="4.董事会提名委员会" w:id="149"/>
      <w:bookmarkEnd w:id="149"/>
      <w:r>
        <w:rPr/>
      </w:r>
      <w:r>
        <w:rPr>
          <w:rFonts w:ascii="Times New Roman" w:hAnsi="Times New Roman" w:cs="Times New Roman" w:eastAsia="Times New Roman" w:hint="default"/>
          <w:sz w:val="21"/>
          <w:szCs w:val="21"/>
        </w:rPr>
        <w:t>4.</w:t>
      </w:r>
      <w:r>
        <w:rPr>
          <w:rFonts w:ascii="宋体" w:hAnsi="宋体" w:cs="宋体" w:eastAsia="宋体" w:hint="default"/>
          <w:sz w:val="21"/>
          <w:szCs w:val="21"/>
        </w:rPr>
        <w:t>董事会提名委员会</w:t>
      </w:r>
    </w:p>
    <w:p>
      <w:pPr>
        <w:spacing w:line="240" w:lineRule="auto" w:before="6"/>
        <w:rPr>
          <w:rFonts w:ascii="宋体" w:hAnsi="宋体" w:cs="宋体" w:eastAsia="宋体" w:hint="default"/>
          <w:sz w:val="25"/>
          <w:szCs w:val="25"/>
        </w:rPr>
      </w:pPr>
    </w:p>
    <w:p>
      <w:pPr>
        <w:spacing w:line="408" w:lineRule="auto" w:before="0"/>
        <w:ind w:left="132" w:right="1132" w:firstLine="420"/>
        <w:jc w:val="both"/>
        <w:rPr>
          <w:rFonts w:ascii="宋体" w:hAnsi="宋体" w:cs="宋体" w:eastAsia="宋体" w:hint="default"/>
          <w:sz w:val="21"/>
          <w:szCs w:val="21"/>
        </w:rPr>
      </w:pPr>
      <w:r>
        <w:rPr>
          <w:rFonts w:ascii="宋体" w:hAnsi="宋体" w:cs="宋体" w:eastAsia="宋体" w:hint="default"/>
          <w:w w:val="95"/>
          <w:sz w:val="21"/>
          <w:szCs w:val="21"/>
        </w:rPr>
        <w:t>报告期内，董事会提名委员会严格按照相关法律法规及《公司章程》等的规定开展相关工作。报告期</w:t>
      </w:r>
      <w:r>
        <w:rPr>
          <w:rFonts w:ascii="宋体" w:hAnsi="宋体" w:cs="宋体" w:eastAsia="宋体" w:hint="default"/>
          <w:w w:val="99"/>
          <w:sz w:val="21"/>
          <w:szCs w:val="21"/>
        </w:rPr>
        <w:t> </w:t>
      </w:r>
      <w:r>
        <w:rPr>
          <w:rFonts w:ascii="宋体" w:hAnsi="宋体" w:cs="宋体" w:eastAsia="宋体" w:hint="default"/>
          <w:w w:val="95"/>
          <w:sz w:val="21"/>
          <w:szCs w:val="21"/>
        </w:rPr>
        <w:t>内，公司董事会提名委员会对公司董事会换届董事候选人的相关专业背景和工作经验等进行了审查，并出</w:t>
      </w:r>
      <w:r>
        <w:rPr>
          <w:rFonts w:ascii="宋体" w:hAnsi="宋体" w:cs="宋体" w:eastAsia="宋体" w:hint="default"/>
          <w:spacing w:val="40"/>
          <w:w w:val="95"/>
          <w:sz w:val="21"/>
          <w:szCs w:val="21"/>
        </w:rPr>
        <w:t> </w:t>
      </w:r>
      <w:r>
        <w:rPr>
          <w:rFonts w:ascii="宋体" w:hAnsi="宋体" w:cs="宋体" w:eastAsia="宋体" w:hint="default"/>
          <w:spacing w:val="40"/>
          <w:w w:val="95"/>
          <w:sz w:val="21"/>
          <w:szCs w:val="21"/>
        </w:rPr>
      </w:r>
      <w:r>
        <w:rPr>
          <w:rFonts w:ascii="宋体" w:hAnsi="宋体" w:cs="宋体" w:eastAsia="宋体" w:hint="default"/>
          <w:sz w:val="21"/>
          <w:szCs w:val="21"/>
        </w:rPr>
        <w:t>具关于公司第五届董事会董事候选人审核意见。</w:t>
      </w:r>
    </w:p>
    <w:p>
      <w:pPr>
        <w:spacing w:after="0" w:line="408" w:lineRule="auto"/>
        <w:jc w:val="both"/>
        <w:rPr>
          <w:rFonts w:ascii="宋体" w:hAnsi="宋体" w:cs="宋体" w:eastAsia="宋体" w:hint="default"/>
          <w:sz w:val="21"/>
          <w:szCs w:val="21"/>
        </w:rPr>
        <w:sectPr>
          <w:pgSz w:w="11910" w:h="16840"/>
          <w:pgMar w:header="890" w:footer="1053" w:top="1420" w:bottom="1240" w:left="1000" w:right="0"/>
        </w:sectPr>
      </w:pPr>
    </w:p>
    <w:p>
      <w:pPr>
        <w:pStyle w:val="Heading2"/>
        <w:spacing w:line="240" w:lineRule="auto" w:before="20"/>
        <w:ind w:right="1164"/>
        <w:jc w:val="left"/>
        <w:rPr>
          <w:b w:val="0"/>
          <w:bCs w:val="0"/>
        </w:rPr>
      </w:pPr>
      <w:bookmarkStart w:name="七、监事会工作情况" w:id="150"/>
      <w:bookmarkEnd w:id="150"/>
      <w:r>
        <w:rPr>
          <w:b w:val="0"/>
          <w:bCs w:val="0"/>
        </w:rPr>
      </w:r>
      <w:r>
        <w:rPr/>
        <w:t>七、监事会工作情况</w:t>
      </w:r>
      <w:r>
        <w:rPr>
          <w:b w:val="0"/>
          <w:bCs w:val="0"/>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57" w:lineRule="auto" w:before="117"/>
        <w:ind w:left="132" w:right="7694" w:firstLine="0"/>
        <w:jc w:val="left"/>
        <w:rPr>
          <w:rFonts w:ascii="宋体" w:hAnsi="宋体" w:cs="宋体" w:eastAsia="宋体" w:hint="default"/>
          <w:sz w:val="18"/>
          <w:szCs w:val="18"/>
        </w:rPr>
      </w:pPr>
      <w:r>
        <w:rPr>
          <w:rFonts w:ascii="宋体" w:hAnsi="宋体" w:cs="宋体" w:eastAsia="宋体" w:hint="default"/>
          <w:sz w:val="18"/>
          <w:szCs w:val="18"/>
        </w:rPr>
        <w:t>□ 是 √ 否 监事会对报告期内的监督事项无异议。</w:t>
      </w:r>
    </w:p>
    <w:p>
      <w:pPr>
        <w:spacing w:line="240" w:lineRule="auto" w:before="4"/>
        <w:rPr>
          <w:rFonts w:ascii="宋体" w:hAnsi="宋体" w:cs="宋体" w:eastAsia="宋体" w:hint="default"/>
          <w:sz w:val="18"/>
          <w:szCs w:val="18"/>
        </w:rPr>
      </w:pPr>
    </w:p>
    <w:p>
      <w:pPr>
        <w:pStyle w:val="Heading2"/>
        <w:spacing w:line="240" w:lineRule="auto"/>
        <w:ind w:right="1164"/>
        <w:jc w:val="left"/>
        <w:rPr>
          <w:b w:val="0"/>
          <w:bCs w:val="0"/>
        </w:rPr>
      </w:pPr>
      <w:bookmarkStart w:name="八、高级管理人员的考评及激励情况" w:id="151"/>
      <w:bookmarkEnd w:id="151"/>
      <w:r>
        <w:rPr>
          <w:b w:val="0"/>
          <w:bCs w:val="0"/>
        </w:rPr>
      </w:r>
      <w:r>
        <w:rPr/>
        <w:t>八、高级管理人员的考评及激励情况</w:t>
      </w:r>
      <w:r>
        <w:rPr>
          <w:b w:val="0"/>
          <w:bCs w:val="0"/>
        </w:rPr>
      </w:r>
    </w:p>
    <w:p>
      <w:pPr>
        <w:spacing w:line="240" w:lineRule="auto" w:before="9"/>
        <w:rPr>
          <w:rFonts w:ascii="宋体" w:hAnsi="宋体" w:cs="宋体" w:eastAsia="宋体" w:hint="default"/>
          <w:b/>
          <w:bCs/>
          <w:sz w:val="26"/>
          <w:szCs w:val="26"/>
        </w:rPr>
      </w:pPr>
    </w:p>
    <w:p>
      <w:pPr>
        <w:spacing w:line="316" w:lineRule="auto" w:before="0"/>
        <w:ind w:left="132" w:right="1034" w:firstLine="360"/>
        <w:jc w:val="left"/>
        <w:rPr>
          <w:rFonts w:ascii="宋体" w:hAnsi="宋体" w:cs="宋体" w:eastAsia="宋体" w:hint="default"/>
          <w:sz w:val="18"/>
          <w:szCs w:val="18"/>
        </w:rPr>
      </w:pPr>
      <w:r>
        <w:rPr>
          <w:rFonts w:ascii="宋体" w:hAnsi="宋体" w:cs="宋体" w:eastAsia="宋体" w:hint="default"/>
          <w:spacing w:val="-2"/>
          <w:sz w:val="18"/>
          <w:szCs w:val="18"/>
        </w:rPr>
        <w:t>为保证公司业绩持续、稳定的增长，有效激励公司高级管理人员更好地履行工作职责，明确各自权利义务，公司每年会</w:t>
      </w:r>
      <w:r>
        <w:rPr>
          <w:rFonts w:ascii="宋体" w:hAnsi="宋体" w:cs="宋体" w:eastAsia="宋体" w:hint="default"/>
          <w:sz w:val="18"/>
          <w:szCs w:val="18"/>
        </w:rPr>
        <w:t> </w:t>
      </w:r>
      <w:r>
        <w:rPr>
          <w:rFonts w:ascii="宋体" w:hAnsi="宋体" w:cs="宋体" w:eastAsia="宋体" w:hint="default"/>
          <w:spacing w:val="-2"/>
          <w:sz w:val="18"/>
          <w:szCs w:val="18"/>
        </w:rPr>
        <w:t>根据全年经营管理目标和绩效管理制度制定各业务板块总经理、副总经理等各级管理人员的考核责任状，将薪酬回报与绩效</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目标的完成情况挂钩。在与各位高管充分沟通后落实并签订责任状，做到职责明确、目标明确、并利用完善的机制进行考核。</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z w:val="18"/>
          <w:szCs w:val="18"/>
        </w:rPr>
        <w:t>同时也通过各种激励措施激发员工潜能，具体措施如下：</w:t>
      </w:r>
    </w:p>
    <w:p>
      <w:pPr>
        <w:spacing w:line="316" w:lineRule="auto" w:before="57"/>
        <w:ind w:left="132" w:right="1124" w:firstLine="360"/>
        <w:jc w:val="left"/>
        <w:rPr>
          <w:rFonts w:ascii="宋体" w:hAnsi="宋体" w:cs="宋体" w:eastAsia="宋体" w:hint="default"/>
          <w:sz w:val="18"/>
          <w:szCs w:val="18"/>
        </w:rPr>
      </w:pPr>
      <w:r>
        <w:rPr>
          <w:rFonts w:ascii="宋体" w:hAnsi="宋体" w:cs="宋体" w:eastAsia="宋体" w:hint="default"/>
          <w:sz w:val="18"/>
          <w:szCs w:val="18"/>
        </w:rPr>
        <w:t>（1）事业合伙人机制：子公司重点骨干以参股的形式参与到公司管理经营，将员工利益与企业发展捆绑，有效调动员 工工作积极性。</w:t>
      </w:r>
    </w:p>
    <w:p>
      <w:pPr>
        <w:spacing w:line="316" w:lineRule="auto" w:before="59"/>
        <w:ind w:left="132" w:right="1132" w:firstLine="360"/>
        <w:jc w:val="both"/>
        <w:rPr>
          <w:rFonts w:ascii="宋体" w:hAnsi="宋体" w:cs="宋体" w:eastAsia="宋体" w:hint="default"/>
          <w:sz w:val="18"/>
          <w:szCs w:val="18"/>
        </w:rPr>
      </w:pPr>
      <w:r>
        <w:rPr>
          <w:rFonts w:ascii="宋体" w:hAnsi="宋体" w:cs="宋体" w:eastAsia="宋体" w:hint="default"/>
          <w:sz w:val="18"/>
          <w:szCs w:val="18"/>
        </w:rPr>
        <w:t>（2）股权激励机制：进一步建立健全公司长效激励、约束机制，吸引和留住优秀人才，充分调动公司中高层管理人员 </w:t>
      </w:r>
      <w:r>
        <w:rPr>
          <w:rFonts w:ascii="宋体" w:hAnsi="宋体" w:cs="宋体" w:eastAsia="宋体" w:hint="default"/>
          <w:spacing w:val="-2"/>
          <w:sz w:val="18"/>
          <w:szCs w:val="18"/>
        </w:rPr>
        <w:t>及核心技术、业务人员的积极性，有效地将股东利益、公司利益和经营者个人利益结合在一起，提高管理效率和经营管理者</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的积极性、创造性与责任心，提高公司可持续发展能力。</w:t>
      </w:r>
    </w:p>
    <w:p>
      <w:pPr>
        <w:spacing w:line="316" w:lineRule="auto" w:before="59"/>
        <w:ind w:left="132" w:right="1124" w:firstLine="360"/>
        <w:jc w:val="left"/>
        <w:rPr>
          <w:rFonts w:ascii="宋体" w:hAnsi="宋体" w:cs="宋体" w:eastAsia="宋体" w:hint="default"/>
          <w:sz w:val="18"/>
          <w:szCs w:val="18"/>
        </w:rPr>
      </w:pPr>
      <w:r>
        <w:rPr>
          <w:rFonts w:ascii="宋体" w:hAnsi="宋体" w:cs="宋体" w:eastAsia="宋体" w:hint="default"/>
          <w:sz w:val="18"/>
          <w:szCs w:val="18"/>
        </w:rPr>
        <w:t>（3）多样性的激励措施：本着风险共担，利益共享，多维度激励优秀人才的原则，公司相继出台多项项目类奖励管理 办法、购房激励管理办法等有效措施，不断激发员工的创造力，增加员工归属感。</w:t>
      </w:r>
    </w:p>
    <w:p>
      <w:pPr>
        <w:spacing w:line="316" w:lineRule="auto" w:before="57"/>
        <w:ind w:left="132" w:right="1124" w:firstLine="360"/>
        <w:jc w:val="left"/>
        <w:rPr>
          <w:rFonts w:ascii="宋体" w:hAnsi="宋体" w:cs="宋体" w:eastAsia="宋体" w:hint="default"/>
          <w:sz w:val="18"/>
          <w:szCs w:val="18"/>
        </w:rPr>
      </w:pPr>
      <w:r>
        <w:rPr>
          <w:rFonts w:ascii="宋体" w:hAnsi="宋体" w:cs="宋体" w:eastAsia="宋体" w:hint="default"/>
          <w:sz w:val="18"/>
          <w:szCs w:val="18"/>
        </w:rPr>
        <w:t>（4）强调干部能上能下、人才招聘采取内外结合的方式，使优秀人才在竞争中不断提升业务水平，同时，公司非常注 重高管团队综合能力的提升，通过内训、外出考察参观、对标学习等多种方式使高管团队经营管理水平不断提升。</w:t>
      </w:r>
    </w:p>
    <w:p>
      <w:pPr>
        <w:spacing w:line="240" w:lineRule="auto" w:before="9"/>
        <w:rPr>
          <w:rFonts w:ascii="宋体" w:hAnsi="宋体" w:cs="宋体" w:eastAsia="宋体" w:hint="default"/>
          <w:sz w:val="20"/>
          <w:szCs w:val="20"/>
        </w:rPr>
      </w:pPr>
    </w:p>
    <w:p>
      <w:pPr>
        <w:pStyle w:val="Heading2"/>
        <w:spacing w:line="240" w:lineRule="auto"/>
        <w:ind w:right="1164"/>
        <w:jc w:val="left"/>
        <w:rPr>
          <w:b w:val="0"/>
          <w:bCs w:val="0"/>
        </w:rPr>
      </w:pPr>
      <w:bookmarkStart w:name="九、内部控制评价报告" w:id="152"/>
      <w:bookmarkEnd w:id="152"/>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spacing w:before="0"/>
        <w:ind w:left="132" w:right="1164" w:firstLine="0"/>
        <w:jc w:val="left"/>
        <w:rPr>
          <w:rFonts w:ascii="宋体" w:hAnsi="宋体" w:cs="宋体" w:eastAsia="宋体" w:hint="default"/>
          <w:sz w:val="21"/>
          <w:szCs w:val="21"/>
        </w:rPr>
      </w:pPr>
      <w:bookmarkStart w:name="1、报告期内发现的内部控制重大缺陷的具体情况" w:id="153"/>
      <w:bookmarkEnd w:id="153"/>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、报告期内发现的内部控制重大缺陷的具体情况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1"/>
        <w:rPr>
          <w:rFonts w:ascii="宋体" w:hAnsi="宋体" w:cs="宋体" w:eastAsia="宋体" w:hint="default"/>
          <w:sz w:val="26"/>
          <w:szCs w:val="26"/>
        </w:rPr>
      </w:pPr>
    </w:p>
    <w:p>
      <w:pPr>
        <w:spacing w:before="0"/>
        <w:ind w:left="132" w:right="1164" w:firstLine="0"/>
        <w:jc w:val="left"/>
        <w:rPr>
          <w:rFonts w:ascii="宋体" w:hAnsi="宋体" w:cs="宋体" w:eastAsia="宋体" w:hint="default"/>
          <w:sz w:val="21"/>
          <w:szCs w:val="21"/>
        </w:rPr>
      </w:pPr>
      <w:bookmarkStart w:name="2、内控自我评价报告" w:id="154"/>
      <w:bookmarkEnd w:id="15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、内控自我评价报告</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19" w:type="dxa"/>
        <w:tblLayout w:type="fixed"/>
        <w:tblCellMar>
          <w:top w:w="0" w:type="dxa"/>
          <w:left w:w="0" w:type="dxa"/>
          <w:bottom w:w="0" w:type="dxa"/>
          <w:right w:w="0" w:type="dxa"/>
        </w:tblCellMar>
        <w:tblLook w:val="01E0"/>
      </w:tblPr>
      <w:tblGrid>
        <w:gridCol w:w="3194"/>
        <w:gridCol w:w="3323"/>
        <w:gridCol w:w="3051"/>
      </w:tblGrid>
      <w:tr>
        <w:trPr>
          <w:trHeight w:val="332" w:hRule="exact"/>
        </w:trPr>
        <w:tc>
          <w:tcPr>
            <w:tcW w:w="3194" w:type="dxa"/>
            <w:tcBorders>
              <w:top w:val="single" w:sz="12"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4" w:type="dxa"/>
            <w:gridSpan w:val="2"/>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634"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4" w:type="dxa"/>
            <w:gridSpan w:val="2"/>
            <w:tcBorders>
              <w:top w:val="single" w:sz="4" w:space="0" w:color="000000"/>
              <w:left w:val="single" w:sz="4" w:space="0" w:color="000000"/>
              <w:bottom w:val="single" w:sz="4" w:space="0" w:color="000000"/>
              <w:right w:val="single" w:sz="12" w:space="0" w:color="000000"/>
            </w:tcBorders>
          </w:tcPr>
          <w:p>
            <w:pPr>
              <w:pStyle w:val="TableParagraph"/>
              <w:spacing w:line="362" w:lineRule="auto" w:before="51"/>
              <w:ind w:left="102" w:right="158"/>
              <w:jc w:val="left"/>
              <w:rPr>
                <w:rFonts w:ascii="Times New Roman" w:hAnsi="Times New Roman" w:cs="Times New Roman" w:eastAsia="Times New Roman" w:hint="default"/>
                <w:sz w:val="18"/>
                <w:szCs w:val="18"/>
              </w:rPr>
            </w:pPr>
            <w:hyperlink r:id="rId36">
              <w:r>
                <w:rPr>
                  <w:rFonts w:ascii="Times New Roman"/>
                  <w:spacing w:val="-1"/>
                  <w:sz w:val="18"/>
                </w:rPr>
                <w:t>http://www.cninfo.com.cn/new/disclosure/stock?orgId=9900007107&amp;stockCode=00</w:t>
              </w:r>
            </w:hyperlink>
            <w:r>
              <w:rPr>
                <w:rFonts w:ascii="Times New Roman"/>
                <w:spacing w:val="-19"/>
                <w:sz w:val="18"/>
              </w:rPr>
              <w:t> </w:t>
            </w:r>
            <w:r>
              <w:rPr>
                <w:rFonts w:ascii="Times New Roman"/>
                <w:spacing w:val="-19"/>
                <w:sz w:val="18"/>
              </w:rPr>
            </w:r>
            <w:r>
              <w:rPr>
                <w:rFonts w:ascii="Times New Roman"/>
                <w:sz w:val="18"/>
              </w:rPr>
              <w:t>2276</w:t>
            </w:r>
          </w:p>
        </w:tc>
      </w:tr>
      <w:tr>
        <w:trPr>
          <w:trHeight w:val="634"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1"/>
              <w:ind w:left="92" w:right="200"/>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 并财务报表资产总额的比例</w:t>
            </w:r>
          </w:p>
        </w:tc>
        <w:tc>
          <w:tcPr>
            <w:tcW w:w="6374"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90.87%</w:t>
            </w:r>
          </w:p>
        </w:tc>
      </w:tr>
      <w:tr>
        <w:trPr>
          <w:trHeight w:val="634"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316" w:lineRule="auto" w:before="11"/>
              <w:ind w:left="92" w:right="200"/>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 并财务报表营业收入的比例</w:t>
            </w:r>
          </w:p>
        </w:tc>
        <w:tc>
          <w:tcPr>
            <w:tcW w:w="6374"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spacing w:val="-1"/>
                <w:sz w:val="18"/>
              </w:rPr>
              <w:t>88.46%</w:t>
            </w:r>
          </w:p>
        </w:tc>
      </w:tr>
      <w:tr>
        <w:trPr>
          <w:trHeight w:val="322" w:hRule="exact"/>
        </w:trPr>
        <w:tc>
          <w:tcPr>
            <w:tcW w:w="9568" w:type="dxa"/>
            <w:gridSpan w:val="3"/>
            <w:tcBorders>
              <w:top w:val="single" w:sz="4" w:space="0" w:color="000000"/>
              <w:left w:val="single" w:sz="12" w:space="0" w:color="000000"/>
              <w:bottom w:val="single" w:sz="4" w:space="0" w:color="000000"/>
              <w:right w:val="single" w:sz="12"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322"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right="7"/>
              <w:jc w:val="center"/>
              <w:rPr>
                <w:rFonts w:ascii="宋体" w:hAnsi="宋体" w:cs="宋体" w:eastAsia="宋体" w:hint="default"/>
                <w:sz w:val="18"/>
                <w:szCs w:val="18"/>
              </w:rPr>
            </w:pPr>
            <w:r>
              <w:rPr>
                <w:rFonts w:ascii="宋体" w:hAnsi="宋体" w:cs="宋体" w:eastAsia="宋体" w:hint="default"/>
                <w:sz w:val="18"/>
                <w:szCs w:val="18"/>
              </w:rPr>
              <w:t>类别</w:t>
            </w:r>
          </w:p>
        </w:tc>
        <w:tc>
          <w:tcPr>
            <w:tcW w:w="3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12" w:space="0" w:color="000000"/>
            </w:tcBorders>
            <w:shd w:val="clear" w:color="auto" w:fill="D2D2D2"/>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20"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一般缺陷、重要缺陷、重大缺陷</w:t>
            </w:r>
          </w:p>
        </w:tc>
        <w:tc>
          <w:tcPr>
            <w:tcW w:w="30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一般缺陷、重要缺陷、重大缺陷</w:t>
            </w:r>
          </w:p>
        </w:tc>
      </w:tr>
    </w:tbl>
    <w:p>
      <w:pPr>
        <w:spacing w:after="0" w:line="240" w:lineRule="auto"/>
        <w:jc w:val="left"/>
        <w:rPr>
          <w:rFonts w:ascii="宋体" w:hAnsi="宋体" w:cs="宋体" w:eastAsia="宋体" w:hint="default"/>
          <w:sz w:val="18"/>
          <w:szCs w:val="18"/>
        </w:rPr>
        <w:sectPr>
          <w:pgSz w:w="11910" w:h="16840"/>
          <w:pgMar w:header="890" w:footer="1053" w:top="1420" w:bottom="1240" w:left="1000" w:right="0"/>
        </w:sectPr>
      </w:pPr>
    </w:p>
    <w:p>
      <w:pPr>
        <w:spacing w:line="240" w:lineRule="auto" w:before="5"/>
        <w:rPr>
          <w:rFonts w:ascii="宋体" w:hAnsi="宋体" w:cs="宋体" w:eastAsia="宋体" w:hint="default"/>
          <w:b/>
          <w:bCs/>
          <w:sz w:val="4"/>
          <w:szCs w:val="4"/>
        </w:rPr>
      </w:pPr>
    </w:p>
    <w:tbl>
      <w:tblPr>
        <w:tblW w:w="0" w:type="auto"/>
        <w:jc w:val="left"/>
        <w:tblInd w:w="119" w:type="dxa"/>
        <w:tblLayout w:type="fixed"/>
        <w:tblCellMar>
          <w:top w:w="0" w:type="dxa"/>
          <w:left w:w="0" w:type="dxa"/>
          <w:bottom w:w="0" w:type="dxa"/>
          <w:right w:w="0" w:type="dxa"/>
        </w:tblCellMar>
        <w:tblLook w:val="01E0"/>
      </w:tblPr>
      <w:tblGrid>
        <w:gridCol w:w="3194"/>
        <w:gridCol w:w="3323"/>
        <w:gridCol w:w="3051"/>
      </w:tblGrid>
      <w:tr>
        <w:trPr>
          <w:trHeight w:val="1570"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00" w:lineRule="auto"/>
              <w:ind w:left="102" w:right="12"/>
              <w:jc w:val="left"/>
              <w:rPr>
                <w:rFonts w:ascii="宋体" w:hAnsi="宋体" w:cs="宋体" w:eastAsia="宋体" w:hint="default"/>
                <w:sz w:val="18"/>
                <w:szCs w:val="18"/>
              </w:rPr>
            </w:pPr>
            <w:r>
              <w:rPr>
                <w:rFonts w:ascii="宋体" w:hAnsi="宋体" w:cs="宋体" w:eastAsia="宋体" w:hint="default"/>
                <w:spacing w:val="-1"/>
                <w:sz w:val="18"/>
                <w:szCs w:val="18"/>
              </w:rPr>
              <w:t>一般缺陷（潜在错报＜利润总额</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重要缺陷（利润总额</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≤潜在错报＜ 利润总额</w:t>
            </w:r>
            <w:r>
              <w:rPr>
                <w:rFonts w:ascii="Times New Roman" w:hAnsi="Times New Roman" w:cs="Times New Roman" w:eastAsia="Times New Roman" w:hint="default"/>
                <w:sz w:val="18"/>
                <w:szCs w:val="18"/>
              </w:rPr>
              <w:t>*5%</w:t>
            </w:r>
            <w:r>
              <w:rPr>
                <w:rFonts w:ascii="宋体" w:hAnsi="宋体" w:cs="宋体" w:eastAsia="宋体" w:hint="default"/>
                <w:sz w:val="18"/>
                <w:szCs w:val="18"/>
              </w:rPr>
              <w:t>）、重大缺陷（潜在错报</w:t>
            </w:r>
          </w:p>
          <w:p>
            <w:pPr>
              <w:pStyle w:val="TableParagraph"/>
              <w:spacing w:line="240" w:lineRule="auto" w:before="13"/>
              <w:ind w:left="102" w:right="0"/>
              <w:jc w:val="left"/>
              <w:rPr>
                <w:rFonts w:ascii="宋体" w:hAnsi="宋体" w:cs="宋体" w:eastAsia="宋体" w:hint="default"/>
                <w:sz w:val="18"/>
                <w:szCs w:val="18"/>
              </w:rPr>
            </w:pPr>
            <w:r>
              <w:rPr>
                <w:rFonts w:ascii="宋体" w:hAnsi="宋体" w:cs="宋体" w:eastAsia="宋体" w:hint="default"/>
                <w:sz w:val="18"/>
                <w:szCs w:val="18"/>
              </w:rPr>
              <w:t>≥利润总额</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3051" w:type="dxa"/>
            <w:tcBorders>
              <w:top w:val="single" w:sz="4" w:space="0" w:color="000000"/>
              <w:left w:val="single" w:sz="4" w:space="0" w:color="000000"/>
              <w:bottom w:val="single" w:sz="4" w:space="0" w:color="000000"/>
              <w:right w:val="single" w:sz="12" w:space="0" w:color="000000"/>
            </w:tcBorders>
          </w:tcPr>
          <w:p>
            <w:pPr>
              <w:pStyle w:val="TableParagraph"/>
              <w:spacing w:line="316" w:lineRule="auto" w:before="12"/>
              <w:ind w:left="103" w:right="93"/>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一般缺陷（直接财产损失金额＜利润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9"/>
                <w:sz w:val="18"/>
                <w:szCs w:val="18"/>
              </w:rPr>
              <w:t>总额</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）、重要缺陷（利润总额</w:t>
            </w:r>
            <w:r>
              <w:rPr>
                <w:rFonts w:ascii="Times New Roman" w:hAnsi="Times New Roman" w:cs="Times New Roman" w:eastAsia="Times New Roman" w:hint="default"/>
                <w:spacing w:val="-9"/>
                <w:sz w:val="18"/>
                <w:szCs w:val="18"/>
              </w:rPr>
              <w:t>*2%</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≤直接财产损失金额＜利润总额</w:t>
            </w:r>
          </w:p>
          <w:p>
            <w:pPr>
              <w:pStyle w:val="TableParagraph"/>
              <w:spacing w:line="300" w:lineRule="auto" w:before="76"/>
              <w:ind w:left="103" w:right="93"/>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）、重大缺陷（直接财产损失金</w:t>
            </w:r>
            <w:r>
              <w:rPr>
                <w:rFonts w:ascii="宋体" w:hAnsi="宋体" w:cs="宋体" w:eastAsia="宋体" w:hint="default"/>
                <w:sz w:val="18"/>
                <w:szCs w:val="18"/>
              </w:rPr>
              <w:t> 额≥利润总额</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r>
      <w:tr>
        <w:trPr>
          <w:trHeight w:val="322"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4"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0"/>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1"/>
              <w:ind w:left="9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4"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194" w:type="dxa"/>
            <w:tcBorders>
              <w:top w:val="single" w:sz="4" w:space="0" w:color="000000"/>
              <w:left w:val="single" w:sz="12" w:space="0" w:color="000000"/>
              <w:bottom w:val="single" w:sz="4"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4"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90"/>
              <w:jc w:val="right"/>
              <w:rPr>
                <w:rFonts w:ascii="Times New Roman" w:hAnsi="Times New Roman" w:cs="Times New Roman" w:eastAsia="Times New Roman" w:hint="default"/>
                <w:sz w:val="18"/>
                <w:szCs w:val="18"/>
              </w:rPr>
            </w:pPr>
            <w:r>
              <w:rPr>
                <w:rFonts w:ascii="Times New Roman"/>
                <w:sz w:val="18"/>
              </w:rPr>
              <w:t>0</w:t>
            </w:r>
          </w:p>
        </w:tc>
      </w:tr>
      <w:tr>
        <w:trPr>
          <w:trHeight w:val="332" w:hRule="exact"/>
        </w:trPr>
        <w:tc>
          <w:tcPr>
            <w:tcW w:w="3194" w:type="dxa"/>
            <w:tcBorders>
              <w:top w:val="single" w:sz="4" w:space="0" w:color="000000"/>
              <w:left w:val="single" w:sz="12" w:space="0" w:color="000000"/>
              <w:bottom w:val="single" w:sz="12" w:space="0" w:color="000000"/>
              <w:right w:val="single" w:sz="4" w:space="0" w:color="000000"/>
            </w:tcBorders>
            <w:shd w:val="clear" w:color="auto" w:fill="D2D2D2"/>
          </w:tcPr>
          <w:p>
            <w:pPr>
              <w:pStyle w:val="TableParagraph"/>
              <w:spacing w:line="240" w:lineRule="auto" w:before="10"/>
              <w:ind w:left="9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4" w:type="dxa"/>
            <w:gridSpan w:val="2"/>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right="9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18"/>
          <w:szCs w:val="18"/>
        </w:rPr>
      </w:pPr>
    </w:p>
    <w:p>
      <w:pPr>
        <w:pStyle w:val="Heading2"/>
        <w:spacing w:line="240" w:lineRule="auto" w:before="26"/>
        <w:ind w:right="1164"/>
        <w:jc w:val="left"/>
        <w:rPr>
          <w:b w:val="0"/>
          <w:bCs w:val="0"/>
        </w:rPr>
      </w:pPr>
      <w:bookmarkStart w:name="十、内部控制审计报告或鉴证报告" w:id="155"/>
      <w:bookmarkEnd w:id="155"/>
      <w:r>
        <w:rPr>
          <w:b w:val="0"/>
          <w:bCs w:val="0"/>
        </w:rPr>
      </w: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spacing w:before="0"/>
        <w:ind w:left="132" w:right="1164" w:firstLine="0"/>
        <w:jc w:val="left"/>
        <w:rPr>
          <w:rFonts w:ascii="宋体" w:hAnsi="宋体" w:cs="宋体" w:eastAsia="宋体" w:hint="default"/>
          <w:sz w:val="18"/>
          <w:szCs w:val="18"/>
        </w:rPr>
      </w:pP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90" w:footer="1053" w:top="1420" w:bottom="1240" w:left="10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1"/>
        <w:spacing w:line="240" w:lineRule="auto"/>
        <w:ind w:left="3007" w:right="1115"/>
        <w:jc w:val="left"/>
        <w:rPr>
          <w:b w:val="0"/>
          <w:bCs w:val="0"/>
        </w:rPr>
      </w:pPr>
      <w:bookmarkStart w:name="第十一节公司债券相关情况" w:id="156"/>
      <w:bookmarkEnd w:id="156"/>
      <w:r>
        <w:rPr>
          <w:b w:val="0"/>
          <w:bCs w:val="0"/>
        </w:rPr>
      </w:r>
      <w:bookmarkStart w:name="_bookmark10" w:id="157"/>
      <w:bookmarkEnd w:id="157"/>
      <w:r>
        <w:rPr>
          <w:b w:val="0"/>
          <w:bCs w:val="0"/>
        </w:rPr>
      </w:r>
      <w:r>
        <w:rPr/>
        <w:t>第十一节公司债券相关情况</w:t>
      </w:r>
      <w:r>
        <w:rPr>
          <w:b w:val="0"/>
          <w:bCs w:val="0"/>
        </w:rPr>
      </w:r>
    </w:p>
    <w:p>
      <w:pPr>
        <w:spacing w:line="240" w:lineRule="auto" w:before="6"/>
        <w:rPr>
          <w:rFonts w:ascii="宋体" w:hAnsi="宋体" w:cs="宋体" w:eastAsia="宋体" w:hint="default"/>
          <w:b/>
          <w:bCs/>
          <w:sz w:val="42"/>
          <w:szCs w:val="42"/>
        </w:rPr>
      </w:pPr>
    </w:p>
    <w:p>
      <w:pPr>
        <w:spacing w:line="357" w:lineRule="auto" w:before="0"/>
        <w:ind w:left="112" w:right="2114"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footerReference w:type="default" r:id="rId37"/>
          <w:pgSz w:w="11910" w:h="16840"/>
          <w:pgMar w:footer="1053" w:header="890" w:top="1420" w:bottom="1240" w:left="1020" w:right="0"/>
          <w:pgNumType w:start="69"/>
        </w:sectPr>
      </w:pPr>
    </w:p>
    <w:p>
      <w:pPr>
        <w:spacing w:line="240" w:lineRule="auto" w:before="0"/>
        <w:rPr>
          <w:rFonts w:ascii="宋体" w:hAnsi="宋体" w:cs="宋体" w:eastAsia="宋体" w:hint="default"/>
          <w:sz w:val="20"/>
          <w:szCs w:val="20"/>
        </w:rPr>
      </w:pPr>
    </w:p>
    <w:p>
      <w:pPr>
        <w:pStyle w:val="Heading1"/>
        <w:spacing w:line="240" w:lineRule="auto" w:before="142"/>
        <w:ind w:left="3008" w:right="493"/>
        <w:jc w:val="left"/>
        <w:rPr>
          <w:b w:val="0"/>
          <w:bCs w:val="0"/>
        </w:rPr>
      </w:pPr>
      <w:bookmarkStart w:name="第十二节 财务报告" w:id="158"/>
      <w:bookmarkEnd w:id="158"/>
      <w:r>
        <w:rPr>
          <w:b w:val="0"/>
          <w:bCs w:val="0"/>
        </w:rPr>
      </w:r>
      <w:bookmarkStart w:name="_bookmark11" w:id="159"/>
      <w:bookmarkEnd w:id="159"/>
      <w:r>
        <w:rPr>
          <w:b w:val="0"/>
          <w:bCs w:val="0"/>
        </w:rPr>
      </w:r>
      <w:r>
        <w:rPr/>
        <w:t>第十二节</w:t>
      </w:r>
      <w:r>
        <w:rPr>
          <w:spacing w:val="-5"/>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8"/>
          <w:szCs w:val="28"/>
        </w:rPr>
      </w:pPr>
    </w:p>
    <w:p>
      <w:pPr>
        <w:pStyle w:val="Heading2"/>
        <w:spacing w:line="240" w:lineRule="auto" w:before="26"/>
        <w:ind w:left="121" w:right="493"/>
        <w:jc w:val="left"/>
        <w:rPr>
          <w:b w:val="0"/>
          <w:bCs w:val="0"/>
        </w:rPr>
      </w:pPr>
      <w:bookmarkStart w:name="一、审计报告" w:id="160"/>
      <w:bookmarkEnd w:id="160"/>
      <w:r>
        <w:rPr>
          <w:b w:val="0"/>
          <w:bCs w:val="0"/>
        </w:rPr>
      </w:r>
      <w:r>
        <w:rPr/>
        <w:t>一、审计报告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16" w:type="dxa"/>
        <w:tblLayout w:type="fixed"/>
        <w:tblCellMar>
          <w:top w:w="0" w:type="dxa"/>
          <w:left w:w="0" w:type="dxa"/>
          <w:bottom w:w="0" w:type="dxa"/>
          <w:right w:w="0" w:type="dxa"/>
        </w:tblCellMar>
        <w:tblLook w:val="01E0"/>
      </w:tblPr>
      <w:tblGrid>
        <w:gridCol w:w="4096"/>
        <w:gridCol w:w="4350"/>
      </w:tblGrid>
      <w:tr>
        <w:trPr>
          <w:trHeight w:val="323" w:hRule="exact"/>
        </w:trPr>
        <w:tc>
          <w:tcPr>
            <w:tcW w:w="4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324" w:hRule="exact"/>
        </w:trPr>
        <w:tc>
          <w:tcPr>
            <w:tcW w:w="4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3" w:hRule="exact"/>
        </w:trPr>
        <w:tc>
          <w:tcPr>
            <w:tcW w:w="4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324" w:hRule="exact"/>
        </w:trPr>
        <w:tc>
          <w:tcPr>
            <w:tcW w:w="4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2" w:right="0"/>
              <w:jc w:val="left"/>
              <w:rPr>
                <w:rFonts w:ascii="Times New Roman" w:hAnsi="Times New Roman" w:cs="Times New Roman" w:eastAsia="Times New Roman" w:hint="default"/>
                <w:sz w:val="18"/>
                <w:szCs w:val="18"/>
              </w:rPr>
            </w:pPr>
            <w:r>
              <w:rPr>
                <w:rFonts w:ascii="Times New Roman"/>
                <w:sz w:val="18"/>
              </w:rPr>
              <w:t>XYZH/2020SHA10039</w:t>
            </w:r>
          </w:p>
        </w:tc>
      </w:tr>
      <w:tr>
        <w:trPr>
          <w:trHeight w:val="323" w:hRule="exact"/>
        </w:trPr>
        <w:tc>
          <w:tcPr>
            <w:tcW w:w="4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叶胜平、刘向荣</w:t>
            </w:r>
          </w:p>
        </w:tc>
      </w:tr>
    </w:tbl>
    <w:p>
      <w:pPr>
        <w:spacing w:after="0" w:line="240" w:lineRule="auto"/>
        <w:jc w:val="left"/>
        <w:rPr>
          <w:rFonts w:ascii="宋体" w:hAnsi="宋体" w:cs="宋体" w:eastAsia="宋体" w:hint="default"/>
          <w:sz w:val="18"/>
          <w:szCs w:val="18"/>
        </w:rPr>
        <w:sectPr>
          <w:headerReference w:type="default" r:id="rId38"/>
          <w:footerReference w:type="default" r:id="rId39"/>
          <w:pgSz w:w="11910" w:h="16840"/>
          <w:pgMar w:header="939" w:footer="1053" w:top="1940" w:bottom="1240" w:left="1580" w:right="0"/>
          <w:pgNumType w:start="70"/>
        </w:sectPr>
      </w:pPr>
    </w:p>
    <w:p>
      <w:pPr>
        <w:spacing w:line="240" w:lineRule="auto" w:before="5"/>
        <w:rPr>
          <w:rFonts w:ascii="宋体" w:hAnsi="宋体" w:cs="宋体" w:eastAsia="宋体" w:hint="default"/>
          <w:b/>
          <w:bCs/>
          <w:sz w:val="23"/>
          <w:szCs w:val="23"/>
        </w:rPr>
      </w:pPr>
    </w:p>
    <w:p>
      <w:pPr>
        <w:pStyle w:val="Heading4"/>
        <w:spacing w:line="286" w:lineRule="exact"/>
        <w:ind w:left="560" w:right="-5" w:hanging="440"/>
        <w:jc w:val="left"/>
        <w:rPr>
          <w:b w:val="0"/>
          <w:bCs w:val="0"/>
        </w:rPr>
      </w:pPr>
      <w:r>
        <w:rPr>
          <w:spacing w:val="-1"/>
        </w:rPr>
        <w:t>浙江万马股份有限公司全体股东：</w:t>
      </w:r>
      <w:r>
        <w:rPr>
          <w:spacing w:val="-108"/>
        </w:rPr>
        <w:t> </w:t>
      </w:r>
      <w:r>
        <w:rPr>
          <w:spacing w:val="-108"/>
        </w:rPr>
      </w:r>
      <w:r>
        <w:rPr/>
        <w:t>1.审计意见</w:t>
      </w:r>
      <w:r>
        <w:rPr>
          <w:b w:val="0"/>
          <w:bCs w:val="0"/>
        </w:rPr>
      </w:r>
    </w:p>
    <w:p>
      <w:pPr>
        <w:spacing w:before="12"/>
        <w:ind w:left="121"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审计报告正文</w:t>
      </w:r>
    </w:p>
    <w:p>
      <w:pPr>
        <w:spacing w:after="0"/>
        <w:jc w:val="left"/>
        <w:rPr>
          <w:rFonts w:ascii="宋体" w:hAnsi="宋体" w:cs="宋体" w:eastAsia="宋体" w:hint="default"/>
          <w:sz w:val="18"/>
          <w:szCs w:val="18"/>
        </w:rPr>
        <w:sectPr>
          <w:type w:val="continuous"/>
          <w:pgSz w:w="11910" w:h="16840"/>
          <w:pgMar w:top="660" w:bottom="700" w:left="1580" w:right="0"/>
          <w:cols w:num="2" w:equalWidth="0">
            <w:col w:w="3434" w:space="279"/>
            <w:col w:w="6617"/>
          </w:cols>
        </w:sectPr>
      </w:pPr>
    </w:p>
    <w:p>
      <w:pPr>
        <w:pStyle w:val="BodyText"/>
        <w:spacing w:line="286" w:lineRule="exact" w:before="9"/>
        <w:ind w:left="121" w:right="1697" w:firstLine="439"/>
        <w:jc w:val="both"/>
      </w:pPr>
      <w:r>
        <w:rPr>
          <w:spacing w:val="2"/>
        </w:rPr>
        <w:t>我们审计了浙江万马股份有限公司（以下简称万马股份公司）财务报表，包括2019</w:t>
      </w:r>
      <w:r>
        <w:rPr>
          <w:w w:val="100"/>
        </w:rPr>
        <w:t> </w:t>
      </w:r>
      <w:r>
        <w:rPr>
          <w:spacing w:val="-4"/>
        </w:rPr>
        <w:t>年12月31日的合并及母公司资产负债表，2019年度的合并及母公司利润表、合并及母公司</w:t>
      </w:r>
      <w:r>
        <w:rPr>
          <w:spacing w:val="-41"/>
        </w:rPr>
        <w:t> </w:t>
      </w:r>
      <w:r>
        <w:rPr>
          <w:spacing w:val="-41"/>
        </w:rPr>
      </w:r>
      <w:r>
        <w:rPr/>
        <w:t>现金流量表、合并及母公司股东权益变动表，以及相关财务报表附注。</w:t>
      </w:r>
    </w:p>
    <w:p>
      <w:pPr>
        <w:pStyle w:val="BodyText"/>
        <w:spacing w:line="286" w:lineRule="exact" w:before="9"/>
        <w:ind w:left="121" w:right="1697" w:firstLine="439"/>
        <w:jc w:val="both"/>
      </w:pPr>
      <w:r>
        <w:rPr>
          <w:spacing w:val="-4"/>
        </w:rPr>
        <w:t>我们认为，后附的财务报表在所有重大方面按照企业会计准则的规定编制，公允反映</w:t>
      </w:r>
      <w:r>
        <w:rPr>
          <w:w w:val="100"/>
        </w:rPr>
        <w:t> </w:t>
      </w:r>
      <w:r>
        <w:rPr/>
        <w:t>了万马股份公司2019年12月31日的合并及母公司财务状况以及2019年度的合并及母公司</w:t>
      </w:r>
      <w:r>
        <w:rPr>
          <w:spacing w:val="15"/>
        </w:rPr>
        <w:t> </w:t>
      </w:r>
      <w:r>
        <w:rPr>
          <w:spacing w:val="15"/>
        </w:rPr>
      </w:r>
      <w:r>
        <w:rPr/>
        <w:t>经营成果和现金流量。</w:t>
      </w:r>
    </w:p>
    <w:p>
      <w:pPr>
        <w:spacing w:line="296" w:lineRule="exact" w:before="1"/>
        <w:ind w:left="560" w:right="493" w:firstLine="0"/>
        <w:jc w:val="left"/>
        <w:rPr>
          <w:rFonts w:ascii="宋体" w:hAnsi="宋体" w:cs="宋体" w:eastAsia="宋体" w:hint="default"/>
          <w:sz w:val="22"/>
          <w:szCs w:val="22"/>
        </w:rPr>
      </w:pPr>
      <w:r>
        <w:rPr>
          <w:rFonts w:ascii="宋体" w:hAnsi="宋体" w:cs="宋体" w:eastAsia="宋体" w:hint="default"/>
          <w:b/>
          <w:bCs/>
          <w:sz w:val="22"/>
          <w:szCs w:val="22"/>
        </w:rPr>
        <w:t>2.形成审计意见的基础</w:t>
      </w:r>
      <w:r>
        <w:rPr>
          <w:rFonts w:ascii="宋体" w:hAnsi="宋体" w:cs="宋体" w:eastAsia="宋体" w:hint="default"/>
          <w:b/>
          <w:bCs/>
          <w:w w:val="100"/>
          <w:sz w:val="22"/>
          <w:szCs w:val="22"/>
        </w:rPr>
        <w:t> </w:t>
      </w:r>
      <w:r>
        <w:rPr>
          <w:rFonts w:ascii="宋体" w:hAnsi="宋体" w:cs="宋体" w:eastAsia="宋体" w:hint="default"/>
          <w:spacing w:val="-4"/>
          <w:sz w:val="22"/>
          <w:szCs w:val="22"/>
        </w:rPr>
        <w:t>我们按照中国注册会计师审计准则的规定执行了审计工作。审计报告的“注册会计师</w:t>
      </w:r>
    </w:p>
    <w:p>
      <w:pPr>
        <w:pStyle w:val="BodyText"/>
        <w:spacing w:line="256" w:lineRule="exact" w:before="0"/>
        <w:ind w:left="121" w:right="493"/>
        <w:jc w:val="left"/>
      </w:pPr>
      <w:r>
        <w:rPr>
          <w:spacing w:val="-4"/>
        </w:rPr>
        <w:t>对财务报表审计的责任”部分进一步阐述了我们在这些准则下的责任。按照中国注册会计</w:t>
      </w:r>
    </w:p>
    <w:p>
      <w:pPr>
        <w:pStyle w:val="BodyText"/>
        <w:spacing w:line="284" w:lineRule="exact" w:before="28"/>
        <w:ind w:left="121" w:right="493"/>
        <w:jc w:val="left"/>
      </w:pPr>
      <w:r>
        <w:rPr>
          <w:spacing w:val="-4"/>
        </w:rPr>
        <w:t>师职业道德守则，我们独立于万马股份公司，并履行了职业道德方面的其他责任。我们相</w:t>
      </w:r>
      <w:r>
        <w:rPr>
          <w:spacing w:val="-51"/>
        </w:rPr>
        <w:t> </w:t>
      </w:r>
      <w:r>
        <w:rPr>
          <w:spacing w:val="-51"/>
        </w:rPr>
      </w:r>
      <w:r>
        <w:rPr/>
        <w:t>信，我们获取的审计证据是充分、适当的，为发表审计意见提供了基础。</w:t>
      </w:r>
    </w:p>
    <w:p>
      <w:pPr>
        <w:pStyle w:val="BodyText"/>
        <w:spacing w:line="298" w:lineRule="exact" w:before="0"/>
        <w:ind w:left="560" w:right="493"/>
        <w:jc w:val="left"/>
      </w:pPr>
      <w:r>
        <w:rPr>
          <w:rFonts w:ascii="宋体" w:hAnsi="宋体" w:cs="宋体" w:eastAsia="宋体" w:hint="default"/>
          <w:b/>
          <w:bCs/>
        </w:rPr>
        <w:t>3.关键审计事项</w:t>
      </w:r>
      <w:r>
        <w:rPr>
          <w:rFonts w:ascii="宋体" w:hAnsi="宋体" w:cs="宋体" w:eastAsia="宋体" w:hint="default"/>
          <w:b/>
          <w:bCs/>
          <w:w w:val="100"/>
        </w:rPr>
        <w:t> </w:t>
      </w:r>
      <w:r>
        <w:rPr>
          <w:spacing w:val="-4"/>
        </w:rPr>
        <w:t>关键审计事项是我们根据职业判断，认为对本期财务报表审计最为重要的事项。这些</w:t>
      </w:r>
    </w:p>
    <w:p>
      <w:pPr>
        <w:pStyle w:val="BodyText"/>
        <w:spacing w:line="253" w:lineRule="exact" w:before="0"/>
        <w:ind w:left="121" w:right="493"/>
        <w:jc w:val="left"/>
      </w:pPr>
      <w:r>
        <w:rPr>
          <w:spacing w:val="-4"/>
        </w:rPr>
        <w:t>事项的应对以对财务报表整体进行审计并形成审计意见为背景，我们不对这些事项单独发</w:t>
      </w:r>
    </w:p>
    <w:p>
      <w:pPr>
        <w:pStyle w:val="BodyText"/>
        <w:spacing w:line="287" w:lineRule="exact" w:before="0"/>
        <w:ind w:left="121" w:right="493"/>
        <w:jc w:val="left"/>
      </w:pPr>
      <w:r>
        <w:rPr/>
        <w:t>表意见。</w:t>
      </w:r>
    </w:p>
    <w:p>
      <w:pPr>
        <w:spacing w:line="240" w:lineRule="auto" w:before="4"/>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4252"/>
        <w:gridCol w:w="4253"/>
      </w:tblGrid>
      <w:tr>
        <w:trPr>
          <w:trHeight w:val="320" w:hRule="exact"/>
        </w:trPr>
        <w:tc>
          <w:tcPr>
            <w:tcW w:w="8505" w:type="dxa"/>
            <w:gridSpan w:val="2"/>
            <w:tcBorders>
              <w:top w:val="single" w:sz="8" w:space="0" w:color="000000"/>
              <w:left w:val="single" w:sz="8" w:space="0" w:color="000000"/>
              <w:bottom w:val="single" w:sz="4" w:space="0" w:color="000000"/>
              <w:right w:val="single" w:sz="8" w:space="0" w:color="000000"/>
            </w:tcBorders>
          </w:tcPr>
          <w:p>
            <w:pPr>
              <w:pStyle w:val="TableParagraph"/>
              <w:spacing w:line="264" w:lineRule="exact"/>
              <w:ind w:left="89" w:right="0"/>
              <w:jc w:val="left"/>
              <w:rPr>
                <w:rFonts w:ascii="宋体" w:hAnsi="宋体" w:cs="宋体" w:eastAsia="宋体" w:hint="default"/>
                <w:sz w:val="22"/>
                <w:szCs w:val="22"/>
              </w:rPr>
            </w:pPr>
            <w:r>
              <w:rPr>
                <w:rFonts w:ascii="宋体" w:hAnsi="宋体" w:cs="宋体" w:eastAsia="宋体" w:hint="default"/>
                <w:b/>
                <w:bCs/>
                <w:sz w:val="22"/>
                <w:szCs w:val="22"/>
              </w:rPr>
              <w:t>应收账款坏账准备计提事项</w:t>
            </w:r>
            <w:r>
              <w:rPr>
                <w:rFonts w:ascii="宋体" w:hAnsi="宋体" w:cs="宋体" w:eastAsia="宋体" w:hint="default"/>
                <w:sz w:val="22"/>
                <w:szCs w:val="22"/>
              </w:rPr>
            </w:r>
          </w:p>
        </w:tc>
      </w:tr>
      <w:tr>
        <w:trPr>
          <w:trHeight w:val="316" w:hRule="exact"/>
        </w:trPr>
        <w:tc>
          <w:tcPr>
            <w:tcW w:w="4252" w:type="dxa"/>
            <w:tcBorders>
              <w:top w:val="single" w:sz="4" w:space="0" w:color="000000"/>
              <w:left w:val="single" w:sz="8" w:space="0" w:color="000000"/>
              <w:bottom w:val="single" w:sz="4" w:space="0" w:color="000000"/>
              <w:right w:val="single" w:sz="4" w:space="0" w:color="000000"/>
            </w:tcBorders>
          </w:tcPr>
          <w:p>
            <w:pPr>
              <w:pStyle w:val="TableParagraph"/>
              <w:spacing w:line="263" w:lineRule="exact"/>
              <w:ind w:left="89" w:right="0"/>
              <w:jc w:val="left"/>
              <w:rPr>
                <w:rFonts w:ascii="宋体" w:hAnsi="宋体" w:cs="宋体" w:eastAsia="宋体" w:hint="default"/>
                <w:sz w:val="22"/>
                <w:szCs w:val="22"/>
              </w:rPr>
            </w:pPr>
            <w:r>
              <w:rPr>
                <w:rFonts w:ascii="宋体" w:hAnsi="宋体" w:cs="宋体" w:eastAsia="宋体" w:hint="default"/>
                <w:b/>
                <w:bCs/>
                <w:sz w:val="22"/>
                <w:szCs w:val="22"/>
              </w:rPr>
              <w:t>关键审计事项</w:t>
            </w:r>
            <w:r>
              <w:rPr>
                <w:rFonts w:ascii="宋体" w:hAnsi="宋体" w:cs="宋体" w:eastAsia="宋体" w:hint="default"/>
                <w:sz w:val="22"/>
                <w:szCs w:val="22"/>
              </w:rPr>
            </w:r>
          </w:p>
        </w:tc>
        <w:tc>
          <w:tcPr>
            <w:tcW w:w="4253" w:type="dxa"/>
            <w:tcBorders>
              <w:top w:val="single" w:sz="4" w:space="0" w:color="000000"/>
              <w:left w:val="single" w:sz="4" w:space="0" w:color="000000"/>
              <w:bottom w:val="single" w:sz="4" w:space="0" w:color="000000"/>
              <w:right w:val="single" w:sz="8" w:space="0" w:color="000000"/>
            </w:tcBorders>
          </w:tcPr>
          <w:p>
            <w:pPr>
              <w:pStyle w:val="TableParagraph"/>
              <w:spacing w:line="263" w:lineRule="exact"/>
              <w:ind w:left="95" w:right="0"/>
              <w:jc w:val="left"/>
              <w:rPr>
                <w:rFonts w:ascii="宋体" w:hAnsi="宋体" w:cs="宋体" w:eastAsia="宋体" w:hint="default"/>
                <w:sz w:val="22"/>
                <w:szCs w:val="22"/>
              </w:rPr>
            </w:pPr>
            <w:r>
              <w:rPr>
                <w:rFonts w:ascii="宋体" w:hAnsi="宋体" w:cs="宋体" w:eastAsia="宋体" w:hint="default"/>
                <w:b/>
                <w:bCs/>
                <w:sz w:val="22"/>
                <w:szCs w:val="22"/>
              </w:rPr>
              <w:t>审计中的应对</w:t>
            </w:r>
            <w:r>
              <w:rPr>
                <w:rFonts w:ascii="宋体" w:hAnsi="宋体" w:cs="宋体" w:eastAsia="宋体" w:hint="default"/>
                <w:sz w:val="22"/>
                <w:szCs w:val="22"/>
              </w:rPr>
            </w:r>
          </w:p>
        </w:tc>
      </w:tr>
      <w:tr>
        <w:trPr>
          <w:trHeight w:val="299" w:hRule="exact"/>
        </w:trPr>
        <w:tc>
          <w:tcPr>
            <w:tcW w:w="4252" w:type="dxa"/>
            <w:tcBorders>
              <w:top w:val="single" w:sz="4" w:space="0" w:color="000000"/>
              <w:left w:val="single" w:sz="8" w:space="0" w:color="000000"/>
              <w:bottom w:val="nil" w:sz="6" w:space="0" w:color="auto"/>
              <w:right w:val="single" w:sz="4" w:space="0" w:color="000000"/>
            </w:tcBorders>
          </w:tcPr>
          <w:p>
            <w:pPr/>
          </w:p>
        </w:tc>
        <w:tc>
          <w:tcPr>
            <w:tcW w:w="4253" w:type="dxa"/>
            <w:tcBorders>
              <w:top w:val="single" w:sz="4" w:space="0" w:color="000000"/>
              <w:left w:val="single" w:sz="4" w:space="0" w:color="000000"/>
              <w:bottom w:val="nil" w:sz="6" w:space="0" w:color="auto"/>
              <w:right w:val="single" w:sz="8" w:space="0" w:color="000000"/>
            </w:tcBorders>
          </w:tcPr>
          <w:p>
            <w:pPr>
              <w:pStyle w:val="TableParagraph"/>
              <w:spacing w:line="263" w:lineRule="exact"/>
              <w:ind w:left="414" w:right="0"/>
              <w:jc w:val="left"/>
              <w:rPr>
                <w:rFonts w:ascii="宋体" w:hAnsi="宋体" w:cs="宋体" w:eastAsia="宋体" w:hint="default"/>
                <w:sz w:val="22"/>
                <w:szCs w:val="22"/>
              </w:rPr>
            </w:pPr>
            <w:r>
              <w:rPr>
                <w:rFonts w:ascii="宋体" w:hAnsi="宋体" w:cs="宋体" w:eastAsia="宋体" w:hint="default"/>
                <w:sz w:val="22"/>
                <w:szCs w:val="22"/>
              </w:rPr>
              <w:t>我们执行的主要审计程序如下：</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--我们审阅万马股份公司应收账款计提的</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right="92"/>
              <w:jc w:val="right"/>
              <w:rPr>
                <w:rFonts w:ascii="宋体" w:hAnsi="宋体" w:cs="宋体" w:eastAsia="宋体" w:hint="default"/>
                <w:sz w:val="22"/>
                <w:szCs w:val="22"/>
              </w:rPr>
            </w:pPr>
            <w:r>
              <w:rPr>
                <w:rFonts w:ascii="宋体" w:hAnsi="宋体" w:cs="宋体" w:eastAsia="宋体" w:hint="default"/>
                <w:spacing w:val="2"/>
                <w:sz w:val="22"/>
                <w:szCs w:val="22"/>
              </w:rPr>
              <w:t>截至2019年12月31日，万马股份公司</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21"/>
              <w:jc w:val="left"/>
              <w:rPr>
                <w:rFonts w:ascii="宋体" w:hAnsi="宋体" w:cs="宋体" w:eastAsia="宋体" w:hint="default"/>
                <w:sz w:val="22"/>
                <w:szCs w:val="22"/>
              </w:rPr>
            </w:pPr>
            <w:r>
              <w:rPr>
                <w:rFonts w:ascii="宋体" w:hAnsi="宋体" w:cs="宋体" w:eastAsia="宋体" w:hint="default"/>
                <w:spacing w:val="-3"/>
                <w:sz w:val="22"/>
                <w:szCs w:val="22"/>
              </w:rPr>
              <w:t>内控流程，评估关键假设及数据的合理性。</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right="94"/>
              <w:jc w:val="right"/>
              <w:rPr>
                <w:rFonts w:ascii="宋体" w:hAnsi="宋体" w:cs="宋体" w:eastAsia="宋体" w:hint="default"/>
                <w:sz w:val="22"/>
                <w:szCs w:val="22"/>
              </w:rPr>
            </w:pPr>
            <w:r>
              <w:rPr>
                <w:rFonts w:ascii="宋体" w:hAnsi="宋体" w:cs="宋体" w:eastAsia="宋体" w:hint="default"/>
                <w:sz w:val="22"/>
                <w:szCs w:val="22"/>
              </w:rPr>
              <w:t>的应收账款余额为2,977,958,997.39元，</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--我们审阅万马股份公司应收账款的坏账</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right="94"/>
              <w:jc w:val="right"/>
              <w:rPr>
                <w:rFonts w:ascii="宋体" w:hAnsi="宋体" w:cs="宋体" w:eastAsia="宋体" w:hint="default"/>
                <w:sz w:val="22"/>
                <w:szCs w:val="22"/>
              </w:rPr>
            </w:pPr>
            <w:r>
              <w:rPr>
                <w:rFonts w:ascii="宋体" w:hAnsi="宋体" w:cs="宋体" w:eastAsia="宋体" w:hint="default"/>
                <w:spacing w:val="2"/>
                <w:sz w:val="22"/>
                <w:szCs w:val="22"/>
              </w:rPr>
              <w:t>坏账准备余额为171,124,362.04元，账面</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准备计提过程，评估所采用坏账准备计提</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right="92"/>
              <w:jc w:val="right"/>
              <w:rPr>
                <w:rFonts w:ascii="宋体" w:hAnsi="宋体" w:cs="宋体" w:eastAsia="宋体" w:hint="default"/>
                <w:sz w:val="22"/>
                <w:szCs w:val="22"/>
              </w:rPr>
            </w:pPr>
            <w:r>
              <w:rPr>
                <w:rFonts w:ascii="宋体" w:hAnsi="宋体" w:cs="宋体" w:eastAsia="宋体" w:hint="default"/>
                <w:spacing w:val="2"/>
                <w:sz w:val="22"/>
                <w:szCs w:val="22"/>
              </w:rPr>
              <w:t>价值较高。若应收账款不能按期收回或无</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4" w:lineRule="exact"/>
              <w:ind w:left="95" w:right="0"/>
              <w:jc w:val="left"/>
              <w:rPr>
                <w:rFonts w:ascii="宋体" w:hAnsi="宋体" w:cs="宋体" w:eastAsia="宋体" w:hint="default"/>
                <w:sz w:val="22"/>
                <w:szCs w:val="22"/>
              </w:rPr>
            </w:pPr>
            <w:r>
              <w:rPr>
                <w:rFonts w:ascii="宋体" w:hAnsi="宋体" w:cs="宋体" w:eastAsia="宋体" w:hint="default"/>
                <w:sz w:val="22"/>
                <w:szCs w:val="22"/>
              </w:rPr>
              <w:t>会计政策的合理性。</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right="92"/>
              <w:jc w:val="right"/>
              <w:rPr>
                <w:rFonts w:ascii="宋体" w:hAnsi="宋体" w:cs="宋体" w:eastAsia="宋体" w:hint="default"/>
                <w:sz w:val="22"/>
                <w:szCs w:val="22"/>
              </w:rPr>
            </w:pPr>
            <w:r>
              <w:rPr>
                <w:rFonts w:ascii="宋体" w:hAnsi="宋体" w:cs="宋体" w:eastAsia="宋体" w:hint="default"/>
                <w:spacing w:val="2"/>
                <w:sz w:val="22"/>
                <w:szCs w:val="22"/>
              </w:rPr>
              <w:t>法收回而发生坏账，对财务报表影响较为</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--我们分析及比较万马股份公司本年度及</w:t>
            </w:r>
          </w:p>
        </w:tc>
      </w:tr>
      <w:tr>
        <w:trPr>
          <w:trHeight w:val="287"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right="92"/>
              <w:jc w:val="right"/>
              <w:rPr>
                <w:rFonts w:ascii="宋体" w:hAnsi="宋体" w:cs="宋体" w:eastAsia="宋体" w:hint="default"/>
                <w:sz w:val="22"/>
                <w:szCs w:val="22"/>
              </w:rPr>
            </w:pPr>
            <w:r>
              <w:rPr>
                <w:rFonts w:ascii="宋体" w:hAnsi="宋体" w:cs="宋体" w:eastAsia="宋体" w:hint="default"/>
                <w:spacing w:val="2"/>
                <w:sz w:val="22"/>
                <w:szCs w:val="22"/>
              </w:rPr>
              <w:t>重大，且坏账准备的计提涉及管理层的判</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6" w:lineRule="exact"/>
              <w:ind w:left="95" w:right="0"/>
              <w:jc w:val="left"/>
              <w:rPr>
                <w:rFonts w:ascii="宋体" w:hAnsi="宋体" w:cs="宋体" w:eastAsia="宋体" w:hint="default"/>
                <w:sz w:val="22"/>
                <w:szCs w:val="22"/>
              </w:rPr>
            </w:pPr>
            <w:r>
              <w:rPr>
                <w:rFonts w:ascii="宋体" w:hAnsi="宋体" w:cs="宋体" w:eastAsia="宋体" w:hint="default"/>
                <w:spacing w:val="16"/>
                <w:sz w:val="22"/>
                <w:szCs w:val="22"/>
              </w:rPr>
              <w:t>过去应收账款的坏账准备的合理及一致</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left="89" w:right="0"/>
              <w:jc w:val="left"/>
              <w:rPr>
                <w:rFonts w:ascii="宋体" w:hAnsi="宋体" w:cs="宋体" w:eastAsia="宋体" w:hint="default"/>
                <w:sz w:val="22"/>
                <w:szCs w:val="22"/>
              </w:rPr>
            </w:pPr>
            <w:r>
              <w:rPr>
                <w:rFonts w:ascii="宋体" w:hAnsi="宋体" w:cs="宋体" w:eastAsia="宋体" w:hint="default"/>
                <w:sz w:val="22"/>
                <w:szCs w:val="22"/>
              </w:rPr>
              <w:t>断和估计，故列为关键审计事项。</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z w:val="22"/>
                <w:szCs w:val="22"/>
              </w:rPr>
              <w:t>性。</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--我们与管理层讨论应收账款回收情况及</w:t>
            </w:r>
          </w:p>
        </w:tc>
      </w:tr>
      <w:tr>
        <w:trPr>
          <w:trHeight w:val="302" w:hRule="exact"/>
        </w:trPr>
        <w:tc>
          <w:tcPr>
            <w:tcW w:w="4252" w:type="dxa"/>
            <w:tcBorders>
              <w:top w:val="nil" w:sz="6" w:space="0" w:color="auto"/>
              <w:left w:val="single" w:sz="8" w:space="0" w:color="000000"/>
              <w:bottom w:val="single" w:sz="4" w:space="0" w:color="000000"/>
              <w:right w:val="single" w:sz="4" w:space="0" w:color="000000"/>
            </w:tcBorders>
          </w:tcPr>
          <w:p>
            <w:pPr/>
          </w:p>
        </w:tc>
        <w:tc>
          <w:tcPr>
            <w:tcW w:w="4253" w:type="dxa"/>
            <w:tcBorders>
              <w:top w:val="nil" w:sz="6" w:space="0" w:color="auto"/>
              <w:left w:val="single" w:sz="4" w:space="0" w:color="000000"/>
              <w:bottom w:val="single" w:sz="4" w:space="0" w:color="000000"/>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可能存在的回收风险。</w:t>
            </w:r>
          </w:p>
        </w:tc>
      </w:tr>
      <w:tr>
        <w:trPr>
          <w:trHeight w:val="313" w:hRule="exact"/>
        </w:trPr>
        <w:tc>
          <w:tcPr>
            <w:tcW w:w="8505" w:type="dxa"/>
            <w:gridSpan w:val="2"/>
            <w:tcBorders>
              <w:top w:val="single" w:sz="4" w:space="0" w:color="000000"/>
              <w:left w:val="single" w:sz="8" w:space="0" w:color="000000"/>
              <w:bottom w:val="single" w:sz="4" w:space="0" w:color="000000"/>
              <w:right w:val="single" w:sz="8" w:space="0" w:color="000000"/>
            </w:tcBorders>
          </w:tcPr>
          <w:p>
            <w:pPr>
              <w:pStyle w:val="TableParagraph"/>
              <w:spacing w:line="263" w:lineRule="exact"/>
              <w:ind w:left="89" w:right="0"/>
              <w:jc w:val="left"/>
              <w:rPr>
                <w:rFonts w:ascii="宋体" w:hAnsi="宋体" w:cs="宋体" w:eastAsia="宋体" w:hint="default"/>
                <w:sz w:val="22"/>
                <w:szCs w:val="22"/>
              </w:rPr>
            </w:pPr>
            <w:r>
              <w:rPr>
                <w:rFonts w:ascii="宋体" w:hAnsi="宋体" w:cs="宋体" w:eastAsia="宋体" w:hint="default"/>
                <w:b/>
                <w:bCs/>
                <w:sz w:val="22"/>
                <w:szCs w:val="22"/>
              </w:rPr>
              <w:t>套期会计事项</w:t>
            </w:r>
            <w:r>
              <w:rPr>
                <w:rFonts w:ascii="宋体" w:hAnsi="宋体" w:cs="宋体" w:eastAsia="宋体" w:hint="default"/>
                <w:sz w:val="22"/>
                <w:szCs w:val="22"/>
              </w:rPr>
            </w:r>
          </w:p>
        </w:tc>
      </w:tr>
    </w:tbl>
    <w:p>
      <w:pPr>
        <w:spacing w:after="0" w:line="263" w:lineRule="exact"/>
        <w:jc w:val="left"/>
        <w:rPr>
          <w:rFonts w:ascii="宋体" w:hAnsi="宋体" w:cs="宋体" w:eastAsia="宋体" w:hint="default"/>
          <w:sz w:val="22"/>
          <w:szCs w:val="22"/>
        </w:rPr>
        <w:sectPr>
          <w:type w:val="continuous"/>
          <w:pgSz w:w="11910" w:h="16840"/>
          <w:pgMar w:top="660" w:bottom="700" w:left="1580" w:right="0"/>
        </w:sectPr>
      </w:pPr>
    </w:p>
    <w:p>
      <w:pPr>
        <w:spacing w:line="240" w:lineRule="auto" w:before="11"/>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4252"/>
        <w:gridCol w:w="4253"/>
      </w:tblGrid>
      <w:tr>
        <w:trPr>
          <w:trHeight w:val="315" w:hRule="exact"/>
        </w:trPr>
        <w:tc>
          <w:tcPr>
            <w:tcW w:w="4252" w:type="dxa"/>
            <w:tcBorders>
              <w:top w:val="single" w:sz="4" w:space="0" w:color="000000"/>
              <w:left w:val="single" w:sz="8" w:space="0" w:color="000000"/>
              <w:bottom w:val="single" w:sz="4" w:space="0" w:color="000000"/>
              <w:right w:val="single" w:sz="4" w:space="0" w:color="000000"/>
            </w:tcBorders>
          </w:tcPr>
          <w:p>
            <w:pPr>
              <w:pStyle w:val="TableParagraph"/>
              <w:spacing w:line="263" w:lineRule="exact"/>
              <w:ind w:left="89" w:right="0"/>
              <w:jc w:val="left"/>
              <w:rPr>
                <w:rFonts w:ascii="宋体" w:hAnsi="宋体" w:cs="宋体" w:eastAsia="宋体" w:hint="default"/>
                <w:sz w:val="22"/>
                <w:szCs w:val="22"/>
              </w:rPr>
            </w:pPr>
            <w:r>
              <w:rPr>
                <w:rFonts w:ascii="宋体" w:hAnsi="宋体" w:cs="宋体" w:eastAsia="宋体" w:hint="default"/>
                <w:b/>
                <w:bCs/>
                <w:sz w:val="22"/>
                <w:szCs w:val="22"/>
              </w:rPr>
              <w:t>关键审计事项</w:t>
            </w:r>
            <w:r>
              <w:rPr>
                <w:rFonts w:ascii="宋体" w:hAnsi="宋体" w:cs="宋体" w:eastAsia="宋体" w:hint="default"/>
                <w:sz w:val="22"/>
                <w:szCs w:val="22"/>
              </w:rPr>
            </w:r>
          </w:p>
        </w:tc>
        <w:tc>
          <w:tcPr>
            <w:tcW w:w="4253" w:type="dxa"/>
            <w:tcBorders>
              <w:top w:val="single" w:sz="4" w:space="0" w:color="000000"/>
              <w:left w:val="single" w:sz="4" w:space="0" w:color="000000"/>
              <w:bottom w:val="single" w:sz="4" w:space="0" w:color="000000"/>
              <w:right w:val="single" w:sz="8" w:space="0" w:color="000000"/>
            </w:tcBorders>
          </w:tcPr>
          <w:p>
            <w:pPr>
              <w:pStyle w:val="TableParagraph"/>
              <w:spacing w:line="263" w:lineRule="exact"/>
              <w:ind w:left="95" w:right="0"/>
              <w:jc w:val="left"/>
              <w:rPr>
                <w:rFonts w:ascii="宋体" w:hAnsi="宋体" w:cs="宋体" w:eastAsia="宋体" w:hint="default"/>
                <w:sz w:val="22"/>
                <w:szCs w:val="22"/>
              </w:rPr>
            </w:pPr>
            <w:r>
              <w:rPr>
                <w:rFonts w:ascii="宋体" w:hAnsi="宋体" w:cs="宋体" w:eastAsia="宋体" w:hint="default"/>
                <w:b/>
                <w:bCs/>
                <w:sz w:val="22"/>
                <w:szCs w:val="22"/>
              </w:rPr>
              <w:t>审计中的应对</w:t>
            </w:r>
            <w:r>
              <w:rPr>
                <w:rFonts w:ascii="宋体" w:hAnsi="宋体" w:cs="宋体" w:eastAsia="宋体" w:hint="default"/>
                <w:sz w:val="22"/>
                <w:szCs w:val="22"/>
              </w:rPr>
            </w:r>
          </w:p>
        </w:tc>
      </w:tr>
      <w:tr>
        <w:trPr>
          <w:trHeight w:val="300" w:hRule="exact"/>
        </w:trPr>
        <w:tc>
          <w:tcPr>
            <w:tcW w:w="4252" w:type="dxa"/>
            <w:tcBorders>
              <w:top w:val="single" w:sz="4" w:space="0" w:color="000000"/>
              <w:left w:val="single" w:sz="8" w:space="0" w:color="000000"/>
              <w:bottom w:val="nil" w:sz="6" w:space="0" w:color="auto"/>
              <w:right w:val="single" w:sz="4" w:space="0" w:color="000000"/>
            </w:tcBorders>
          </w:tcPr>
          <w:p>
            <w:pPr/>
          </w:p>
        </w:tc>
        <w:tc>
          <w:tcPr>
            <w:tcW w:w="4253" w:type="dxa"/>
            <w:tcBorders>
              <w:top w:val="single" w:sz="4" w:space="0" w:color="000000"/>
              <w:left w:val="single" w:sz="4" w:space="0" w:color="000000"/>
              <w:bottom w:val="nil" w:sz="6" w:space="0" w:color="auto"/>
              <w:right w:val="single" w:sz="8" w:space="0" w:color="000000"/>
            </w:tcBorders>
          </w:tcPr>
          <w:p>
            <w:pPr>
              <w:pStyle w:val="TableParagraph"/>
              <w:spacing w:line="263" w:lineRule="exact"/>
              <w:ind w:left="315" w:right="0"/>
              <w:jc w:val="left"/>
              <w:rPr>
                <w:rFonts w:ascii="宋体" w:hAnsi="宋体" w:cs="宋体" w:eastAsia="宋体" w:hint="default"/>
                <w:sz w:val="22"/>
                <w:szCs w:val="22"/>
              </w:rPr>
            </w:pPr>
            <w:r>
              <w:rPr>
                <w:rFonts w:ascii="宋体" w:hAnsi="宋体" w:cs="宋体" w:eastAsia="宋体" w:hint="default"/>
                <w:sz w:val="22"/>
                <w:szCs w:val="22"/>
              </w:rPr>
              <w:t>我们执行的主要审计程序如下：</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--我们审阅万马股份公司套期会计相关的</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内部控制的设计与执行情况。</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left="530" w:right="0"/>
              <w:jc w:val="left"/>
              <w:rPr>
                <w:rFonts w:ascii="宋体" w:hAnsi="宋体" w:cs="宋体" w:eastAsia="宋体" w:hint="default"/>
                <w:sz w:val="22"/>
                <w:szCs w:val="22"/>
              </w:rPr>
            </w:pPr>
            <w:r>
              <w:rPr>
                <w:rFonts w:ascii="宋体" w:hAnsi="宋体" w:cs="宋体" w:eastAsia="宋体" w:hint="default"/>
                <w:spacing w:val="3"/>
                <w:sz w:val="22"/>
                <w:szCs w:val="22"/>
              </w:rPr>
              <w:t>万马股份公司将期铜合约作为套期工</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--我们审阅万马股份公司套期会计的核算</w:t>
            </w:r>
          </w:p>
        </w:tc>
      </w:tr>
      <w:tr>
        <w:trPr>
          <w:trHeight w:val="287"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16"/>
              <w:jc w:val="left"/>
              <w:rPr>
                <w:rFonts w:ascii="宋体" w:hAnsi="宋体" w:cs="宋体" w:eastAsia="宋体" w:hint="default"/>
                <w:sz w:val="22"/>
                <w:szCs w:val="22"/>
              </w:rPr>
            </w:pPr>
            <w:r>
              <w:rPr>
                <w:rFonts w:ascii="宋体" w:hAnsi="宋体" w:cs="宋体" w:eastAsia="宋体" w:hint="default"/>
                <w:spacing w:val="-3"/>
                <w:sz w:val="22"/>
                <w:szCs w:val="22"/>
              </w:rPr>
              <w:t>具、将很可能发生的预期交易（铜的采购）</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6" w:lineRule="exact"/>
              <w:ind w:left="95" w:right="-21"/>
              <w:jc w:val="left"/>
              <w:rPr>
                <w:rFonts w:ascii="宋体" w:hAnsi="宋体" w:cs="宋体" w:eastAsia="宋体" w:hint="default"/>
                <w:sz w:val="22"/>
                <w:szCs w:val="22"/>
              </w:rPr>
            </w:pPr>
            <w:r>
              <w:rPr>
                <w:rFonts w:ascii="宋体" w:hAnsi="宋体" w:cs="宋体" w:eastAsia="宋体" w:hint="default"/>
                <w:spacing w:val="-3"/>
                <w:sz w:val="22"/>
                <w:szCs w:val="22"/>
              </w:rPr>
              <w:t>程序，评估所采用套期会计政策的合理性。</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left="89" w:right="0"/>
              <w:jc w:val="left"/>
              <w:rPr>
                <w:rFonts w:ascii="宋体" w:hAnsi="宋体" w:cs="宋体" w:eastAsia="宋体" w:hint="default"/>
                <w:sz w:val="22"/>
                <w:szCs w:val="22"/>
              </w:rPr>
            </w:pPr>
            <w:r>
              <w:rPr>
                <w:rFonts w:ascii="宋体" w:hAnsi="宋体" w:cs="宋体" w:eastAsia="宋体" w:hint="default"/>
                <w:spacing w:val="2"/>
                <w:sz w:val="22"/>
                <w:szCs w:val="22"/>
              </w:rPr>
              <w:t>作为被套期项目开展套期保值业务。如万</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--我们取得万马股份公司套期会计业务台</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16"/>
              <w:jc w:val="left"/>
              <w:rPr>
                <w:rFonts w:ascii="宋体" w:hAnsi="宋体" w:cs="宋体" w:eastAsia="宋体" w:hint="default"/>
                <w:sz w:val="22"/>
                <w:szCs w:val="22"/>
              </w:rPr>
            </w:pPr>
            <w:r>
              <w:rPr>
                <w:rFonts w:ascii="宋体" w:hAnsi="宋体" w:cs="宋体" w:eastAsia="宋体" w:hint="default"/>
                <w:spacing w:val="-3"/>
                <w:sz w:val="22"/>
                <w:szCs w:val="22"/>
              </w:rPr>
              <w:t>马股份公司合并财务报表附注八、56所述，</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账核对至期铜保证金账户对账单，检查分</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0"/>
              <w:jc w:val="left"/>
              <w:rPr>
                <w:rFonts w:ascii="宋体" w:hAnsi="宋体" w:cs="宋体" w:eastAsia="宋体" w:hint="default"/>
                <w:sz w:val="22"/>
                <w:szCs w:val="22"/>
              </w:rPr>
            </w:pPr>
            <w:r>
              <w:rPr>
                <w:rFonts w:ascii="宋体" w:hAnsi="宋体" w:cs="宋体" w:eastAsia="宋体" w:hint="default"/>
                <w:spacing w:val="2"/>
                <w:sz w:val="22"/>
                <w:szCs w:val="22"/>
              </w:rPr>
              <w:t>截止2019年12月31日，万马股份公司套期</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析套期损益的合理性。</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0"/>
              <w:jc w:val="left"/>
              <w:rPr>
                <w:rFonts w:ascii="宋体" w:hAnsi="宋体" w:cs="宋体" w:eastAsia="宋体" w:hint="default"/>
                <w:sz w:val="22"/>
                <w:szCs w:val="22"/>
              </w:rPr>
            </w:pPr>
            <w:r>
              <w:rPr>
                <w:rFonts w:ascii="宋体" w:hAnsi="宋体" w:cs="宋体" w:eastAsia="宋体" w:hint="default"/>
                <w:spacing w:val="2"/>
                <w:sz w:val="22"/>
                <w:szCs w:val="22"/>
              </w:rPr>
              <w:t>工具累计利得或损失-34,286,555.11元，</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--我们采用抽样方式，对被套期项目铜的</w:t>
            </w:r>
          </w:p>
        </w:tc>
      </w:tr>
      <w:tr>
        <w:trPr>
          <w:trHeight w:val="287"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left="89" w:right="0"/>
              <w:jc w:val="left"/>
              <w:rPr>
                <w:rFonts w:ascii="宋体" w:hAnsi="宋体" w:cs="宋体" w:eastAsia="宋体" w:hint="default"/>
                <w:sz w:val="22"/>
                <w:szCs w:val="22"/>
              </w:rPr>
            </w:pPr>
            <w:r>
              <w:rPr>
                <w:rFonts w:ascii="宋体" w:hAnsi="宋体" w:cs="宋体" w:eastAsia="宋体" w:hint="default"/>
                <w:spacing w:val="-3"/>
                <w:sz w:val="22"/>
                <w:szCs w:val="22"/>
              </w:rPr>
              <w:t>套期储备余额-1,614,009.01元，涉及的金</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4"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采购核对至采购合同等支持性文件；通过</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0"/>
              <w:jc w:val="left"/>
              <w:rPr>
                <w:rFonts w:ascii="宋体" w:hAnsi="宋体" w:cs="宋体" w:eastAsia="宋体" w:hint="default"/>
                <w:sz w:val="22"/>
                <w:szCs w:val="22"/>
              </w:rPr>
            </w:pPr>
            <w:r>
              <w:rPr>
                <w:rFonts w:ascii="宋体" w:hAnsi="宋体" w:cs="宋体" w:eastAsia="宋体" w:hint="default"/>
                <w:spacing w:val="2"/>
                <w:sz w:val="22"/>
                <w:szCs w:val="22"/>
              </w:rPr>
              <w:t>额比较大且套期会计处理较为复杂，故列</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与管理层讨论及审阅相关支持性文件，评</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left="89" w:right="0"/>
              <w:jc w:val="left"/>
              <w:rPr>
                <w:rFonts w:ascii="宋体" w:hAnsi="宋体" w:cs="宋体" w:eastAsia="宋体" w:hint="default"/>
                <w:sz w:val="22"/>
                <w:szCs w:val="22"/>
              </w:rPr>
            </w:pPr>
            <w:r>
              <w:rPr>
                <w:rFonts w:ascii="宋体" w:hAnsi="宋体" w:cs="宋体" w:eastAsia="宋体" w:hint="default"/>
                <w:sz w:val="22"/>
                <w:szCs w:val="22"/>
              </w:rPr>
              <w:t>为关键审计事项。</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4" w:lineRule="exact"/>
              <w:ind w:left="95" w:right="0"/>
              <w:jc w:val="left"/>
              <w:rPr>
                <w:rFonts w:ascii="宋体" w:hAnsi="宋体" w:cs="宋体" w:eastAsia="宋体" w:hint="default"/>
                <w:sz w:val="22"/>
                <w:szCs w:val="22"/>
              </w:rPr>
            </w:pPr>
            <w:r>
              <w:rPr>
                <w:rFonts w:ascii="宋体" w:hAnsi="宋体" w:cs="宋体" w:eastAsia="宋体" w:hint="default"/>
                <w:sz w:val="22"/>
                <w:szCs w:val="22"/>
              </w:rPr>
              <w:t>估套期有效性的合理性。</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--我们执行期铜保证金账户的函证程序，</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4" w:lineRule="exact"/>
              <w:ind w:left="95" w:right="0"/>
              <w:jc w:val="left"/>
              <w:rPr>
                <w:rFonts w:ascii="宋体" w:hAnsi="宋体" w:cs="宋体" w:eastAsia="宋体" w:hint="default"/>
                <w:sz w:val="22"/>
                <w:szCs w:val="22"/>
              </w:rPr>
            </w:pPr>
            <w:r>
              <w:rPr>
                <w:rFonts w:ascii="宋体" w:hAnsi="宋体" w:cs="宋体" w:eastAsia="宋体" w:hint="default"/>
                <w:spacing w:val="16"/>
                <w:sz w:val="22"/>
                <w:szCs w:val="22"/>
              </w:rPr>
              <w:t>检查套期会计相关科目期末余额的准确</w:t>
            </w:r>
          </w:p>
        </w:tc>
      </w:tr>
      <w:tr>
        <w:trPr>
          <w:trHeight w:val="301" w:hRule="exact"/>
        </w:trPr>
        <w:tc>
          <w:tcPr>
            <w:tcW w:w="4252" w:type="dxa"/>
            <w:tcBorders>
              <w:top w:val="nil" w:sz="6" w:space="0" w:color="auto"/>
              <w:left w:val="single" w:sz="8" w:space="0" w:color="000000"/>
              <w:bottom w:val="single" w:sz="4" w:space="0" w:color="000000"/>
              <w:right w:val="single" w:sz="4" w:space="0" w:color="000000"/>
            </w:tcBorders>
          </w:tcPr>
          <w:p>
            <w:pPr/>
          </w:p>
        </w:tc>
        <w:tc>
          <w:tcPr>
            <w:tcW w:w="4253" w:type="dxa"/>
            <w:tcBorders>
              <w:top w:val="nil" w:sz="6" w:space="0" w:color="auto"/>
              <w:left w:val="single" w:sz="4" w:space="0" w:color="000000"/>
              <w:bottom w:val="single" w:sz="4" w:space="0" w:color="000000"/>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z w:val="22"/>
                <w:szCs w:val="22"/>
              </w:rPr>
              <w:t>性。</w:t>
            </w:r>
          </w:p>
        </w:tc>
      </w:tr>
      <w:tr>
        <w:trPr>
          <w:trHeight w:val="315" w:hRule="exact"/>
        </w:trPr>
        <w:tc>
          <w:tcPr>
            <w:tcW w:w="4252" w:type="dxa"/>
            <w:tcBorders>
              <w:top w:val="single" w:sz="4" w:space="0" w:color="000000"/>
              <w:left w:val="single" w:sz="8" w:space="0" w:color="000000"/>
              <w:bottom w:val="single" w:sz="4" w:space="0" w:color="000000"/>
              <w:right w:val="single" w:sz="4" w:space="0" w:color="000000"/>
            </w:tcBorders>
          </w:tcPr>
          <w:p>
            <w:pPr>
              <w:pStyle w:val="TableParagraph"/>
              <w:spacing w:line="263" w:lineRule="exact"/>
              <w:ind w:left="89" w:right="0"/>
              <w:jc w:val="left"/>
              <w:rPr>
                <w:rFonts w:ascii="宋体" w:hAnsi="宋体" w:cs="宋体" w:eastAsia="宋体" w:hint="default"/>
                <w:sz w:val="22"/>
                <w:szCs w:val="22"/>
              </w:rPr>
            </w:pPr>
            <w:r>
              <w:rPr>
                <w:rFonts w:ascii="宋体" w:hAnsi="宋体" w:cs="宋体" w:eastAsia="宋体" w:hint="default"/>
                <w:b/>
                <w:bCs/>
                <w:sz w:val="22"/>
                <w:szCs w:val="22"/>
              </w:rPr>
              <w:t>商誉减值事项</w:t>
            </w:r>
            <w:r>
              <w:rPr>
                <w:rFonts w:ascii="宋体" w:hAnsi="宋体" w:cs="宋体" w:eastAsia="宋体" w:hint="default"/>
                <w:sz w:val="22"/>
                <w:szCs w:val="22"/>
              </w:rPr>
            </w:r>
          </w:p>
        </w:tc>
        <w:tc>
          <w:tcPr>
            <w:tcW w:w="4253" w:type="dxa"/>
            <w:tcBorders>
              <w:top w:val="single" w:sz="4" w:space="0" w:color="000000"/>
              <w:left w:val="single" w:sz="4" w:space="0" w:color="000000"/>
              <w:bottom w:val="single" w:sz="4" w:space="0" w:color="000000"/>
              <w:right w:val="single" w:sz="8" w:space="0" w:color="000000"/>
            </w:tcBorders>
          </w:tcPr>
          <w:p>
            <w:pPr/>
          </w:p>
        </w:tc>
      </w:tr>
      <w:tr>
        <w:trPr>
          <w:trHeight w:val="300" w:hRule="exact"/>
        </w:trPr>
        <w:tc>
          <w:tcPr>
            <w:tcW w:w="4252" w:type="dxa"/>
            <w:tcBorders>
              <w:top w:val="single" w:sz="4" w:space="0" w:color="000000"/>
              <w:left w:val="single" w:sz="8" w:space="0" w:color="000000"/>
              <w:bottom w:val="nil" w:sz="6" w:space="0" w:color="auto"/>
              <w:right w:val="single" w:sz="4" w:space="0" w:color="000000"/>
            </w:tcBorders>
          </w:tcPr>
          <w:p>
            <w:pPr/>
          </w:p>
        </w:tc>
        <w:tc>
          <w:tcPr>
            <w:tcW w:w="4253" w:type="dxa"/>
            <w:tcBorders>
              <w:top w:val="single" w:sz="4" w:space="0" w:color="000000"/>
              <w:left w:val="single" w:sz="4" w:space="0" w:color="000000"/>
              <w:bottom w:val="nil" w:sz="6" w:space="0" w:color="auto"/>
              <w:right w:val="single" w:sz="8" w:space="0" w:color="000000"/>
            </w:tcBorders>
          </w:tcPr>
          <w:p>
            <w:pPr>
              <w:pStyle w:val="TableParagraph"/>
              <w:spacing w:line="263" w:lineRule="exact"/>
              <w:ind w:left="414" w:right="0"/>
              <w:jc w:val="left"/>
              <w:rPr>
                <w:rFonts w:ascii="宋体" w:hAnsi="宋体" w:cs="宋体" w:eastAsia="宋体" w:hint="default"/>
                <w:sz w:val="22"/>
                <w:szCs w:val="22"/>
              </w:rPr>
            </w:pPr>
            <w:r>
              <w:rPr>
                <w:rFonts w:ascii="宋体" w:hAnsi="宋体" w:cs="宋体" w:eastAsia="宋体" w:hint="default"/>
                <w:sz w:val="22"/>
                <w:szCs w:val="22"/>
              </w:rPr>
              <w:t>我们执行的主要审计程序如下：</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--了解商誉减值评估管理的流程和控制；</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--评价管理层向外聘专家提供的数据的准</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确性及相关性；</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530" w:right="0"/>
              <w:jc w:val="left"/>
              <w:rPr>
                <w:rFonts w:ascii="宋体" w:hAnsi="宋体" w:cs="宋体" w:eastAsia="宋体" w:hint="default"/>
                <w:sz w:val="22"/>
                <w:szCs w:val="22"/>
              </w:rPr>
            </w:pPr>
            <w:r>
              <w:rPr>
                <w:rFonts w:ascii="宋体" w:hAnsi="宋体" w:cs="宋体" w:eastAsia="宋体" w:hint="default"/>
                <w:spacing w:val="2"/>
                <w:sz w:val="22"/>
                <w:szCs w:val="22"/>
              </w:rPr>
              <w:t>截止2019年12月31日，万马股份公司</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--评价商誉减值测试的估值方法、资产组</w:t>
            </w:r>
          </w:p>
        </w:tc>
      </w:tr>
      <w:tr>
        <w:trPr>
          <w:trHeight w:val="284"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2" w:lineRule="exact"/>
              <w:ind w:left="89" w:right="0"/>
              <w:jc w:val="left"/>
              <w:rPr>
                <w:rFonts w:ascii="宋体" w:hAnsi="宋体" w:cs="宋体" w:eastAsia="宋体" w:hint="default"/>
                <w:sz w:val="22"/>
                <w:szCs w:val="22"/>
              </w:rPr>
            </w:pPr>
            <w:r>
              <w:rPr>
                <w:rFonts w:ascii="宋体" w:hAnsi="宋体" w:cs="宋体" w:eastAsia="宋体" w:hint="default"/>
                <w:spacing w:val="2"/>
                <w:sz w:val="22"/>
                <w:szCs w:val="22"/>
              </w:rPr>
              <w:t>非同一控制下并购浙江万马集团特种电子</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95" w:right="0"/>
              <w:jc w:val="left"/>
              <w:rPr>
                <w:rFonts w:ascii="宋体" w:hAnsi="宋体" w:cs="宋体" w:eastAsia="宋体" w:hint="default"/>
                <w:sz w:val="22"/>
                <w:szCs w:val="22"/>
              </w:rPr>
            </w:pPr>
            <w:r>
              <w:rPr>
                <w:rFonts w:ascii="宋体" w:hAnsi="宋体" w:cs="宋体" w:eastAsia="宋体" w:hint="default"/>
                <w:sz w:val="22"/>
                <w:szCs w:val="22"/>
              </w:rPr>
              <w:t>划分的合理性；</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0"/>
              <w:jc w:val="left"/>
              <w:rPr>
                <w:rFonts w:ascii="宋体" w:hAnsi="宋体" w:cs="宋体" w:eastAsia="宋体" w:hint="default"/>
                <w:sz w:val="22"/>
                <w:szCs w:val="22"/>
              </w:rPr>
            </w:pPr>
            <w:r>
              <w:rPr>
                <w:rFonts w:ascii="宋体" w:hAnsi="宋体" w:cs="宋体" w:eastAsia="宋体" w:hint="default"/>
                <w:sz w:val="22"/>
                <w:szCs w:val="22"/>
              </w:rPr>
              <w:t>电</w:t>
            </w:r>
            <w:r>
              <w:rPr>
                <w:rFonts w:ascii="宋体" w:hAnsi="宋体" w:cs="宋体" w:eastAsia="宋体" w:hint="default"/>
                <w:spacing w:val="-79"/>
                <w:sz w:val="22"/>
                <w:szCs w:val="22"/>
              </w:rPr>
              <w:t> </w:t>
            </w:r>
            <w:r>
              <w:rPr>
                <w:rFonts w:ascii="宋体" w:hAnsi="宋体" w:cs="宋体" w:eastAsia="宋体" w:hint="default"/>
                <w:sz w:val="22"/>
                <w:szCs w:val="22"/>
              </w:rPr>
              <w:t>缆</w:t>
            </w:r>
            <w:r>
              <w:rPr>
                <w:rFonts w:ascii="宋体" w:hAnsi="宋体" w:cs="宋体" w:eastAsia="宋体" w:hint="default"/>
                <w:spacing w:val="-82"/>
                <w:sz w:val="22"/>
                <w:szCs w:val="22"/>
              </w:rPr>
              <w:t> </w:t>
            </w:r>
            <w:r>
              <w:rPr>
                <w:rFonts w:ascii="宋体" w:hAnsi="宋体" w:cs="宋体" w:eastAsia="宋体" w:hint="default"/>
                <w:sz w:val="22"/>
                <w:szCs w:val="22"/>
              </w:rPr>
              <w:t>有</w:t>
            </w:r>
            <w:r>
              <w:rPr>
                <w:rFonts w:ascii="宋体" w:hAnsi="宋体" w:cs="宋体" w:eastAsia="宋体" w:hint="default"/>
                <w:spacing w:val="-79"/>
                <w:sz w:val="22"/>
                <w:szCs w:val="22"/>
              </w:rPr>
              <w:t> </w:t>
            </w:r>
            <w:r>
              <w:rPr>
                <w:rFonts w:ascii="宋体" w:hAnsi="宋体" w:cs="宋体" w:eastAsia="宋体" w:hint="default"/>
                <w:sz w:val="22"/>
                <w:szCs w:val="22"/>
              </w:rPr>
              <w:t>限</w:t>
            </w:r>
            <w:r>
              <w:rPr>
                <w:rFonts w:ascii="宋体" w:hAnsi="宋体" w:cs="宋体" w:eastAsia="宋体" w:hint="default"/>
                <w:spacing w:val="-79"/>
                <w:sz w:val="22"/>
                <w:szCs w:val="22"/>
              </w:rPr>
              <w:t> </w:t>
            </w:r>
            <w:r>
              <w:rPr>
                <w:rFonts w:ascii="宋体" w:hAnsi="宋体" w:cs="宋体" w:eastAsia="宋体" w:hint="default"/>
                <w:sz w:val="22"/>
                <w:szCs w:val="22"/>
              </w:rPr>
              <w:t>公</w:t>
            </w:r>
            <w:r>
              <w:rPr>
                <w:rFonts w:ascii="宋体" w:hAnsi="宋体" w:cs="宋体" w:eastAsia="宋体" w:hint="default"/>
                <w:spacing w:val="-82"/>
                <w:sz w:val="22"/>
                <w:szCs w:val="22"/>
              </w:rPr>
              <w:t> </w:t>
            </w:r>
            <w:r>
              <w:rPr>
                <w:rFonts w:ascii="宋体" w:hAnsi="宋体" w:cs="宋体" w:eastAsia="宋体" w:hint="default"/>
                <w:sz w:val="22"/>
                <w:szCs w:val="22"/>
              </w:rPr>
              <w:t>司</w:t>
            </w:r>
            <w:r>
              <w:rPr>
                <w:rFonts w:ascii="宋体" w:hAnsi="宋体" w:cs="宋体" w:eastAsia="宋体" w:hint="default"/>
                <w:spacing w:val="-79"/>
                <w:sz w:val="22"/>
                <w:szCs w:val="22"/>
              </w:rPr>
              <w:t> </w:t>
            </w:r>
            <w:r>
              <w:rPr>
                <w:rFonts w:ascii="宋体" w:hAnsi="宋体" w:cs="宋体" w:eastAsia="宋体" w:hint="default"/>
                <w:sz w:val="22"/>
                <w:szCs w:val="22"/>
              </w:rPr>
              <w:t>形</w:t>
            </w:r>
            <w:r>
              <w:rPr>
                <w:rFonts w:ascii="宋体" w:hAnsi="宋体" w:cs="宋体" w:eastAsia="宋体" w:hint="default"/>
                <w:spacing w:val="-79"/>
                <w:sz w:val="22"/>
                <w:szCs w:val="22"/>
              </w:rPr>
              <w:t> </w:t>
            </w:r>
            <w:r>
              <w:rPr>
                <w:rFonts w:ascii="宋体" w:hAnsi="宋体" w:cs="宋体" w:eastAsia="宋体" w:hint="default"/>
                <w:sz w:val="22"/>
                <w:szCs w:val="22"/>
              </w:rPr>
              <w:t>成</w:t>
            </w:r>
            <w:r>
              <w:rPr>
                <w:rFonts w:ascii="宋体" w:hAnsi="宋体" w:cs="宋体" w:eastAsia="宋体" w:hint="default"/>
                <w:spacing w:val="-82"/>
                <w:sz w:val="22"/>
                <w:szCs w:val="22"/>
              </w:rPr>
              <w:t> </w:t>
            </w:r>
            <w:r>
              <w:rPr>
                <w:rFonts w:ascii="宋体" w:hAnsi="宋体" w:cs="宋体" w:eastAsia="宋体" w:hint="default"/>
                <w:sz w:val="22"/>
                <w:szCs w:val="22"/>
              </w:rPr>
              <w:t>商</w:t>
            </w:r>
            <w:r>
              <w:rPr>
                <w:rFonts w:ascii="宋体" w:hAnsi="宋体" w:cs="宋体" w:eastAsia="宋体" w:hint="default"/>
                <w:spacing w:val="-79"/>
                <w:sz w:val="22"/>
                <w:szCs w:val="22"/>
              </w:rPr>
              <w:t> </w:t>
            </w:r>
            <w:r>
              <w:rPr>
                <w:rFonts w:ascii="宋体" w:hAnsi="宋体" w:cs="宋体" w:eastAsia="宋体" w:hint="default"/>
                <w:sz w:val="22"/>
                <w:szCs w:val="22"/>
              </w:rPr>
              <w:t>誉</w:t>
            </w:r>
            <w:r>
              <w:rPr>
                <w:rFonts w:ascii="宋体" w:hAnsi="宋体" w:cs="宋体" w:eastAsia="宋体" w:hint="default"/>
                <w:spacing w:val="-79"/>
                <w:sz w:val="22"/>
                <w:szCs w:val="22"/>
              </w:rPr>
              <w:t> </w:t>
            </w:r>
            <w:r>
              <w:rPr>
                <w:rFonts w:ascii="宋体" w:hAnsi="宋体" w:cs="宋体" w:eastAsia="宋体" w:hint="default"/>
                <w:sz w:val="22"/>
                <w:szCs w:val="22"/>
              </w:rPr>
              <w:t>295,460,125.84</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--评价管理层采用的估值模型中采用的关</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0"/>
              <w:jc w:val="left"/>
              <w:rPr>
                <w:rFonts w:ascii="宋体" w:hAnsi="宋体" w:cs="宋体" w:eastAsia="宋体" w:hint="default"/>
                <w:sz w:val="22"/>
                <w:szCs w:val="22"/>
              </w:rPr>
            </w:pPr>
            <w:r>
              <w:rPr>
                <w:rFonts w:ascii="宋体" w:hAnsi="宋体" w:cs="宋体" w:eastAsia="宋体" w:hint="default"/>
                <w:spacing w:val="2"/>
                <w:sz w:val="22"/>
                <w:szCs w:val="22"/>
              </w:rPr>
              <w:t>元，因商誉金额重大，且商誉减值准备的</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键假设的适当性及所引用参数的合理性；</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0"/>
              <w:jc w:val="left"/>
              <w:rPr>
                <w:rFonts w:ascii="宋体" w:hAnsi="宋体" w:cs="宋体" w:eastAsia="宋体" w:hint="default"/>
                <w:sz w:val="22"/>
                <w:szCs w:val="22"/>
              </w:rPr>
            </w:pPr>
            <w:r>
              <w:rPr>
                <w:rFonts w:ascii="宋体" w:hAnsi="宋体" w:cs="宋体" w:eastAsia="宋体" w:hint="default"/>
                <w:spacing w:val="2"/>
                <w:sz w:val="22"/>
                <w:szCs w:val="22"/>
              </w:rPr>
              <w:t>计提涉及管理层的判断和估计，故为关键</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--将预计未来现金流量现值时的基础数据</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Style w:val="TableParagraph"/>
              <w:spacing w:line="253" w:lineRule="exact"/>
              <w:ind w:left="89" w:right="0"/>
              <w:jc w:val="left"/>
              <w:rPr>
                <w:rFonts w:ascii="宋体" w:hAnsi="宋体" w:cs="宋体" w:eastAsia="宋体" w:hint="default"/>
                <w:sz w:val="22"/>
                <w:szCs w:val="22"/>
              </w:rPr>
            </w:pPr>
            <w:r>
              <w:rPr>
                <w:rFonts w:ascii="宋体" w:hAnsi="宋体" w:cs="宋体" w:eastAsia="宋体" w:hint="default"/>
                <w:sz w:val="22"/>
                <w:szCs w:val="22"/>
              </w:rPr>
              <w:t>审计事项。</w:t>
            </w: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与历史数据及其他支持性证据进行核对，</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并考虑合理性；</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--基于我们对事实和情况的了解，评价管</w:t>
            </w:r>
          </w:p>
        </w:tc>
      </w:tr>
      <w:tr>
        <w:trPr>
          <w:trHeight w:val="286" w:hRule="exact"/>
        </w:trPr>
        <w:tc>
          <w:tcPr>
            <w:tcW w:w="4252" w:type="dxa"/>
            <w:tcBorders>
              <w:top w:val="nil" w:sz="6" w:space="0" w:color="auto"/>
              <w:left w:val="single" w:sz="8" w:space="0" w:color="000000"/>
              <w:bottom w:val="nil" w:sz="6" w:space="0" w:color="auto"/>
              <w:right w:val="single" w:sz="4" w:space="0" w:color="000000"/>
            </w:tcBorders>
          </w:tcPr>
          <w:p>
            <w:pPr/>
          </w:p>
        </w:tc>
        <w:tc>
          <w:tcPr>
            <w:tcW w:w="4253" w:type="dxa"/>
            <w:tcBorders>
              <w:top w:val="nil" w:sz="6" w:space="0" w:color="auto"/>
              <w:left w:val="single" w:sz="4" w:space="0" w:color="000000"/>
              <w:bottom w:val="nil" w:sz="6" w:space="0" w:color="auto"/>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pacing w:val="2"/>
                <w:sz w:val="22"/>
                <w:szCs w:val="22"/>
              </w:rPr>
              <w:t>理层在减值测试中预计未来现金流量现值</w:t>
            </w:r>
          </w:p>
        </w:tc>
      </w:tr>
      <w:tr>
        <w:trPr>
          <w:trHeight w:val="305" w:hRule="exact"/>
        </w:trPr>
        <w:tc>
          <w:tcPr>
            <w:tcW w:w="4252" w:type="dxa"/>
            <w:tcBorders>
              <w:top w:val="nil" w:sz="6" w:space="0" w:color="auto"/>
              <w:left w:val="single" w:sz="8" w:space="0" w:color="000000"/>
              <w:bottom w:val="single" w:sz="8" w:space="0" w:color="000000"/>
              <w:right w:val="single" w:sz="4" w:space="0" w:color="000000"/>
            </w:tcBorders>
          </w:tcPr>
          <w:p>
            <w:pPr/>
          </w:p>
        </w:tc>
        <w:tc>
          <w:tcPr>
            <w:tcW w:w="4253" w:type="dxa"/>
            <w:tcBorders>
              <w:top w:val="nil" w:sz="6" w:space="0" w:color="auto"/>
              <w:left w:val="single" w:sz="4" w:space="0" w:color="000000"/>
              <w:bottom w:val="single" w:sz="8" w:space="0" w:color="000000"/>
              <w:right w:val="single" w:sz="8" w:space="0" w:color="000000"/>
            </w:tcBorders>
          </w:tcPr>
          <w:p>
            <w:pPr>
              <w:pStyle w:val="TableParagraph"/>
              <w:spacing w:line="253" w:lineRule="exact"/>
              <w:ind w:left="95" w:right="0"/>
              <w:jc w:val="left"/>
              <w:rPr>
                <w:rFonts w:ascii="宋体" w:hAnsi="宋体" w:cs="宋体" w:eastAsia="宋体" w:hint="default"/>
                <w:sz w:val="22"/>
                <w:szCs w:val="22"/>
              </w:rPr>
            </w:pPr>
            <w:r>
              <w:rPr>
                <w:rFonts w:ascii="宋体" w:hAnsi="宋体" w:cs="宋体" w:eastAsia="宋体" w:hint="default"/>
                <w:sz w:val="22"/>
                <w:szCs w:val="22"/>
              </w:rPr>
              <w:t>时运用的重大估计和判断的合理性。</w:t>
            </w:r>
          </w:p>
        </w:tc>
      </w:tr>
    </w:tbl>
    <w:p>
      <w:pPr>
        <w:pStyle w:val="Heading4"/>
        <w:spacing w:line="253" w:lineRule="exact"/>
        <w:ind w:left="560" w:right="493"/>
        <w:jc w:val="left"/>
        <w:rPr>
          <w:b w:val="0"/>
          <w:bCs w:val="0"/>
        </w:rPr>
      </w:pPr>
      <w:r>
        <w:rPr/>
        <w:t>4.其他信息</w:t>
      </w:r>
      <w:r>
        <w:rPr>
          <w:b w:val="0"/>
          <w:bCs w:val="0"/>
        </w:rPr>
      </w:r>
    </w:p>
    <w:p>
      <w:pPr>
        <w:pStyle w:val="BodyText"/>
        <w:spacing w:line="286" w:lineRule="exact" w:before="146"/>
        <w:ind w:left="121" w:right="493" w:firstLine="439"/>
        <w:jc w:val="left"/>
      </w:pPr>
      <w:r>
        <w:rPr>
          <w:spacing w:val="-4"/>
        </w:rPr>
        <w:t>万马股份公司管理层(以下简称管理层)对其他信息负责。其他信息包括万马股份公司</w:t>
      </w:r>
      <w:r>
        <w:rPr>
          <w:w w:val="100"/>
        </w:rPr>
        <w:t> </w:t>
      </w:r>
      <w:r>
        <w:rPr/>
        <w:t>2019年年度报告中涵盖的信息，但不包括财务报表和我们的审计报告。</w:t>
      </w:r>
    </w:p>
    <w:p>
      <w:pPr>
        <w:pStyle w:val="BodyText"/>
        <w:spacing w:line="284" w:lineRule="exact" w:before="121"/>
        <w:ind w:left="121" w:right="493" w:firstLine="439"/>
        <w:jc w:val="left"/>
      </w:pPr>
      <w:r>
        <w:rPr>
          <w:spacing w:val="-4"/>
        </w:rPr>
        <w:t>我们对财务报表发表的审计意见不涵盖其他信息，我们也不对其他信息发表任何形式</w:t>
      </w:r>
      <w:r>
        <w:rPr>
          <w:w w:val="100"/>
        </w:rPr>
        <w:t> </w:t>
      </w:r>
      <w:r>
        <w:rPr/>
        <w:t>的鉴证结论。</w:t>
      </w:r>
    </w:p>
    <w:p>
      <w:pPr>
        <w:pStyle w:val="BodyText"/>
        <w:spacing w:line="237" w:lineRule="auto" w:before="97"/>
        <w:ind w:left="121" w:right="1697" w:firstLine="439"/>
        <w:jc w:val="both"/>
      </w:pPr>
      <w:r>
        <w:rPr>
          <w:spacing w:val="-4"/>
        </w:rPr>
        <w:t>结合我们对财务报表的审计，我们的责任是阅读其他信息，在此过程中，考虑其他信</w:t>
      </w:r>
      <w:r>
        <w:rPr>
          <w:w w:val="100"/>
        </w:rPr>
        <w:t> </w:t>
      </w:r>
      <w:r>
        <w:rPr>
          <w:spacing w:val="2"/>
        </w:rPr>
        <w:t>息是否与财务报表或我们在审计过程中了解到的情况存在重大不一致或者似乎存在重大</w:t>
      </w:r>
      <w:r>
        <w:rPr>
          <w:spacing w:val="-51"/>
        </w:rPr>
        <w:t> </w:t>
      </w:r>
      <w:r>
        <w:rPr>
          <w:spacing w:val="-51"/>
        </w:rPr>
      </w:r>
      <w:r>
        <w:rPr/>
        <w:t>错报。</w:t>
      </w:r>
    </w:p>
    <w:p>
      <w:pPr>
        <w:pStyle w:val="BodyText"/>
        <w:spacing w:line="286" w:lineRule="exact" w:before="146"/>
        <w:ind w:left="121" w:right="493" w:firstLine="439"/>
        <w:jc w:val="left"/>
      </w:pPr>
      <w:r>
        <w:rPr>
          <w:spacing w:val="-7"/>
          <w:w w:val="100"/>
        </w:rPr>
        <w:t>基于我们已执行的工作，如果我们确定其他信息存在重大错报，我们应当报告该事实。</w:t>
      </w:r>
      <w:r>
        <w:rPr>
          <w:w w:val="100"/>
        </w:rPr>
        <w:t> </w:t>
      </w:r>
      <w:r>
        <w:rPr/>
        <w:t>在这方面，我们无任何事项需要报告。</w:t>
      </w:r>
    </w:p>
    <w:p>
      <w:pPr>
        <w:spacing w:line="338" w:lineRule="auto" w:before="91"/>
        <w:ind w:left="560" w:right="493" w:firstLine="0"/>
        <w:jc w:val="left"/>
        <w:rPr>
          <w:rFonts w:ascii="宋体" w:hAnsi="宋体" w:cs="宋体" w:eastAsia="宋体" w:hint="default"/>
          <w:sz w:val="22"/>
          <w:szCs w:val="22"/>
        </w:rPr>
      </w:pPr>
      <w:r>
        <w:rPr>
          <w:rFonts w:ascii="宋体" w:hAnsi="宋体" w:cs="宋体" w:eastAsia="宋体" w:hint="default"/>
          <w:b/>
          <w:bCs/>
          <w:sz w:val="22"/>
          <w:szCs w:val="22"/>
        </w:rPr>
        <w:t>5.管理层和治理层对财务报表的责任</w:t>
      </w:r>
      <w:r>
        <w:rPr>
          <w:rFonts w:ascii="宋体" w:hAnsi="宋体" w:cs="宋体" w:eastAsia="宋体" w:hint="default"/>
          <w:b/>
          <w:bCs/>
          <w:w w:val="100"/>
          <w:sz w:val="22"/>
          <w:szCs w:val="22"/>
        </w:rPr>
        <w:t> </w:t>
      </w:r>
      <w:r>
        <w:rPr>
          <w:rFonts w:ascii="宋体" w:hAnsi="宋体" w:cs="宋体" w:eastAsia="宋体" w:hint="default"/>
          <w:spacing w:val="-4"/>
          <w:sz w:val="22"/>
          <w:szCs w:val="22"/>
        </w:rPr>
        <w:t>管理层负责按照企业会计准则的规定编制财务报表，使其实现公允反映，并设计、执</w:t>
      </w:r>
    </w:p>
    <w:p>
      <w:pPr>
        <w:spacing w:after="0" w:line="338" w:lineRule="auto"/>
        <w:jc w:val="left"/>
        <w:rPr>
          <w:rFonts w:ascii="宋体" w:hAnsi="宋体" w:cs="宋体" w:eastAsia="宋体" w:hint="default"/>
          <w:sz w:val="22"/>
          <w:szCs w:val="22"/>
        </w:rPr>
        <w:sectPr>
          <w:footerReference w:type="default" r:id="rId40"/>
          <w:pgSz w:w="11910" w:h="16840"/>
          <w:pgMar w:footer="883" w:header="939" w:top="1940" w:bottom="1080" w:left="1580" w:right="0"/>
          <w:pgNumType w:start="71"/>
        </w:sectPr>
      </w:pPr>
    </w:p>
    <w:p>
      <w:pPr>
        <w:pStyle w:val="BodyText"/>
        <w:spacing w:line="400" w:lineRule="atLeast" w:before="8"/>
        <w:ind w:left="540" w:right="1634" w:hanging="440"/>
        <w:jc w:val="left"/>
      </w:pPr>
      <w:r>
        <w:rPr/>
        <w:t>行和维护必要的内部控制，以使财务报表不存在由于舞弊或错误导致的重大错报。</w:t>
      </w:r>
      <w:r>
        <w:rPr>
          <w:w w:val="100"/>
        </w:rPr>
        <w:t> </w:t>
      </w:r>
      <w:r>
        <w:rPr>
          <w:spacing w:val="-4"/>
        </w:rPr>
        <w:t>在编制财务报表时，管理层负责评估万马股份公司的持续经营能力，披露与持续经营</w:t>
      </w:r>
    </w:p>
    <w:p>
      <w:pPr>
        <w:pStyle w:val="BodyText"/>
        <w:spacing w:line="286" w:lineRule="exact" w:before="26"/>
        <w:ind w:right="1634"/>
        <w:jc w:val="left"/>
      </w:pPr>
      <w:r>
        <w:rPr>
          <w:spacing w:val="-4"/>
        </w:rPr>
        <w:t>相关的事项（如适用），并运用持续经营假设，除非管理层计划清算万马股份公司、终止</w:t>
      </w:r>
      <w:r>
        <w:rPr>
          <w:spacing w:val="-49"/>
        </w:rPr>
        <w:t> </w:t>
      </w:r>
      <w:r>
        <w:rPr>
          <w:spacing w:val="-49"/>
        </w:rPr>
      </w:r>
      <w:r>
        <w:rPr/>
        <w:t>运营或别无其他现实的选择。</w:t>
      </w:r>
    </w:p>
    <w:p>
      <w:pPr>
        <w:spacing w:line="406" w:lineRule="exact" w:before="23"/>
        <w:ind w:left="540" w:right="1634" w:firstLine="0"/>
        <w:jc w:val="left"/>
        <w:rPr>
          <w:rFonts w:ascii="宋体" w:hAnsi="宋体" w:cs="宋体" w:eastAsia="宋体" w:hint="default"/>
          <w:sz w:val="22"/>
          <w:szCs w:val="22"/>
        </w:rPr>
      </w:pPr>
      <w:r>
        <w:rPr>
          <w:rFonts w:ascii="宋体" w:hAnsi="宋体" w:cs="宋体" w:eastAsia="宋体" w:hint="default"/>
          <w:sz w:val="22"/>
          <w:szCs w:val="22"/>
        </w:rPr>
        <w:t>治理层负责监督万马股份公司的财务报告过程。</w:t>
      </w:r>
      <w:r>
        <w:rPr>
          <w:rFonts w:ascii="宋体" w:hAnsi="宋体" w:cs="宋体" w:eastAsia="宋体" w:hint="default"/>
          <w:w w:val="100"/>
          <w:sz w:val="22"/>
          <w:szCs w:val="22"/>
        </w:rPr>
        <w:t> </w:t>
      </w:r>
      <w:r>
        <w:rPr>
          <w:rFonts w:ascii="宋体" w:hAnsi="宋体" w:cs="宋体" w:eastAsia="宋体" w:hint="default"/>
          <w:b/>
          <w:bCs/>
          <w:sz w:val="22"/>
          <w:szCs w:val="22"/>
        </w:rPr>
        <w:t>6.注册会计师对财务报表审计的责任</w:t>
      </w:r>
      <w:r>
        <w:rPr>
          <w:rFonts w:ascii="宋体" w:hAnsi="宋体" w:cs="宋体" w:eastAsia="宋体" w:hint="default"/>
          <w:b/>
          <w:bCs/>
          <w:w w:val="100"/>
          <w:sz w:val="22"/>
          <w:szCs w:val="22"/>
        </w:rPr>
        <w:t> </w:t>
      </w:r>
      <w:r>
        <w:rPr>
          <w:rFonts w:ascii="宋体" w:hAnsi="宋体" w:cs="宋体" w:eastAsia="宋体" w:hint="default"/>
          <w:spacing w:val="2"/>
          <w:sz w:val="22"/>
          <w:szCs w:val="22"/>
        </w:rPr>
        <w:t>我们的目标是对财务报表整体是否不存在由于舞弊或错误导致的重大错报获取合理</w:t>
      </w:r>
    </w:p>
    <w:p>
      <w:pPr>
        <w:pStyle w:val="BodyText"/>
        <w:spacing w:line="233" w:lineRule="exact" w:before="0"/>
        <w:ind w:right="1634"/>
        <w:jc w:val="left"/>
      </w:pPr>
      <w:r>
        <w:rPr>
          <w:spacing w:val="-4"/>
        </w:rPr>
        <w:t>保证，并出具包含审计意见的审计报告。合理保证是高水平的保证，但并不能保证按照审</w:t>
      </w:r>
    </w:p>
    <w:p>
      <w:pPr>
        <w:pStyle w:val="BodyText"/>
        <w:spacing w:line="286" w:lineRule="exact" w:before="26"/>
        <w:ind w:right="1697"/>
        <w:jc w:val="both"/>
      </w:pPr>
      <w:r>
        <w:rPr>
          <w:spacing w:val="-4"/>
        </w:rPr>
        <w:t>计准则执行的审计在某一重大错报存在时总能发现。错报可能由于舞弊或错误导致，如果</w:t>
      </w:r>
      <w:r>
        <w:rPr>
          <w:spacing w:val="-51"/>
        </w:rPr>
        <w:t> </w:t>
      </w:r>
      <w:r>
        <w:rPr>
          <w:spacing w:val="-51"/>
        </w:rPr>
      </w:r>
      <w:r>
        <w:rPr>
          <w:spacing w:val="-4"/>
        </w:rPr>
        <w:t>合理预期错报单独或汇总起来可能影响财务报表使用者依据财务报表作出的经济决策，则</w:t>
      </w:r>
      <w:r>
        <w:rPr>
          <w:spacing w:val="-51"/>
        </w:rPr>
        <w:t> </w:t>
      </w:r>
      <w:r>
        <w:rPr>
          <w:spacing w:val="-51"/>
        </w:rPr>
      </w:r>
      <w:r>
        <w:rPr/>
        <w:t>通常认为错报是重大的。</w:t>
      </w:r>
    </w:p>
    <w:p>
      <w:pPr>
        <w:pStyle w:val="BodyText"/>
        <w:spacing w:line="286" w:lineRule="exact" w:before="119"/>
        <w:ind w:right="1634" w:firstLine="439"/>
        <w:jc w:val="left"/>
      </w:pPr>
      <w:r>
        <w:rPr>
          <w:spacing w:val="-7"/>
        </w:rPr>
        <w:t>在按照审计准则执行审计工作的过程中，我们运用职业判断，并保持职业怀疑。同时，</w:t>
      </w:r>
      <w:r>
        <w:rPr>
          <w:w w:val="100"/>
        </w:rPr>
        <w:t> </w:t>
      </w:r>
      <w:r>
        <w:rPr/>
        <w:t>我们也执行以下工作：</w:t>
      </w:r>
    </w:p>
    <w:p>
      <w:pPr>
        <w:pStyle w:val="BodyText"/>
        <w:spacing w:line="286" w:lineRule="exact" w:before="119"/>
        <w:ind w:right="1694" w:firstLine="439"/>
        <w:jc w:val="both"/>
      </w:pPr>
      <w:r>
        <w:rPr>
          <w:spacing w:val="-4"/>
        </w:rPr>
        <w:t>识别和评估由于舞弊或错误导致的财务报表重大错报风险，设计和实施审计程序以应</w:t>
      </w:r>
      <w:r>
        <w:rPr>
          <w:w w:val="100"/>
        </w:rPr>
        <w:t> </w:t>
      </w:r>
      <w:r>
        <w:rPr>
          <w:spacing w:val="-4"/>
        </w:rPr>
        <w:t>对这些风险，并获取充分、适当的审计证据，作为发表审计意见的基础。由于舞弊可能涉</w:t>
      </w:r>
      <w:r>
        <w:rPr>
          <w:spacing w:val="-51"/>
        </w:rPr>
        <w:t> </w:t>
      </w:r>
      <w:r>
        <w:rPr>
          <w:spacing w:val="-51"/>
        </w:rPr>
      </w:r>
      <w:r>
        <w:rPr>
          <w:spacing w:val="-4"/>
        </w:rPr>
        <w:t>及串通、伪造、故意遗漏、虚假陈述或凌驾于内部控制之上，未能发现由于舞弊导致的重</w:t>
      </w:r>
      <w:r>
        <w:rPr>
          <w:spacing w:val="-49"/>
        </w:rPr>
        <w:t> </w:t>
      </w:r>
      <w:r>
        <w:rPr>
          <w:spacing w:val="-49"/>
        </w:rPr>
      </w:r>
      <w:r>
        <w:rPr/>
        <w:t>大错报的风险高于未能发现由于错误导致的重大错报的风险。</w:t>
      </w:r>
    </w:p>
    <w:p>
      <w:pPr>
        <w:pStyle w:val="BodyText"/>
        <w:spacing w:line="286" w:lineRule="exact" w:before="117"/>
        <w:ind w:right="1697" w:firstLine="439"/>
        <w:jc w:val="both"/>
      </w:pPr>
      <w:r>
        <w:rPr>
          <w:spacing w:val="-4"/>
        </w:rPr>
        <w:t>了解与审计相关的内部控制，以设计恰当的审计程序，但目的并非对内部控制的有效</w:t>
      </w:r>
      <w:r>
        <w:rPr>
          <w:w w:val="100"/>
        </w:rPr>
        <w:t> </w:t>
      </w:r>
      <w:r>
        <w:rPr/>
        <w:t>性发表意见。</w:t>
      </w:r>
    </w:p>
    <w:p>
      <w:pPr>
        <w:pStyle w:val="BodyText"/>
        <w:spacing w:line="406" w:lineRule="exact" w:before="23"/>
        <w:ind w:left="540" w:right="1634"/>
        <w:jc w:val="left"/>
      </w:pPr>
      <w:r>
        <w:rPr/>
        <w:t>评价管理层选用会计政策的恰当性和作出会计估计及相关披露的合理性。</w:t>
      </w:r>
      <w:r>
        <w:rPr>
          <w:w w:val="100"/>
        </w:rPr>
        <w:t> </w:t>
      </w:r>
      <w:r>
        <w:rPr>
          <w:spacing w:val="-4"/>
        </w:rPr>
        <w:t>对管理层使用持续经营假设的恰当性得出结论。同时，根据获取的审计证据，就可能</w:t>
      </w:r>
    </w:p>
    <w:p>
      <w:pPr>
        <w:pStyle w:val="BodyText"/>
        <w:spacing w:line="234" w:lineRule="exact" w:before="0"/>
        <w:ind w:right="1634"/>
        <w:jc w:val="left"/>
      </w:pPr>
      <w:r>
        <w:rPr>
          <w:spacing w:val="2"/>
        </w:rPr>
        <w:t>导致对万马股份公司持续经营能力产生重大疑虑的事项或情况是否存在重大不确定性得</w:t>
      </w:r>
    </w:p>
    <w:p>
      <w:pPr>
        <w:pStyle w:val="BodyText"/>
        <w:spacing w:line="237" w:lineRule="auto" w:before="1"/>
        <w:ind w:right="1634"/>
        <w:jc w:val="left"/>
      </w:pPr>
      <w:r>
        <w:rPr>
          <w:spacing w:val="-4"/>
        </w:rPr>
        <w:t>出结论。如果我们得出结论认为存在重大不确定性，审计准则要求我们在审计报告中提请</w:t>
      </w:r>
      <w:r>
        <w:rPr>
          <w:spacing w:val="-51"/>
        </w:rPr>
        <w:t> </w:t>
      </w:r>
      <w:r>
        <w:rPr>
          <w:spacing w:val="-51"/>
        </w:rPr>
      </w:r>
      <w:r>
        <w:rPr>
          <w:spacing w:val="-2"/>
        </w:rPr>
        <w:t>报表使用者注意财务报表中的相关披露；如果披露不充分，我们应当发表非无保留意见。</w:t>
      </w:r>
      <w:r>
        <w:rPr>
          <w:spacing w:val="-57"/>
        </w:rPr>
        <w:t> </w:t>
      </w:r>
      <w:r>
        <w:rPr>
          <w:spacing w:val="-57"/>
        </w:rPr>
      </w:r>
      <w:r>
        <w:rPr>
          <w:spacing w:val="-4"/>
        </w:rPr>
        <w:t>我们的结论基于截至审计报告日可获得的信息。然而，未来的事项或情况可能导致万马股</w:t>
      </w:r>
      <w:r>
        <w:rPr>
          <w:spacing w:val="-53"/>
        </w:rPr>
        <w:t> </w:t>
      </w:r>
      <w:r>
        <w:rPr>
          <w:spacing w:val="-53"/>
        </w:rPr>
      </w:r>
      <w:r>
        <w:rPr/>
        <w:t>份公司不能持续经营。</w:t>
      </w:r>
    </w:p>
    <w:p>
      <w:pPr>
        <w:pStyle w:val="BodyText"/>
        <w:spacing w:line="286" w:lineRule="exact" w:before="146"/>
        <w:ind w:right="1697" w:firstLine="439"/>
        <w:jc w:val="both"/>
      </w:pPr>
      <w:r>
        <w:rPr>
          <w:spacing w:val="-4"/>
        </w:rPr>
        <w:t>评价财务报表的总体列报、结构和内容，并评价财务报表是否公允反映相关交易和事</w:t>
      </w:r>
      <w:r>
        <w:rPr>
          <w:w w:val="100"/>
        </w:rPr>
        <w:t> </w:t>
      </w:r>
      <w:r>
        <w:rPr/>
        <w:t>项。</w:t>
      </w:r>
    </w:p>
    <w:p>
      <w:pPr>
        <w:pStyle w:val="BodyText"/>
        <w:spacing w:line="286" w:lineRule="exact" w:before="119"/>
        <w:ind w:right="1625" w:firstLine="439"/>
        <w:jc w:val="both"/>
      </w:pPr>
      <w:r>
        <w:rPr>
          <w:spacing w:val="-4"/>
        </w:rPr>
        <w:t>就万马股份公司中实体或业务活动的财务信息获取充分、适当的审计证据，以对财务</w:t>
      </w:r>
      <w:r>
        <w:rPr>
          <w:w w:val="100"/>
        </w:rPr>
        <w:t> </w:t>
      </w:r>
      <w:r>
        <w:rPr>
          <w:spacing w:val="-2"/>
        </w:rPr>
        <w:t>报表发表审计意见。我们负责指导、监督和执行集团审计，并对审计意见承担全部责任。</w:t>
      </w:r>
    </w:p>
    <w:p>
      <w:pPr>
        <w:pStyle w:val="BodyText"/>
        <w:spacing w:line="286" w:lineRule="exact" w:before="119"/>
        <w:ind w:right="1699" w:firstLine="439"/>
        <w:jc w:val="both"/>
      </w:pPr>
      <w:r>
        <w:rPr>
          <w:spacing w:val="-4"/>
        </w:rPr>
        <w:t>我们与治理层就计划的审计范围、时间安排和重大审计发现等事项进行沟通，包括沟</w:t>
      </w:r>
      <w:r>
        <w:rPr>
          <w:w w:val="100"/>
        </w:rPr>
        <w:t> </w:t>
      </w:r>
      <w:r>
        <w:rPr/>
        <w:t>通我们在审计中识别出的值得关注的内部控制缺陷。</w:t>
      </w:r>
    </w:p>
    <w:p>
      <w:pPr>
        <w:pStyle w:val="BodyText"/>
        <w:spacing w:line="286" w:lineRule="exact" w:before="119"/>
        <w:ind w:right="1625" w:firstLine="439"/>
        <w:jc w:val="both"/>
      </w:pPr>
      <w:r>
        <w:rPr>
          <w:spacing w:val="-4"/>
        </w:rPr>
        <w:t>我们还就已遵守与独立性相关的职业道德要求向治理层提供声明，并与治理层沟通可</w:t>
      </w:r>
      <w:r>
        <w:rPr>
          <w:w w:val="100"/>
        </w:rPr>
        <w:t> </w:t>
      </w:r>
      <w:r>
        <w:rPr>
          <w:spacing w:val="-2"/>
        </w:rPr>
        <w:t>能被合理认为影响我们独立性的所有关系和其他事项，以及相关的防范措施（如适用）。</w:t>
      </w:r>
    </w:p>
    <w:p>
      <w:pPr>
        <w:pStyle w:val="BodyText"/>
        <w:spacing w:line="286" w:lineRule="exact" w:before="117"/>
        <w:ind w:right="1697" w:firstLine="439"/>
        <w:jc w:val="both"/>
      </w:pPr>
      <w:r>
        <w:rPr>
          <w:spacing w:val="-4"/>
        </w:rPr>
        <w:t>从与治理层沟通过的事项中，我们确定哪些事项对本期财务报表审计最为重要，因而</w:t>
      </w:r>
      <w:r>
        <w:rPr>
          <w:w w:val="100"/>
        </w:rPr>
        <w:t> </w:t>
      </w:r>
      <w:r>
        <w:rPr>
          <w:spacing w:val="-4"/>
        </w:rPr>
        <w:t>构成关键审计事项。我们在审计报告中描述这些事项，除非法律法规禁止公开披露这些事</w:t>
      </w:r>
      <w:r>
        <w:rPr>
          <w:spacing w:val="-53"/>
        </w:rPr>
        <w:t> </w:t>
      </w:r>
      <w:r>
        <w:rPr>
          <w:spacing w:val="-53"/>
        </w:rPr>
      </w:r>
      <w:r>
        <w:rPr>
          <w:spacing w:val="-4"/>
        </w:rPr>
        <w:t>项，或在极少数情形下，如果合理预期在审计报告中沟通某事项造成的负面后果超过在公</w:t>
      </w:r>
      <w:r>
        <w:rPr>
          <w:spacing w:val="-51"/>
        </w:rPr>
        <w:t> </w:t>
      </w:r>
      <w:r>
        <w:rPr>
          <w:spacing w:val="-51"/>
        </w:rPr>
      </w:r>
      <w:r>
        <w:rPr/>
        <w:t>众利益方面产生的益处，我们确定不应在审计报告中沟通该事项。</w:t>
      </w:r>
    </w:p>
    <w:p>
      <w:pPr>
        <w:spacing w:after="0" w:line="286" w:lineRule="exact"/>
        <w:jc w:val="both"/>
        <w:sectPr>
          <w:pgSz w:w="11910" w:h="16840"/>
          <w:pgMar w:header="939" w:footer="883" w:top="1940" w:bottom="1080" w:left="1600" w:right="0"/>
        </w:sectPr>
      </w:pPr>
    </w:p>
    <w:p>
      <w:pPr>
        <w:spacing w:line="240" w:lineRule="auto" w:before="3"/>
        <w:rPr>
          <w:rFonts w:ascii="宋体" w:hAnsi="宋体" w:cs="宋体" w:eastAsia="宋体" w:hint="default"/>
          <w:sz w:val="29"/>
          <w:szCs w:val="29"/>
        </w:rPr>
      </w:pPr>
    </w:p>
    <w:p>
      <w:pPr>
        <w:pStyle w:val="BodyText"/>
        <w:tabs>
          <w:tab w:pos="4712" w:val="left" w:leader="none"/>
          <w:tab w:pos="7295" w:val="left" w:leader="none"/>
        </w:tabs>
        <w:spacing w:line="240" w:lineRule="auto"/>
        <w:ind w:left="131" w:right="493"/>
        <w:jc w:val="left"/>
      </w:pPr>
      <w:r>
        <w:rPr>
          <w:spacing w:val="-2"/>
        </w:rPr>
        <w:t>信永中和会计师事务所(特殊普通合伙)</w:t>
        <w:tab/>
      </w:r>
      <w:r>
        <w:rPr>
          <w:spacing w:val="-10"/>
        </w:rPr>
        <w:t>中国注册会计师：叶胜平</w:t>
        <w:tab/>
      </w:r>
      <w:r>
        <w:rPr>
          <w:spacing w:val="-2"/>
        </w:rPr>
        <w:t>（项目合伙人）</w:t>
      </w:r>
    </w:p>
    <w:p>
      <w:pPr>
        <w:spacing w:line="240" w:lineRule="auto" w:before="8"/>
        <w:rPr>
          <w:rFonts w:ascii="宋体" w:hAnsi="宋体" w:cs="宋体" w:eastAsia="宋体" w:hint="default"/>
          <w:sz w:val="24"/>
          <w:szCs w:val="24"/>
        </w:rPr>
      </w:pPr>
    </w:p>
    <w:p>
      <w:pPr>
        <w:pStyle w:val="BodyText"/>
        <w:spacing w:line="240" w:lineRule="auto" w:before="0"/>
        <w:ind w:left="4712" w:right="493"/>
        <w:jc w:val="left"/>
      </w:pPr>
      <w:r>
        <w:rPr/>
        <w:t>中国注册会计师：刘向荣</w:t>
      </w:r>
    </w:p>
    <w:p>
      <w:pPr>
        <w:spacing w:line="240" w:lineRule="auto" w:before="8"/>
        <w:rPr>
          <w:rFonts w:ascii="宋体" w:hAnsi="宋体" w:cs="宋体" w:eastAsia="宋体" w:hint="default"/>
          <w:sz w:val="24"/>
          <w:szCs w:val="24"/>
        </w:rPr>
      </w:pPr>
    </w:p>
    <w:p>
      <w:pPr>
        <w:pStyle w:val="BodyText"/>
        <w:tabs>
          <w:tab w:pos="2358" w:val="left" w:leader="none"/>
          <w:tab w:pos="4712" w:val="left" w:leader="none"/>
        </w:tabs>
        <w:spacing w:line="240" w:lineRule="auto" w:before="0"/>
        <w:ind w:left="1518" w:right="493"/>
        <w:jc w:val="left"/>
      </w:pPr>
      <w:r>
        <w:rPr>
          <w:spacing w:val="-1"/>
        </w:rPr>
        <w:t>中国</w:t>
        <w:tab/>
        <w:t>北京</w:t>
        <w:tab/>
      </w:r>
      <w:r>
        <w:rPr>
          <w:spacing w:val="-2"/>
        </w:rPr>
        <w:t>二○二○年四月二十四日</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19"/>
          <w:szCs w:val="19"/>
        </w:rPr>
      </w:pPr>
    </w:p>
    <w:p>
      <w:pPr>
        <w:pStyle w:val="Heading2"/>
        <w:spacing w:line="240" w:lineRule="auto"/>
        <w:ind w:left="121" w:right="493"/>
        <w:jc w:val="left"/>
        <w:rPr>
          <w:b w:val="0"/>
          <w:bCs w:val="0"/>
        </w:rPr>
      </w:pPr>
      <w:bookmarkStart w:name="二、财务报表" w:id="161"/>
      <w:bookmarkEnd w:id="161"/>
      <w:r>
        <w:rPr>
          <w:b w:val="0"/>
          <w:bCs w:val="0"/>
        </w:rPr>
      </w:r>
      <w:r>
        <w:rPr/>
        <w:t>二、财务报表</w:t>
      </w:r>
      <w:r>
        <w:rPr>
          <w:b w:val="0"/>
          <w:bCs w:val="0"/>
        </w:rPr>
      </w:r>
    </w:p>
    <w:p>
      <w:pPr>
        <w:spacing w:line="240" w:lineRule="auto" w:before="7"/>
        <w:rPr>
          <w:rFonts w:ascii="宋体" w:hAnsi="宋体" w:cs="宋体" w:eastAsia="宋体" w:hint="default"/>
          <w:b/>
          <w:bCs/>
          <w:sz w:val="23"/>
          <w:szCs w:val="23"/>
        </w:rPr>
      </w:pPr>
    </w:p>
    <w:p>
      <w:pPr>
        <w:spacing w:before="0"/>
        <w:ind w:left="121" w:right="493"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财务附注中报表的单位为：元</w:t>
      </w:r>
    </w:p>
    <w:p>
      <w:pPr>
        <w:spacing w:line="240" w:lineRule="auto" w:before="6"/>
        <w:rPr>
          <w:rFonts w:ascii="宋体" w:hAnsi="宋体" w:cs="宋体" w:eastAsia="宋体" w:hint="default"/>
          <w:sz w:val="22"/>
          <w:szCs w:val="22"/>
        </w:rPr>
      </w:pPr>
    </w:p>
    <w:p>
      <w:pPr>
        <w:spacing w:before="0"/>
        <w:ind w:left="121" w:right="493" w:firstLine="0"/>
        <w:jc w:val="left"/>
        <w:rPr>
          <w:rFonts w:ascii="宋体" w:hAnsi="宋体" w:cs="宋体" w:eastAsia="宋体" w:hint="default"/>
          <w:sz w:val="21"/>
          <w:szCs w:val="21"/>
        </w:rPr>
      </w:pPr>
      <w:bookmarkStart w:name="1、合并资产负债表" w:id="162"/>
      <w:bookmarkEnd w:id="162"/>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line="240" w:lineRule="auto" w:before="7"/>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939" w:footer="883" w:top="1940" w:bottom="1080" w:left="1580" w:right="0"/>
        </w:sectPr>
      </w:pPr>
    </w:p>
    <w:p>
      <w:pPr>
        <w:spacing w:before="44"/>
        <w:ind w:left="121" w:right="-20" w:firstLine="0"/>
        <w:jc w:val="left"/>
        <w:rPr>
          <w:rFonts w:ascii="宋体" w:hAnsi="宋体" w:cs="宋体" w:eastAsia="宋体" w:hint="default"/>
          <w:sz w:val="18"/>
          <w:szCs w:val="18"/>
        </w:rPr>
      </w:pPr>
      <w:r>
        <w:rPr>
          <w:rFonts w:ascii="宋体" w:hAnsi="宋体" w:cs="宋体" w:eastAsia="宋体" w:hint="default"/>
          <w:sz w:val="18"/>
          <w:szCs w:val="18"/>
        </w:rPr>
        <w:t>编制单位：浙江万马股份有限公司</w:t>
      </w:r>
    </w:p>
    <w:p>
      <w:pPr>
        <w:spacing w:line="240" w:lineRule="auto" w:before="4"/>
        <w:rPr>
          <w:rFonts w:ascii="宋体" w:hAnsi="宋体" w:cs="宋体" w:eastAsia="宋体" w:hint="default"/>
          <w:sz w:val="24"/>
          <w:szCs w:val="24"/>
        </w:rPr>
      </w:pPr>
      <w:r>
        <w:rPr/>
        <w:br w:type="column"/>
      </w:r>
      <w:r>
        <w:rPr>
          <w:rFonts w:ascii="宋体"/>
          <w:sz w:val="24"/>
        </w:rPr>
      </w:r>
    </w:p>
    <w:p>
      <w:pPr>
        <w:spacing w:before="0"/>
        <w:ind w:left="121" w:right="-1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before="120"/>
        <w:ind w:left="121"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660" w:bottom="700" w:left="1580" w:right="0"/>
          <w:cols w:num="3" w:equalWidth="0">
            <w:col w:w="2822" w:space="689"/>
            <w:col w:w="1605" w:space="2669"/>
            <w:col w:w="2545"/>
          </w:cols>
        </w:sectPr>
      </w:pPr>
    </w:p>
    <w:p>
      <w:pPr>
        <w:spacing w:line="240" w:lineRule="auto" w:before="2"/>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4590"/>
        <w:gridCol w:w="2489"/>
        <w:gridCol w:w="2489"/>
      </w:tblGrid>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9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9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1,167,696,694.63</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911,828,018.69</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77,525,430.77</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84,793,811.08</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361,455,996.63</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500,952,928.45</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spacing w:val="-1"/>
                <w:sz w:val="18"/>
              </w:rPr>
              <w:t>2,806,834,635.35</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2,811,636,013.83</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374,014,153.83</w:t>
            </w: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78,716,900.51</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80,960,788.12</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134,394,748.62</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157,160,615.86</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822,027.24</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671,197,091.05</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872,933,627.56</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189,365,984.10</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234,515,371.16</w:t>
            </w:r>
          </w:p>
        </w:tc>
      </w:tr>
      <w:tr>
        <w:trPr>
          <w:trHeight w:val="321"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5,861,201,635.49</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5,654,781,174.75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660" w:bottom="70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4590"/>
        <w:gridCol w:w="2489"/>
        <w:gridCol w:w="2489"/>
      </w:tblGrid>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27,039,765.00</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spacing w:val="-1"/>
                <w:sz w:val="18"/>
              </w:rPr>
              <w:t>22,634,983.57</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24,813,537.21</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27,039,765.00</w:t>
            </w: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14,760,474.94</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15,934,545.27</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1,039,842,652.21</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953,397,942.10</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168,907,354.22</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155,191,685.63</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spacing w:val="-1"/>
                <w:sz w:val="18"/>
              </w:rPr>
              <w:t>180,282,570.19</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160,835,259.61</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15,629,549.65</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222,629,218.00</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274,546,423.46</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10,403,761.14</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13,300,132.44</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50,199,775.59</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48,307,401.99</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1,736,700,554.86</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1,688,996,242.36</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7,597,902,190.35</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7,343,777,417.11</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955,542,843.60</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1,195,332,476.13</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2,594,373.26</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855,651.36</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883,361,291.82</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687,397,850.80</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656,720,635.27</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647,968,546.65</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244,914,844.52</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199,852,640.37</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75,795,024.29</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70,393,279.10</w:t>
            </w:r>
          </w:p>
        </w:tc>
      </w:tr>
      <w:tr>
        <w:trPr>
          <w:trHeight w:val="321"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32,360,632.03</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19,955,176.92</w:t>
            </w:r>
          </w:p>
        </w:tc>
      </w:tr>
    </w:tbl>
    <w:p>
      <w:pPr>
        <w:spacing w:after="0" w:line="240" w:lineRule="auto"/>
        <w:jc w:val="right"/>
        <w:rPr>
          <w:rFonts w:ascii="Times New Roman" w:hAnsi="Times New Roman" w:cs="Times New Roman" w:eastAsia="Times New Roman" w:hint="default"/>
          <w:sz w:val="18"/>
          <w:szCs w:val="18"/>
        </w:rPr>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4590"/>
        <w:gridCol w:w="2489"/>
        <w:gridCol w:w="2489"/>
      </w:tblGrid>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148,380,586.26</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130,872,014.85</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43"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11,934,866.34</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600,000.00</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299,853,758.13</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spacing w:val="-1"/>
                <w:sz w:val="18"/>
              </w:rPr>
              <w:t>149,299,388.02</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24,510,982.45</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3,149,569,619.07</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3,276,992,376.76</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114,584,137.97</w:t>
            </w: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8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49,366,990.41</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31,074,961.98</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5,513,384.78</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2,322,773.87</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169,464,513.16</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33,397,735.85</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3,319,034,132.23</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3,310,390,112.61</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8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1,035,489,098.00</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1,035,489,098.00</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8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1,555,197,713.12</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1,555,197,713.12</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-1,358,775.43</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-35,709,017.16</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259,313,962.64</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222,369,887.21</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48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1,400,735,829.60</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1,238,073,456.06</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4,249,377,827.93</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4,015,421,137.23</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spacing w:val="-1"/>
                <w:sz w:val="18"/>
              </w:rPr>
              <w:t>29,490,230.19</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17,966,167.27</w:t>
            </w:r>
          </w:p>
        </w:tc>
      </w:tr>
      <w:tr>
        <w:trPr>
          <w:trHeight w:val="323"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4,278,868,058.12</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4,033,387,304.50</w:t>
            </w:r>
          </w:p>
        </w:tc>
      </w:tr>
      <w:tr>
        <w:trPr>
          <w:trHeight w:val="324" w:hRule="exact"/>
        </w:trPr>
        <w:tc>
          <w:tcPr>
            <w:tcW w:w="4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7,597,902,190.35</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7,343,777,417.11</w:t>
            </w:r>
          </w:p>
        </w:tc>
      </w:tr>
    </w:tbl>
    <w:p>
      <w:pPr>
        <w:spacing w:after="0" w:line="240" w:lineRule="auto"/>
        <w:jc w:val="right"/>
        <w:rPr>
          <w:rFonts w:ascii="Times New Roman" w:hAnsi="Times New Roman" w:cs="Times New Roman" w:eastAsia="Times New Roman" w:hint="default"/>
          <w:sz w:val="18"/>
          <w:szCs w:val="18"/>
        </w:rPr>
        <w:sectPr>
          <w:pgSz w:w="11910" w:h="16840"/>
          <w:pgMar w:header="939" w:footer="883" w:top="1940" w:bottom="1080" w:left="1580" w:right="0"/>
        </w:sectPr>
      </w:pPr>
    </w:p>
    <w:p>
      <w:pPr>
        <w:tabs>
          <w:tab w:pos="3651" w:val="left" w:leader="none"/>
          <w:tab w:pos="7724" w:val="left" w:leader="none"/>
        </w:tabs>
        <w:spacing w:line="232" w:lineRule="exact" w:before="151"/>
        <w:ind w:left="121" w:right="1699" w:firstLine="0"/>
        <w:jc w:val="left"/>
        <w:rPr>
          <w:rFonts w:ascii="宋体" w:hAnsi="宋体" w:cs="宋体" w:eastAsia="宋体" w:hint="default"/>
          <w:sz w:val="18"/>
          <w:szCs w:val="18"/>
        </w:rPr>
      </w:pPr>
      <w:r>
        <w:rPr>
          <w:rFonts w:ascii="宋体" w:hAnsi="宋体" w:cs="宋体" w:eastAsia="宋体" w:hint="default"/>
          <w:sz w:val="18"/>
          <w:szCs w:val="18"/>
        </w:rPr>
        <w:t>法定代表人：张珊珊</w:t>
        <w:tab/>
        <w:t>主管会计工作负责人：许刚</w:t>
        <w:tab/>
        <w:t>会计机构负 责人：丁大雷</w:t>
      </w:r>
    </w:p>
    <w:p>
      <w:pPr>
        <w:spacing w:line="240" w:lineRule="auto" w:before="8"/>
        <w:rPr>
          <w:rFonts w:ascii="宋体" w:hAnsi="宋体" w:cs="宋体" w:eastAsia="宋体" w:hint="default"/>
          <w:sz w:val="20"/>
          <w:szCs w:val="20"/>
        </w:rPr>
      </w:pPr>
    </w:p>
    <w:p>
      <w:pPr>
        <w:spacing w:before="0"/>
        <w:ind w:left="121" w:right="493" w:firstLine="0"/>
        <w:jc w:val="left"/>
        <w:rPr>
          <w:rFonts w:ascii="宋体" w:hAnsi="宋体" w:cs="宋体" w:eastAsia="宋体" w:hint="default"/>
          <w:sz w:val="21"/>
          <w:szCs w:val="21"/>
        </w:rPr>
      </w:pPr>
      <w:bookmarkStart w:name="2、母公司资产负债表" w:id="163"/>
      <w:bookmarkEnd w:id="16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、母公司资产负债表</w:t>
      </w:r>
      <w:r>
        <w:rPr>
          <w:rFonts w:ascii="宋体" w:hAnsi="宋体" w:cs="宋体" w:eastAsia="宋体" w:hint="default"/>
          <w:sz w:val="21"/>
          <w:szCs w:val="21"/>
        </w:rPr>
      </w:r>
    </w:p>
    <w:p>
      <w:pPr>
        <w:spacing w:line="240" w:lineRule="auto" w:before="1"/>
        <w:rPr>
          <w:rFonts w:ascii="宋体" w:hAnsi="宋体" w:cs="宋体" w:eastAsia="宋体" w:hint="default"/>
          <w:b/>
          <w:bCs/>
          <w:sz w:val="22"/>
          <w:szCs w:val="22"/>
        </w:rPr>
      </w:pPr>
    </w:p>
    <w:p>
      <w:pPr>
        <w:spacing w:before="0"/>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4545"/>
        <w:gridCol w:w="2511"/>
        <w:gridCol w:w="2512"/>
      </w:tblGrid>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0" w:lineRule="exact"/>
              <w:ind w:left="5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0" w:lineRule="exact"/>
              <w:ind w:left="5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657,851,205.44</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403,596,290.59</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right="109"/>
              <w:jc w:val="righ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73,241,295.06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83,077,426.00</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132,757,002.06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164,690,589.86</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1,831,777,056.71</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1,879,068,867.10</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80,344,491.10</w:t>
            </w: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15,686,197.66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38,124,995.76</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761,186,828.62</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373,895,357.92</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643"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581,641.79</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1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451,616,772.65</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663,853,974.28</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6,821,617.40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7,996,437.00</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4,011,282,466.70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3,614,303,938.51</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1,537,305,343.65</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1,825,747,212.77</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9" w:lineRule="exact"/>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327,407,718.78</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332,470,314.15</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2,398,920.20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13,146,225.16</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71,692,182.53</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73,505,520.73</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9" w:lineRule="exact"/>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3,394,859.41</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5,015,289.91</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23,808,127.10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27,521,761.00</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1,966,507,151.67</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2,277,906,323.72</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5,977,789,618.37</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5,892,210,262.23</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9"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Times New Roman" w:hAnsi="Times New Roman" w:cs="Times New Roman" w:eastAsia="Times New Roman" w:hint="default"/>
                <w:sz w:val="18"/>
                <w:szCs w:val="18"/>
              </w:rPr>
            </w:pPr>
            <w:r>
              <w:rPr>
                <w:rFonts w:ascii="Times New Roman"/>
                <w:spacing w:val="-1"/>
                <w:sz w:val="18"/>
              </w:rPr>
              <w:t>725,244,153.21</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18"/>
                <w:szCs w:val="18"/>
              </w:rPr>
            </w:pPr>
            <w:r>
              <w:rPr>
                <w:rFonts w:ascii="Times New Roman"/>
                <w:spacing w:val="-1"/>
                <w:sz w:val="18"/>
              </w:rPr>
              <w:t>1,018,802,024.73</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9" w:lineRule="exact"/>
              <w:ind w:left="46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right="109"/>
              <w:jc w:val="righ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1"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11"/>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4545"/>
        <w:gridCol w:w="2511"/>
        <w:gridCol w:w="2512"/>
      </w:tblGrid>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684,590,000.00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493,047,000.00</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452,955,746.39</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321,502,494.41</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Times New Roman" w:hAnsi="Times New Roman" w:cs="Times New Roman" w:eastAsia="Times New Roman" w:hint="default"/>
                <w:sz w:val="18"/>
                <w:szCs w:val="18"/>
              </w:rPr>
            </w:pPr>
            <w:r>
              <w:rPr>
                <w:rFonts w:ascii="Times New Roman"/>
                <w:spacing w:val="-1"/>
                <w:sz w:val="18"/>
              </w:rPr>
              <w:t>204,467,402.26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18"/>
                <w:szCs w:val="18"/>
              </w:rPr>
            </w:pPr>
            <w:r>
              <w:rPr>
                <w:rFonts w:ascii="Times New Roman"/>
                <w:spacing w:val="-1"/>
                <w:sz w:val="18"/>
              </w:rPr>
              <w:t>165,390,236.58</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20,672,711.06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17,236,484.71</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15,616,878.91</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7,629,974.75</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61,170,898.56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63,326,020.43</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643"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11,677,888.54</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1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400,000.00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299,853,758.13</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54,907,676.05</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11,634,144.43</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2,220,025,466.44</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2,398,422,138.17</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104,769,624.08</w:t>
            </w: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18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1,050,000.00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1,050,000.00</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324,011.25</w:t>
            </w: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106,143,635.33</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1,050,000.00</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18"/>
                <w:szCs w:val="18"/>
              </w:rPr>
            </w:pPr>
            <w:r>
              <w:rPr>
                <w:rFonts w:ascii="Times New Roman"/>
                <w:spacing w:val="-1"/>
                <w:sz w:val="18"/>
              </w:rPr>
              <w:t>2,326,169,101.77</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18"/>
                <w:szCs w:val="18"/>
              </w:rPr>
            </w:pPr>
            <w:r>
              <w:rPr>
                <w:rFonts w:ascii="Times New Roman"/>
                <w:spacing w:val="-1"/>
                <w:sz w:val="18"/>
              </w:rPr>
              <w:t>2,399,472,138.17</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5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1,035,489,098.00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1,035,489,098.00</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18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1,717,724,514.22</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1,717,724,514.22</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-1,937,072.66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-35,695,315.65</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511" w:type="dxa"/>
            <w:tcBorders>
              <w:top w:val="single" w:sz="4" w:space="0" w:color="000000"/>
              <w:left w:val="single" w:sz="4" w:space="0" w:color="000000"/>
              <w:bottom w:val="single" w:sz="4" w:space="0" w:color="000000"/>
              <w:right w:val="single" w:sz="4" w:space="0" w:color="000000"/>
            </w:tcBorders>
          </w:tcPr>
          <w:p>
            <w:pPr/>
          </w:p>
        </w:tc>
        <w:tc>
          <w:tcPr>
            <w:tcW w:w="2512"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134,864,175.08</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120,541,565.87</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765,479,801.96</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654,678,261.62</w:t>
            </w:r>
          </w:p>
        </w:tc>
      </w:tr>
      <w:tr>
        <w:trPr>
          <w:trHeight w:val="243"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18"/>
                <w:szCs w:val="18"/>
              </w:rPr>
            </w:pPr>
            <w:r>
              <w:rPr>
                <w:rFonts w:ascii="Times New Roman"/>
                <w:spacing w:val="-1"/>
                <w:sz w:val="18"/>
              </w:rPr>
              <w:t>3,651,620,516.60</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3,492,738,124.06</w:t>
            </w:r>
          </w:p>
        </w:tc>
      </w:tr>
      <w:tr>
        <w:trPr>
          <w:trHeight w:val="244" w:hRule="exact"/>
        </w:trPr>
        <w:tc>
          <w:tcPr>
            <w:tcW w:w="4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18"/>
                <w:szCs w:val="18"/>
              </w:rPr>
            </w:pPr>
            <w:r>
              <w:rPr>
                <w:rFonts w:ascii="Times New Roman"/>
                <w:spacing w:val="-1"/>
                <w:sz w:val="18"/>
              </w:rPr>
              <w:t>5,977,789,618.37</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5,892,210,262.23</w:t>
            </w:r>
          </w:p>
        </w:tc>
      </w:tr>
    </w:tbl>
    <w:p>
      <w:pPr>
        <w:spacing w:line="240" w:lineRule="auto" w:before="4"/>
        <w:rPr>
          <w:rFonts w:ascii="宋体" w:hAnsi="宋体" w:cs="宋体" w:eastAsia="宋体" w:hint="default"/>
          <w:sz w:val="17"/>
          <w:szCs w:val="17"/>
        </w:rPr>
      </w:pPr>
    </w:p>
    <w:p>
      <w:pPr>
        <w:tabs>
          <w:tab w:pos="3059" w:val="left" w:leader="none"/>
          <w:tab w:pos="6479" w:val="left" w:leader="none"/>
        </w:tabs>
        <w:spacing w:before="44"/>
        <w:ind w:left="0" w:right="1745" w:firstLine="0"/>
        <w:jc w:val="right"/>
        <w:rPr>
          <w:rFonts w:ascii="宋体" w:hAnsi="宋体" w:cs="宋体" w:eastAsia="宋体" w:hint="default"/>
          <w:sz w:val="18"/>
          <w:szCs w:val="18"/>
        </w:rPr>
      </w:pPr>
      <w:r>
        <w:rPr>
          <w:rFonts w:ascii="宋体" w:hAnsi="宋体" w:cs="宋体" w:eastAsia="宋体" w:hint="default"/>
          <w:sz w:val="18"/>
          <w:szCs w:val="18"/>
        </w:rPr>
        <w:t>法定代表人：张珊珊</w:t>
        <w:tab/>
        <w:t>主管会计工作负责人：许刚</w:t>
        <w:tab/>
        <w:t>会计机构负责人：丁大雷</w:t>
      </w:r>
    </w:p>
    <w:p>
      <w:pPr>
        <w:spacing w:line="240" w:lineRule="auto" w:before="3"/>
        <w:rPr>
          <w:rFonts w:ascii="宋体" w:hAnsi="宋体" w:cs="宋体" w:eastAsia="宋体" w:hint="default"/>
          <w:sz w:val="22"/>
          <w:szCs w:val="22"/>
        </w:rPr>
      </w:pPr>
    </w:p>
    <w:p>
      <w:pPr>
        <w:spacing w:before="0"/>
        <w:ind w:left="121" w:right="493" w:firstLine="0"/>
        <w:jc w:val="left"/>
        <w:rPr>
          <w:rFonts w:ascii="宋体" w:hAnsi="宋体" w:cs="宋体" w:eastAsia="宋体" w:hint="default"/>
          <w:sz w:val="21"/>
          <w:szCs w:val="21"/>
        </w:rPr>
      </w:pPr>
      <w:bookmarkStart w:name="3、合并利润表" w:id="164"/>
      <w:bookmarkEnd w:id="16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、合并利润表</w:t>
      </w:r>
      <w:r>
        <w:rPr>
          <w:rFonts w:ascii="宋体" w:hAnsi="宋体" w:cs="宋体" w:eastAsia="宋体" w:hint="default"/>
          <w:sz w:val="21"/>
          <w:szCs w:val="21"/>
        </w:rPr>
      </w:r>
    </w:p>
    <w:p>
      <w:pPr>
        <w:spacing w:line="240" w:lineRule="auto" w:before="1"/>
        <w:rPr>
          <w:rFonts w:ascii="宋体" w:hAnsi="宋体" w:cs="宋体" w:eastAsia="宋体" w:hint="default"/>
          <w:b/>
          <w:bCs/>
          <w:sz w:val="22"/>
          <w:szCs w:val="22"/>
        </w:rPr>
      </w:pPr>
    </w:p>
    <w:p>
      <w:pPr>
        <w:spacing w:before="0"/>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5120"/>
        <w:gridCol w:w="2223"/>
        <w:gridCol w:w="2224"/>
      </w:tblGrid>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7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7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9,745,408,784.22</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8,739,834,605.92</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9,745,408,784.22</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8,739,834,605.92</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00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9,496,927,449.39</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8,618,097,341.24</w:t>
            </w:r>
          </w:p>
        </w:tc>
      </w:tr>
    </w:tbl>
    <w:p>
      <w:pPr>
        <w:spacing w:after="0" w:line="240" w:lineRule="auto"/>
        <w:jc w:val="right"/>
        <w:rPr>
          <w:rFonts w:ascii="Times New Roman" w:hAnsi="Times New Roman" w:cs="Times New Roman" w:eastAsia="Times New Roman" w:hint="default"/>
          <w:sz w:val="18"/>
          <w:szCs w:val="18"/>
        </w:rPr>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5120"/>
        <w:gridCol w:w="2223"/>
        <w:gridCol w:w="2224"/>
      </w:tblGrid>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8,112,274,003.49</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7,445,148,860.19</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0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0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03" w:right="0"/>
              <w:jc w:val="left"/>
              <w:rPr>
                <w:rFonts w:ascii="宋体" w:hAnsi="宋体" w:cs="宋体" w:eastAsia="宋体" w:hint="default"/>
                <w:sz w:val="18"/>
                <w:szCs w:val="18"/>
              </w:rPr>
            </w:pPr>
            <w:r>
              <w:rPr>
                <w:rFonts w:ascii="宋体" w:hAnsi="宋体" w:cs="宋体" w:eastAsia="宋体" w:hint="default"/>
                <w:sz w:val="18"/>
                <w:szCs w:val="18"/>
              </w:rPr>
              <w:t>提取保险责任合同准备金净额</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00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0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00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33,796,374.80</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28,187,785.96</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spacing w:val="-1"/>
                <w:sz w:val="18"/>
              </w:rPr>
              <w:t>665,292,600.25</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spacing w:val="-1"/>
                <w:sz w:val="18"/>
              </w:rPr>
              <w:t>528,920,564.78</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241,804,537.14</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206,101,586.22</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364,143,468.70</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312,085,272.64</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79,616,465.01</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97,653,271.45</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118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73,529,586.98</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82,397,613.76</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right="940"/>
              <w:jc w:val="center"/>
              <w:rPr>
                <w:rFonts w:ascii="宋体" w:hAnsi="宋体" w:cs="宋体" w:eastAsia="宋体" w:hint="default"/>
                <w:sz w:val="18"/>
                <w:szCs w:val="18"/>
              </w:rPr>
            </w:pPr>
            <w:r>
              <w:rPr>
                <w:rFonts w:ascii="宋体" w:hAnsi="宋体" w:cs="宋体" w:eastAsia="宋体" w:hint="default"/>
                <w:sz w:val="18"/>
                <w:szCs w:val="18"/>
              </w:rPr>
              <w:t>利息收入</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7,557,152.58</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4,793,546.47</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100,058,132.74</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90,774,968.13</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10,596,214.28</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-2,194,266.72</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8"/>
              <w:jc w:val="right"/>
              <w:rPr>
                <w:rFonts w:ascii="Times New Roman" w:hAnsi="Times New Roman" w:cs="Times New Roman" w:eastAsia="Times New Roman" w:hint="default"/>
                <w:sz w:val="18"/>
                <w:szCs w:val="18"/>
              </w:rPr>
            </w:pPr>
            <w:r>
              <w:rPr>
                <w:rFonts w:ascii="Times New Roman"/>
                <w:spacing w:val="-1"/>
                <w:sz w:val="18"/>
              </w:rPr>
              <w:t>-4,178,553.64</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-4,436,956.48</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183"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以摊余成本计量的金融资产终止确认收益</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82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823" w:right="0"/>
              <w:jc w:val="left"/>
              <w:rPr>
                <w:rFonts w:ascii="宋体" w:hAnsi="宋体" w:cs="宋体" w:eastAsia="宋体" w:hint="default"/>
                <w:sz w:val="18"/>
                <w:szCs w:val="18"/>
              </w:rPr>
            </w:pPr>
            <w:r>
              <w:rPr>
                <w:rFonts w:ascii="宋体" w:hAnsi="宋体" w:cs="宋体" w:eastAsia="宋体" w:hint="default"/>
                <w:sz w:val="18"/>
                <w:szCs w:val="18"/>
              </w:rPr>
              <w:t>净敞口套期收益（损失以“－”号填列）</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82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2,775,219.73</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-7,723,632.34</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823"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-35,620,720.93</w:t>
            </w: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823"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-78,130,676.41</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-83,873,721.02</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0" w:lineRule="exact"/>
              <w:ind w:left="82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8"/>
              <w:jc w:val="right"/>
              <w:rPr>
                <w:rFonts w:ascii="Times New Roman" w:hAnsi="Times New Roman" w:cs="Times New Roman" w:eastAsia="Times New Roman" w:hint="default"/>
                <w:sz w:val="18"/>
                <w:szCs w:val="18"/>
              </w:rPr>
            </w:pPr>
            <w:r>
              <w:rPr>
                <w:rFonts w:ascii="Times New Roman"/>
                <w:spacing w:val="-1"/>
                <w:sz w:val="18"/>
              </w:rPr>
              <w:t>-2,919,377.56</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-1,042,270.13</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245,240,126.68</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117,678,342.60</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2"/>
                <w:sz w:val="18"/>
              </w:rPr>
              <w:t>16,112,729.64</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4,688,510.41</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6,243,121.32</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4,750,020.99</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255,109,735.00</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117,616,832.02</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22,224,973.45</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2,418,592.52</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232,884,761.55</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115,198,239.50</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283"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22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持续经营净利润（净亏损以“－”号填列）</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232,884,761.55</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115,198,239.50</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终止经营净利润（净亏损以“－”号填列）</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283"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22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220,879,359.32</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2"/>
                <w:sz w:val="18"/>
              </w:rPr>
              <w:t>111,714,711.22</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12,005,402.23</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3,483,528.28</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34,428,658.37</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-71,325,967.56</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283" w:right="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归属母公司所有者的其他综合收益的税后净额</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34,350,241.73</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-71,325,967.56</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0"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34,350,241.73</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-71,325,967.56</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0"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2"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可供出售金融资产公允价值变动损益</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金融资产重分类计入其他综合收益的金额</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持有至到期投资重分类为可供出售金融资产损益</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0"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34,178,501.35</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-71,372,396.88</w:t>
            </w:r>
          </w:p>
        </w:tc>
      </w:tr>
      <w:tr>
        <w:trPr>
          <w:trHeight w:val="242"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171,740.38</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46,429.32</w:t>
            </w:r>
          </w:p>
        </w:tc>
      </w:tr>
    </w:tbl>
    <w:p>
      <w:pPr>
        <w:spacing w:after="0" w:line="240" w:lineRule="auto"/>
        <w:jc w:val="right"/>
        <w:rPr>
          <w:rFonts w:ascii="Times New Roman" w:hAnsi="Times New Roman" w:cs="Times New Roman" w:eastAsia="Times New Roman" w:hint="default"/>
          <w:sz w:val="18"/>
          <w:szCs w:val="18"/>
        </w:rPr>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5120"/>
        <w:gridCol w:w="2223"/>
        <w:gridCol w:w="2224"/>
      </w:tblGrid>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1" w:lineRule="exact"/>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2223" w:type="dxa"/>
            <w:tcBorders>
              <w:top w:val="single" w:sz="4" w:space="0" w:color="000000"/>
              <w:left w:val="single" w:sz="4" w:space="0" w:color="000000"/>
              <w:bottom w:val="single" w:sz="4" w:space="0" w:color="000000"/>
              <w:right w:val="single" w:sz="4" w:space="0" w:color="000000"/>
            </w:tcBorders>
          </w:tcPr>
          <w:p>
            <w:pP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283" w:right="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归属于少数股东的其他综合收益的税后净额</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78,416.64</w:t>
            </w:r>
          </w:p>
        </w:tc>
        <w:tc>
          <w:tcPr>
            <w:tcW w:w="2224"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spacing w:val="-1"/>
                <w:sz w:val="18"/>
              </w:rPr>
              <w:t>267,313,419.92</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spacing w:val="-1"/>
                <w:sz w:val="18"/>
              </w:rPr>
              <w:t>43,872,271.94</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255,229,601.05</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0"/>
              <w:jc w:val="right"/>
              <w:rPr>
                <w:rFonts w:ascii="Times New Roman" w:hAnsi="Times New Roman" w:cs="Times New Roman" w:eastAsia="Times New Roman" w:hint="default"/>
                <w:sz w:val="18"/>
                <w:szCs w:val="18"/>
              </w:rPr>
            </w:pPr>
            <w:r>
              <w:rPr>
                <w:rFonts w:ascii="Times New Roman"/>
                <w:spacing w:val="-1"/>
                <w:sz w:val="18"/>
              </w:rPr>
              <w:t>40,388,743.66</w:t>
            </w: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12,083,818.87</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3,483,528.28</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22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2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43"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0.21</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7"/>
              <w:jc w:val="right"/>
              <w:rPr>
                <w:rFonts w:ascii="Times New Roman" w:hAnsi="Times New Roman" w:cs="Times New Roman" w:eastAsia="Times New Roman" w:hint="default"/>
                <w:sz w:val="18"/>
                <w:szCs w:val="18"/>
              </w:rPr>
            </w:pPr>
            <w:r>
              <w:rPr>
                <w:rFonts w:ascii="Times New Roman"/>
                <w:spacing w:val="-2"/>
                <w:sz w:val="18"/>
              </w:rPr>
              <w:t>0.11</w:t>
            </w:r>
          </w:p>
        </w:tc>
      </w:tr>
      <w:tr>
        <w:trPr>
          <w:trHeight w:val="244" w:hRule="exact"/>
        </w:trPr>
        <w:tc>
          <w:tcPr>
            <w:tcW w:w="5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0.21</w:t>
            </w:r>
          </w:p>
        </w:tc>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7"/>
              <w:jc w:val="right"/>
              <w:rPr>
                <w:rFonts w:ascii="Times New Roman" w:hAnsi="Times New Roman" w:cs="Times New Roman" w:eastAsia="Times New Roman" w:hint="default"/>
                <w:sz w:val="18"/>
                <w:szCs w:val="18"/>
              </w:rPr>
            </w:pPr>
            <w:r>
              <w:rPr>
                <w:rFonts w:ascii="Times New Roman"/>
                <w:spacing w:val="-2"/>
                <w:sz w:val="18"/>
              </w:rPr>
              <w:t>0.11</w:t>
            </w:r>
          </w:p>
        </w:tc>
      </w:tr>
    </w:tbl>
    <w:p>
      <w:pPr>
        <w:tabs>
          <w:tab w:pos="3059" w:val="left" w:leader="none"/>
          <w:tab w:pos="6479" w:val="left" w:leader="none"/>
        </w:tabs>
        <w:spacing w:before="11"/>
        <w:ind w:left="0" w:right="1745" w:firstLine="0"/>
        <w:jc w:val="right"/>
        <w:rPr>
          <w:rFonts w:ascii="宋体" w:hAnsi="宋体" w:cs="宋体" w:eastAsia="宋体" w:hint="default"/>
          <w:sz w:val="18"/>
          <w:szCs w:val="18"/>
        </w:rPr>
      </w:pPr>
      <w:r>
        <w:rPr>
          <w:rFonts w:ascii="宋体" w:hAnsi="宋体" w:cs="宋体" w:eastAsia="宋体" w:hint="default"/>
          <w:sz w:val="18"/>
          <w:szCs w:val="18"/>
        </w:rPr>
        <w:t>法定代表人：张珊珊</w:t>
        <w:tab/>
        <w:t>主管会计工作负责人：许刚</w:t>
        <w:tab/>
        <w:t>会计机构负责人：丁大雷</w:t>
      </w:r>
    </w:p>
    <w:p>
      <w:pPr>
        <w:spacing w:line="240" w:lineRule="auto" w:before="3"/>
        <w:rPr>
          <w:rFonts w:ascii="宋体" w:hAnsi="宋体" w:cs="宋体" w:eastAsia="宋体" w:hint="default"/>
          <w:sz w:val="22"/>
          <w:szCs w:val="22"/>
        </w:rPr>
      </w:pPr>
    </w:p>
    <w:p>
      <w:pPr>
        <w:spacing w:before="0"/>
        <w:ind w:left="121" w:right="493" w:firstLine="0"/>
        <w:jc w:val="left"/>
        <w:rPr>
          <w:rFonts w:ascii="宋体" w:hAnsi="宋体" w:cs="宋体" w:eastAsia="宋体" w:hint="default"/>
          <w:sz w:val="21"/>
          <w:szCs w:val="21"/>
        </w:rPr>
      </w:pPr>
      <w:bookmarkStart w:name="4、母公司利润表" w:id="165"/>
      <w:bookmarkEnd w:id="165"/>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spacing w:line="240" w:lineRule="auto" w:before="1"/>
        <w:rPr>
          <w:rFonts w:ascii="宋体" w:hAnsi="宋体" w:cs="宋体" w:eastAsia="宋体" w:hint="default"/>
          <w:b/>
          <w:bCs/>
          <w:sz w:val="22"/>
          <w:szCs w:val="22"/>
        </w:rPr>
      </w:pPr>
    </w:p>
    <w:p>
      <w:pPr>
        <w:spacing w:before="0"/>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5062"/>
        <w:gridCol w:w="2253"/>
        <w:gridCol w:w="2253"/>
      </w:tblGrid>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6,174,299,772.11</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5,264,609,372.86</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5,319,693,018.98</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4,576,992,462.22</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8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14,581,505.17</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13,548,145.78</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386,354,304.24</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264,387,380.53</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65,906,064.89</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54,831,275.88</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8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207,158,693.53</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172,961,661.49</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61,677,405.91</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80,983,927.67</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65,848,352.99</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73,555,122.71</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54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13,385,968.05</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10,878,663.79</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37,625,121.60</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38,133,492.00</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5,497,865.20</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-7,009,818.35</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82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38,649.88</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945,762.86</w:t>
            </w:r>
          </w:p>
        </w:tc>
      </w:tr>
      <w:tr>
        <w:trPr>
          <w:trHeight w:val="556"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01" w:firstLine="1080"/>
              <w:jc w:val="left"/>
              <w:rPr>
                <w:rFonts w:ascii="宋体" w:hAnsi="宋体" w:cs="宋体" w:eastAsia="宋体" w:hint="default"/>
                <w:sz w:val="18"/>
                <w:szCs w:val="18"/>
              </w:rPr>
            </w:pPr>
            <w:r>
              <w:rPr>
                <w:rFonts w:ascii="宋体" w:hAnsi="宋体" w:cs="宋体" w:eastAsia="宋体" w:hint="default"/>
                <w:spacing w:val="-1"/>
                <w:sz w:val="18"/>
                <w:szCs w:val="18"/>
              </w:rPr>
              <w:t>以摊余成本计量的金融资产终止确认收益（损失</w:t>
            </w:r>
            <w:r>
              <w:rPr>
                <w:rFonts w:ascii="宋体" w:hAnsi="宋体" w:cs="宋体" w:eastAsia="宋体" w:hint="default"/>
                <w:sz w:val="18"/>
                <w:szCs w:val="18"/>
              </w:rPr>
              <w:t> 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823" w:right="0"/>
              <w:jc w:val="left"/>
              <w:rPr>
                <w:rFonts w:ascii="宋体" w:hAnsi="宋体" w:cs="宋体" w:eastAsia="宋体" w:hint="default"/>
                <w:sz w:val="18"/>
                <w:szCs w:val="18"/>
              </w:rPr>
            </w:pPr>
            <w:r>
              <w:rPr>
                <w:rFonts w:ascii="宋体" w:hAnsi="宋体" w:cs="宋体" w:eastAsia="宋体" w:hint="default"/>
                <w:sz w:val="18"/>
                <w:szCs w:val="18"/>
              </w:rPr>
              <w:t>净敞口套期收益（损失以“－”号填列）</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82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4,287,700.00</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-6,838,141.06</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823"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-22,431,038.90</w:t>
            </w: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-6,036,287.07</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-43,019,397.84</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82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-3,306.84</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-12,645.45</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137,868,833.38</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82,158,008.59</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8,979,520.72</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1,946,963.76</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354,004.32</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1,718,656.59</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146,494,349.78</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82,386,315.76</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3,268,257.72</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-396,575.30</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143,226,092.06</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82,782,891.06</w:t>
            </w: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626"/>
              <w:jc w:val="right"/>
              <w:rPr>
                <w:rFonts w:ascii="宋体" w:hAnsi="宋体" w:cs="宋体" w:eastAsia="宋体" w:hint="default"/>
                <w:sz w:val="18"/>
                <w:szCs w:val="18"/>
              </w:rPr>
            </w:pPr>
            <w:r>
              <w:rPr>
                <w:rFonts w:ascii="宋体" w:hAnsi="宋体" w:cs="宋体" w:eastAsia="宋体" w:hint="default"/>
                <w:sz w:val="18"/>
                <w:szCs w:val="18"/>
              </w:rPr>
              <w:t>（一）持续经营净利润（净亏损以“－”号填列）</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143,226,092.06</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82,782,891.06</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626"/>
              <w:jc w:val="right"/>
              <w:rPr>
                <w:rFonts w:ascii="宋体" w:hAnsi="宋体" w:cs="宋体" w:eastAsia="宋体" w:hint="default"/>
                <w:sz w:val="18"/>
                <w:szCs w:val="18"/>
              </w:rPr>
            </w:pPr>
            <w:r>
              <w:rPr>
                <w:rFonts w:ascii="宋体" w:hAnsi="宋体" w:cs="宋体" w:eastAsia="宋体" w:hint="default"/>
                <w:sz w:val="18"/>
                <w:szCs w:val="18"/>
              </w:rPr>
              <w:t>（二）终止经营净利润（净亏损以“－”号填列）</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33,758,242.99</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spacing w:val="-1"/>
                <w:sz w:val="18"/>
              </w:rPr>
              <w:t>-71,372,396.88</w:t>
            </w:r>
          </w:p>
        </w:tc>
      </w:tr>
      <w:tr>
        <w:trPr>
          <w:trHeight w:val="321"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11"/>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5062"/>
        <w:gridCol w:w="2253"/>
        <w:gridCol w:w="2253"/>
      </w:tblGrid>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33,758,242.99</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-71,372,396.88</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可供出售金融资产公允价值变动损益</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金融资产重分类计入其他综合收益的金额</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持有至到期投资重分类为可供出售金融资产损益</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33,758,242.99</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-71,372,396.88</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176,984,335.05</w:t>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11,410,494.18</w:t>
            </w: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22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5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4"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253" w:type="dxa"/>
            <w:tcBorders>
              <w:top w:val="single" w:sz="4" w:space="0" w:color="000000"/>
              <w:left w:val="single" w:sz="4" w:space="0" w:color="000000"/>
              <w:bottom w:val="single" w:sz="4" w:space="0" w:color="000000"/>
              <w:right w:val="single" w:sz="4" w:space="0" w:color="000000"/>
            </w:tcBorders>
          </w:tcPr>
          <w:p>
            <w:pPr/>
          </w:p>
        </w:tc>
        <w:tc>
          <w:tcPr>
            <w:tcW w:w="225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17"/>
          <w:szCs w:val="17"/>
        </w:rPr>
      </w:pPr>
    </w:p>
    <w:p>
      <w:pPr>
        <w:tabs>
          <w:tab w:pos="3059" w:val="left" w:leader="none"/>
          <w:tab w:pos="6479" w:val="left" w:leader="none"/>
        </w:tabs>
        <w:spacing w:before="44"/>
        <w:ind w:left="0" w:right="1745" w:firstLine="0"/>
        <w:jc w:val="right"/>
        <w:rPr>
          <w:rFonts w:ascii="宋体" w:hAnsi="宋体" w:cs="宋体" w:eastAsia="宋体" w:hint="default"/>
          <w:sz w:val="18"/>
          <w:szCs w:val="18"/>
        </w:rPr>
      </w:pPr>
      <w:r>
        <w:rPr>
          <w:rFonts w:ascii="宋体" w:hAnsi="宋体" w:cs="宋体" w:eastAsia="宋体" w:hint="default"/>
          <w:sz w:val="18"/>
          <w:szCs w:val="18"/>
        </w:rPr>
        <w:t>法定代表人：张珊珊</w:t>
        <w:tab/>
        <w:t>主管会计工作负责人：许刚</w:t>
        <w:tab/>
        <w:t>会计机构负责人：丁大雷</w:t>
      </w:r>
    </w:p>
    <w:p>
      <w:pPr>
        <w:spacing w:line="240" w:lineRule="auto" w:before="3"/>
        <w:rPr>
          <w:rFonts w:ascii="宋体" w:hAnsi="宋体" w:cs="宋体" w:eastAsia="宋体" w:hint="default"/>
          <w:sz w:val="22"/>
          <w:szCs w:val="22"/>
        </w:rPr>
      </w:pPr>
    </w:p>
    <w:p>
      <w:pPr>
        <w:spacing w:before="0"/>
        <w:ind w:left="121" w:right="493" w:firstLine="0"/>
        <w:jc w:val="left"/>
        <w:rPr>
          <w:rFonts w:ascii="宋体" w:hAnsi="宋体" w:cs="宋体" w:eastAsia="宋体" w:hint="default"/>
          <w:sz w:val="21"/>
          <w:szCs w:val="21"/>
        </w:rPr>
      </w:pPr>
      <w:bookmarkStart w:name="5、合并现金流量表" w:id="166"/>
      <w:bookmarkEnd w:id="166"/>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line="240" w:lineRule="auto" w:before="1"/>
        <w:rPr>
          <w:rFonts w:ascii="宋体" w:hAnsi="宋体" w:cs="宋体" w:eastAsia="宋体" w:hint="default"/>
          <w:b/>
          <w:bCs/>
          <w:sz w:val="22"/>
          <w:szCs w:val="22"/>
        </w:rPr>
      </w:pPr>
    </w:p>
    <w:p>
      <w:pPr>
        <w:spacing w:before="0"/>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5086"/>
        <w:gridCol w:w="2400"/>
        <w:gridCol w:w="2082"/>
      </w:tblGrid>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0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5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08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8,227,184,932.09</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7,362,131,040.01</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1910"/>
              <w:jc w:val="righ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910"/>
              <w:jc w:val="righ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代理买卖证券收到的现金净额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118,646,814.38</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153,143,278.39</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326,000,617.66</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235,056,814.88</w:t>
            </w:r>
          </w:p>
        </w:tc>
      </w:tr>
      <w:tr>
        <w:trPr>
          <w:trHeight w:val="322"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8,671,832,364.13</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7,750,331,133.28</w:t>
            </w:r>
          </w:p>
        </w:tc>
      </w:tr>
    </w:tbl>
    <w:p>
      <w:pPr>
        <w:spacing w:after="0" w:line="240" w:lineRule="auto"/>
        <w:jc w:val="right"/>
        <w:rPr>
          <w:rFonts w:ascii="Times New Roman" w:hAnsi="Times New Roman" w:cs="Times New Roman" w:eastAsia="Times New Roman" w:hint="default"/>
          <w:sz w:val="18"/>
          <w:szCs w:val="18"/>
        </w:rPr>
        <w:sectPr>
          <w:footerReference w:type="default" r:id="rId41"/>
          <w:pgSz w:w="11910" w:h="16840"/>
          <w:pgMar w:footer="883" w:header="939" w:top="1940" w:bottom="1080" w:left="1580" w:right="0"/>
          <w:pgNumType w:start="8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5086"/>
        <w:gridCol w:w="2400"/>
        <w:gridCol w:w="2082"/>
      </w:tblGrid>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6,316,604,910.68</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5,824,615,655.89</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448,295,565.57</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395,431,848.57</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241,886,162.60</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205,126,860.65</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792,878,051.76</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686,585,481.24</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7,799,664,690.61</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2"/>
                <w:sz w:val="18"/>
              </w:rPr>
              <w:t>7,111,759,846.35</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872,167,673.52</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638,571,286.93</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08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12,534,945.63</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13,303,489.26</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13,857,475.96</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28,207,441.13</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1,573,481.14</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8,068,433,688.81</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1,501,542,153.10</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8,109,944,619.20</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1,529,508,055.83</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235,026,520.08</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278,795,236.69</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2,000,000.00</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19,628,602.32</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7,961,703,678.21</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1,581,163,661.20</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8,198,730,198.29</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1,879,587,500.21</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-88,785,579.09</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-350,079,444.38</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08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1,522,010,859.10</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1,820,953,722.25</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15,183,295.95</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5,288,822.85</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1,537,194,155.05</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1,828,242,545.10</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1,951,448,102.53</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2,081,659,234.96</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98,754,475.93</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80,473,379.69</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2400" w:type="dxa"/>
            <w:tcBorders>
              <w:top w:val="single" w:sz="4" w:space="0" w:color="000000"/>
              <w:left w:val="single" w:sz="4" w:space="0" w:color="000000"/>
              <w:bottom w:val="single" w:sz="4" w:space="0" w:color="000000"/>
              <w:right w:val="single" w:sz="4" w:space="0" w:color="000000"/>
            </w:tcBorders>
          </w:tcPr>
          <w:p>
            <w:pPr/>
          </w:p>
        </w:tc>
        <w:tc>
          <w:tcPr>
            <w:tcW w:w="20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11,501,917.87</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183,369,941.88</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2,061,704,496.33</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2,345,502,556.53</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-524,510,341.28</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spacing w:val="-1"/>
                <w:sz w:val="18"/>
              </w:rPr>
              <w:t>-517,260,011.43</w:t>
            </w:r>
          </w:p>
        </w:tc>
      </w:tr>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686,450.34</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1,614,243.35</w:t>
            </w:r>
          </w:p>
        </w:tc>
      </w:tr>
      <w:tr>
        <w:trPr>
          <w:trHeight w:val="324"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259,558,203.49</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-227,153,925.53</w:t>
            </w:r>
          </w:p>
        </w:tc>
      </w:tr>
      <w:tr>
        <w:trPr>
          <w:trHeight w:val="321"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670,797,853.58</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897,951,779.11</w:t>
            </w:r>
          </w:p>
        </w:tc>
      </w:tr>
    </w:tbl>
    <w:p>
      <w:pPr>
        <w:spacing w:after="0" w:line="240" w:lineRule="auto"/>
        <w:jc w:val="right"/>
        <w:rPr>
          <w:rFonts w:ascii="Times New Roman" w:hAnsi="Times New Roman" w:cs="Times New Roman" w:eastAsia="Times New Roman" w:hint="default"/>
          <w:sz w:val="18"/>
          <w:szCs w:val="18"/>
        </w:rPr>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5086"/>
        <w:gridCol w:w="2400"/>
        <w:gridCol w:w="2082"/>
      </w:tblGrid>
      <w:tr>
        <w:trPr>
          <w:trHeight w:val="323" w:hRule="exact"/>
        </w:trPr>
        <w:tc>
          <w:tcPr>
            <w:tcW w:w="5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61" w:right="0"/>
              <w:jc w:val="left"/>
              <w:rPr>
                <w:rFonts w:ascii="Times New Roman" w:hAnsi="Times New Roman" w:cs="Times New Roman" w:eastAsia="Times New Roman" w:hint="default"/>
                <w:sz w:val="18"/>
                <w:szCs w:val="18"/>
              </w:rPr>
            </w:pPr>
            <w:r>
              <w:rPr>
                <w:rFonts w:ascii="Times New Roman"/>
                <w:sz w:val="18"/>
              </w:rPr>
              <w:t>930,356,057.07</w:t>
            </w:r>
          </w:p>
        </w:tc>
        <w:tc>
          <w:tcPr>
            <w:tcW w:w="2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44" w:right="0"/>
              <w:jc w:val="left"/>
              <w:rPr>
                <w:rFonts w:ascii="Times New Roman" w:hAnsi="Times New Roman" w:cs="Times New Roman" w:eastAsia="Times New Roman" w:hint="default"/>
                <w:sz w:val="18"/>
                <w:szCs w:val="18"/>
              </w:rPr>
            </w:pPr>
            <w:r>
              <w:rPr>
                <w:rFonts w:ascii="Times New Roman"/>
                <w:sz w:val="18"/>
              </w:rPr>
              <w:t>670,797,853.58</w:t>
            </w:r>
          </w:p>
        </w:tc>
      </w:tr>
    </w:tbl>
    <w:p>
      <w:pPr>
        <w:spacing w:line="240" w:lineRule="auto" w:before="2"/>
        <w:rPr>
          <w:rFonts w:ascii="Times New Roman" w:hAnsi="Times New Roman" w:cs="Times New Roman" w:eastAsia="Times New Roman" w:hint="default"/>
          <w:sz w:val="20"/>
          <w:szCs w:val="20"/>
        </w:rPr>
      </w:pPr>
    </w:p>
    <w:p>
      <w:pPr>
        <w:spacing w:before="34"/>
        <w:ind w:left="121" w:right="493" w:firstLine="0"/>
        <w:jc w:val="left"/>
        <w:rPr>
          <w:rFonts w:ascii="宋体" w:hAnsi="宋体" w:cs="宋体" w:eastAsia="宋体" w:hint="default"/>
          <w:sz w:val="21"/>
          <w:szCs w:val="21"/>
        </w:rPr>
      </w:pPr>
      <w:bookmarkStart w:name="6、母公司现金流量表" w:id="167"/>
      <w:bookmarkEnd w:id="167"/>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、母公司现金流量表</w:t>
      </w:r>
      <w:r>
        <w:rPr>
          <w:rFonts w:ascii="宋体" w:hAnsi="宋体" w:cs="宋体" w:eastAsia="宋体" w:hint="default"/>
          <w:sz w:val="21"/>
          <w:szCs w:val="21"/>
        </w:rPr>
      </w:r>
    </w:p>
    <w:p>
      <w:pPr>
        <w:spacing w:line="240" w:lineRule="auto" w:before="7"/>
        <w:rPr>
          <w:rFonts w:ascii="宋体" w:hAnsi="宋体" w:cs="宋体" w:eastAsia="宋体" w:hint="default"/>
          <w:b/>
          <w:bCs/>
          <w:sz w:val="18"/>
          <w:szCs w:val="18"/>
        </w:rPr>
      </w:pPr>
    </w:p>
    <w:p>
      <w:pPr>
        <w:spacing w:before="44"/>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4236"/>
        <w:gridCol w:w="2666"/>
        <w:gridCol w:w="2666"/>
      </w:tblGrid>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6,110,624,450.79</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5,162,321,489.37</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32,659,200.00</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34,476,596.42</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314,376,395.28</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333,641,266.66</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6,457,660,046.07</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5,530,439,352.45</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4,719,981,503.61</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4,197,291,540.41</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128,426,390.01</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120,714,675.91</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91,412,168.36</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82,522,139.96</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642,745,620.45</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603,385,142.29</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5,582,565,682.43</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5,003,913,498.57</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875,094,363.64</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526,525,853.88</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605,000,000.00</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113,656,771.00</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3,371,099.21</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3,887,782.81</w:t>
            </w:r>
          </w:p>
        </w:tc>
      </w:tr>
      <w:tr>
        <w:trPr>
          <w:trHeight w:val="557"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6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 的现金净额</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601,700.00</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865.00</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340"/>
              <w:jc w:val="righ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2666" w:type="dxa"/>
            <w:tcBorders>
              <w:top w:val="single" w:sz="4" w:space="0" w:color="000000"/>
              <w:left w:val="single" w:sz="4" w:space="0" w:color="000000"/>
              <w:bottom w:val="single" w:sz="4" w:space="0" w:color="000000"/>
              <w:right w:val="single" w:sz="4" w:space="0" w:color="000000"/>
            </w:tcBorders>
          </w:tcPr>
          <w:p>
            <w:pPr/>
          </w:p>
        </w:tc>
        <w:tc>
          <w:tcPr>
            <w:tcW w:w="2666"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3,803,613,426.03</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795,526,541.99</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4,412,586,225.24</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913,071,960.80</w:t>
            </w:r>
          </w:p>
        </w:tc>
      </w:tr>
      <w:tr>
        <w:trPr>
          <w:trHeight w:val="557"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6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 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9,147,129.75</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25,655,938.17</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316,519,481.00</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341,264,984.00</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340"/>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666" w:type="dxa"/>
            <w:tcBorders>
              <w:top w:val="single" w:sz="4" w:space="0" w:color="000000"/>
              <w:left w:val="single" w:sz="4" w:space="0" w:color="000000"/>
              <w:bottom w:val="single" w:sz="4" w:space="0" w:color="000000"/>
              <w:right w:val="single" w:sz="4" w:space="0" w:color="000000"/>
            </w:tcBorders>
          </w:tcPr>
          <w:p>
            <w:pPr/>
          </w:p>
        </w:tc>
        <w:tc>
          <w:tcPr>
            <w:tcW w:w="266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4,122,904,576.36</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655,164,186.20</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4,448,571,187.11</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1,022,085,108.37</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-35,984,961.87</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-109,013,147.57</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2666" w:type="dxa"/>
            <w:tcBorders>
              <w:top w:val="single" w:sz="4" w:space="0" w:color="000000"/>
              <w:left w:val="single" w:sz="4" w:space="0" w:color="000000"/>
              <w:bottom w:val="single" w:sz="4" w:space="0" w:color="000000"/>
              <w:right w:val="single" w:sz="4" w:space="0" w:color="000000"/>
            </w:tcBorders>
          </w:tcPr>
          <w:p>
            <w:pPr/>
          </w:p>
        </w:tc>
        <w:tc>
          <w:tcPr>
            <w:tcW w:w="266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1,189,543,500.00</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1,605,932,431.65</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37,158,710.57</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230,000,000.00</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1,226,702,210.57</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1,835,932,431.65</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1,682,245,524.73</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spacing w:val="-1"/>
                <w:sz w:val="18"/>
              </w:rPr>
              <w:t>1,731,659,234.96</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90,083,284.64</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72,621,894.83</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36,418,736.11</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476,026,140.93</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1,808,747,545.48</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2,280,307,270.72</w:t>
            </w:r>
          </w:p>
        </w:tc>
      </w:tr>
      <w:tr>
        <w:trPr>
          <w:trHeight w:val="322"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-582,045,334.91</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spacing w:val="-1"/>
                <w:sz w:val="18"/>
              </w:rPr>
              <w:t>-444,374,839.07</w:t>
            </w:r>
          </w:p>
        </w:tc>
      </w:tr>
    </w:tbl>
    <w:p>
      <w:pPr>
        <w:spacing w:after="0" w:line="240" w:lineRule="auto"/>
        <w:jc w:val="right"/>
        <w:rPr>
          <w:rFonts w:ascii="Times New Roman" w:hAnsi="Times New Roman" w:cs="Times New Roman" w:eastAsia="Times New Roman" w:hint="default"/>
          <w:sz w:val="18"/>
          <w:szCs w:val="18"/>
        </w:rPr>
        <w:sectPr>
          <w:pgSz w:w="11910" w:h="16840"/>
          <w:pgMar w:header="939" w:footer="883" w:top="1940" w:bottom="1080" w:left="1580" w:right="0"/>
        </w:sectPr>
      </w:pPr>
    </w:p>
    <w:p>
      <w:pPr>
        <w:spacing w:line="240" w:lineRule="auto" w:before="11"/>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4236"/>
        <w:gridCol w:w="2666"/>
        <w:gridCol w:w="2666"/>
      </w:tblGrid>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99,558.56</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-122,393.13</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257,163,625.42</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-26,984,525.89</w:t>
            </w:r>
          </w:p>
        </w:tc>
      </w:tr>
      <w:tr>
        <w:trPr>
          <w:trHeight w:val="323"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6"/>
              <w:jc w:val="right"/>
              <w:rPr>
                <w:rFonts w:ascii="Times New Roman" w:hAnsi="Times New Roman" w:cs="Times New Roman" w:eastAsia="Times New Roman" w:hint="default"/>
                <w:sz w:val="18"/>
                <w:szCs w:val="18"/>
              </w:rPr>
            </w:pPr>
            <w:r>
              <w:rPr>
                <w:rFonts w:ascii="Times New Roman"/>
                <w:spacing w:val="-1"/>
                <w:sz w:val="18"/>
              </w:rPr>
              <w:t>210,821,710.11</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237,806,236.00</w:t>
            </w:r>
          </w:p>
        </w:tc>
      </w:tr>
      <w:tr>
        <w:trPr>
          <w:trHeight w:val="324" w:hRule="exact"/>
        </w:trPr>
        <w:tc>
          <w:tcPr>
            <w:tcW w:w="4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467,985,335.53</w:t>
            </w:r>
          </w:p>
        </w:tc>
        <w:tc>
          <w:tcPr>
            <w:tcW w:w="2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6"/>
              <w:jc w:val="right"/>
              <w:rPr>
                <w:rFonts w:ascii="Times New Roman" w:hAnsi="Times New Roman" w:cs="Times New Roman" w:eastAsia="Times New Roman" w:hint="default"/>
                <w:sz w:val="18"/>
                <w:szCs w:val="18"/>
              </w:rPr>
            </w:pPr>
            <w:r>
              <w:rPr>
                <w:rFonts w:ascii="Times New Roman"/>
                <w:spacing w:val="-1"/>
                <w:sz w:val="18"/>
              </w:rPr>
              <w:t>210,821,710.11</w:t>
            </w:r>
          </w:p>
        </w:tc>
      </w:tr>
    </w:tbl>
    <w:p>
      <w:pPr>
        <w:spacing w:line="240" w:lineRule="auto" w:before="4"/>
        <w:rPr>
          <w:rFonts w:ascii="宋体" w:hAnsi="宋体" w:cs="宋体" w:eastAsia="宋体" w:hint="default"/>
          <w:sz w:val="17"/>
          <w:szCs w:val="17"/>
        </w:rPr>
      </w:pPr>
    </w:p>
    <w:p>
      <w:pPr>
        <w:tabs>
          <w:tab w:pos="3181" w:val="left" w:leader="none"/>
          <w:tab w:pos="6601" w:val="left" w:leader="none"/>
        </w:tabs>
        <w:spacing w:before="44"/>
        <w:ind w:left="121" w:right="493" w:firstLine="0"/>
        <w:jc w:val="left"/>
        <w:rPr>
          <w:rFonts w:ascii="宋体" w:hAnsi="宋体" w:cs="宋体" w:eastAsia="宋体" w:hint="default"/>
          <w:sz w:val="18"/>
          <w:szCs w:val="18"/>
        </w:rPr>
      </w:pPr>
      <w:r>
        <w:rPr>
          <w:rFonts w:ascii="宋体" w:hAnsi="宋体" w:cs="宋体" w:eastAsia="宋体" w:hint="default"/>
          <w:sz w:val="18"/>
          <w:szCs w:val="18"/>
        </w:rPr>
        <w:t>法定代表人：张珊珊</w:t>
        <w:tab/>
        <w:t>主管会计工作负责人：许刚</w:t>
        <w:tab/>
        <w:t>会计机构负责人：丁大雷</w:t>
      </w:r>
    </w:p>
    <w:p>
      <w:pPr>
        <w:spacing w:line="240" w:lineRule="auto" w:before="3"/>
        <w:rPr>
          <w:rFonts w:ascii="宋体" w:hAnsi="宋体" w:cs="宋体" w:eastAsia="宋体" w:hint="default"/>
          <w:sz w:val="22"/>
          <w:szCs w:val="22"/>
        </w:rPr>
      </w:pPr>
    </w:p>
    <w:p>
      <w:pPr>
        <w:spacing w:before="0"/>
        <w:ind w:left="121" w:right="493" w:firstLine="0"/>
        <w:jc w:val="left"/>
        <w:rPr>
          <w:rFonts w:ascii="宋体" w:hAnsi="宋体" w:cs="宋体" w:eastAsia="宋体" w:hint="default"/>
          <w:sz w:val="21"/>
          <w:szCs w:val="21"/>
        </w:rPr>
      </w:pPr>
      <w:bookmarkStart w:name="7、合并所有者权益变动表" w:id="168"/>
      <w:bookmarkEnd w:id="168"/>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、合并所有者权益变动表</w:t>
      </w:r>
      <w:r>
        <w:rPr>
          <w:rFonts w:ascii="宋体" w:hAnsi="宋体" w:cs="宋体" w:eastAsia="宋体" w:hint="default"/>
          <w:sz w:val="21"/>
          <w:szCs w:val="21"/>
        </w:rPr>
      </w:r>
    </w:p>
    <w:p>
      <w:pPr>
        <w:spacing w:line="240" w:lineRule="auto" w:before="9"/>
        <w:rPr>
          <w:rFonts w:ascii="宋体" w:hAnsi="宋体" w:cs="宋体" w:eastAsia="宋体" w:hint="default"/>
          <w:b/>
          <w:bCs/>
          <w:sz w:val="18"/>
          <w:szCs w:val="18"/>
        </w:rPr>
      </w:pPr>
    </w:p>
    <w:p>
      <w:pPr>
        <w:spacing w:before="44"/>
        <w:ind w:left="121" w:right="493"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38"/>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323" w:hRule="exact"/>
        </w:trPr>
        <w:tc>
          <w:tcPr>
            <w:tcW w:w="125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10"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264" w:hRule="exact"/>
        </w:trPr>
        <w:tc>
          <w:tcPr>
            <w:tcW w:w="1253" w:type="dxa"/>
            <w:vMerge/>
            <w:tcBorders>
              <w:left w:val="single" w:sz="4" w:space="0" w:color="000000"/>
              <w:right w:val="single" w:sz="4" w:space="0" w:color="000000"/>
            </w:tcBorders>
            <w:shd w:val="clear" w:color="auto" w:fill="D2D2D2"/>
          </w:tcPr>
          <w:p>
            <w:pPr/>
          </w:p>
        </w:tc>
        <w:tc>
          <w:tcPr>
            <w:tcW w:w="7148" w:type="dxa"/>
            <w:gridSpan w:val="13"/>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4"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59" w:hRule="exact"/>
        </w:trPr>
        <w:tc>
          <w:tcPr>
            <w:tcW w:w="1253" w:type="dxa"/>
            <w:vMerge/>
            <w:tcBorders>
              <w:left w:val="single" w:sz="4" w:space="0" w:color="000000"/>
              <w:right w:val="single" w:sz="4" w:space="0" w:color="000000"/>
            </w:tcBorders>
            <w:shd w:val="clear" w:color="auto" w:fill="D2D2D2"/>
          </w:tcPr>
          <w:p>
            <w:pPr/>
          </w:p>
        </w:tc>
        <w:tc>
          <w:tcPr>
            <w:tcW w:w="7148" w:type="dxa"/>
            <w:gridSpan w:val="13"/>
            <w:tcBorders>
              <w:top w:val="nil" w:sz="6" w:space="0" w:color="auto"/>
              <w:left w:val="single" w:sz="4" w:space="0" w:color="000000"/>
              <w:bottom w:val="single" w:sz="4" w:space="0" w:color="000000"/>
              <w:right w:val="single" w:sz="4" w:space="0" w:color="000000"/>
            </w:tcBorders>
            <w:shd w:val="clear" w:color="auto" w:fill="D2D2D2"/>
          </w:tcPr>
          <w:p>
            <w:pPr/>
          </w:p>
        </w:tc>
        <w:tc>
          <w:tcPr>
            <w:tcW w:w="584" w:type="dxa"/>
            <w:vMerge w:val="restart"/>
            <w:tcBorders>
              <w:top w:val="nil" w:sz="6" w:space="0" w:color="auto"/>
              <w:left w:val="single" w:sz="4" w:space="0" w:color="000000"/>
              <w:right w:val="single" w:sz="4" w:space="0" w:color="000000"/>
            </w:tcBorders>
            <w:shd w:val="clear" w:color="auto" w:fill="D2D2D2"/>
          </w:tcPr>
          <w:p>
            <w:pPr>
              <w:pStyle w:val="TableParagraph"/>
              <w:spacing w:line="232" w:lineRule="exact" w:before="100"/>
              <w:ind w:left="107" w:right="104"/>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val="restart"/>
            <w:tcBorders>
              <w:top w:val="nil" w:sz="6" w:space="0" w:color="auto"/>
              <w:left w:val="single" w:sz="4" w:space="0" w:color="000000"/>
              <w:right w:val="single" w:sz="4" w:space="0" w:color="000000"/>
            </w:tcBorders>
            <w:shd w:val="clear" w:color="auto" w:fill="D2D2D2"/>
          </w:tcPr>
          <w:p>
            <w:pPr>
              <w:pStyle w:val="TableParagraph"/>
              <w:spacing w:line="192" w:lineRule="exact"/>
              <w:ind w:left="104" w:right="0"/>
              <w:jc w:val="both"/>
              <w:rPr>
                <w:rFonts w:ascii="宋体" w:hAnsi="宋体" w:cs="宋体" w:eastAsia="宋体" w:hint="default"/>
                <w:sz w:val="18"/>
                <w:szCs w:val="18"/>
              </w:rPr>
            </w:pPr>
            <w:r>
              <w:rPr>
                <w:rFonts w:ascii="宋体" w:hAnsi="宋体" w:cs="宋体" w:eastAsia="宋体" w:hint="default"/>
                <w:sz w:val="18"/>
                <w:szCs w:val="18"/>
              </w:rPr>
              <w:t>所有</w:t>
            </w:r>
          </w:p>
          <w:p>
            <w:pPr>
              <w:pStyle w:val="TableParagraph"/>
              <w:spacing w:line="237" w:lineRule="auto"/>
              <w:ind w:left="104" w:right="102"/>
              <w:jc w:val="both"/>
              <w:rPr>
                <w:rFonts w:ascii="宋体" w:hAnsi="宋体" w:cs="宋体" w:eastAsia="宋体" w:hint="default"/>
                <w:sz w:val="18"/>
                <w:szCs w:val="18"/>
              </w:rPr>
            </w:pPr>
            <w:r>
              <w:rPr>
                <w:rFonts w:ascii="宋体" w:hAnsi="宋体" w:cs="宋体" w:eastAsia="宋体" w:hint="default"/>
                <w:sz w:val="18"/>
                <w:szCs w:val="18"/>
              </w:rPr>
              <w:t>者权 益合 计</w:t>
            </w:r>
          </w:p>
        </w:tc>
      </w:tr>
      <w:tr>
        <w:trPr>
          <w:trHeight w:val="324" w:hRule="exact"/>
        </w:trPr>
        <w:tc>
          <w:tcPr>
            <w:tcW w:w="1253" w:type="dxa"/>
            <w:vMerge/>
            <w:tcBorders>
              <w:left w:val="single" w:sz="4" w:space="0" w:color="000000"/>
              <w:right w:val="single" w:sz="4" w:space="0" w:color="000000"/>
            </w:tcBorders>
            <w:shd w:val="clear" w:color="auto" w:fill="D2D2D2"/>
          </w:tcPr>
          <w:p>
            <w:pPr/>
          </w:p>
        </w:tc>
        <w:tc>
          <w:tcPr>
            <w:tcW w:w="4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23"/>
                <w:szCs w:val="23"/>
              </w:rPr>
            </w:pPr>
          </w:p>
          <w:p>
            <w:pPr>
              <w:pStyle w:val="TableParagraph"/>
              <w:spacing w:line="232" w:lineRule="exact"/>
              <w:ind w:left="151" w:right="149"/>
              <w:jc w:val="left"/>
              <w:rPr>
                <w:rFonts w:ascii="宋体" w:hAnsi="宋体" w:cs="宋体" w:eastAsia="宋体" w:hint="default"/>
                <w:sz w:val="18"/>
                <w:szCs w:val="18"/>
              </w:rPr>
            </w:pPr>
            <w:r>
              <w:rPr>
                <w:rFonts w:ascii="宋体" w:hAnsi="宋体" w:cs="宋体" w:eastAsia="宋体" w:hint="default"/>
                <w:sz w:val="18"/>
                <w:szCs w:val="18"/>
              </w:rPr>
              <w:t>股 本</w:t>
            </w:r>
          </w:p>
        </w:tc>
        <w:tc>
          <w:tcPr>
            <w:tcW w:w="14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5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23"/>
                <w:szCs w:val="23"/>
              </w:rPr>
            </w:pPr>
          </w:p>
          <w:p>
            <w:pPr>
              <w:pStyle w:val="TableParagraph"/>
              <w:spacing w:line="232" w:lineRule="exact"/>
              <w:ind w:left="105" w:right="105"/>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32" w:lineRule="exact"/>
              <w:ind w:left="108" w:right="104"/>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32" w:lineRule="exact"/>
              <w:ind w:left="107" w:right="105"/>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23"/>
                <w:szCs w:val="23"/>
              </w:rPr>
            </w:pPr>
          </w:p>
          <w:p>
            <w:pPr>
              <w:pStyle w:val="TableParagraph"/>
              <w:spacing w:line="232" w:lineRule="exact"/>
              <w:ind w:left="106" w:right="10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23"/>
                <w:szCs w:val="23"/>
              </w:rPr>
            </w:pPr>
          </w:p>
          <w:p>
            <w:pPr>
              <w:pStyle w:val="TableParagraph"/>
              <w:spacing w:line="232" w:lineRule="exact"/>
              <w:ind w:left="105" w:right="105"/>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32" w:lineRule="exact"/>
              <w:ind w:left="105" w:right="106"/>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32" w:lineRule="exact"/>
              <w:ind w:left="107" w:right="104"/>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4"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790" w:hRule="exact"/>
        </w:trPr>
        <w:tc>
          <w:tcPr>
            <w:tcW w:w="1253" w:type="dxa"/>
            <w:vMerge/>
            <w:tcBorders>
              <w:left w:val="single" w:sz="4" w:space="0" w:color="000000"/>
              <w:bottom w:val="single" w:sz="4" w:space="0" w:color="000000"/>
              <w:right w:val="single" w:sz="4" w:space="0" w:color="000000"/>
            </w:tcBorders>
            <w:shd w:val="clear" w:color="auto" w:fill="D2D2D2"/>
          </w:tcPr>
          <w:p>
            <w:pPr/>
          </w:p>
        </w:tc>
        <w:tc>
          <w:tcPr>
            <w:tcW w:w="493" w:type="dxa"/>
            <w:vMerge/>
            <w:tcBorders>
              <w:left w:val="single" w:sz="4" w:space="0" w:color="000000"/>
              <w:bottom w:val="single" w:sz="4" w:space="0" w:color="000000"/>
              <w:right w:val="single" w:sz="4" w:space="0" w:color="000000"/>
            </w:tcBorders>
            <w:shd w:val="clear" w:color="auto" w:fill="D2D2D2"/>
          </w:tcPr>
          <w:p>
            <w:pPr/>
          </w:p>
        </w:tc>
        <w:tc>
          <w:tcPr>
            <w:tcW w:w="4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38" w:right="135"/>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38" w:right="13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50"/>
              <w:ind w:left="139" w:right="137"/>
              <w:jc w:val="left"/>
              <w:rPr>
                <w:rFonts w:ascii="宋体" w:hAnsi="宋体" w:cs="宋体" w:eastAsia="宋体" w:hint="default"/>
                <w:sz w:val="18"/>
                <w:szCs w:val="18"/>
              </w:rPr>
            </w:pPr>
            <w:r>
              <w:rPr>
                <w:rFonts w:ascii="宋体" w:hAnsi="宋体" w:cs="宋体" w:eastAsia="宋体" w:hint="default"/>
                <w:sz w:val="18"/>
                <w:szCs w:val="18"/>
              </w:rPr>
              <w:t>其 他</w:t>
            </w: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r>
      <w:tr>
        <w:trPr>
          <w:trHeight w:val="262"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
        </w:tc>
        <w:tc>
          <w:tcPr>
            <w:tcW w:w="4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z w:val="18"/>
              </w:rPr>
              <w:t>1,0</w:t>
            </w: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78" w:type="dxa"/>
            <w:tcBorders>
              <w:top w:val="single" w:sz="4" w:space="0" w:color="000000"/>
              <w:left w:val="single" w:sz="4" w:space="0" w:color="000000"/>
              <w:bottom w:val="nil" w:sz="6" w:space="0" w:color="auto"/>
              <w:right w:val="single" w:sz="4" w:space="0" w:color="000000"/>
            </w:tcBorders>
          </w:tcPr>
          <w:p>
            <w:pPr/>
          </w:p>
        </w:tc>
      </w:tr>
      <w:tr>
        <w:trPr>
          <w:trHeight w:val="195"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2"/>
              <w:jc w:val="right"/>
              <w:rPr>
                <w:rFonts w:ascii="Times New Roman" w:hAnsi="Times New Roman" w:cs="Times New Roman" w:eastAsia="Times New Roman" w:hint="default"/>
                <w:sz w:val="18"/>
                <w:szCs w:val="18"/>
              </w:rPr>
            </w:pPr>
            <w:r>
              <w:rPr>
                <w:rFonts w:ascii="Times New Roman"/>
                <w:spacing w:val="-1"/>
                <w:sz w:val="18"/>
              </w:rPr>
              <w:t>35,</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1,55</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-35,</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222,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1,23</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4,01</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17,9</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4,03</w:t>
            </w:r>
          </w:p>
        </w:tc>
      </w:tr>
      <w:tr>
        <w:trPr>
          <w:trHeight w:val="217"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2"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一、上年期末</w:t>
            </w: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489</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99"/>
              <w:jc w:val="right"/>
              <w:rPr>
                <w:rFonts w:ascii="Times New Roman" w:hAnsi="Times New Roman" w:cs="Times New Roman" w:eastAsia="Times New Roman" w:hint="default"/>
                <w:sz w:val="18"/>
                <w:szCs w:val="18"/>
              </w:rPr>
            </w:pPr>
            <w:r>
              <w:rPr>
                <w:rFonts w:ascii="Times New Roman"/>
                <w:sz w:val="18"/>
              </w:rPr>
              <w:t>5,19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0"/>
              <w:jc w:val="right"/>
              <w:rPr>
                <w:rFonts w:ascii="Times New Roman" w:hAnsi="Times New Roman" w:cs="Times New Roman" w:eastAsia="Times New Roman" w:hint="default"/>
                <w:sz w:val="18"/>
                <w:szCs w:val="18"/>
              </w:rPr>
            </w:pPr>
            <w:r>
              <w:rPr>
                <w:rFonts w:ascii="Times New Roman"/>
                <w:sz w:val="18"/>
              </w:rPr>
              <w:t>709,</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99"/>
              <w:jc w:val="right"/>
              <w:rPr>
                <w:rFonts w:ascii="Times New Roman" w:hAnsi="Times New Roman" w:cs="Times New Roman" w:eastAsia="Times New Roman" w:hint="default"/>
                <w:sz w:val="18"/>
                <w:szCs w:val="18"/>
              </w:rPr>
            </w:pPr>
            <w:r>
              <w:rPr>
                <w:rFonts w:ascii="Times New Roman"/>
                <w:sz w:val="18"/>
              </w:rPr>
              <w:t>369,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Times New Roman" w:hAnsi="Times New Roman" w:cs="Times New Roman" w:eastAsia="Times New Roman" w:hint="default"/>
                <w:sz w:val="18"/>
                <w:szCs w:val="18"/>
              </w:rPr>
            </w:pPr>
            <w:r>
              <w:rPr>
                <w:rFonts w:ascii="Times New Roman"/>
                <w:spacing w:val="-1"/>
                <w:sz w:val="18"/>
              </w:rPr>
              <w:t>8,07</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0"/>
              <w:jc w:val="right"/>
              <w:rPr>
                <w:rFonts w:ascii="Times New Roman" w:hAnsi="Times New Roman" w:cs="Times New Roman" w:eastAsia="Times New Roman" w:hint="default"/>
                <w:sz w:val="18"/>
                <w:szCs w:val="18"/>
              </w:rPr>
            </w:pPr>
            <w:r>
              <w:rPr>
                <w:rFonts w:ascii="Times New Roman"/>
                <w:spacing w:val="-1"/>
                <w:sz w:val="18"/>
              </w:rPr>
              <w:t>5,42</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Times New Roman" w:hAnsi="Times New Roman" w:cs="Times New Roman" w:eastAsia="Times New Roman" w:hint="default"/>
                <w:sz w:val="18"/>
                <w:szCs w:val="18"/>
              </w:rPr>
            </w:pPr>
            <w:r>
              <w:rPr>
                <w:rFonts w:ascii="Times New Roman"/>
                <w:spacing w:val="-1"/>
                <w:sz w:val="18"/>
              </w:rPr>
              <w:t>66,1</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0"/>
              <w:jc w:val="right"/>
              <w:rPr>
                <w:rFonts w:ascii="Times New Roman" w:hAnsi="Times New Roman" w:cs="Times New Roman" w:eastAsia="Times New Roman" w:hint="default"/>
                <w:sz w:val="18"/>
                <w:szCs w:val="18"/>
              </w:rPr>
            </w:pPr>
            <w:r>
              <w:rPr>
                <w:rFonts w:ascii="Times New Roman"/>
                <w:spacing w:val="-1"/>
                <w:sz w:val="18"/>
              </w:rPr>
              <w:t>3,38</w:t>
            </w:r>
          </w:p>
        </w:tc>
      </w:tr>
      <w:tr>
        <w:trPr>
          <w:trHeight w:val="20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,09</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7,71</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017.</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887.</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3,45</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1,13</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67.2</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7,30</w:t>
            </w:r>
          </w:p>
        </w:tc>
      </w:tr>
      <w:tr>
        <w:trPr>
          <w:trHeight w:val="205"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8.0</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3.12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16</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21</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pacing w:val="-1"/>
                <w:sz w:val="18"/>
              </w:rPr>
              <w:t>6.06</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pacing w:val="-1"/>
                <w:sz w:val="18"/>
              </w:rPr>
              <w:t>7.23</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7</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pacing w:val="-1"/>
                <w:sz w:val="18"/>
              </w:rPr>
              <w:t>4.50</w:t>
            </w:r>
          </w:p>
        </w:tc>
      </w:tr>
      <w:tr>
        <w:trPr>
          <w:trHeight w:val="243"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
        </w:tc>
        <w:tc>
          <w:tcPr>
            <w:tcW w:w="493"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100"/>
              <w:jc w:val="right"/>
              <w:rPr>
                <w:rFonts w:ascii="Times New Roman" w:hAnsi="Times New Roman" w:cs="Times New Roman" w:eastAsia="Times New Roman" w:hint="default"/>
                <w:sz w:val="18"/>
                <w:szCs w:val="18"/>
              </w:rPr>
            </w:pPr>
            <w:r>
              <w:rPr>
                <w:rFonts w:ascii="Times New Roman"/>
                <w:sz w:val="18"/>
              </w:rPr>
              <w:t>0</w:t>
            </w: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78" w:type="dxa"/>
            <w:tcBorders>
              <w:top w:val="nil" w:sz="6" w:space="0" w:color="auto"/>
              <w:left w:val="single" w:sz="4" w:space="0" w:color="000000"/>
              <w:bottom w:val="single" w:sz="4" w:space="0" w:color="000000"/>
              <w:right w:val="single" w:sz="4" w:space="0" w:color="000000"/>
            </w:tcBorders>
          </w:tcPr>
          <w:p>
            <w:pPr/>
          </w:p>
        </w:tc>
      </w:tr>
      <w:tr>
        <w:trPr>
          <w:trHeight w:val="91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6"/>
                <w:szCs w:val="16"/>
              </w:rPr>
            </w:pPr>
          </w:p>
          <w:p>
            <w:pPr>
              <w:pStyle w:val="TableParagraph"/>
              <w:spacing w:line="232" w:lineRule="exact"/>
              <w:ind w:left="103" w:right="100" w:firstLine="360"/>
              <w:jc w:val="left"/>
              <w:rPr>
                <w:rFonts w:ascii="宋体" w:hAnsi="宋体" w:cs="宋体" w:eastAsia="宋体" w:hint="default"/>
                <w:sz w:val="18"/>
                <w:szCs w:val="18"/>
              </w:rPr>
            </w:pPr>
            <w:r>
              <w:rPr>
                <w:rFonts w:ascii="宋体" w:hAnsi="宋体" w:cs="宋体" w:eastAsia="宋体" w:hint="default"/>
                <w:spacing w:val="-11"/>
                <w:sz w:val="18"/>
                <w:szCs w:val="18"/>
              </w:rPr>
              <w:t>加：会计</w:t>
            </w:r>
            <w:r>
              <w:rPr>
                <w:rFonts w:ascii="宋体" w:hAnsi="宋体" w:cs="宋体" w:eastAsia="宋体" w:hint="default"/>
                <w:sz w:val="18"/>
                <w:szCs w:val="18"/>
              </w:rPr>
              <w:t> 政策变更</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4"/>
              <w:ind w:left="37" w:right="0"/>
              <w:jc w:val="center"/>
              <w:rPr>
                <w:rFonts w:ascii="Times New Roman" w:hAnsi="Times New Roman" w:cs="Times New Roman" w:eastAsia="Times New Roman" w:hint="default"/>
                <w:sz w:val="18"/>
                <w:szCs w:val="18"/>
              </w:rPr>
            </w:pPr>
            <w:r>
              <w:rPr>
                <w:rFonts w:ascii="Times New Roman"/>
                <w:sz w:val="18"/>
              </w:rPr>
              <w:t>-563</w:t>
            </w:r>
          </w:p>
          <w:p>
            <w:pPr>
              <w:pStyle w:val="TableParagraph"/>
              <w:spacing w:line="206" w:lineRule="exact"/>
              <w:ind w:left="7" w:right="0"/>
              <w:jc w:val="center"/>
              <w:rPr>
                <w:rFonts w:ascii="Times New Roman" w:hAnsi="Times New Roman" w:cs="Times New Roman" w:eastAsia="Times New Roman" w:hint="default"/>
                <w:sz w:val="18"/>
                <w:szCs w:val="18"/>
              </w:rPr>
            </w:pPr>
            <w:r>
              <w:rPr>
                <w:rFonts w:ascii="Times New Roman"/>
                <w:sz w:val="18"/>
              </w:rPr>
              <w:t>,128.</w:t>
            </w:r>
          </w:p>
          <w:p>
            <w:pPr>
              <w:pStyle w:val="TableParagraph"/>
              <w:spacing w:line="207" w:lineRule="exact"/>
              <w:ind w:left="186" w:right="0"/>
              <w:jc w:val="center"/>
              <w:rPr>
                <w:rFonts w:ascii="Times New Roman" w:hAnsi="Times New Roman" w:cs="Times New Roman" w:eastAsia="Times New Roman" w:hint="default"/>
                <w:sz w:val="18"/>
                <w:szCs w:val="18"/>
              </w:rPr>
            </w:pPr>
            <w:r>
              <w:rPr>
                <w:rFonts w:ascii="Times New Roman"/>
                <w:sz w:val="18"/>
              </w:rPr>
              <w:t>39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4"/>
              <w:ind w:left="39" w:right="0"/>
              <w:jc w:val="center"/>
              <w:rPr>
                <w:rFonts w:ascii="Times New Roman" w:hAnsi="Times New Roman" w:cs="Times New Roman" w:eastAsia="Times New Roman" w:hint="default"/>
                <w:sz w:val="18"/>
                <w:szCs w:val="18"/>
              </w:rPr>
            </w:pPr>
            <w:r>
              <w:rPr>
                <w:rFonts w:ascii="Times New Roman"/>
                <w:sz w:val="18"/>
              </w:rPr>
              <w:t>-563</w:t>
            </w:r>
          </w:p>
          <w:p>
            <w:pPr>
              <w:pStyle w:val="TableParagraph"/>
              <w:spacing w:line="206" w:lineRule="exact"/>
              <w:ind w:left="8" w:right="0"/>
              <w:jc w:val="center"/>
              <w:rPr>
                <w:rFonts w:ascii="Times New Roman" w:hAnsi="Times New Roman" w:cs="Times New Roman" w:eastAsia="Times New Roman" w:hint="default"/>
                <w:sz w:val="18"/>
                <w:szCs w:val="18"/>
              </w:rPr>
            </w:pPr>
            <w:r>
              <w:rPr>
                <w:rFonts w:ascii="Times New Roman"/>
                <w:sz w:val="18"/>
              </w:rPr>
              <w:t>,128.</w:t>
            </w:r>
          </w:p>
          <w:p>
            <w:pPr>
              <w:pStyle w:val="TableParagraph"/>
              <w:spacing w:line="207" w:lineRule="exact"/>
              <w:ind w:left="188" w:right="0"/>
              <w:jc w:val="center"/>
              <w:rPr>
                <w:rFonts w:ascii="Times New Roman" w:hAnsi="Times New Roman" w:cs="Times New Roman" w:eastAsia="Times New Roman" w:hint="default"/>
                <w:sz w:val="18"/>
                <w:szCs w:val="18"/>
              </w:rPr>
            </w:pPr>
            <w:r>
              <w:rPr>
                <w:rFonts w:ascii="Times New Roman"/>
                <w:sz w:val="18"/>
              </w:rPr>
              <w:t>39</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4"/>
              <w:ind w:left="37" w:right="0"/>
              <w:jc w:val="center"/>
              <w:rPr>
                <w:rFonts w:ascii="Times New Roman" w:hAnsi="Times New Roman" w:cs="Times New Roman" w:eastAsia="Times New Roman" w:hint="default"/>
                <w:sz w:val="18"/>
                <w:szCs w:val="18"/>
              </w:rPr>
            </w:pPr>
            <w:r>
              <w:rPr>
                <w:rFonts w:ascii="Times New Roman"/>
                <w:sz w:val="18"/>
              </w:rPr>
              <w:t>-559</w:t>
            </w:r>
          </w:p>
          <w:p>
            <w:pPr>
              <w:pStyle w:val="TableParagraph"/>
              <w:spacing w:line="206" w:lineRule="exact"/>
              <w:ind w:left="7" w:right="0"/>
              <w:jc w:val="center"/>
              <w:rPr>
                <w:rFonts w:ascii="Times New Roman" w:hAnsi="Times New Roman" w:cs="Times New Roman" w:eastAsia="Times New Roman" w:hint="default"/>
                <w:sz w:val="18"/>
                <w:szCs w:val="18"/>
              </w:rPr>
            </w:pPr>
            <w:r>
              <w:rPr>
                <w:rFonts w:ascii="Times New Roman"/>
                <w:sz w:val="18"/>
              </w:rPr>
              <w:t>,755.</w:t>
            </w:r>
          </w:p>
          <w:p>
            <w:pPr>
              <w:pStyle w:val="TableParagraph"/>
              <w:spacing w:line="207" w:lineRule="exact"/>
              <w:ind w:left="186" w:right="0"/>
              <w:jc w:val="center"/>
              <w:rPr>
                <w:rFonts w:ascii="Times New Roman" w:hAnsi="Times New Roman" w:cs="Times New Roman" w:eastAsia="Times New Roman" w:hint="default"/>
                <w:sz w:val="18"/>
                <w:szCs w:val="18"/>
              </w:rPr>
            </w:pPr>
            <w:r>
              <w:rPr>
                <w:rFonts w:ascii="Times New Roman"/>
                <w:sz w:val="18"/>
              </w:rPr>
              <w:t>95</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80" w:right="0"/>
              <w:jc w:val="center"/>
              <w:rPr>
                <w:rFonts w:ascii="Times New Roman" w:hAnsi="Times New Roman" w:cs="Times New Roman" w:eastAsia="Times New Roman" w:hint="default"/>
                <w:sz w:val="18"/>
                <w:szCs w:val="18"/>
              </w:rPr>
            </w:pPr>
            <w:r>
              <w:rPr>
                <w:rFonts w:ascii="Times New Roman"/>
                <w:sz w:val="18"/>
              </w:rPr>
              <w:t>-1,1</w:t>
            </w:r>
          </w:p>
          <w:p>
            <w:pPr>
              <w:pStyle w:val="TableParagraph"/>
              <w:spacing w:line="206" w:lineRule="exact"/>
              <w:ind w:left="150" w:right="0"/>
              <w:jc w:val="left"/>
              <w:rPr>
                <w:rFonts w:ascii="Times New Roman" w:hAnsi="Times New Roman" w:cs="Times New Roman" w:eastAsia="Times New Roman" w:hint="default"/>
                <w:sz w:val="18"/>
                <w:szCs w:val="18"/>
              </w:rPr>
            </w:pPr>
            <w:r>
              <w:rPr>
                <w:rFonts w:ascii="Times New Roman"/>
                <w:sz w:val="18"/>
              </w:rPr>
              <w:t>22,8</w:t>
            </w:r>
          </w:p>
          <w:p>
            <w:pPr>
              <w:pStyle w:val="TableParagraph"/>
              <w:spacing w:line="206" w:lineRule="exact"/>
              <w:ind w:left="150" w:right="0"/>
              <w:jc w:val="left"/>
              <w:rPr>
                <w:rFonts w:ascii="Times New Roman" w:hAnsi="Times New Roman" w:cs="Times New Roman" w:eastAsia="Times New Roman" w:hint="default"/>
                <w:sz w:val="18"/>
                <w:szCs w:val="18"/>
              </w:rPr>
            </w:pPr>
            <w:r>
              <w:rPr>
                <w:rFonts w:ascii="Times New Roman"/>
                <w:sz w:val="18"/>
              </w:rPr>
              <w:t>84.3</w:t>
            </w:r>
          </w:p>
          <w:p>
            <w:pPr>
              <w:pStyle w:val="TableParagraph"/>
              <w:spacing w:line="207" w:lineRule="exact"/>
              <w:ind w:left="272" w:right="0"/>
              <w:jc w:val="center"/>
              <w:rPr>
                <w:rFonts w:ascii="Times New Roman" w:hAnsi="Times New Roman" w:cs="Times New Roman" w:eastAsia="Times New Roman" w:hint="default"/>
                <w:sz w:val="18"/>
                <w:szCs w:val="18"/>
              </w:rPr>
            </w:pPr>
            <w:r>
              <w:rPr>
                <w:rFonts w:ascii="Times New Roman"/>
                <w:sz w:val="18"/>
              </w:rPr>
              <w:t>4</w:t>
            </w:r>
          </w:p>
        </w:tc>
      </w:tr>
      <w:tr>
        <w:trPr>
          <w:trHeight w:val="55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237"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823" w:right="0"/>
              <w:jc w:val="left"/>
              <w:rPr>
                <w:rFonts w:ascii="宋体" w:hAnsi="宋体" w:cs="宋体" w:eastAsia="宋体" w:hint="default"/>
                <w:sz w:val="18"/>
                <w:szCs w:val="18"/>
              </w:rPr>
            </w:pPr>
            <w:r>
              <w:rPr>
                <w:rFonts w:ascii="宋体" w:hAnsi="宋体" w:cs="宋体" w:eastAsia="宋体" w:hint="default"/>
                <w:sz w:val="18"/>
                <w:szCs w:val="18"/>
              </w:rPr>
              <w:t>同</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33"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一控制下企</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9"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业合并</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55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1"/>
              <w:ind w:left="823"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261"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
        </w:tc>
        <w:tc>
          <w:tcPr>
            <w:tcW w:w="4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8"/>
                <w:szCs w:val="18"/>
              </w:rPr>
            </w:pPr>
            <w:r>
              <w:rPr>
                <w:rFonts w:ascii="Times New Roman"/>
                <w:sz w:val="18"/>
              </w:rPr>
              <w:t>1,0</w:t>
            </w: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78" w:type="dxa"/>
            <w:tcBorders>
              <w:top w:val="single" w:sz="4" w:space="0" w:color="000000"/>
              <w:left w:val="single" w:sz="4" w:space="0" w:color="000000"/>
              <w:bottom w:val="nil" w:sz="6" w:space="0" w:color="auto"/>
              <w:right w:val="single" w:sz="4" w:space="0" w:color="000000"/>
            </w:tcBorders>
          </w:tcPr>
          <w:p>
            <w:pPr/>
          </w:p>
        </w:tc>
      </w:tr>
      <w:tr>
        <w:trPr>
          <w:trHeight w:val="195"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102"/>
              <w:jc w:val="right"/>
              <w:rPr>
                <w:rFonts w:ascii="Times New Roman" w:hAnsi="Times New Roman" w:cs="Times New Roman" w:eastAsia="Times New Roman" w:hint="default"/>
                <w:sz w:val="18"/>
                <w:szCs w:val="18"/>
              </w:rPr>
            </w:pPr>
            <w:r>
              <w:rPr>
                <w:rFonts w:ascii="Times New Roman"/>
                <w:spacing w:val="-1"/>
                <w:sz w:val="18"/>
              </w:rPr>
              <w:t>35,</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99"/>
              <w:jc w:val="right"/>
              <w:rPr>
                <w:rFonts w:ascii="Times New Roman" w:hAnsi="Times New Roman" w:cs="Times New Roman" w:eastAsia="Times New Roman" w:hint="default"/>
                <w:sz w:val="18"/>
                <w:szCs w:val="18"/>
              </w:rPr>
            </w:pPr>
            <w:r>
              <w:rPr>
                <w:rFonts w:ascii="Times New Roman"/>
                <w:sz w:val="18"/>
              </w:rPr>
              <w:t>1,55</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100"/>
              <w:jc w:val="right"/>
              <w:rPr>
                <w:rFonts w:ascii="Times New Roman" w:hAnsi="Times New Roman" w:cs="Times New Roman" w:eastAsia="Times New Roman" w:hint="default"/>
                <w:sz w:val="18"/>
                <w:szCs w:val="18"/>
              </w:rPr>
            </w:pPr>
            <w:r>
              <w:rPr>
                <w:rFonts w:ascii="Times New Roman"/>
                <w:spacing w:val="-1"/>
                <w:sz w:val="18"/>
              </w:rPr>
              <w:t>-35,</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99"/>
              <w:jc w:val="right"/>
              <w:rPr>
                <w:rFonts w:ascii="Times New Roman" w:hAnsi="Times New Roman" w:cs="Times New Roman" w:eastAsia="Times New Roman" w:hint="default"/>
                <w:sz w:val="18"/>
                <w:szCs w:val="18"/>
              </w:rPr>
            </w:pPr>
            <w:r>
              <w:rPr>
                <w:rFonts w:ascii="Times New Roman"/>
                <w:sz w:val="18"/>
              </w:rPr>
              <w:t>222,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101"/>
              <w:jc w:val="right"/>
              <w:rPr>
                <w:rFonts w:ascii="Times New Roman" w:hAnsi="Times New Roman" w:cs="Times New Roman" w:eastAsia="Times New Roman" w:hint="default"/>
                <w:sz w:val="18"/>
                <w:szCs w:val="18"/>
              </w:rPr>
            </w:pPr>
            <w:r>
              <w:rPr>
                <w:rFonts w:ascii="Times New Roman"/>
                <w:spacing w:val="-1"/>
                <w:sz w:val="18"/>
              </w:rPr>
              <w:t>1,23</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100"/>
              <w:jc w:val="right"/>
              <w:rPr>
                <w:rFonts w:ascii="Times New Roman" w:hAnsi="Times New Roman" w:cs="Times New Roman" w:eastAsia="Times New Roman" w:hint="default"/>
                <w:sz w:val="18"/>
                <w:szCs w:val="18"/>
              </w:rPr>
            </w:pPr>
            <w:r>
              <w:rPr>
                <w:rFonts w:ascii="Times New Roman"/>
                <w:spacing w:val="-1"/>
                <w:sz w:val="18"/>
              </w:rPr>
              <w:t>4,01</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101"/>
              <w:jc w:val="right"/>
              <w:rPr>
                <w:rFonts w:ascii="Times New Roman" w:hAnsi="Times New Roman" w:cs="Times New Roman" w:eastAsia="Times New Roman" w:hint="default"/>
                <w:sz w:val="18"/>
                <w:szCs w:val="18"/>
              </w:rPr>
            </w:pPr>
            <w:r>
              <w:rPr>
                <w:rFonts w:ascii="Times New Roman"/>
                <w:spacing w:val="-1"/>
                <w:sz w:val="18"/>
              </w:rPr>
              <w:t>17,4</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6" w:lineRule="exact"/>
              <w:ind w:right="100"/>
              <w:jc w:val="right"/>
              <w:rPr>
                <w:rFonts w:ascii="Times New Roman" w:hAnsi="Times New Roman" w:cs="Times New Roman" w:eastAsia="Times New Roman" w:hint="default"/>
                <w:sz w:val="18"/>
                <w:szCs w:val="18"/>
              </w:rPr>
            </w:pPr>
            <w:r>
              <w:rPr>
                <w:rFonts w:ascii="Times New Roman"/>
                <w:spacing w:val="-1"/>
                <w:sz w:val="18"/>
              </w:rPr>
              <w:t>4,03</w:t>
            </w:r>
          </w:p>
        </w:tc>
      </w:tr>
      <w:tr>
        <w:trPr>
          <w:trHeight w:val="21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3"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二、本年期初</w:t>
            </w: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100"/>
              <w:jc w:val="right"/>
              <w:rPr>
                <w:rFonts w:ascii="Times New Roman" w:hAnsi="Times New Roman" w:cs="Times New Roman" w:eastAsia="Times New Roman" w:hint="default"/>
                <w:sz w:val="18"/>
                <w:szCs w:val="18"/>
              </w:rPr>
            </w:pPr>
            <w:r>
              <w:rPr>
                <w:rFonts w:ascii="Times New Roman"/>
                <w:spacing w:val="-1"/>
                <w:sz w:val="18"/>
              </w:rPr>
              <w:t>489</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99"/>
              <w:jc w:val="right"/>
              <w:rPr>
                <w:rFonts w:ascii="Times New Roman" w:hAnsi="Times New Roman" w:cs="Times New Roman" w:eastAsia="Times New Roman" w:hint="default"/>
                <w:sz w:val="18"/>
                <w:szCs w:val="18"/>
              </w:rPr>
            </w:pPr>
            <w:r>
              <w:rPr>
                <w:rFonts w:ascii="Times New Roman"/>
                <w:sz w:val="18"/>
              </w:rPr>
              <w:t>5,19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z w:val="18"/>
              </w:rPr>
              <w:t>709,</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99"/>
              <w:jc w:val="right"/>
              <w:rPr>
                <w:rFonts w:ascii="Times New Roman" w:hAnsi="Times New Roman" w:cs="Times New Roman" w:eastAsia="Times New Roman" w:hint="default"/>
                <w:sz w:val="18"/>
                <w:szCs w:val="18"/>
              </w:rPr>
            </w:pPr>
            <w:r>
              <w:rPr>
                <w:rFonts w:ascii="Times New Roman"/>
                <w:sz w:val="18"/>
              </w:rPr>
              <w:t>369,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pacing w:val="-1"/>
                <w:sz w:val="18"/>
              </w:rPr>
              <w:t>7,51</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pacing w:val="-1"/>
                <w:sz w:val="18"/>
              </w:rPr>
              <w:t>4,85</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pacing w:val="-1"/>
                <w:sz w:val="18"/>
              </w:rPr>
              <w:t>06,4</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pacing w:val="-1"/>
                <w:sz w:val="18"/>
              </w:rPr>
              <w:t>2,26</w:t>
            </w:r>
          </w:p>
        </w:tc>
      </w:tr>
      <w:tr>
        <w:trPr>
          <w:trHeight w:val="20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,09</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7,71</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017.</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887.</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0,32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8,00</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2"/>
                <w:sz w:val="18"/>
              </w:rPr>
              <w:t>11.3</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4,42</w:t>
            </w:r>
          </w:p>
        </w:tc>
      </w:tr>
      <w:tr>
        <w:trPr>
          <w:trHeight w:val="204"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8.0</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3.12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16</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21</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pacing w:val="-1"/>
                <w:sz w:val="18"/>
              </w:rPr>
              <w:t>7.67</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pacing w:val="-1"/>
                <w:sz w:val="18"/>
              </w:rPr>
              <w:t>8.84</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2</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pacing w:val="-1"/>
                <w:sz w:val="18"/>
              </w:rPr>
              <w:t>0.16</w:t>
            </w:r>
          </w:p>
        </w:tc>
      </w:tr>
      <w:tr>
        <w:trPr>
          <w:trHeight w:val="244"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
        </w:tc>
        <w:tc>
          <w:tcPr>
            <w:tcW w:w="493" w:type="dxa"/>
            <w:tcBorders>
              <w:top w:val="nil" w:sz="6" w:space="0" w:color="auto"/>
              <w:left w:val="single" w:sz="4" w:space="0" w:color="000000"/>
              <w:bottom w:val="single" w:sz="4" w:space="0" w:color="000000"/>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0</w:t>
            </w: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78" w:type="dxa"/>
            <w:tcBorders>
              <w:top w:val="nil" w:sz="6" w:space="0" w:color="auto"/>
              <w:left w:val="single" w:sz="4" w:space="0" w:color="000000"/>
              <w:bottom w:val="single" w:sz="4" w:space="0" w:color="000000"/>
              <w:right w:val="single" w:sz="4" w:space="0" w:color="000000"/>
            </w:tcBorders>
          </w:tcPr>
          <w:p>
            <w:pPr/>
          </w:p>
        </w:tc>
      </w:tr>
      <w:tr>
        <w:trPr>
          <w:trHeight w:val="302"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pacing w:val="-8"/>
                <w:sz w:val="18"/>
                <w:szCs w:val="18"/>
              </w:rPr>
              <w:t>三、本期增减</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34,3</w:t>
            </w:r>
          </w:p>
        </w:tc>
        <w:tc>
          <w:tcPr>
            <w:tcW w:w="584"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36,9</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163,</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234,</w:t>
            </w: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12,0</w:t>
            </w:r>
          </w:p>
        </w:tc>
        <w:tc>
          <w:tcPr>
            <w:tcW w:w="5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246,</w:t>
            </w:r>
          </w:p>
        </w:tc>
      </w:tr>
      <w:tr>
        <w:trPr>
          <w:trHeight w:val="217"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2"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变动金额（减</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50,2</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44,0</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225,</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z w:val="18"/>
              </w:rPr>
              <w:t>519,</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83,8</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603,</w:t>
            </w:r>
          </w:p>
        </w:tc>
      </w:tr>
      <w:tr>
        <w:trPr>
          <w:trHeight w:val="20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少以“－”号</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41.7</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pacing w:val="-1"/>
                <w:sz w:val="18"/>
              </w:rPr>
              <w:t>75.4</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501.</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819.</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18.8</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637.</w:t>
            </w:r>
          </w:p>
        </w:tc>
      </w:tr>
      <w:tr>
        <w:trPr>
          <w:trHeight w:val="296"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24" w:lineRule="exact"/>
              <w:ind w:left="103"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3</w:t>
            </w:r>
          </w:p>
        </w:tc>
        <w:tc>
          <w:tcPr>
            <w:tcW w:w="584"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2"/>
              <w:jc w:val="right"/>
              <w:rPr>
                <w:rFonts w:ascii="Times New Roman" w:hAnsi="Times New Roman" w:cs="Times New Roman" w:eastAsia="Times New Roman" w:hint="default"/>
                <w:sz w:val="18"/>
                <w:szCs w:val="18"/>
              </w:rPr>
            </w:pPr>
            <w:r>
              <w:rPr>
                <w:rFonts w:ascii="Times New Roman"/>
                <w:sz w:val="18"/>
              </w:rPr>
              <w:t>3</w:t>
            </w: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93</w:t>
            </w: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09</w:t>
            </w: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7</w:t>
            </w:r>
          </w:p>
        </w:tc>
        <w:tc>
          <w:tcPr>
            <w:tcW w:w="578"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96</w:t>
            </w:r>
          </w:p>
        </w:tc>
      </w:tr>
      <w:tr>
        <w:trPr>
          <w:trHeight w:val="250"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18"/>
                <w:szCs w:val="18"/>
              </w:rPr>
            </w:pPr>
            <w:r>
              <w:rPr>
                <w:rFonts w:ascii="Times New Roman"/>
                <w:spacing w:val="-1"/>
                <w:sz w:val="18"/>
              </w:rPr>
              <w:t>34,3</w:t>
            </w: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100"/>
              <w:jc w:val="right"/>
              <w:rPr>
                <w:rFonts w:ascii="Times New Roman" w:hAnsi="Times New Roman" w:cs="Times New Roman" w:eastAsia="Times New Roman" w:hint="default"/>
                <w:sz w:val="18"/>
                <w:szCs w:val="18"/>
              </w:rPr>
            </w:pPr>
            <w:r>
              <w:rPr>
                <w:rFonts w:ascii="Times New Roman"/>
                <w:sz w:val="18"/>
              </w:rPr>
              <w:t>220,</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18"/>
                <w:szCs w:val="18"/>
              </w:rPr>
            </w:pPr>
            <w:r>
              <w:rPr>
                <w:rFonts w:ascii="Times New Roman"/>
                <w:sz w:val="18"/>
              </w:rPr>
              <w:t>255,</w:t>
            </w: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18"/>
                <w:szCs w:val="18"/>
              </w:rPr>
            </w:pPr>
            <w:r>
              <w:rPr>
                <w:rFonts w:ascii="Times New Roman"/>
                <w:spacing w:val="-1"/>
                <w:sz w:val="18"/>
              </w:rPr>
              <w:t>12,0</w:t>
            </w:r>
          </w:p>
        </w:tc>
        <w:tc>
          <w:tcPr>
            <w:tcW w:w="5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100"/>
              <w:jc w:val="right"/>
              <w:rPr>
                <w:rFonts w:ascii="Times New Roman" w:hAnsi="Times New Roman" w:cs="Times New Roman" w:eastAsia="Times New Roman" w:hint="default"/>
                <w:sz w:val="18"/>
                <w:szCs w:val="18"/>
              </w:rPr>
            </w:pPr>
            <w:r>
              <w:rPr>
                <w:rFonts w:ascii="Times New Roman"/>
                <w:sz w:val="18"/>
              </w:rPr>
              <w:t>267,</w:t>
            </w:r>
          </w:p>
        </w:tc>
      </w:tr>
      <w:tr>
        <w:trPr>
          <w:trHeight w:val="217"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2"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（一）综合收</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50,2</w:t>
            </w: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879,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z w:val="18"/>
              </w:rPr>
              <w:t>229,</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83,8</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313,</w:t>
            </w:r>
          </w:p>
        </w:tc>
      </w:tr>
      <w:tr>
        <w:trPr>
          <w:trHeight w:val="20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益总额</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41.7</w:t>
            </w: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359.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601.</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18.8</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419.</w:t>
            </w:r>
          </w:p>
        </w:tc>
      </w:tr>
      <w:tr>
        <w:trPr>
          <w:trHeight w:val="242"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3</w:t>
            </w: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32</w:t>
            </w: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05</w:t>
            </w: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7</w:t>
            </w:r>
          </w:p>
        </w:tc>
        <w:tc>
          <w:tcPr>
            <w:tcW w:w="578"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92</w:t>
            </w:r>
          </w:p>
        </w:tc>
      </w:tr>
      <w:tr>
        <w:trPr>
          <w:trHeight w:val="277"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8"/>
                <w:sz w:val="18"/>
                <w:szCs w:val="18"/>
              </w:rPr>
              <w:t>（二）所有者</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33"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投入和减少</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8"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55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2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工具持有者</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8"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投入资本</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284"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28"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left="103" w:right="0"/>
              <w:jc w:val="left"/>
              <w:rPr>
                <w:rFonts w:ascii="宋体" w:hAnsi="宋体" w:cs="宋体" w:eastAsia="宋体" w:hint="default"/>
                <w:sz w:val="18"/>
                <w:szCs w:val="18"/>
              </w:rPr>
            </w:pPr>
            <w:r>
              <w:rPr>
                <w:rFonts w:ascii="宋体" w:hAnsi="宋体" w:cs="宋体" w:eastAsia="宋体" w:hint="default"/>
                <w:sz w:val="18"/>
                <w:szCs w:val="18"/>
              </w:rPr>
              <w:t>计入所有者</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9"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权益的金额</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32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18"/>
                <w:szCs w:val="18"/>
              </w:rPr>
            </w:pPr>
            <w:r>
              <w:rPr>
                <w:rFonts w:ascii="Times New Roman"/>
                <w:spacing w:val="-1"/>
                <w:sz w:val="18"/>
              </w:rPr>
              <w:t>36,9</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100"/>
              <w:jc w:val="right"/>
              <w:rPr>
                <w:rFonts w:ascii="Times New Roman" w:hAnsi="Times New Roman" w:cs="Times New Roman" w:eastAsia="Times New Roman" w:hint="default"/>
                <w:sz w:val="18"/>
                <w:szCs w:val="18"/>
              </w:rPr>
            </w:pPr>
            <w:r>
              <w:rPr>
                <w:rFonts w:ascii="Times New Roman"/>
                <w:spacing w:val="-1"/>
                <w:sz w:val="18"/>
              </w:rPr>
              <w:t>-57,</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18"/>
                <w:szCs w:val="18"/>
              </w:rPr>
            </w:pPr>
            <w:r>
              <w:rPr>
                <w:rFonts w:ascii="Times New Roman"/>
                <w:spacing w:val="-1"/>
                <w:sz w:val="18"/>
              </w:rPr>
              <w:t>-20,</w:t>
            </w:r>
          </w:p>
        </w:tc>
        <w:tc>
          <w:tcPr>
            <w:tcW w:w="584" w:type="dxa"/>
            <w:vMerge w:val="restart"/>
            <w:tcBorders>
              <w:top w:val="single" w:sz="4" w:space="0" w:color="000000"/>
              <w:left w:val="single" w:sz="4" w:space="0" w:color="000000"/>
              <w:right w:val="single" w:sz="4" w:space="0" w:color="000000"/>
            </w:tcBorders>
          </w:tcPr>
          <w:p>
            <w:pPr/>
          </w:p>
        </w:tc>
        <w:tc>
          <w:tcPr>
            <w:tcW w:w="5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100"/>
              <w:jc w:val="right"/>
              <w:rPr>
                <w:rFonts w:ascii="Times New Roman" w:hAnsi="Times New Roman" w:cs="Times New Roman" w:eastAsia="Times New Roman" w:hint="default"/>
                <w:sz w:val="18"/>
                <w:szCs w:val="18"/>
              </w:rPr>
            </w:pPr>
            <w:r>
              <w:rPr>
                <w:rFonts w:ascii="Times New Roman"/>
                <w:spacing w:val="-1"/>
                <w:sz w:val="18"/>
              </w:rPr>
              <w:t>-20,</w:t>
            </w:r>
          </w:p>
        </w:tc>
      </w:tr>
      <w:tr>
        <w:trPr>
          <w:trHeight w:val="217"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2"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（三）利润分</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44,0</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653,</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z w:val="18"/>
              </w:rPr>
              <w:t>709,</w:t>
            </w:r>
          </w:p>
        </w:tc>
        <w:tc>
          <w:tcPr>
            <w:tcW w:w="584" w:type="dxa"/>
            <w:vMerge/>
            <w:tcBorders>
              <w:left w:val="single" w:sz="4" w:space="0" w:color="000000"/>
              <w:right w:val="single" w:sz="4" w:space="0" w:color="000000"/>
            </w:tcBorders>
          </w:tcPr>
          <w:p>
            <w:pP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709,</w:t>
            </w:r>
          </w:p>
        </w:tc>
      </w:tr>
      <w:tr>
        <w:trPr>
          <w:trHeight w:val="20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配</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pacing w:val="-1"/>
                <w:sz w:val="18"/>
              </w:rPr>
              <w:t>75.4</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857.</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781.</w:t>
            </w:r>
          </w:p>
        </w:tc>
        <w:tc>
          <w:tcPr>
            <w:tcW w:w="584" w:type="dxa"/>
            <w:vMerge/>
            <w:tcBorders>
              <w:left w:val="single" w:sz="4" w:space="0" w:color="000000"/>
              <w:right w:val="single" w:sz="4" w:space="0" w:color="000000"/>
            </w:tcBorders>
          </w:tcPr>
          <w:p>
            <w:pP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781.</w:t>
            </w:r>
          </w:p>
        </w:tc>
      </w:tr>
      <w:tr>
        <w:trPr>
          <w:trHeight w:val="242"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2"/>
              <w:jc w:val="right"/>
              <w:rPr>
                <w:rFonts w:ascii="Times New Roman" w:hAnsi="Times New Roman" w:cs="Times New Roman" w:eastAsia="Times New Roman" w:hint="default"/>
                <w:sz w:val="18"/>
                <w:szCs w:val="18"/>
              </w:rPr>
            </w:pPr>
            <w:r>
              <w:rPr>
                <w:rFonts w:ascii="Times New Roman"/>
                <w:sz w:val="18"/>
              </w:rPr>
              <w:t>3</w:t>
            </w: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39</w:t>
            </w: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96</w:t>
            </w:r>
          </w:p>
        </w:tc>
        <w:tc>
          <w:tcPr>
            <w:tcW w:w="584" w:type="dxa"/>
            <w:vMerge/>
            <w:tcBorders>
              <w:left w:val="single" w:sz="4" w:space="0" w:color="000000"/>
              <w:bottom w:val="single" w:sz="4" w:space="0" w:color="000000"/>
              <w:right w:val="single" w:sz="4" w:space="0" w:color="000000"/>
            </w:tcBorders>
          </w:tcPr>
          <w:p>
            <w:pPr/>
          </w:p>
        </w:tc>
        <w:tc>
          <w:tcPr>
            <w:tcW w:w="578"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z w:val="18"/>
              </w:rPr>
              <w:t>96</w:t>
            </w:r>
          </w:p>
        </w:tc>
      </w:tr>
      <w:tr>
        <w:trPr>
          <w:trHeight w:val="248"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18"/>
                <w:szCs w:val="18"/>
              </w:rPr>
            </w:pPr>
            <w:r>
              <w:rPr>
                <w:rFonts w:ascii="Times New Roman"/>
                <w:spacing w:val="-1"/>
                <w:sz w:val="18"/>
              </w:rPr>
              <w:t>36,9</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18"/>
                <w:szCs w:val="18"/>
              </w:rPr>
            </w:pPr>
            <w:r>
              <w:rPr>
                <w:rFonts w:ascii="Times New Roman"/>
                <w:spacing w:val="-1"/>
                <w:sz w:val="18"/>
              </w:rPr>
              <w:t>-36,</w:t>
            </w: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1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6"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44,0</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944,</w:t>
            </w: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0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7" w:lineRule="exact"/>
              <w:ind w:left="103" w:right="0"/>
              <w:jc w:val="left"/>
              <w:rPr>
                <w:rFonts w:ascii="宋体" w:hAnsi="宋体" w:cs="宋体" w:eastAsia="宋体" w:hint="default"/>
                <w:sz w:val="18"/>
                <w:szCs w:val="18"/>
              </w:rPr>
            </w:pPr>
            <w:r>
              <w:rPr>
                <w:rFonts w:ascii="宋体" w:hAnsi="宋体" w:cs="宋体" w:eastAsia="宋体" w:hint="default"/>
                <w:sz w:val="18"/>
                <w:szCs w:val="18"/>
              </w:rPr>
              <w:t>公积</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8" w:lineRule="exact"/>
              <w:ind w:right="99"/>
              <w:jc w:val="right"/>
              <w:rPr>
                <w:rFonts w:ascii="Times New Roman" w:hAnsi="Times New Roman" w:cs="Times New Roman" w:eastAsia="Times New Roman" w:hint="default"/>
                <w:sz w:val="18"/>
                <w:szCs w:val="18"/>
              </w:rPr>
            </w:pPr>
            <w:r>
              <w:rPr>
                <w:rFonts w:ascii="Times New Roman"/>
                <w:spacing w:val="-1"/>
                <w:sz w:val="18"/>
              </w:rPr>
              <w:t>75.4</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8" w:lineRule="exact"/>
              <w:ind w:right="100"/>
              <w:jc w:val="right"/>
              <w:rPr>
                <w:rFonts w:ascii="Times New Roman" w:hAnsi="Times New Roman" w:cs="Times New Roman" w:eastAsia="Times New Roman" w:hint="default"/>
                <w:sz w:val="18"/>
                <w:szCs w:val="18"/>
              </w:rPr>
            </w:pPr>
            <w:r>
              <w:rPr>
                <w:rFonts w:ascii="Times New Roman"/>
                <w:sz w:val="18"/>
              </w:rPr>
              <w:t>075.</w:t>
            </w: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42"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Style w:val="TableParagraph"/>
              <w:spacing w:line="196" w:lineRule="exact"/>
              <w:ind w:right="102"/>
              <w:jc w:val="right"/>
              <w:rPr>
                <w:rFonts w:ascii="Times New Roman" w:hAnsi="Times New Roman" w:cs="Times New Roman" w:eastAsia="Times New Roman" w:hint="default"/>
                <w:sz w:val="18"/>
                <w:szCs w:val="18"/>
              </w:rPr>
            </w:pPr>
            <w:r>
              <w:rPr>
                <w:rFonts w:ascii="Times New Roman"/>
                <w:sz w:val="18"/>
              </w:rPr>
              <w:t>3</w:t>
            </w: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Style w:val="TableParagraph"/>
              <w:spacing w:line="196" w:lineRule="exact"/>
              <w:ind w:right="101"/>
              <w:jc w:val="right"/>
              <w:rPr>
                <w:rFonts w:ascii="Times New Roman" w:hAnsi="Times New Roman" w:cs="Times New Roman" w:eastAsia="Times New Roman" w:hint="default"/>
                <w:sz w:val="18"/>
                <w:szCs w:val="18"/>
              </w:rPr>
            </w:pPr>
            <w:r>
              <w:rPr>
                <w:rFonts w:ascii="Times New Roman"/>
                <w:sz w:val="18"/>
              </w:rPr>
              <w:t>43</w:t>
            </w: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55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91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before="7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232" w:lineRule="exact" w:before="16"/>
              <w:ind w:left="103" w:right="100"/>
              <w:jc w:val="left"/>
              <w:rPr>
                <w:rFonts w:ascii="宋体" w:hAnsi="宋体" w:cs="宋体" w:eastAsia="宋体" w:hint="default"/>
                <w:sz w:val="18"/>
                <w:szCs w:val="18"/>
              </w:rPr>
            </w:pPr>
            <w:r>
              <w:rPr>
                <w:rFonts w:ascii="宋体" w:hAnsi="宋体" w:cs="宋体" w:eastAsia="宋体" w:hint="default"/>
                <w:spacing w:val="-8"/>
                <w:sz w:val="18"/>
                <w:szCs w:val="18"/>
              </w:rPr>
              <w:t>（或股东）的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分配</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84" w:right="0"/>
              <w:jc w:val="center"/>
              <w:rPr>
                <w:rFonts w:ascii="Times New Roman" w:hAnsi="Times New Roman" w:cs="Times New Roman" w:eastAsia="Times New Roman" w:hint="default"/>
                <w:sz w:val="18"/>
                <w:szCs w:val="18"/>
              </w:rPr>
            </w:pPr>
            <w:r>
              <w:rPr>
                <w:rFonts w:ascii="Times New Roman"/>
                <w:sz w:val="18"/>
              </w:rPr>
              <w:t>-20,</w:t>
            </w:r>
          </w:p>
          <w:p>
            <w:pPr>
              <w:pStyle w:val="TableParagraph"/>
              <w:spacing w:line="206" w:lineRule="exact"/>
              <w:ind w:left="52" w:right="0"/>
              <w:jc w:val="center"/>
              <w:rPr>
                <w:rFonts w:ascii="Times New Roman" w:hAnsi="Times New Roman" w:cs="Times New Roman" w:eastAsia="Times New Roman" w:hint="default"/>
                <w:sz w:val="18"/>
                <w:szCs w:val="18"/>
              </w:rPr>
            </w:pPr>
            <w:r>
              <w:rPr>
                <w:rFonts w:ascii="Times New Roman"/>
                <w:sz w:val="18"/>
              </w:rPr>
              <w:t>709,</w:t>
            </w:r>
          </w:p>
          <w:p>
            <w:pPr>
              <w:pStyle w:val="TableParagraph"/>
              <w:spacing w:line="206" w:lineRule="exact"/>
              <w:ind w:left="52" w:right="0"/>
              <w:jc w:val="center"/>
              <w:rPr>
                <w:rFonts w:ascii="Times New Roman" w:hAnsi="Times New Roman" w:cs="Times New Roman" w:eastAsia="Times New Roman" w:hint="default"/>
                <w:sz w:val="18"/>
                <w:szCs w:val="18"/>
              </w:rPr>
            </w:pPr>
            <w:r>
              <w:rPr>
                <w:rFonts w:ascii="Times New Roman"/>
                <w:sz w:val="18"/>
              </w:rPr>
              <w:t>781.</w:t>
            </w:r>
          </w:p>
          <w:p>
            <w:pPr>
              <w:pStyle w:val="TableParagraph"/>
              <w:spacing w:line="207" w:lineRule="exact"/>
              <w:ind w:left="186" w:right="0"/>
              <w:jc w:val="center"/>
              <w:rPr>
                <w:rFonts w:ascii="Times New Roman" w:hAnsi="Times New Roman" w:cs="Times New Roman" w:eastAsia="Times New Roman" w:hint="default"/>
                <w:sz w:val="18"/>
                <w:szCs w:val="18"/>
              </w:rPr>
            </w:pPr>
            <w:r>
              <w:rPr>
                <w:rFonts w:ascii="Times New Roman"/>
                <w:sz w:val="18"/>
              </w:rPr>
              <w:t>96</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85" w:right="0"/>
              <w:jc w:val="center"/>
              <w:rPr>
                <w:rFonts w:ascii="Times New Roman" w:hAnsi="Times New Roman" w:cs="Times New Roman" w:eastAsia="Times New Roman" w:hint="default"/>
                <w:sz w:val="18"/>
                <w:szCs w:val="18"/>
              </w:rPr>
            </w:pPr>
            <w:r>
              <w:rPr>
                <w:rFonts w:ascii="Times New Roman"/>
                <w:sz w:val="18"/>
              </w:rPr>
              <w:t>-20,</w:t>
            </w:r>
          </w:p>
          <w:p>
            <w:pPr>
              <w:pStyle w:val="TableParagraph"/>
              <w:spacing w:line="206" w:lineRule="exact"/>
              <w:ind w:left="54" w:right="0"/>
              <w:jc w:val="center"/>
              <w:rPr>
                <w:rFonts w:ascii="Times New Roman" w:hAnsi="Times New Roman" w:cs="Times New Roman" w:eastAsia="Times New Roman" w:hint="default"/>
                <w:sz w:val="18"/>
                <w:szCs w:val="18"/>
              </w:rPr>
            </w:pPr>
            <w:r>
              <w:rPr>
                <w:rFonts w:ascii="Times New Roman"/>
                <w:sz w:val="18"/>
              </w:rPr>
              <w:t>709,</w:t>
            </w:r>
          </w:p>
          <w:p>
            <w:pPr>
              <w:pStyle w:val="TableParagraph"/>
              <w:spacing w:line="206" w:lineRule="exact"/>
              <w:ind w:left="54" w:right="0"/>
              <w:jc w:val="center"/>
              <w:rPr>
                <w:rFonts w:ascii="Times New Roman" w:hAnsi="Times New Roman" w:cs="Times New Roman" w:eastAsia="Times New Roman" w:hint="default"/>
                <w:sz w:val="18"/>
                <w:szCs w:val="18"/>
              </w:rPr>
            </w:pPr>
            <w:r>
              <w:rPr>
                <w:rFonts w:ascii="Times New Roman"/>
                <w:sz w:val="18"/>
              </w:rPr>
              <w:t>781.</w:t>
            </w:r>
          </w:p>
          <w:p>
            <w:pPr>
              <w:pStyle w:val="TableParagraph"/>
              <w:spacing w:line="207" w:lineRule="exact"/>
              <w:ind w:left="188" w:right="0"/>
              <w:jc w:val="center"/>
              <w:rPr>
                <w:rFonts w:ascii="Times New Roman" w:hAnsi="Times New Roman" w:cs="Times New Roman" w:eastAsia="Times New Roman" w:hint="default"/>
                <w:sz w:val="18"/>
                <w:szCs w:val="18"/>
              </w:rPr>
            </w:pPr>
            <w:r>
              <w:rPr>
                <w:rFonts w:ascii="Times New Roman"/>
                <w:sz w:val="18"/>
              </w:rPr>
              <w:t>96</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78" w:right="0"/>
              <w:jc w:val="center"/>
              <w:rPr>
                <w:rFonts w:ascii="Times New Roman" w:hAnsi="Times New Roman" w:cs="Times New Roman" w:eastAsia="Times New Roman" w:hint="default"/>
                <w:sz w:val="18"/>
                <w:szCs w:val="18"/>
              </w:rPr>
            </w:pPr>
            <w:r>
              <w:rPr>
                <w:rFonts w:ascii="Times New Roman"/>
                <w:sz w:val="18"/>
              </w:rPr>
              <w:t>-20,</w:t>
            </w:r>
          </w:p>
          <w:p>
            <w:pPr>
              <w:pStyle w:val="TableParagraph"/>
              <w:spacing w:line="206" w:lineRule="exact"/>
              <w:ind w:left="47" w:right="0"/>
              <w:jc w:val="center"/>
              <w:rPr>
                <w:rFonts w:ascii="Times New Roman" w:hAnsi="Times New Roman" w:cs="Times New Roman" w:eastAsia="Times New Roman" w:hint="default"/>
                <w:sz w:val="18"/>
                <w:szCs w:val="18"/>
              </w:rPr>
            </w:pPr>
            <w:r>
              <w:rPr>
                <w:rFonts w:ascii="Times New Roman"/>
                <w:sz w:val="18"/>
              </w:rPr>
              <w:t>709,</w:t>
            </w:r>
          </w:p>
          <w:p>
            <w:pPr>
              <w:pStyle w:val="TableParagraph"/>
              <w:spacing w:line="206" w:lineRule="exact"/>
              <w:ind w:left="47" w:right="0"/>
              <w:jc w:val="center"/>
              <w:rPr>
                <w:rFonts w:ascii="Times New Roman" w:hAnsi="Times New Roman" w:cs="Times New Roman" w:eastAsia="Times New Roman" w:hint="default"/>
                <w:sz w:val="18"/>
                <w:szCs w:val="18"/>
              </w:rPr>
            </w:pPr>
            <w:r>
              <w:rPr>
                <w:rFonts w:ascii="Times New Roman"/>
                <w:sz w:val="18"/>
              </w:rPr>
              <w:t>781.</w:t>
            </w:r>
          </w:p>
          <w:p>
            <w:pPr>
              <w:pStyle w:val="TableParagraph"/>
              <w:spacing w:line="207" w:lineRule="exact"/>
              <w:ind w:left="181" w:right="0"/>
              <w:jc w:val="center"/>
              <w:rPr>
                <w:rFonts w:ascii="Times New Roman" w:hAnsi="Times New Roman" w:cs="Times New Roman" w:eastAsia="Times New Roman" w:hint="default"/>
                <w:sz w:val="18"/>
                <w:szCs w:val="18"/>
              </w:rPr>
            </w:pPr>
            <w:r>
              <w:rPr>
                <w:rFonts w:ascii="Times New Roman"/>
                <w:sz w:val="18"/>
              </w:rPr>
              <w:t>96</w:t>
            </w:r>
          </w:p>
        </w:tc>
      </w:tr>
      <w:tr>
        <w:trPr>
          <w:trHeight w:val="32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pacing w:val="-8"/>
                <w:sz w:val="18"/>
                <w:szCs w:val="18"/>
              </w:rPr>
              <w:t>（四）所有者</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34"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权益内部结</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8"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转</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284"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2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转增资本（或</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8"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282"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2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转增资本（或</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9"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55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28"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left="103" w:right="0"/>
              <w:jc w:val="left"/>
              <w:rPr>
                <w:rFonts w:ascii="宋体" w:hAnsi="宋体" w:cs="宋体" w:eastAsia="宋体" w:hint="default"/>
                <w:sz w:val="18"/>
                <w:szCs w:val="18"/>
              </w:rPr>
            </w:pPr>
            <w:r>
              <w:rPr>
                <w:rFonts w:ascii="宋体" w:hAnsi="宋体" w:cs="宋体" w:eastAsia="宋体" w:hint="default"/>
                <w:sz w:val="18"/>
                <w:szCs w:val="18"/>
              </w:rPr>
              <w:t>计划变动额</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34"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结转留存收</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9"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282"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w:t>
            </w:r>
          </w:p>
        </w:tc>
        <w:tc>
          <w:tcPr>
            <w:tcW w:w="493" w:type="dxa"/>
            <w:vMerge w:val="restart"/>
            <w:tcBorders>
              <w:top w:val="single" w:sz="4" w:space="0" w:color="000000"/>
              <w:left w:val="single" w:sz="4" w:space="0" w:color="000000"/>
              <w:right w:val="single" w:sz="4" w:space="0" w:color="000000"/>
            </w:tcBorders>
          </w:tcPr>
          <w:p>
            <w:pP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r>
      <w:tr>
        <w:trPr>
          <w:trHeight w:val="22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收益结转留</w:t>
            </w:r>
          </w:p>
        </w:tc>
        <w:tc>
          <w:tcPr>
            <w:tcW w:w="493" w:type="dxa"/>
            <w:vMerge/>
            <w:tcBorders>
              <w:left w:val="single" w:sz="4" w:space="0" w:color="000000"/>
              <w:right w:val="single" w:sz="4" w:space="0" w:color="000000"/>
            </w:tcBorders>
          </w:tcPr>
          <w:p>
            <w:pP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3"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84"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r>
      <w:tr>
        <w:trPr>
          <w:trHeight w:val="278"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存收益</w:t>
            </w:r>
          </w:p>
        </w:tc>
        <w:tc>
          <w:tcPr>
            <w:tcW w:w="493" w:type="dxa"/>
            <w:vMerge/>
            <w:tcBorders>
              <w:left w:val="single" w:sz="4" w:space="0" w:color="000000"/>
              <w:bottom w:val="single" w:sz="4" w:space="0" w:color="000000"/>
              <w:right w:val="single" w:sz="4" w:space="0" w:color="000000"/>
            </w:tcBorders>
          </w:tcPr>
          <w:p>
            <w:pP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r>
      <w:tr>
        <w:trPr>
          <w:trHeight w:val="32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0"/>
              <w:jc w:val="left"/>
              <w:rPr>
                <w:rFonts w:ascii="宋体" w:hAnsi="宋体" w:cs="宋体" w:eastAsia="宋体" w:hint="default"/>
                <w:sz w:val="18"/>
                <w:szCs w:val="18"/>
              </w:rPr>
            </w:pPr>
            <w:r>
              <w:rPr>
                <w:rFonts w:ascii="宋体" w:hAnsi="宋体" w:cs="宋体" w:eastAsia="宋体" w:hint="default"/>
                <w:spacing w:val="-8"/>
                <w:sz w:val="18"/>
                <w:szCs w:val="18"/>
              </w:rPr>
              <w:t>（五）专项储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262" w:hRule="exact"/>
        </w:trPr>
        <w:tc>
          <w:tcPr>
            <w:tcW w:w="1253" w:type="dxa"/>
            <w:tcBorders>
              <w:top w:val="single" w:sz="4" w:space="0" w:color="000000"/>
              <w:left w:val="single" w:sz="4" w:space="0" w:color="000000"/>
              <w:bottom w:val="nil" w:sz="6" w:space="0" w:color="auto"/>
              <w:right w:val="single" w:sz="4" w:space="0" w:color="000000"/>
            </w:tcBorders>
            <w:shd w:val="clear" w:color="auto" w:fill="D2D2D2"/>
          </w:tcPr>
          <w:p>
            <w:pPr/>
          </w:p>
        </w:tc>
        <w:tc>
          <w:tcPr>
            <w:tcW w:w="4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z w:val="18"/>
              </w:rPr>
              <w:t>1,0</w:t>
            </w: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
        </w:tc>
        <w:tc>
          <w:tcPr>
            <w:tcW w:w="578" w:type="dxa"/>
            <w:tcBorders>
              <w:top w:val="single" w:sz="4" w:space="0" w:color="000000"/>
              <w:left w:val="single" w:sz="4" w:space="0" w:color="000000"/>
              <w:bottom w:val="nil" w:sz="6" w:space="0" w:color="auto"/>
              <w:right w:val="single" w:sz="4" w:space="0" w:color="000000"/>
            </w:tcBorders>
          </w:tcPr>
          <w:p>
            <w:pPr/>
          </w:p>
        </w:tc>
      </w:tr>
      <w:tr>
        <w:trPr>
          <w:trHeight w:val="195"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2"/>
              <w:jc w:val="right"/>
              <w:rPr>
                <w:rFonts w:ascii="Times New Roman" w:hAnsi="Times New Roman" w:cs="Times New Roman" w:eastAsia="Times New Roman" w:hint="default"/>
                <w:sz w:val="18"/>
                <w:szCs w:val="18"/>
              </w:rPr>
            </w:pPr>
            <w:r>
              <w:rPr>
                <w:rFonts w:ascii="Times New Roman"/>
                <w:spacing w:val="-1"/>
                <w:sz w:val="18"/>
              </w:rPr>
              <w:t>35,</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1,55</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-1,3</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259,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52" w:right="0"/>
              <w:jc w:val="center"/>
              <w:rPr>
                <w:rFonts w:ascii="Times New Roman" w:hAnsi="Times New Roman" w:cs="Times New Roman" w:eastAsia="Times New Roman" w:hint="default"/>
                <w:sz w:val="18"/>
                <w:szCs w:val="18"/>
              </w:rPr>
            </w:pPr>
            <w:r>
              <w:rPr>
                <w:rFonts w:ascii="Times New Roman"/>
                <w:sz w:val="18"/>
              </w:rPr>
              <w:t>1,40</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4,24</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29,4</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47" w:right="0"/>
              <w:jc w:val="center"/>
              <w:rPr>
                <w:rFonts w:ascii="Times New Roman" w:hAnsi="Times New Roman" w:cs="Times New Roman" w:eastAsia="Times New Roman" w:hint="default"/>
                <w:sz w:val="18"/>
                <w:szCs w:val="18"/>
              </w:rPr>
            </w:pPr>
            <w:r>
              <w:rPr>
                <w:rFonts w:ascii="Times New Roman"/>
                <w:sz w:val="18"/>
              </w:rPr>
              <w:t>4,27</w:t>
            </w:r>
          </w:p>
        </w:tc>
      </w:tr>
      <w:tr>
        <w:trPr>
          <w:trHeight w:val="217"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2"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四、本期期末</w:t>
            </w: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489</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z w:val="18"/>
              </w:rPr>
              <w:t>5,19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58,7</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z w:val="18"/>
              </w:rPr>
              <w:t>313,</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52" w:right="0"/>
              <w:jc w:val="center"/>
              <w:rPr>
                <w:rFonts w:ascii="Times New Roman" w:hAnsi="Times New Roman" w:cs="Times New Roman" w:eastAsia="Times New Roman" w:hint="default"/>
                <w:sz w:val="18"/>
                <w:szCs w:val="18"/>
              </w:rPr>
            </w:pPr>
            <w:r>
              <w:rPr>
                <w:rFonts w:ascii="Times New Roman"/>
                <w:sz w:val="18"/>
              </w:rPr>
              <w:t>0,73</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9,37</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90,2</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47" w:right="0"/>
              <w:jc w:val="center"/>
              <w:rPr>
                <w:rFonts w:ascii="Times New Roman" w:hAnsi="Times New Roman" w:cs="Times New Roman" w:eastAsia="Times New Roman" w:hint="default"/>
                <w:sz w:val="18"/>
                <w:szCs w:val="18"/>
              </w:rPr>
            </w:pPr>
            <w:r>
              <w:rPr>
                <w:rFonts w:ascii="Times New Roman"/>
                <w:sz w:val="18"/>
              </w:rPr>
              <w:t>8,86</w:t>
            </w:r>
          </w:p>
        </w:tc>
      </w:tr>
      <w:tr>
        <w:trPr>
          <w:trHeight w:val="209"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,09</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7,71</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75.4</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z w:val="18"/>
              </w:rPr>
              <w:t>962.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52" w:right="0"/>
              <w:jc w:val="center"/>
              <w:rPr>
                <w:rFonts w:ascii="Times New Roman" w:hAnsi="Times New Roman" w:cs="Times New Roman" w:eastAsia="Times New Roman" w:hint="default"/>
                <w:sz w:val="18"/>
                <w:szCs w:val="18"/>
              </w:rPr>
            </w:pPr>
            <w:r>
              <w:rPr>
                <w:rFonts w:ascii="Times New Roman"/>
                <w:sz w:val="18"/>
              </w:rPr>
              <w:t>5,82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pacing w:val="-1"/>
                <w:sz w:val="18"/>
              </w:rPr>
              <w:t>7,82</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pacing w:val="-1"/>
                <w:sz w:val="18"/>
              </w:rPr>
              <w:t>30.1</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47" w:right="0"/>
              <w:jc w:val="center"/>
              <w:rPr>
                <w:rFonts w:ascii="Times New Roman" w:hAnsi="Times New Roman" w:cs="Times New Roman" w:eastAsia="Times New Roman" w:hint="default"/>
                <w:sz w:val="18"/>
                <w:szCs w:val="18"/>
              </w:rPr>
            </w:pPr>
            <w:r>
              <w:rPr>
                <w:rFonts w:ascii="Times New Roman"/>
                <w:sz w:val="18"/>
              </w:rPr>
              <w:t>8,05</w:t>
            </w:r>
          </w:p>
        </w:tc>
      </w:tr>
      <w:tr>
        <w:trPr>
          <w:trHeight w:val="207" w:hRule="exact"/>
        </w:trPr>
        <w:tc>
          <w:tcPr>
            <w:tcW w:w="1253" w:type="dxa"/>
            <w:tcBorders>
              <w:top w:val="nil" w:sz="6" w:space="0" w:color="auto"/>
              <w:left w:val="single" w:sz="4" w:space="0" w:color="000000"/>
              <w:bottom w:val="nil" w:sz="6" w:space="0" w:color="auto"/>
              <w:right w:val="single" w:sz="4" w:space="0" w:color="000000"/>
            </w:tcBorders>
            <w:shd w:val="clear" w:color="auto" w:fill="D2D2D2"/>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8.0</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3.12</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3</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64</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left="52" w:right="0"/>
              <w:jc w:val="center"/>
              <w:rPr>
                <w:rFonts w:ascii="Times New Roman" w:hAnsi="Times New Roman" w:cs="Times New Roman" w:eastAsia="Times New Roman" w:hint="default"/>
                <w:sz w:val="18"/>
                <w:szCs w:val="18"/>
              </w:rPr>
            </w:pPr>
            <w:r>
              <w:rPr>
                <w:rFonts w:ascii="Times New Roman"/>
                <w:sz w:val="18"/>
              </w:rPr>
              <w:t>9.60</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0"/>
              <w:jc w:val="right"/>
              <w:rPr>
                <w:rFonts w:ascii="Times New Roman" w:hAnsi="Times New Roman" w:cs="Times New Roman" w:eastAsia="Times New Roman" w:hint="default"/>
                <w:sz w:val="18"/>
                <w:szCs w:val="18"/>
              </w:rPr>
            </w:pPr>
            <w:r>
              <w:rPr>
                <w:rFonts w:ascii="Times New Roman"/>
                <w:spacing w:val="-1"/>
                <w:sz w:val="18"/>
              </w:rPr>
              <w:t>7.93</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01"/>
              <w:jc w:val="right"/>
              <w:rPr>
                <w:rFonts w:ascii="Times New Roman" w:hAnsi="Times New Roman" w:cs="Times New Roman" w:eastAsia="Times New Roman" w:hint="default"/>
                <w:sz w:val="18"/>
                <w:szCs w:val="18"/>
              </w:rPr>
            </w:pPr>
            <w:r>
              <w:rPr>
                <w:rFonts w:ascii="Times New Roman"/>
                <w:sz w:val="18"/>
              </w:rPr>
              <w:t>9</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195" w:lineRule="exact"/>
              <w:ind w:left="47" w:right="0"/>
              <w:jc w:val="center"/>
              <w:rPr>
                <w:rFonts w:ascii="Times New Roman" w:hAnsi="Times New Roman" w:cs="Times New Roman" w:eastAsia="Times New Roman" w:hint="default"/>
                <w:sz w:val="18"/>
                <w:szCs w:val="18"/>
              </w:rPr>
            </w:pPr>
            <w:r>
              <w:rPr>
                <w:rFonts w:ascii="Times New Roman"/>
                <w:sz w:val="18"/>
              </w:rPr>
              <w:t>8.12</w:t>
            </w:r>
          </w:p>
        </w:tc>
      </w:tr>
      <w:tr>
        <w:trPr>
          <w:trHeight w:val="242" w:hRule="exact"/>
        </w:trPr>
        <w:tc>
          <w:tcPr>
            <w:tcW w:w="1253" w:type="dxa"/>
            <w:tcBorders>
              <w:top w:val="nil" w:sz="6" w:space="0" w:color="auto"/>
              <w:left w:val="single" w:sz="4" w:space="0" w:color="000000"/>
              <w:bottom w:val="single" w:sz="4" w:space="0" w:color="000000"/>
              <w:right w:val="single" w:sz="4" w:space="0" w:color="000000"/>
            </w:tcBorders>
            <w:shd w:val="clear" w:color="auto" w:fill="D2D2D2"/>
          </w:tcPr>
          <w:p>
            <w:pPr/>
          </w:p>
        </w:tc>
        <w:tc>
          <w:tcPr>
            <w:tcW w:w="493" w:type="dxa"/>
            <w:tcBorders>
              <w:top w:val="nil" w:sz="6" w:space="0" w:color="auto"/>
              <w:left w:val="single" w:sz="4" w:space="0" w:color="000000"/>
              <w:bottom w:val="single" w:sz="4" w:space="0" w:color="000000"/>
              <w:right w:val="single" w:sz="4" w:space="0" w:color="000000"/>
            </w:tcBorders>
          </w:tcPr>
          <w:p>
            <w:pPr>
              <w:pStyle w:val="TableParagraph"/>
              <w:spacing w:line="197" w:lineRule="exact"/>
              <w:ind w:right="100"/>
              <w:jc w:val="right"/>
              <w:rPr>
                <w:rFonts w:ascii="Times New Roman" w:hAnsi="Times New Roman" w:cs="Times New Roman" w:eastAsia="Times New Roman" w:hint="default"/>
                <w:sz w:val="18"/>
                <w:szCs w:val="18"/>
              </w:rPr>
            </w:pPr>
            <w:r>
              <w:rPr>
                <w:rFonts w:ascii="Times New Roman"/>
                <w:sz w:val="18"/>
              </w:rPr>
              <w:t>0</w:t>
            </w: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78" w:type="dxa"/>
            <w:tcBorders>
              <w:top w:val="nil" w:sz="6" w:space="0" w:color="auto"/>
              <w:left w:val="single" w:sz="4" w:space="0" w:color="000000"/>
              <w:bottom w:val="single" w:sz="4" w:space="0" w:color="000000"/>
              <w:right w:val="single" w:sz="4" w:space="0" w:color="000000"/>
            </w:tcBorders>
          </w:tcPr>
          <w:p>
            <w:pPr/>
          </w:p>
        </w:tc>
      </w:tr>
    </w:tbl>
    <w:p>
      <w:pPr>
        <w:spacing w:before="10"/>
        <w:ind w:left="121" w:right="493"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40"/>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323" w:hRule="exact"/>
        </w:trPr>
        <w:tc>
          <w:tcPr>
            <w:tcW w:w="12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356"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w:t>
            </w:r>
          </w:p>
        </w:tc>
      </w:tr>
      <w:tr>
        <w:trPr>
          <w:trHeight w:val="265" w:hRule="exact"/>
        </w:trPr>
        <w:tc>
          <w:tcPr>
            <w:tcW w:w="1212" w:type="dxa"/>
            <w:vMerge/>
            <w:tcBorders>
              <w:left w:val="single" w:sz="4" w:space="0" w:color="000000"/>
              <w:right w:val="single" w:sz="4" w:space="0" w:color="000000"/>
            </w:tcBorders>
            <w:shd w:val="clear" w:color="auto" w:fill="D2D2D2"/>
          </w:tcPr>
          <w:p>
            <w:pPr/>
          </w:p>
        </w:tc>
        <w:tc>
          <w:tcPr>
            <w:tcW w:w="7062" w:type="dxa"/>
            <w:gridSpan w:val="13"/>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3"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59" w:hRule="exact"/>
        </w:trPr>
        <w:tc>
          <w:tcPr>
            <w:tcW w:w="1212" w:type="dxa"/>
            <w:vMerge/>
            <w:tcBorders>
              <w:left w:val="single" w:sz="4" w:space="0" w:color="000000"/>
              <w:right w:val="single" w:sz="4" w:space="0" w:color="000000"/>
            </w:tcBorders>
            <w:shd w:val="clear" w:color="auto" w:fill="D2D2D2"/>
          </w:tcPr>
          <w:p>
            <w:pPr/>
          </w:p>
        </w:tc>
        <w:tc>
          <w:tcPr>
            <w:tcW w:w="7062" w:type="dxa"/>
            <w:gridSpan w:val="13"/>
            <w:tcBorders>
              <w:top w:val="nil" w:sz="6" w:space="0" w:color="auto"/>
              <w:left w:val="single" w:sz="4" w:space="0" w:color="000000"/>
              <w:bottom w:val="single" w:sz="4" w:space="0" w:color="000000"/>
              <w:right w:val="single" w:sz="4" w:space="0" w:color="000000"/>
            </w:tcBorders>
            <w:shd w:val="clear" w:color="auto" w:fill="D2D2D2"/>
          </w:tcPr>
          <w:p>
            <w:pPr/>
          </w:p>
        </w:tc>
        <w:tc>
          <w:tcPr>
            <w:tcW w:w="643" w:type="dxa"/>
            <w:vMerge w:val="restart"/>
            <w:tcBorders>
              <w:top w:val="nil" w:sz="6" w:space="0" w:color="auto"/>
              <w:left w:val="single" w:sz="4" w:space="0" w:color="000000"/>
              <w:right w:val="single" w:sz="4" w:space="0" w:color="000000"/>
            </w:tcBorders>
            <w:shd w:val="clear" w:color="auto" w:fill="D2D2D2"/>
          </w:tcPr>
          <w:p>
            <w:pPr>
              <w:pStyle w:val="TableParagraph"/>
              <w:spacing w:line="232" w:lineRule="exact" w:before="100"/>
              <w:ind w:left="136" w:right="135"/>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651" w:type="dxa"/>
            <w:vMerge w:val="restart"/>
            <w:tcBorders>
              <w:top w:val="nil" w:sz="6" w:space="0" w:color="auto"/>
              <w:left w:val="single" w:sz="4" w:space="0" w:color="000000"/>
              <w:right w:val="single" w:sz="4" w:space="0" w:color="000000"/>
            </w:tcBorders>
            <w:shd w:val="clear" w:color="auto" w:fill="D2D2D2"/>
          </w:tcPr>
          <w:p>
            <w:pPr>
              <w:pStyle w:val="TableParagraph"/>
              <w:spacing w:line="192" w:lineRule="exact"/>
              <w:ind w:left="141" w:right="0"/>
              <w:jc w:val="both"/>
              <w:rPr>
                <w:rFonts w:ascii="宋体" w:hAnsi="宋体" w:cs="宋体" w:eastAsia="宋体" w:hint="default"/>
                <w:sz w:val="18"/>
                <w:szCs w:val="18"/>
              </w:rPr>
            </w:pPr>
            <w:r>
              <w:rPr>
                <w:rFonts w:ascii="宋体" w:hAnsi="宋体" w:cs="宋体" w:eastAsia="宋体" w:hint="default"/>
                <w:sz w:val="18"/>
                <w:szCs w:val="18"/>
              </w:rPr>
              <w:t>所有</w:t>
            </w:r>
          </w:p>
          <w:p>
            <w:pPr>
              <w:pStyle w:val="TableParagraph"/>
              <w:spacing w:line="237" w:lineRule="auto"/>
              <w:ind w:left="141" w:right="138"/>
              <w:jc w:val="both"/>
              <w:rPr>
                <w:rFonts w:ascii="宋体" w:hAnsi="宋体" w:cs="宋体" w:eastAsia="宋体" w:hint="default"/>
                <w:sz w:val="18"/>
                <w:szCs w:val="18"/>
              </w:rPr>
            </w:pPr>
            <w:r>
              <w:rPr>
                <w:rFonts w:ascii="宋体" w:hAnsi="宋体" w:cs="宋体" w:eastAsia="宋体" w:hint="default"/>
                <w:sz w:val="18"/>
                <w:szCs w:val="18"/>
              </w:rPr>
              <w:t>者权 益合 计</w:t>
            </w:r>
          </w:p>
        </w:tc>
      </w:tr>
      <w:tr>
        <w:trPr>
          <w:trHeight w:val="323" w:hRule="exact"/>
        </w:trPr>
        <w:tc>
          <w:tcPr>
            <w:tcW w:w="1212" w:type="dxa"/>
            <w:vMerge/>
            <w:tcBorders>
              <w:left w:val="single" w:sz="4" w:space="0" w:color="000000"/>
              <w:right w:val="single" w:sz="4" w:space="0" w:color="000000"/>
            </w:tcBorders>
            <w:shd w:val="clear" w:color="auto" w:fill="D2D2D2"/>
          </w:tcPr>
          <w:p>
            <w:pPr/>
          </w:p>
        </w:tc>
        <w:tc>
          <w:tcPr>
            <w:tcW w:w="4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49" w:right="149"/>
              <w:jc w:val="left"/>
              <w:rPr>
                <w:rFonts w:ascii="宋体" w:hAnsi="宋体" w:cs="宋体" w:eastAsia="宋体" w:hint="default"/>
                <w:sz w:val="18"/>
                <w:szCs w:val="18"/>
              </w:rPr>
            </w:pPr>
            <w:r>
              <w:rPr>
                <w:rFonts w:ascii="宋体" w:hAnsi="宋体" w:cs="宋体" w:eastAsia="宋体" w:hint="default"/>
                <w:sz w:val="18"/>
                <w:szCs w:val="18"/>
              </w:rPr>
              <w:t>股 本</w:t>
            </w:r>
          </w:p>
        </w:tc>
        <w:tc>
          <w:tcPr>
            <w:tcW w:w="13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48"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232" w:lineRule="exact"/>
              <w:ind w:left="103" w:right="101"/>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232" w:lineRule="exact"/>
              <w:ind w:left="102" w:right="102"/>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01" w:right="103"/>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03" w:right="101"/>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232" w:lineRule="exact"/>
              <w:ind w:left="103" w:right="102"/>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232" w:lineRule="exact"/>
              <w:ind w:left="109" w:right="107"/>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87" w:right="187"/>
              <w:jc w:val="center"/>
              <w:rPr>
                <w:rFonts w:ascii="宋体" w:hAnsi="宋体" w:cs="宋体" w:eastAsia="宋体" w:hint="default"/>
                <w:sz w:val="18"/>
                <w:szCs w:val="18"/>
              </w:rPr>
            </w:pPr>
            <w:r>
              <w:rPr>
                <w:rFonts w:ascii="宋体" w:hAnsi="宋体" w:cs="宋体" w:eastAsia="宋体" w:hint="default"/>
                <w:sz w:val="18"/>
                <w:szCs w:val="18"/>
              </w:rPr>
              <w:t>其 他</w:t>
            </w:r>
          </w:p>
        </w:tc>
        <w:tc>
          <w:tcPr>
            <w:tcW w:w="5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87" w:right="188"/>
              <w:jc w:val="center"/>
              <w:rPr>
                <w:rFonts w:ascii="宋体" w:hAnsi="宋体" w:cs="宋体" w:eastAsia="宋体" w:hint="default"/>
                <w:sz w:val="18"/>
                <w:szCs w:val="18"/>
              </w:rPr>
            </w:pPr>
            <w:r>
              <w:rPr>
                <w:rFonts w:ascii="宋体" w:hAnsi="宋体" w:cs="宋体" w:eastAsia="宋体" w:hint="default"/>
                <w:sz w:val="18"/>
                <w:szCs w:val="18"/>
              </w:rPr>
              <w:t>小 计</w:t>
            </w:r>
          </w:p>
        </w:tc>
        <w:tc>
          <w:tcPr>
            <w:tcW w:w="643" w:type="dxa"/>
            <w:vMerge/>
            <w:tcBorders>
              <w:left w:val="single" w:sz="4" w:space="0" w:color="000000"/>
              <w:right w:val="single" w:sz="4" w:space="0" w:color="000000"/>
            </w:tcBorders>
            <w:shd w:val="clear" w:color="auto" w:fill="D2D2D2"/>
          </w:tcPr>
          <w:p>
            <w:pPr/>
          </w:p>
        </w:tc>
        <w:tc>
          <w:tcPr>
            <w:tcW w:w="651" w:type="dxa"/>
            <w:vMerge/>
            <w:tcBorders>
              <w:left w:val="single" w:sz="4" w:space="0" w:color="000000"/>
              <w:right w:val="single" w:sz="4" w:space="0" w:color="000000"/>
            </w:tcBorders>
            <w:shd w:val="clear" w:color="auto" w:fill="D2D2D2"/>
          </w:tcPr>
          <w:p>
            <w:pPr/>
          </w:p>
        </w:tc>
      </w:tr>
      <w:tr>
        <w:trPr>
          <w:trHeight w:val="790" w:hRule="exact"/>
        </w:trPr>
        <w:tc>
          <w:tcPr>
            <w:tcW w:w="1212" w:type="dxa"/>
            <w:vMerge/>
            <w:tcBorders>
              <w:left w:val="single" w:sz="4" w:space="0" w:color="000000"/>
              <w:bottom w:val="single" w:sz="4" w:space="0" w:color="000000"/>
              <w:right w:val="single" w:sz="4" w:space="0" w:color="000000"/>
            </w:tcBorders>
            <w:shd w:val="clear" w:color="auto" w:fill="D2D2D2"/>
          </w:tcPr>
          <w:p>
            <w:pPr/>
          </w:p>
        </w:tc>
        <w:tc>
          <w:tcPr>
            <w:tcW w:w="490" w:type="dxa"/>
            <w:vMerge/>
            <w:tcBorders>
              <w:left w:val="single" w:sz="4" w:space="0" w:color="000000"/>
              <w:bottom w:val="single" w:sz="4" w:space="0" w:color="000000"/>
              <w:right w:val="single" w:sz="4" w:space="0" w:color="000000"/>
            </w:tcBorders>
            <w:shd w:val="clear" w:color="auto" w:fill="D2D2D2"/>
          </w:tcPr>
          <w:p>
            <w:pPr/>
          </w:p>
        </w:tc>
        <w:tc>
          <w:tcPr>
            <w:tcW w:w="4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29" w:right="127"/>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29" w:right="12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52"/>
              <w:ind w:left="150" w:right="148"/>
              <w:jc w:val="left"/>
              <w:rPr>
                <w:rFonts w:ascii="宋体" w:hAnsi="宋体" w:cs="宋体" w:eastAsia="宋体" w:hint="default"/>
                <w:sz w:val="18"/>
                <w:szCs w:val="18"/>
              </w:rPr>
            </w:pPr>
            <w:r>
              <w:rPr>
                <w:rFonts w:ascii="宋体" w:hAnsi="宋体" w:cs="宋体" w:eastAsia="宋体" w:hint="default"/>
                <w:sz w:val="18"/>
                <w:szCs w:val="18"/>
              </w:rPr>
              <w:t>其 他</w:t>
            </w:r>
          </w:p>
        </w:tc>
        <w:tc>
          <w:tcPr>
            <w:tcW w:w="576"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76"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89"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643" w:type="dxa"/>
            <w:vMerge/>
            <w:tcBorders>
              <w:left w:val="single" w:sz="4" w:space="0" w:color="000000"/>
              <w:bottom w:val="single" w:sz="4" w:space="0" w:color="000000"/>
              <w:right w:val="single" w:sz="4" w:space="0" w:color="000000"/>
            </w:tcBorders>
            <w:shd w:val="clear" w:color="auto" w:fill="D2D2D2"/>
          </w:tcPr>
          <w:p>
            <w:pPr/>
          </w:p>
        </w:tc>
        <w:tc>
          <w:tcPr>
            <w:tcW w:w="651" w:type="dxa"/>
            <w:vMerge/>
            <w:tcBorders>
              <w:left w:val="single" w:sz="4" w:space="0" w:color="000000"/>
              <w:bottom w:val="single" w:sz="4" w:space="0" w:color="000000"/>
              <w:right w:val="single" w:sz="4" w:space="0" w:color="000000"/>
            </w:tcBorders>
            <w:shd w:val="clear" w:color="auto" w:fill="D2D2D2"/>
          </w:tcPr>
          <w:p>
            <w:pPr/>
          </w:p>
        </w:tc>
      </w:tr>
      <w:tr>
        <w:trPr>
          <w:trHeight w:val="261"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0"/>
              <w:ind w:right="99"/>
              <w:jc w:val="right"/>
              <w:rPr>
                <w:rFonts w:ascii="Times New Roman" w:hAnsi="Times New Roman" w:cs="Times New Roman" w:eastAsia="Times New Roman" w:hint="default"/>
                <w:sz w:val="18"/>
                <w:szCs w:val="18"/>
              </w:rPr>
            </w:pPr>
            <w:r>
              <w:rPr>
                <w:rFonts w:ascii="Times New Roman"/>
                <w:sz w:val="18"/>
              </w:rPr>
              <w:t>1,0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tcBorders>
              <w:top w:val="single" w:sz="4" w:space="0" w:color="000000"/>
              <w:left w:val="single" w:sz="4" w:space="0" w:color="000000"/>
              <w:bottom w:val="nil" w:sz="6" w:space="0" w:color="auto"/>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tcBorders>
              <w:top w:val="single" w:sz="4" w:space="0" w:color="000000"/>
              <w:left w:val="single" w:sz="4" w:space="0" w:color="000000"/>
              <w:bottom w:val="nil" w:sz="6" w:space="0" w:color="auto"/>
              <w:right w:val="single" w:sz="4" w:space="0" w:color="000000"/>
            </w:tcBorders>
          </w:tcPr>
          <w:p>
            <w:pPr/>
          </w:p>
        </w:tc>
        <w:tc>
          <w:tcPr>
            <w:tcW w:w="643" w:type="dxa"/>
            <w:tcBorders>
              <w:top w:val="single" w:sz="4" w:space="0" w:color="000000"/>
              <w:left w:val="single" w:sz="4" w:space="0" w:color="000000"/>
              <w:bottom w:val="nil" w:sz="6" w:space="0" w:color="auto"/>
              <w:right w:val="single" w:sz="4" w:space="0" w:color="000000"/>
            </w:tcBorders>
          </w:tcPr>
          <w:p>
            <w:pPr/>
          </w:p>
        </w:tc>
        <w:tc>
          <w:tcPr>
            <w:tcW w:w="651" w:type="dxa"/>
            <w:tcBorders>
              <w:top w:val="single" w:sz="4" w:space="0" w:color="000000"/>
              <w:left w:val="single" w:sz="4" w:space="0" w:color="000000"/>
              <w:bottom w:val="nil" w:sz="6" w:space="0" w:color="auto"/>
              <w:right w:val="single" w:sz="4" w:space="0" w:color="000000"/>
            </w:tcBorders>
          </w:tcPr>
          <w:p>
            <w:pPr/>
          </w:p>
        </w:tc>
      </w:tr>
      <w:tr>
        <w:trPr>
          <w:trHeight w:val="828"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pacing w:val="-14"/>
                <w:sz w:val="18"/>
                <w:szCs w:val="18"/>
              </w:rPr>
              <w:t>一、上年期末</w:t>
            </w:r>
            <w:r>
              <w:rPr>
                <w:rFonts w:ascii="宋体" w:hAnsi="宋体" w:cs="宋体" w:eastAsia="宋体" w:hint="default"/>
                <w:sz w:val="18"/>
                <w:szCs w:val="18"/>
              </w:rPr>
              <w:t> 余额</w:t>
            </w: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51" w:right="0"/>
              <w:jc w:val="left"/>
              <w:rPr>
                <w:rFonts w:ascii="Times New Roman" w:hAnsi="Times New Roman" w:cs="Times New Roman" w:eastAsia="Times New Roman" w:hint="default"/>
                <w:sz w:val="18"/>
                <w:szCs w:val="18"/>
              </w:rPr>
            </w:pPr>
            <w:r>
              <w:rPr>
                <w:rFonts w:ascii="Times New Roman"/>
                <w:sz w:val="18"/>
              </w:rPr>
              <w:t>35,</w:t>
            </w:r>
          </w:p>
          <w:p>
            <w:pPr>
              <w:pStyle w:val="TableParagraph"/>
              <w:spacing w:line="206" w:lineRule="exact"/>
              <w:ind w:left="106" w:right="0"/>
              <w:jc w:val="left"/>
              <w:rPr>
                <w:rFonts w:ascii="Times New Roman" w:hAnsi="Times New Roman" w:cs="Times New Roman" w:eastAsia="Times New Roman" w:hint="default"/>
                <w:sz w:val="18"/>
                <w:szCs w:val="18"/>
              </w:rPr>
            </w:pPr>
            <w:r>
              <w:rPr>
                <w:rFonts w:ascii="Times New Roman"/>
                <w:sz w:val="18"/>
              </w:rPr>
              <w:t>489</w:t>
            </w:r>
          </w:p>
          <w:p>
            <w:pPr>
              <w:pStyle w:val="TableParagraph"/>
              <w:spacing w:line="207" w:lineRule="exact"/>
              <w:ind w:left="151" w:right="0"/>
              <w:jc w:val="left"/>
              <w:rPr>
                <w:rFonts w:ascii="Times New Roman" w:hAnsi="Times New Roman" w:cs="Times New Roman" w:eastAsia="Times New Roman" w:hint="default"/>
                <w:sz w:val="18"/>
                <w:szCs w:val="18"/>
              </w:rPr>
            </w:pPr>
            <w:r>
              <w:rPr>
                <w:rFonts w:ascii="Times New Roman"/>
                <w:sz w:val="18"/>
              </w:rPr>
              <w:t>,09</w:t>
            </w:r>
          </w:p>
          <w:p>
            <w:pPr>
              <w:pStyle w:val="TableParagraph"/>
              <w:spacing w:line="240" w:lineRule="auto" w:before="2"/>
              <w:ind w:left="151" w:right="0"/>
              <w:jc w:val="left"/>
              <w:rPr>
                <w:rFonts w:ascii="Times New Roman" w:hAnsi="Times New Roman" w:cs="Times New Roman" w:eastAsia="Times New Roman" w:hint="default"/>
                <w:sz w:val="18"/>
                <w:szCs w:val="18"/>
              </w:rPr>
            </w:pPr>
            <w:r>
              <w:rPr>
                <w:rFonts w:ascii="Times New Roman"/>
                <w:sz w:val="18"/>
              </w:rPr>
              <w:t>8.0</w:t>
            </w: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47" w:right="0"/>
              <w:jc w:val="left"/>
              <w:rPr>
                <w:rFonts w:ascii="Times New Roman" w:hAnsi="Times New Roman" w:cs="Times New Roman" w:eastAsia="Times New Roman" w:hint="default"/>
                <w:sz w:val="18"/>
                <w:szCs w:val="18"/>
              </w:rPr>
            </w:pPr>
            <w:r>
              <w:rPr>
                <w:rFonts w:ascii="Times New Roman"/>
                <w:sz w:val="18"/>
              </w:rPr>
              <w:t>1,55</w:t>
            </w:r>
          </w:p>
          <w:p>
            <w:pPr>
              <w:pStyle w:val="TableParagraph"/>
              <w:spacing w:line="206" w:lineRule="exact"/>
              <w:ind w:left="147" w:right="0"/>
              <w:jc w:val="left"/>
              <w:rPr>
                <w:rFonts w:ascii="Times New Roman" w:hAnsi="Times New Roman" w:cs="Times New Roman" w:eastAsia="Times New Roman" w:hint="default"/>
                <w:sz w:val="18"/>
                <w:szCs w:val="18"/>
              </w:rPr>
            </w:pPr>
            <w:r>
              <w:rPr>
                <w:rFonts w:ascii="Times New Roman"/>
                <w:sz w:val="18"/>
              </w:rPr>
              <w:t>4,41</w:t>
            </w:r>
          </w:p>
          <w:p>
            <w:pPr>
              <w:pStyle w:val="TableParagraph"/>
              <w:spacing w:line="206" w:lineRule="exact"/>
              <w:ind w:left="147" w:right="0"/>
              <w:jc w:val="left"/>
              <w:rPr>
                <w:rFonts w:ascii="Times New Roman" w:hAnsi="Times New Roman" w:cs="Times New Roman" w:eastAsia="Times New Roman" w:hint="default"/>
                <w:sz w:val="18"/>
                <w:szCs w:val="18"/>
              </w:rPr>
            </w:pPr>
            <w:r>
              <w:rPr>
                <w:rFonts w:ascii="Times New Roman"/>
                <w:sz w:val="18"/>
              </w:rPr>
              <w:t>5,35</w:t>
            </w:r>
          </w:p>
          <w:p>
            <w:pPr>
              <w:pStyle w:val="TableParagraph"/>
              <w:spacing w:line="207" w:lineRule="exact"/>
              <w:ind w:left="147" w:right="0"/>
              <w:jc w:val="left"/>
              <w:rPr>
                <w:rFonts w:ascii="Times New Roman" w:hAnsi="Times New Roman" w:cs="Times New Roman" w:eastAsia="Times New Roman" w:hint="default"/>
                <w:sz w:val="18"/>
                <w:szCs w:val="18"/>
              </w:rPr>
            </w:pPr>
            <w:r>
              <w:rPr>
                <w:rFonts w:ascii="Times New Roman"/>
                <w:sz w:val="18"/>
              </w:rPr>
              <w:t>7.19</w:t>
            </w:r>
          </w:p>
        </w:tc>
        <w:tc>
          <w:tcPr>
            <w:tcW w:w="577" w:type="dxa"/>
            <w:vMerge/>
            <w:tcBorders>
              <w:left w:val="single" w:sz="4" w:space="0" w:color="000000"/>
              <w:right w:val="single" w:sz="4" w:space="0" w:color="000000"/>
            </w:tcBorders>
          </w:tcPr>
          <w:p>
            <w:pPr/>
          </w:p>
        </w:tc>
        <w:tc>
          <w:tcPr>
            <w:tcW w:w="57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48" w:right="0"/>
              <w:jc w:val="left"/>
              <w:rPr>
                <w:rFonts w:ascii="Times New Roman" w:hAnsi="Times New Roman" w:cs="Times New Roman" w:eastAsia="Times New Roman" w:hint="default"/>
                <w:sz w:val="18"/>
                <w:szCs w:val="18"/>
              </w:rPr>
            </w:pPr>
            <w:r>
              <w:rPr>
                <w:rFonts w:ascii="Times New Roman"/>
                <w:sz w:val="18"/>
              </w:rPr>
              <w:t>35,6</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16,9</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50.4</w:t>
            </w:r>
          </w:p>
          <w:p>
            <w:pPr>
              <w:pStyle w:val="TableParagraph"/>
              <w:spacing w:line="207" w:lineRule="exact"/>
              <w:ind w:left="374" w:right="0"/>
              <w:jc w:val="left"/>
              <w:rPr>
                <w:rFonts w:ascii="Times New Roman" w:hAnsi="Times New Roman" w:cs="Times New Roman" w:eastAsia="Times New Roman" w:hint="default"/>
                <w:sz w:val="18"/>
                <w:szCs w:val="18"/>
              </w:rPr>
            </w:pPr>
            <w:r>
              <w:rPr>
                <w:rFonts w:ascii="Times New Roman"/>
                <w:sz w:val="18"/>
              </w:rPr>
              <w:t>0</w:t>
            </w:r>
          </w:p>
        </w:tc>
        <w:tc>
          <w:tcPr>
            <w:tcW w:w="577"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47" w:right="0"/>
              <w:jc w:val="center"/>
              <w:rPr>
                <w:rFonts w:ascii="Times New Roman" w:hAnsi="Times New Roman" w:cs="Times New Roman" w:eastAsia="Times New Roman" w:hint="default"/>
                <w:sz w:val="18"/>
                <w:szCs w:val="18"/>
              </w:rPr>
            </w:pPr>
            <w:r>
              <w:rPr>
                <w:rFonts w:ascii="Times New Roman"/>
                <w:sz w:val="18"/>
              </w:rPr>
              <w:t>200,</w:t>
            </w:r>
          </w:p>
          <w:p>
            <w:pPr>
              <w:pStyle w:val="TableParagraph"/>
              <w:spacing w:line="206" w:lineRule="exact"/>
              <w:ind w:left="47" w:right="0"/>
              <w:jc w:val="center"/>
              <w:rPr>
                <w:rFonts w:ascii="Times New Roman" w:hAnsi="Times New Roman" w:cs="Times New Roman" w:eastAsia="Times New Roman" w:hint="default"/>
                <w:sz w:val="18"/>
                <w:szCs w:val="18"/>
              </w:rPr>
            </w:pPr>
            <w:r>
              <w:rPr>
                <w:rFonts w:ascii="Times New Roman"/>
                <w:sz w:val="18"/>
              </w:rPr>
              <w:t>447,</w:t>
            </w:r>
          </w:p>
          <w:p>
            <w:pPr>
              <w:pStyle w:val="TableParagraph"/>
              <w:spacing w:line="206" w:lineRule="exact"/>
              <w:ind w:left="47" w:right="0"/>
              <w:jc w:val="center"/>
              <w:rPr>
                <w:rFonts w:ascii="Times New Roman" w:hAnsi="Times New Roman" w:cs="Times New Roman" w:eastAsia="Times New Roman" w:hint="default"/>
                <w:sz w:val="18"/>
                <w:szCs w:val="18"/>
              </w:rPr>
            </w:pPr>
            <w:r>
              <w:rPr>
                <w:rFonts w:ascii="Times New Roman"/>
                <w:sz w:val="18"/>
              </w:rPr>
              <w:t>160.</w:t>
            </w:r>
          </w:p>
          <w:p>
            <w:pPr>
              <w:pStyle w:val="TableParagraph"/>
              <w:spacing w:line="207" w:lineRule="exact"/>
              <w:ind w:left="181" w:right="0"/>
              <w:jc w:val="center"/>
              <w:rPr>
                <w:rFonts w:ascii="Times New Roman" w:hAnsi="Times New Roman" w:cs="Times New Roman" w:eastAsia="Times New Roman" w:hint="default"/>
                <w:sz w:val="18"/>
                <w:szCs w:val="18"/>
              </w:rPr>
            </w:pPr>
            <w:r>
              <w:rPr>
                <w:rFonts w:ascii="Times New Roman"/>
                <w:sz w:val="18"/>
              </w:rPr>
              <w:t>55</w:t>
            </w:r>
          </w:p>
        </w:tc>
        <w:tc>
          <w:tcPr>
            <w:tcW w:w="577" w:type="dxa"/>
            <w:vMerge/>
            <w:tcBorders>
              <w:left w:val="single" w:sz="4" w:space="0" w:color="000000"/>
              <w:right w:val="single" w:sz="4" w:space="0" w:color="000000"/>
            </w:tcBorders>
          </w:tcPr>
          <w:p>
            <w:pPr/>
          </w:p>
        </w:tc>
        <w:tc>
          <w:tcPr>
            <w:tcW w:w="589"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59" w:right="0"/>
              <w:jc w:val="left"/>
              <w:rPr>
                <w:rFonts w:ascii="Times New Roman" w:hAnsi="Times New Roman" w:cs="Times New Roman" w:eastAsia="Times New Roman" w:hint="default"/>
                <w:sz w:val="18"/>
                <w:szCs w:val="18"/>
              </w:rPr>
            </w:pPr>
            <w:r>
              <w:rPr>
                <w:rFonts w:ascii="Times New Roman"/>
                <w:sz w:val="18"/>
              </w:rPr>
              <w:t>1,14</w:t>
            </w:r>
          </w:p>
          <w:p>
            <w:pPr>
              <w:pStyle w:val="TableParagraph"/>
              <w:spacing w:line="206" w:lineRule="exact"/>
              <w:ind w:left="159" w:right="0"/>
              <w:jc w:val="left"/>
              <w:rPr>
                <w:rFonts w:ascii="Times New Roman" w:hAnsi="Times New Roman" w:cs="Times New Roman" w:eastAsia="Times New Roman" w:hint="default"/>
                <w:sz w:val="18"/>
                <w:szCs w:val="18"/>
              </w:rPr>
            </w:pPr>
            <w:r>
              <w:rPr>
                <w:rFonts w:ascii="Times New Roman"/>
                <w:sz w:val="18"/>
              </w:rPr>
              <w:t>8,28</w:t>
            </w:r>
          </w:p>
          <w:p>
            <w:pPr>
              <w:pStyle w:val="TableParagraph"/>
              <w:spacing w:line="206" w:lineRule="exact"/>
              <w:ind w:left="159" w:right="0"/>
              <w:jc w:val="left"/>
              <w:rPr>
                <w:rFonts w:ascii="Times New Roman" w:hAnsi="Times New Roman" w:cs="Times New Roman" w:eastAsia="Times New Roman" w:hint="default"/>
                <w:sz w:val="18"/>
                <w:szCs w:val="18"/>
              </w:rPr>
            </w:pPr>
            <w:r>
              <w:rPr>
                <w:rFonts w:ascii="Times New Roman"/>
                <w:sz w:val="18"/>
              </w:rPr>
              <w:t>1,47</w:t>
            </w:r>
          </w:p>
          <w:p>
            <w:pPr>
              <w:pStyle w:val="TableParagraph"/>
              <w:spacing w:line="207" w:lineRule="exact"/>
              <w:ind w:left="159" w:right="0"/>
              <w:jc w:val="left"/>
              <w:rPr>
                <w:rFonts w:ascii="Times New Roman" w:hAnsi="Times New Roman" w:cs="Times New Roman" w:eastAsia="Times New Roman" w:hint="default"/>
                <w:sz w:val="18"/>
                <w:szCs w:val="18"/>
              </w:rPr>
            </w:pPr>
            <w:r>
              <w:rPr>
                <w:rFonts w:ascii="Times New Roman"/>
                <w:sz w:val="18"/>
              </w:rPr>
              <w:t>1.50</w:t>
            </w:r>
          </w:p>
        </w:tc>
        <w:tc>
          <w:tcPr>
            <w:tcW w:w="567" w:type="dxa"/>
            <w:vMerge/>
            <w:tcBorders>
              <w:left w:val="single" w:sz="4" w:space="0" w:color="000000"/>
              <w:right w:val="single" w:sz="4" w:space="0" w:color="000000"/>
            </w:tcBorders>
          </w:tcPr>
          <w:p>
            <w:pPr/>
          </w:p>
        </w:tc>
        <w:tc>
          <w:tcPr>
            <w:tcW w:w="56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39" w:right="0"/>
              <w:jc w:val="left"/>
              <w:rPr>
                <w:rFonts w:ascii="Times New Roman" w:hAnsi="Times New Roman" w:cs="Times New Roman" w:eastAsia="Times New Roman" w:hint="default"/>
                <w:sz w:val="18"/>
                <w:szCs w:val="18"/>
              </w:rPr>
            </w:pPr>
            <w:r>
              <w:rPr>
                <w:rFonts w:ascii="Times New Roman"/>
                <w:sz w:val="18"/>
              </w:rPr>
              <w:t>3,97</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4,25</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0,03</w:t>
            </w:r>
          </w:p>
          <w:p>
            <w:pPr>
              <w:pStyle w:val="TableParagraph"/>
              <w:spacing w:line="207" w:lineRule="exact"/>
              <w:ind w:left="139" w:right="0"/>
              <w:jc w:val="left"/>
              <w:rPr>
                <w:rFonts w:ascii="Times New Roman" w:hAnsi="Times New Roman" w:cs="Times New Roman" w:eastAsia="Times New Roman" w:hint="default"/>
                <w:sz w:val="18"/>
                <w:szCs w:val="18"/>
              </w:rPr>
            </w:pPr>
            <w:r>
              <w:rPr>
                <w:rFonts w:ascii="Times New Roman"/>
                <w:sz w:val="18"/>
              </w:rPr>
              <w:t>7.64</w:t>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07" w:lineRule="exact" w:before="93"/>
              <w:ind w:left="21" w:right="0"/>
              <w:jc w:val="center"/>
              <w:rPr>
                <w:rFonts w:ascii="Times New Roman" w:hAnsi="Times New Roman" w:cs="Times New Roman" w:eastAsia="Times New Roman" w:hint="default"/>
                <w:sz w:val="18"/>
                <w:szCs w:val="18"/>
              </w:rPr>
            </w:pPr>
            <w:r>
              <w:rPr>
                <w:rFonts w:ascii="Times New Roman"/>
                <w:sz w:val="18"/>
              </w:rPr>
              <w:t>12,55</w:t>
            </w:r>
          </w:p>
          <w:p>
            <w:pPr>
              <w:pStyle w:val="TableParagraph"/>
              <w:spacing w:line="206" w:lineRule="exact"/>
              <w:ind w:left="21" w:right="0"/>
              <w:jc w:val="center"/>
              <w:rPr>
                <w:rFonts w:ascii="Times New Roman" w:hAnsi="Times New Roman" w:cs="Times New Roman" w:eastAsia="Times New Roman" w:hint="default"/>
                <w:sz w:val="18"/>
                <w:szCs w:val="18"/>
              </w:rPr>
            </w:pPr>
            <w:r>
              <w:rPr>
                <w:rFonts w:ascii="Times New Roman"/>
                <w:sz w:val="18"/>
              </w:rPr>
              <w:t>6,888</w:t>
            </w:r>
          </w:p>
          <w:p>
            <w:pPr>
              <w:pStyle w:val="TableParagraph"/>
              <w:spacing w:line="207" w:lineRule="exact"/>
              <w:ind w:left="201" w:right="0"/>
              <w:jc w:val="center"/>
              <w:rPr>
                <w:rFonts w:ascii="Times New Roman" w:hAnsi="Times New Roman" w:cs="Times New Roman" w:eastAsia="Times New Roman" w:hint="default"/>
                <w:sz w:val="18"/>
                <w:szCs w:val="18"/>
              </w:rPr>
            </w:pPr>
            <w:r>
              <w:rPr>
                <w:rFonts w:ascii="Times New Roman"/>
                <w:sz w:val="18"/>
              </w:rPr>
              <w:t>.99</w:t>
            </w:r>
          </w:p>
        </w:tc>
        <w:tc>
          <w:tcPr>
            <w:tcW w:w="651"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34" w:right="0"/>
              <w:jc w:val="left"/>
              <w:rPr>
                <w:rFonts w:ascii="Times New Roman" w:hAnsi="Times New Roman" w:cs="Times New Roman" w:eastAsia="Times New Roman" w:hint="default"/>
                <w:sz w:val="18"/>
                <w:szCs w:val="18"/>
              </w:rPr>
            </w:pPr>
            <w:r>
              <w:rPr>
                <w:rFonts w:ascii="Times New Roman"/>
                <w:sz w:val="18"/>
              </w:rPr>
              <w:t>3,986</w:t>
            </w:r>
          </w:p>
          <w:p>
            <w:pPr>
              <w:pStyle w:val="TableParagraph"/>
              <w:spacing w:line="206" w:lineRule="exact"/>
              <w:ind w:left="177" w:right="0"/>
              <w:jc w:val="left"/>
              <w:rPr>
                <w:rFonts w:ascii="Times New Roman" w:hAnsi="Times New Roman" w:cs="Times New Roman" w:eastAsia="Times New Roman" w:hint="default"/>
                <w:sz w:val="18"/>
                <w:szCs w:val="18"/>
              </w:rPr>
            </w:pPr>
            <w:r>
              <w:rPr>
                <w:rFonts w:ascii="Times New Roman"/>
                <w:sz w:val="18"/>
              </w:rPr>
              <w:t>,806,</w:t>
            </w:r>
          </w:p>
          <w:p>
            <w:pPr>
              <w:pStyle w:val="TableParagraph"/>
              <w:spacing w:line="206" w:lineRule="exact"/>
              <w:ind w:left="134" w:right="0"/>
              <w:jc w:val="left"/>
              <w:rPr>
                <w:rFonts w:ascii="Times New Roman" w:hAnsi="Times New Roman" w:cs="Times New Roman" w:eastAsia="Times New Roman" w:hint="default"/>
                <w:sz w:val="18"/>
                <w:szCs w:val="18"/>
              </w:rPr>
            </w:pPr>
            <w:r>
              <w:rPr>
                <w:rFonts w:ascii="Times New Roman"/>
                <w:sz w:val="18"/>
              </w:rPr>
              <w:t>926.6</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3</w:t>
            </w:r>
          </w:p>
        </w:tc>
      </w:tr>
      <w:tr>
        <w:trPr>
          <w:trHeight w:val="243"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tcBorders>
              <w:top w:val="nil" w:sz="6" w:space="0" w:color="auto"/>
              <w:left w:val="single" w:sz="4" w:space="0" w:color="000000"/>
              <w:bottom w:val="single" w:sz="4" w:space="0" w:color="000000"/>
              <w:right w:val="single" w:sz="4" w:space="0" w:color="000000"/>
            </w:tcBorders>
          </w:tcPr>
          <w:p>
            <w:pPr>
              <w:pStyle w:val="TableParagraph"/>
              <w:spacing w:line="197" w:lineRule="exact"/>
              <w:ind w:right="102"/>
              <w:jc w:val="right"/>
              <w:rPr>
                <w:rFonts w:ascii="Times New Roman" w:hAnsi="Times New Roman" w:cs="Times New Roman" w:eastAsia="Times New Roman" w:hint="default"/>
                <w:sz w:val="18"/>
                <w:szCs w:val="18"/>
              </w:rPr>
            </w:pPr>
            <w:r>
              <w:rPr>
                <w:rFonts w:ascii="Times New Roman"/>
                <w:sz w:val="18"/>
              </w:rPr>
              <w:t>0</w:t>
            </w: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tcBorders>
              <w:top w:val="nil" w:sz="6" w:space="0" w:color="auto"/>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tcBorders>
              <w:top w:val="nil" w:sz="6" w:space="0" w:color="auto"/>
              <w:left w:val="single" w:sz="4" w:space="0" w:color="000000"/>
              <w:bottom w:val="single" w:sz="4" w:space="0" w:color="000000"/>
              <w:right w:val="single" w:sz="4" w:space="0" w:color="000000"/>
            </w:tcBorders>
          </w:tcPr>
          <w:p>
            <w:pPr/>
          </w:p>
        </w:tc>
        <w:tc>
          <w:tcPr>
            <w:tcW w:w="643" w:type="dxa"/>
            <w:tcBorders>
              <w:top w:val="nil" w:sz="6" w:space="0" w:color="auto"/>
              <w:left w:val="single" w:sz="4" w:space="0" w:color="000000"/>
              <w:bottom w:val="single" w:sz="4" w:space="0" w:color="000000"/>
              <w:right w:val="single" w:sz="4" w:space="0" w:color="000000"/>
            </w:tcBorders>
          </w:tcPr>
          <w:p>
            <w:pPr/>
          </w:p>
        </w:tc>
        <w:tc>
          <w:tcPr>
            <w:tcW w:w="651" w:type="dxa"/>
            <w:tcBorders>
              <w:top w:val="nil" w:sz="6" w:space="0" w:color="auto"/>
              <w:left w:val="single" w:sz="4" w:space="0" w:color="000000"/>
              <w:bottom w:val="single" w:sz="4" w:space="0" w:color="000000"/>
              <w:right w:val="single" w:sz="4" w:space="0" w:color="000000"/>
            </w:tcBorders>
          </w:tcPr>
          <w:p>
            <w:pPr/>
          </w:p>
        </w:tc>
      </w:tr>
      <w:tr>
        <w:trPr>
          <w:trHeight w:val="557"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0" w:firstLine="360"/>
              <w:jc w:val="left"/>
              <w:rPr>
                <w:rFonts w:ascii="宋体" w:hAnsi="宋体" w:cs="宋体" w:eastAsia="宋体" w:hint="default"/>
                <w:sz w:val="18"/>
                <w:szCs w:val="18"/>
              </w:rPr>
            </w:pPr>
            <w:r>
              <w:rPr>
                <w:rFonts w:ascii="宋体" w:hAnsi="宋体" w:cs="宋体" w:eastAsia="宋体" w:hint="default"/>
                <w:spacing w:val="-21"/>
                <w:sz w:val="18"/>
                <w:szCs w:val="18"/>
              </w:rPr>
              <w:t>加：会计</w:t>
            </w:r>
            <w:r>
              <w:rPr>
                <w:rFonts w:ascii="宋体" w:hAnsi="宋体" w:cs="宋体" w:eastAsia="宋体" w:hint="default"/>
                <w:sz w:val="18"/>
                <w:szCs w:val="18"/>
              </w:rPr>
              <w:t> 政策变更</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96"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279"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right="196"/>
              <w:jc w:val="right"/>
              <w:rPr>
                <w:rFonts w:ascii="宋体" w:hAnsi="宋体" w:cs="宋体" w:eastAsia="宋体" w:hint="default"/>
                <w:sz w:val="18"/>
                <w:szCs w:val="18"/>
              </w:rPr>
            </w:pPr>
            <w:r>
              <w:rPr>
                <w:rFonts w:ascii="宋体" w:hAnsi="宋体" w:cs="宋体" w:eastAsia="宋体" w:hint="default"/>
                <w:sz w:val="18"/>
                <w:szCs w:val="18"/>
              </w:rPr>
              <w:t>同</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33"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一控制下企</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8"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业合并</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557"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1"/>
              <w:ind w:right="196"/>
              <w:jc w:val="righ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18"/>
                <w:szCs w:val="18"/>
              </w:rPr>
            </w:pPr>
            <w:r>
              <w:rPr>
                <w:rFonts w:ascii="Times New Roman"/>
                <w:sz w:val="18"/>
              </w:rPr>
              <w:t>1,0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tcBorders>
              <w:top w:val="single" w:sz="4" w:space="0" w:color="000000"/>
              <w:left w:val="single" w:sz="4" w:space="0" w:color="000000"/>
              <w:bottom w:val="nil" w:sz="6" w:space="0" w:color="auto"/>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tcBorders>
              <w:top w:val="single" w:sz="4" w:space="0" w:color="000000"/>
              <w:left w:val="single" w:sz="4" w:space="0" w:color="000000"/>
              <w:bottom w:val="nil" w:sz="6" w:space="0" w:color="auto"/>
              <w:right w:val="single" w:sz="4" w:space="0" w:color="000000"/>
            </w:tcBorders>
          </w:tcPr>
          <w:p>
            <w:pPr/>
          </w:p>
        </w:tc>
        <w:tc>
          <w:tcPr>
            <w:tcW w:w="643" w:type="dxa"/>
            <w:tcBorders>
              <w:top w:val="single" w:sz="4" w:space="0" w:color="000000"/>
              <w:left w:val="single" w:sz="4" w:space="0" w:color="000000"/>
              <w:bottom w:val="nil" w:sz="6" w:space="0" w:color="auto"/>
              <w:right w:val="single" w:sz="4" w:space="0" w:color="000000"/>
            </w:tcBorders>
          </w:tcPr>
          <w:p>
            <w:pPr/>
          </w:p>
        </w:tc>
        <w:tc>
          <w:tcPr>
            <w:tcW w:w="651" w:type="dxa"/>
            <w:tcBorders>
              <w:top w:val="single" w:sz="4" w:space="0" w:color="000000"/>
              <w:left w:val="single" w:sz="4" w:space="0" w:color="000000"/>
              <w:bottom w:val="nil" w:sz="6" w:space="0" w:color="auto"/>
              <w:right w:val="single" w:sz="4" w:space="0" w:color="000000"/>
            </w:tcBorders>
          </w:tcPr>
          <w:p>
            <w:pPr/>
          </w:p>
        </w:tc>
      </w:tr>
      <w:tr>
        <w:trPr>
          <w:trHeight w:val="828"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2"/>
                <w:szCs w:val="12"/>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pacing w:val="-14"/>
                <w:sz w:val="18"/>
                <w:szCs w:val="18"/>
              </w:rPr>
              <w:t>二、本年期初</w:t>
            </w:r>
            <w:r>
              <w:rPr>
                <w:rFonts w:ascii="宋体" w:hAnsi="宋体" w:cs="宋体" w:eastAsia="宋体" w:hint="default"/>
                <w:sz w:val="18"/>
                <w:szCs w:val="18"/>
              </w:rPr>
              <w:t> 余额</w:t>
            </w: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51" w:right="0"/>
              <w:jc w:val="left"/>
              <w:rPr>
                <w:rFonts w:ascii="Times New Roman" w:hAnsi="Times New Roman" w:cs="Times New Roman" w:eastAsia="Times New Roman" w:hint="default"/>
                <w:sz w:val="18"/>
                <w:szCs w:val="18"/>
              </w:rPr>
            </w:pPr>
            <w:r>
              <w:rPr>
                <w:rFonts w:ascii="Times New Roman"/>
                <w:sz w:val="18"/>
              </w:rPr>
              <w:t>35,</w:t>
            </w:r>
          </w:p>
          <w:p>
            <w:pPr>
              <w:pStyle w:val="TableParagraph"/>
              <w:spacing w:line="207" w:lineRule="exact" w:before="2"/>
              <w:ind w:left="106" w:right="0"/>
              <w:jc w:val="left"/>
              <w:rPr>
                <w:rFonts w:ascii="Times New Roman" w:hAnsi="Times New Roman" w:cs="Times New Roman" w:eastAsia="Times New Roman" w:hint="default"/>
                <w:sz w:val="18"/>
                <w:szCs w:val="18"/>
              </w:rPr>
            </w:pPr>
            <w:r>
              <w:rPr>
                <w:rFonts w:ascii="Times New Roman"/>
                <w:sz w:val="18"/>
              </w:rPr>
              <w:t>489</w:t>
            </w:r>
          </w:p>
          <w:p>
            <w:pPr>
              <w:pStyle w:val="TableParagraph"/>
              <w:spacing w:line="206" w:lineRule="exact"/>
              <w:ind w:left="151" w:right="0"/>
              <w:jc w:val="left"/>
              <w:rPr>
                <w:rFonts w:ascii="Times New Roman" w:hAnsi="Times New Roman" w:cs="Times New Roman" w:eastAsia="Times New Roman" w:hint="default"/>
                <w:sz w:val="18"/>
                <w:szCs w:val="18"/>
              </w:rPr>
            </w:pPr>
            <w:r>
              <w:rPr>
                <w:rFonts w:ascii="Times New Roman"/>
                <w:sz w:val="18"/>
              </w:rPr>
              <w:t>,09</w:t>
            </w:r>
          </w:p>
          <w:p>
            <w:pPr>
              <w:pStyle w:val="TableParagraph"/>
              <w:spacing w:line="207" w:lineRule="exact"/>
              <w:ind w:left="151" w:right="0"/>
              <w:jc w:val="left"/>
              <w:rPr>
                <w:rFonts w:ascii="Times New Roman" w:hAnsi="Times New Roman" w:cs="Times New Roman" w:eastAsia="Times New Roman" w:hint="default"/>
                <w:sz w:val="18"/>
                <w:szCs w:val="18"/>
              </w:rPr>
            </w:pPr>
            <w:r>
              <w:rPr>
                <w:rFonts w:ascii="Times New Roman"/>
                <w:sz w:val="18"/>
              </w:rPr>
              <w:t>8.0</w:t>
            </w: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47" w:right="0"/>
              <w:jc w:val="left"/>
              <w:rPr>
                <w:rFonts w:ascii="Times New Roman" w:hAnsi="Times New Roman" w:cs="Times New Roman" w:eastAsia="Times New Roman" w:hint="default"/>
                <w:sz w:val="18"/>
                <w:szCs w:val="18"/>
              </w:rPr>
            </w:pPr>
            <w:r>
              <w:rPr>
                <w:rFonts w:ascii="Times New Roman"/>
                <w:sz w:val="18"/>
              </w:rPr>
              <w:t>1,55</w:t>
            </w:r>
          </w:p>
          <w:p>
            <w:pPr>
              <w:pStyle w:val="TableParagraph"/>
              <w:spacing w:line="206" w:lineRule="exact"/>
              <w:ind w:left="147" w:right="0"/>
              <w:jc w:val="left"/>
              <w:rPr>
                <w:rFonts w:ascii="Times New Roman" w:hAnsi="Times New Roman" w:cs="Times New Roman" w:eastAsia="Times New Roman" w:hint="default"/>
                <w:sz w:val="18"/>
                <w:szCs w:val="18"/>
              </w:rPr>
            </w:pPr>
            <w:r>
              <w:rPr>
                <w:rFonts w:ascii="Times New Roman"/>
                <w:sz w:val="18"/>
              </w:rPr>
              <w:t>4,41</w:t>
            </w:r>
          </w:p>
          <w:p>
            <w:pPr>
              <w:pStyle w:val="TableParagraph"/>
              <w:spacing w:line="207" w:lineRule="exact"/>
              <w:ind w:left="147" w:right="0"/>
              <w:jc w:val="left"/>
              <w:rPr>
                <w:rFonts w:ascii="Times New Roman" w:hAnsi="Times New Roman" w:cs="Times New Roman" w:eastAsia="Times New Roman" w:hint="default"/>
                <w:sz w:val="18"/>
                <w:szCs w:val="18"/>
              </w:rPr>
            </w:pPr>
            <w:r>
              <w:rPr>
                <w:rFonts w:ascii="Times New Roman"/>
                <w:sz w:val="18"/>
              </w:rPr>
              <w:t>5,35</w:t>
            </w:r>
          </w:p>
          <w:p>
            <w:pPr>
              <w:pStyle w:val="TableParagraph"/>
              <w:spacing w:line="240" w:lineRule="auto" w:before="2"/>
              <w:ind w:left="147" w:right="0"/>
              <w:jc w:val="left"/>
              <w:rPr>
                <w:rFonts w:ascii="Times New Roman" w:hAnsi="Times New Roman" w:cs="Times New Roman" w:eastAsia="Times New Roman" w:hint="default"/>
                <w:sz w:val="18"/>
                <w:szCs w:val="18"/>
              </w:rPr>
            </w:pPr>
            <w:r>
              <w:rPr>
                <w:rFonts w:ascii="Times New Roman"/>
                <w:sz w:val="18"/>
              </w:rPr>
              <w:t>7.19</w:t>
            </w:r>
          </w:p>
        </w:tc>
        <w:tc>
          <w:tcPr>
            <w:tcW w:w="577" w:type="dxa"/>
            <w:vMerge/>
            <w:tcBorders>
              <w:left w:val="single" w:sz="4" w:space="0" w:color="000000"/>
              <w:right w:val="single" w:sz="4" w:space="0" w:color="000000"/>
            </w:tcBorders>
          </w:tcPr>
          <w:p>
            <w:pPr/>
          </w:p>
        </w:tc>
        <w:tc>
          <w:tcPr>
            <w:tcW w:w="57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48" w:right="0"/>
              <w:jc w:val="left"/>
              <w:rPr>
                <w:rFonts w:ascii="Times New Roman" w:hAnsi="Times New Roman" w:cs="Times New Roman" w:eastAsia="Times New Roman" w:hint="default"/>
                <w:sz w:val="18"/>
                <w:szCs w:val="18"/>
              </w:rPr>
            </w:pPr>
            <w:r>
              <w:rPr>
                <w:rFonts w:ascii="Times New Roman"/>
                <w:sz w:val="18"/>
              </w:rPr>
              <w:t>35,6</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16,9</w:t>
            </w:r>
          </w:p>
          <w:p>
            <w:pPr>
              <w:pStyle w:val="TableParagraph"/>
              <w:spacing w:line="207" w:lineRule="exact"/>
              <w:ind w:left="148" w:right="0"/>
              <w:jc w:val="left"/>
              <w:rPr>
                <w:rFonts w:ascii="Times New Roman" w:hAnsi="Times New Roman" w:cs="Times New Roman" w:eastAsia="Times New Roman" w:hint="default"/>
                <w:sz w:val="18"/>
                <w:szCs w:val="18"/>
              </w:rPr>
            </w:pPr>
            <w:r>
              <w:rPr>
                <w:rFonts w:ascii="Times New Roman"/>
                <w:sz w:val="18"/>
              </w:rPr>
              <w:t>50.4</w:t>
            </w:r>
          </w:p>
          <w:p>
            <w:pPr>
              <w:pStyle w:val="TableParagraph"/>
              <w:spacing w:line="240" w:lineRule="auto" w:before="2"/>
              <w:ind w:left="374" w:right="0"/>
              <w:jc w:val="left"/>
              <w:rPr>
                <w:rFonts w:ascii="Times New Roman" w:hAnsi="Times New Roman" w:cs="Times New Roman" w:eastAsia="Times New Roman" w:hint="default"/>
                <w:sz w:val="18"/>
                <w:szCs w:val="18"/>
              </w:rPr>
            </w:pPr>
            <w:r>
              <w:rPr>
                <w:rFonts w:ascii="Times New Roman"/>
                <w:sz w:val="18"/>
              </w:rPr>
              <w:t>0</w:t>
            </w:r>
          </w:p>
        </w:tc>
        <w:tc>
          <w:tcPr>
            <w:tcW w:w="577"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47" w:right="0"/>
              <w:jc w:val="center"/>
              <w:rPr>
                <w:rFonts w:ascii="Times New Roman" w:hAnsi="Times New Roman" w:cs="Times New Roman" w:eastAsia="Times New Roman" w:hint="default"/>
                <w:sz w:val="18"/>
                <w:szCs w:val="18"/>
              </w:rPr>
            </w:pPr>
            <w:r>
              <w:rPr>
                <w:rFonts w:ascii="Times New Roman"/>
                <w:sz w:val="18"/>
              </w:rPr>
              <w:t>200,</w:t>
            </w:r>
          </w:p>
          <w:p>
            <w:pPr>
              <w:pStyle w:val="TableParagraph"/>
              <w:spacing w:line="206" w:lineRule="exact"/>
              <w:ind w:left="47" w:right="0"/>
              <w:jc w:val="center"/>
              <w:rPr>
                <w:rFonts w:ascii="Times New Roman" w:hAnsi="Times New Roman" w:cs="Times New Roman" w:eastAsia="Times New Roman" w:hint="default"/>
                <w:sz w:val="18"/>
                <w:szCs w:val="18"/>
              </w:rPr>
            </w:pPr>
            <w:r>
              <w:rPr>
                <w:rFonts w:ascii="Times New Roman"/>
                <w:sz w:val="18"/>
              </w:rPr>
              <w:t>447,</w:t>
            </w:r>
          </w:p>
          <w:p>
            <w:pPr>
              <w:pStyle w:val="TableParagraph"/>
              <w:spacing w:line="207" w:lineRule="exact"/>
              <w:ind w:left="47" w:right="0"/>
              <w:jc w:val="center"/>
              <w:rPr>
                <w:rFonts w:ascii="Times New Roman" w:hAnsi="Times New Roman" w:cs="Times New Roman" w:eastAsia="Times New Roman" w:hint="default"/>
                <w:sz w:val="18"/>
                <w:szCs w:val="18"/>
              </w:rPr>
            </w:pPr>
            <w:r>
              <w:rPr>
                <w:rFonts w:ascii="Times New Roman"/>
                <w:sz w:val="18"/>
              </w:rPr>
              <w:t>160.</w:t>
            </w:r>
          </w:p>
          <w:p>
            <w:pPr>
              <w:pStyle w:val="TableParagraph"/>
              <w:spacing w:line="240" w:lineRule="auto" w:before="2"/>
              <w:ind w:left="181" w:right="0"/>
              <w:jc w:val="center"/>
              <w:rPr>
                <w:rFonts w:ascii="Times New Roman" w:hAnsi="Times New Roman" w:cs="Times New Roman" w:eastAsia="Times New Roman" w:hint="default"/>
                <w:sz w:val="18"/>
                <w:szCs w:val="18"/>
              </w:rPr>
            </w:pPr>
            <w:r>
              <w:rPr>
                <w:rFonts w:ascii="Times New Roman"/>
                <w:sz w:val="18"/>
              </w:rPr>
              <w:t>55</w:t>
            </w:r>
          </w:p>
        </w:tc>
        <w:tc>
          <w:tcPr>
            <w:tcW w:w="577" w:type="dxa"/>
            <w:vMerge/>
            <w:tcBorders>
              <w:left w:val="single" w:sz="4" w:space="0" w:color="000000"/>
              <w:right w:val="single" w:sz="4" w:space="0" w:color="000000"/>
            </w:tcBorders>
          </w:tcPr>
          <w:p>
            <w:pPr/>
          </w:p>
        </w:tc>
        <w:tc>
          <w:tcPr>
            <w:tcW w:w="589"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59" w:right="0"/>
              <w:jc w:val="left"/>
              <w:rPr>
                <w:rFonts w:ascii="Times New Roman" w:hAnsi="Times New Roman" w:cs="Times New Roman" w:eastAsia="Times New Roman" w:hint="default"/>
                <w:sz w:val="18"/>
                <w:szCs w:val="18"/>
              </w:rPr>
            </w:pPr>
            <w:r>
              <w:rPr>
                <w:rFonts w:ascii="Times New Roman"/>
                <w:sz w:val="18"/>
              </w:rPr>
              <w:t>1,14</w:t>
            </w:r>
          </w:p>
          <w:p>
            <w:pPr>
              <w:pStyle w:val="TableParagraph"/>
              <w:spacing w:line="206" w:lineRule="exact"/>
              <w:ind w:left="159" w:right="0"/>
              <w:jc w:val="left"/>
              <w:rPr>
                <w:rFonts w:ascii="Times New Roman" w:hAnsi="Times New Roman" w:cs="Times New Roman" w:eastAsia="Times New Roman" w:hint="default"/>
                <w:sz w:val="18"/>
                <w:szCs w:val="18"/>
              </w:rPr>
            </w:pPr>
            <w:r>
              <w:rPr>
                <w:rFonts w:ascii="Times New Roman"/>
                <w:sz w:val="18"/>
              </w:rPr>
              <w:t>8,28</w:t>
            </w:r>
          </w:p>
          <w:p>
            <w:pPr>
              <w:pStyle w:val="TableParagraph"/>
              <w:spacing w:line="207" w:lineRule="exact"/>
              <w:ind w:left="159" w:right="0"/>
              <w:jc w:val="left"/>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2"/>
              <w:ind w:left="159" w:right="0"/>
              <w:jc w:val="left"/>
              <w:rPr>
                <w:rFonts w:ascii="Times New Roman" w:hAnsi="Times New Roman" w:cs="Times New Roman" w:eastAsia="Times New Roman" w:hint="default"/>
                <w:sz w:val="18"/>
                <w:szCs w:val="18"/>
              </w:rPr>
            </w:pPr>
            <w:r>
              <w:rPr>
                <w:rFonts w:ascii="Times New Roman"/>
                <w:sz w:val="18"/>
              </w:rPr>
              <w:t>1.50</w:t>
            </w:r>
          </w:p>
        </w:tc>
        <w:tc>
          <w:tcPr>
            <w:tcW w:w="567" w:type="dxa"/>
            <w:vMerge/>
            <w:tcBorders>
              <w:left w:val="single" w:sz="4" w:space="0" w:color="000000"/>
              <w:right w:val="single" w:sz="4" w:space="0" w:color="000000"/>
            </w:tcBorders>
          </w:tcPr>
          <w:p>
            <w:pPr/>
          </w:p>
        </w:tc>
        <w:tc>
          <w:tcPr>
            <w:tcW w:w="56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39" w:right="0"/>
              <w:jc w:val="left"/>
              <w:rPr>
                <w:rFonts w:ascii="Times New Roman" w:hAnsi="Times New Roman" w:cs="Times New Roman" w:eastAsia="Times New Roman" w:hint="default"/>
                <w:sz w:val="18"/>
                <w:szCs w:val="18"/>
              </w:rPr>
            </w:pPr>
            <w:r>
              <w:rPr>
                <w:rFonts w:ascii="Times New Roman"/>
                <w:sz w:val="18"/>
              </w:rPr>
              <w:t>3,97</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4,25</w:t>
            </w:r>
          </w:p>
          <w:p>
            <w:pPr>
              <w:pStyle w:val="TableParagraph"/>
              <w:spacing w:line="207" w:lineRule="exact"/>
              <w:ind w:left="139" w:right="0"/>
              <w:jc w:val="left"/>
              <w:rPr>
                <w:rFonts w:ascii="Times New Roman" w:hAnsi="Times New Roman" w:cs="Times New Roman" w:eastAsia="Times New Roman" w:hint="default"/>
                <w:sz w:val="18"/>
                <w:szCs w:val="18"/>
              </w:rPr>
            </w:pPr>
            <w:r>
              <w:rPr>
                <w:rFonts w:ascii="Times New Roman"/>
                <w:sz w:val="18"/>
              </w:rPr>
              <w:t>0,03</w:t>
            </w:r>
          </w:p>
          <w:p>
            <w:pPr>
              <w:pStyle w:val="TableParagraph"/>
              <w:spacing w:line="240" w:lineRule="auto" w:before="2"/>
              <w:ind w:left="139" w:right="0"/>
              <w:jc w:val="left"/>
              <w:rPr>
                <w:rFonts w:ascii="Times New Roman" w:hAnsi="Times New Roman" w:cs="Times New Roman" w:eastAsia="Times New Roman" w:hint="default"/>
                <w:sz w:val="18"/>
                <w:szCs w:val="18"/>
              </w:rPr>
            </w:pPr>
            <w:r>
              <w:rPr>
                <w:rFonts w:ascii="Times New Roman"/>
                <w:sz w:val="18"/>
              </w:rPr>
              <w:t>7.64</w:t>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05" w:lineRule="exact" w:before="95"/>
              <w:ind w:left="21" w:right="0"/>
              <w:jc w:val="center"/>
              <w:rPr>
                <w:rFonts w:ascii="Times New Roman" w:hAnsi="Times New Roman" w:cs="Times New Roman" w:eastAsia="Times New Roman" w:hint="default"/>
                <w:sz w:val="18"/>
                <w:szCs w:val="18"/>
              </w:rPr>
            </w:pPr>
            <w:r>
              <w:rPr>
                <w:rFonts w:ascii="Times New Roman"/>
                <w:sz w:val="18"/>
              </w:rPr>
              <w:t>12,55</w:t>
            </w:r>
          </w:p>
          <w:p>
            <w:pPr>
              <w:pStyle w:val="TableParagraph"/>
              <w:spacing w:line="205" w:lineRule="exact"/>
              <w:ind w:left="21" w:right="0"/>
              <w:jc w:val="center"/>
              <w:rPr>
                <w:rFonts w:ascii="Times New Roman" w:hAnsi="Times New Roman" w:cs="Times New Roman" w:eastAsia="Times New Roman" w:hint="default"/>
                <w:sz w:val="18"/>
                <w:szCs w:val="18"/>
              </w:rPr>
            </w:pPr>
            <w:r>
              <w:rPr>
                <w:rFonts w:ascii="Times New Roman"/>
                <w:sz w:val="18"/>
              </w:rPr>
              <w:t>6,888</w:t>
            </w:r>
          </w:p>
          <w:p>
            <w:pPr>
              <w:pStyle w:val="TableParagraph"/>
              <w:spacing w:line="240" w:lineRule="auto" w:before="2"/>
              <w:ind w:left="201" w:right="0"/>
              <w:jc w:val="center"/>
              <w:rPr>
                <w:rFonts w:ascii="Times New Roman" w:hAnsi="Times New Roman" w:cs="Times New Roman" w:eastAsia="Times New Roman" w:hint="default"/>
                <w:sz w:val="18"/>
                <w:szCs w:val="18"/>
              </w:rPr>
            </w:pPr>
            <w:r>
              <w:rPr>
                <w:rFonts w:ascii="Times New Roman"/>
                <w:sz w:val="18"/>
              </w:rPr>
              <w:t>.99</w:t>
            </w:r>
          </w:p>
        </w:tc>
        <w:tc>
          <w:tcPr>
            <w:tcW w:w="651"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34" w:right="0"/>
              <w:jc w:val="left"/>
              <w:rPr>
                <w:rFonts w:ascii="Times New Roman" w:hAnsi="Times New Roman" w:cs="Times New Roman" w:eastAsia="Times New Roman" w:hint="default"/>
                <w:sz w:val="18"/>
                <w:szCs w:val="18"/>
              </w:rPr>
            </w:pPr>
            <w:r>
              <w:rPr>
                <w:rFonts w:ascii="Times New Roman"/>
                <w:sz w:val="18"/>
              </w:rPr>
              <w:t>3,986</w:t>
            </w:r>
          </w:p>
          <w:p>
            <w:pPr>
              <w:pStyle w:val="TableParagraph"/>
              <w:spacing w:line="206" w:lineRule="exact"/>
              <w:ind w:left="177" w:right="0"/>
              <w:jc w:val="left"/>
              <w:rPr>
                <w:rFonts w:ascii="Times New Roman" w:hAnsi="Times New Roman" w:cs="Times New Roman" w:eastAsia="Times New Roman" w:hint="default"/>
                <w:sz w:val="18"/>
                <w:szCs w:val="18"/>
              </w:rPr>
            </w:pPr>
            <w:r>
              <w:rPr>
                <w:rFonts w:ascii="Times New Roman"/>
                <w:sz w:val="18"/>
              </w:rPr>
              <w:t>,806,</w:t>
            </w:r>
          </w:p>
          <w:p>
            <w:pPr>
              <w:pStyle w:val="TableParagraph"/>
              <w:spacing w:line="207" w:lineRule="exact"/>
              <w:ind w:left="134" w:right="0"/>
              <w:jc w:val="left"/>
              <w:rPr>
                <w:rFonts w:ascii="Times New Roman" w:hAnsi="Times New Roman" w:cs="Times New Roman" w:eastAsia="Times New Roman" w:hint="default"/>
                <w:sz w:val="18"/>
                <w:szCs w:val="18"/>
              </w:rPr>
            </w:pPr>
            <w:r>
              <w:rPr>
                <w:rFonts w:ascii="Times New Roman"/>
                <w:sz w:val="18"/>
              </w:rPr>
              <w:t>926.6</w:t>
            </w:r>
          </w:p>
          <w:p>
            <w:pPr>
              <w:pStyle w:val="TableParagraph"/>
              <w:spacing w:line="240" w:lineRule="auto" w:before="2"/>
              <w:ind w:right="101"/>
              <w:jc w:val="right"/>
              <w:rPr>
                <w:rFonts w:ascii="Times New Roman" w:hAnsi="Times New Roman" w:cs="Times New Roman" w:eastAsia="Times New Roman" w:hint="default"/>
                <w:sz w:val="18"/>
                <w:szCs w:val="18"/>
              </w:rPr>
            </w:pPr>
            <w:r>
              <w:rPr>
                <w:rFonts w:ascii="Times New Roman"/>
                <w:sz w:val="18"/>
              </w:rPr>
              <w:t>3</w:t>
            </w:r>
          </w:p>
        </w:tc>
      </w:tr>
      <w:tr>
        <w:trPr>
          <w:trHeight w:val="244"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tcBorders>
              <w:top w:val="nil" w:sz="6" w:space="0" w:color="auto"/>
              <w:left w:val="single" w:sz="4" w:space="0" w:color="000000"/>
              <w:bottom w:val="single" w:sz="4" w:space="0" w:color="000000"/>
              <w:right w:val="single" w:sz="4" w:space="0" w:color="000000"/>
            </w:tcBorders>
          </w:tcPr>
          <w:p>
            <w:pPr>
              <w:pStyle w:val="TableParagraph"/>
              <w:spacing w:line="197" w:lineRule="exact"/>
              <w:ind w:right="102"/>
              <w:jc w:val="right"/>
              <w:rPr>
                <w:rFonts w:ascii="Times New Roman" w:hAnsi="Times New Roman" w:cs="Times New Roman" w:eastAsia="Times New Roman" w:hint="default"/>
                <w:sz w:val="18"/>
                <w:szCs w:val="18"/>
              </w:rPr>
            </w:pPr>
            <w:r>
              <w:rPr>
                <w:rFonts w:ascii="Times New Roman"/>
                <w:sz w:val="18"/>
              </w:rPr>
              <w:t>0</w:t>
            </w: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tcBorders>
              <w:top w:val="nil" w:sz="6" w:space="0" w:color="auto"/>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tcBorders>
              <w:top w:val="nil" w:sz="6" w:space="0" w:color="auto"/>
              <w:left w:val="single" w:sz="4" w:space="0" w:color="000000"/>
              <w:bottom w:val="single" w:sz="4" w:space="0" w:color="000000"/>
              <w:right w:val="single" w:sz="4" w:space="0" w:color="000000"/>
            </w:tcBorders>
          </w:tcPr>
          <w:p>
            <w:pPr/>
          </w:p>
        </w:tc>
        <w:tc>
          <w:tcPr>
            <w:tcW w:w="643" w:type="dxa"/>
            <w:tcBorders>
              <w:top w:val="nil" w:sz="6" w:space="0" w:color="auto"/>
              <w:left w:val="single" w:sz="4" w:space="0" w:color="000000"/>
              <w:bottom w:val="single" w:sz="4" w:space="0" w:color="000000"/>
              <w:right w:val="single" w:sz="4" w:space="0" w:color="000000"/>
            </w:tcBorders>
          </w:tcPr>
          <w:p>
            <w:pPr/>
          </w:p>
        </w:tc>
        <w:tc>
          <w:tcPr>
            <w:tcW w:w="651" w:type="dxa"/>
            <w:tcBorders>
              <w:top w:val="nil" w:sz="6" w:space="0" w:color="auto"/>
              <w:left w:val="single" w:sz="4" w:space="0" w:color="000000"/>
              <w:bottom w:val="single" w:sz="4" w:space="0" w:color="000000"/>
              <w:right w:val="single" w:sz="4" w:space="0" w:color="000000"/>
            </w:tcBorders>
          </w:tcPr>
          <w:p>
            <w:pPr/>
          </w:p>
        </w:tc>
      </w:tr>
      <w:tr>
        <w:trPr>
          <w:trHeight w:val="102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3"/>
              <w:ind w:left="103" w:right="100"/>
              <w:jc w:val="both"/>
              <w:rPr>
                <w:rFonts w:ascii="宋体" w:hAnsi="宋体" w:cs="宋体" w:eastAsia="宋体" w:hint="default"/>
                <w:sz w:val="18"/>
                <w:szCs w:val="18"/>
              </w:rPr>
            </w:pPr>
            <w:r>
              <w:rPr>
                <w:rFonts w:ascii="宋体" w:hAnsi="宋体" w:cs="宋体" w:eastAsia="宋体" w:hint="default"/>
                <w:spacing w:val="-14"/>
                <w:sz w:val="18"/>
                <w:szCs w:val="18"/>
              </w:rPr>
              <w:t>三、本期增减</w:t>
            </w:r>
            <w:r>
              <w:rPr>
                <w:rFonts w:ascii="宋体" w:hAnsi="宋体" w:cs="宋体" w:eastAsia="宋体" w:hint="default"/>
                <w:sz w:val="18"/>
                <w:szCs w:val="18"/>
              </w:rPr>
              <w:t> </w:t>
            </w:r>
            <w:r>
              <w:rPr>
                <w:rFonts w:ascii="宋体" w:hAnsi="宋体" w:cs="宋体" w:eastAsia="宋体" w:hint="default"/>
                <w:spacing w:val="-14"/>
                <w:sz w:val="18"/>
                <w:szCs w:val="18"/>
              </w:rPr>
              <w:t>变动金额（减</w:t>
            </w:r>
            <w:r>
              <w:rPr>
                <w:rFonts w:ascii="宋体" w:hAnsi="宋体" w:cs="宋体" w:eastAsia="宋体" w:hint="default"/>
                <w:sz w:val="18"/>
                <w:szCs w:val="18"/>
              </w:rPr>
              <w:t> </w:t>
            </w:r>
            <w:r>
              <w:rPr>
                <w:rFonts w:ascii="宋体" w:hAnsi="宋体" w:cs="宋体" w:eastAsia="宋体" w:hint="default"/>
                <w:spacing w:val="-15"/>
                <w:sz w:val="18"/>
                <w:szCs w:val="18"/>
              </w:rPr>
              <w:t>少以“－”号</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填列）</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07" w:lineRule="exact"/>
              <w:ind w:left="44" w:right="0"/>
              <w:jc w:val="center"/>
              <w:rPr>
                <w:rFonts w:ascii="Times New Roman" w:hAnsi="Times New Roman" w:cs="Times New Roman" w:eastAsia="Times New Roman" w:hint="default"/>
                <w:sz w:val="18"/>
                <w:szCs w:val="18"/>
              </w:rPr>
            </w:pPr>
            <w:r>
              <w:rPr>
                <w:rFonts w:ascii="Times New Roman"/>
                <w:sz w:val="18"/>
              </w:rPr>
              <w:t>782,</w:t>
            </w:r>
          </w:p>
          <w:p>
            <w:pPr>
              <w:pStyle w:val="TableParagraph"/>
              <w:spacing w:line="207" w:lineRule="exact"/>
              <w:ind w:left="44" w:right="0"/>
              <w:jc w:val="center"/>
              <w:rPr>
                <w:rFonts w:ascii="Times New Roman" w:hAnsi="Times New Roman" w:cs="Times New Roman" w:eastAsia="Times New Roman" w:hint="default"/>
                <w:sz w:val="18"/>
                <w:szCs w:val="18"/>
              </w:rPr>
            </w:pPr>
            <w:r>
              <w:rPr>
                <w:rFonts w:ascii="Times New Roman"/>
                <w:sz w:val="18"/>
              </w:rPr>
              <w:t>355.</w:t>
            </w:r>
          </w:p>
          <w:p>
            <w:pPr>
              <w:pStyle w:val="TableParagraph"/>
              <w:spacing w:line="240" w:lineRule="auto" w:before="2"/>
              <w:ind w:left="182" w:right="0"/>
              <w:jc w:val="center"/>
              <w:rPr>
                <w:rFonts w:ascii="Times New Roman" w:hAnsi="Times New Roman" w:cs="Times New Roman" w:eastAsia="Times New Roman" w:hint="default"/>
                <w:sz w:val="18"/>
                <w:szCs w:val="18"/>
              </w:rPr>
            </w:pPr>
            <w:r>
              <w:rPr>
                <w:rFonts w:ascii="Times New Roman"/>
                <w:sz w:val="18"/>
              </w:rPr>
              <w:t>93</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92"/>
              <w:ind w:left="77" w:right="0"/>
              <w:jc w:val="center"/>
              <w:rPr>
                <w:rFonts w:ascii="Times New Roman" w:hAnsi="Times New Roman" w:cs="Times New Roman" w:eastAsia="Times New Roman" w:hint="default"/>
                <w:sz w:val="18"/>
                <w:szCs w:val="18"/>
              </w:rPr>
            </w:pPr>
            <w:r>
              <w:rPr>
                <w:rFonts w:ascii="Times New Roman"/>
                <w:sz w:val="18"/>
              </w:rPr>
              <w:t>-71,</w:t>
            </w:r>
          </w:p>
          <w:p>
            <w:pPr>
              <w:pStyle w:val="TableParagraph"/>
              <w:spacing w:line="206" w:lineRule="exact"/>
              <w:ind w:left="45" w:right="0"/>
              <w:jc w:val="center"/>
              <w:rPr>
                <w:rFonts w:ascii="Times New Roman" w:hAnsi="Times New Roman" w:cs="Times New Roman" w:eastAsia="Times New Roman" w:hint="default"/>
                <w:sz w:val="18"/>
                <w:szCs w:val="18"/>
              </w:rPr>
            </w:pPr>
            <w:r>
              <w:rPr>
                <w:rFonts w:ascii="Times New Roman"/>
                <w:sz w:val="18"/>
              </w:rPr>
              <w:t>325,</w:t>
            </w:r>
          </w:p>
          <w:p>
            <w:pPr>
              <w:pStyle w:val="TableParagraph"/>
              <w:spacing w:line="206" w:lineRule="exact"/>
              <w:ind w:left="45" w:right="0"/>
              <w:jc w:val="center"/>
              <w:rPr>
                <w:rFonts w:ascii="Times New Roman" w:hAnsi="Times New Roman" w:cs="Times New Roman" w:eastAsia="Times New Roman" w:hint="default"/>
                <w:sz w:val="18"/>
                <w:szCs w:val="18"/>
              </w:rPr>
            </w:pPr>
            <w:r>
              <w:rPr>
                <w:rFonts w:ascii="Times New Roman"/>
                <w:sz w:val="18"/>
              </w:rPr>
              <w:t>967.</w:t>
            </w:r>
          </w:p>
          <w:p>
            <w:pPr>
              <w:pStyle w:val="TableParagraph"/>
              <w:spacing w:line="207" w:lineRule="exact"/>
              <w:ind w:left="179" w:right="0"/>
              <w:jc w:val="center"/>
              <w:rPr>
                <w:rFonts w:ascii="Times New Roman" w:hAnsi="Times New Roman" w:cs="Times New Roman" w:eastAsia="Times New Roman" w:hint="default"/>
                <w:sz w:val="18"/>
                <w:szCs w:val="18"/>
              </w:rPr>
            </w:pPr>
            <w:r>
              <w:rPr>
                <w:rFonts w:ascii="Times New Roman"/>
                <w:sz w:val="18"/>
              </w:rPr>
              <w:t>56</w:t>
            </w: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92"/>
              <w:ind w:left="148" w:right="0"/>
              <w:jc w:val="left"/>
              <w:rPr>
                <w:rFonts w:ascii="Times New Roman" w:hAnsi="Times New Roman" w:cs="Times New Roman" w:eastAsia="Times New Roman" w:hint="default"/>
                <w:sz w:val="18"/>
                <w:szCs w:val="18"/>
              </w:rPr>
            </w:pPr>
            <w:r>
              <w:rPr>
                <w:rFonts w:ascii="Times New Roman"/>
                <w:sz w:val="18"/>
              </w:rPr>
              <w:t>21,9</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22,7</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26.6</w:t>
            </w:r>
          </w:p>
          <w:p>
            <w:pPr>
              <w:pStyle w:val="TableParagraph"/>
              <w:spacing w:line="207" w:lineRule="exact"/>
              <w:ind w:left="372"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92"/>
              <w:ind w:left="159" w:right="0"/>
              <w:jc w:val="left"/>
              <w:rPr>
                <w:rFonts w:ascii="Times New Roman" w:hAnsi="Times New Roman" w:cs="Times New Roman" w:eastAsia="Times New Roman" w:hint="default"/>
                <w:sz w:val="18"/>
                <w:szCs w:val="18"/>
              </w:rPr>
            </w:pPr>
            <w:r>
              <w:rPr>
                <w:rFonts w:ascii="Times New Roman"/>
                <w:sz w:val="18"/>
              </w:rPr>
              <w:t>89,7</w:t>
            </w:r>
          </w:p>
          <w:p>
            <w:pPr>
              <w:pStyle w:val="TableParagraph"/>
              <w:spacing w:line="206" w:lineRule="exact"/>
              <w:ind w:left="159" w:right="0"/>
              <w:jc w:val="left"/>
              <w:rPr>
                <w:rFonts w:ascii="Times New Roman" w:hAnsi="Times New Roman" w:cs="Times New Roman" w:eastAsia="Times New Roman" w:hint="default"/>
                <w:sz w:val="18"/>
                <w:szCs w:val="18"/>
              </w:rPr>
            </w:pPr>
            <w:r>
              <w:rPr>
                <w:rFonts w:ascii="Times New Roman"/>
                <w:sz w:val="18"/>
              </w:rPr>
              <w:t>91,9</w:t>
            </w:r>
          </w:p>
          <w:p>
            <w:pPr>
              <w:pStyle w:val="TableParagraph"/>
              <w:spacing w:line="206" w:lineRule="exact"/>
              <w:ind w:left="159" w:right="0"/>
              <w:jc w:val="left"/>
              <w:rPr>
                <w:rFonts w:ascii="Times New Roman" w:hAnsi="Times New Roman" w:cs="Times New Roman" w:eastAsia="Times New Roman" w:hint="default"/>
                <w:sz w:val="18"/>
                <w:szCs w:val="18"/>
              </w:rPr>
            </w:pPr>
            <w:r>
              <w:rPr>
                <w:rFonts w:ascii="Times New Roman"/>
                <w:sz w:val="18"/>
              </w:rPr>
              <w:t>84.5</w:t>
            </w:r>
          </w:p>
          <w:p>
            <w:pPr>
              <w:pStyle w:val="TableParagraph"/>
              <w:spacing w:line="207" w:lineRule="exact"/>
              <w:ind w:left="385" w:right="0"/>
              <w:jc w:val="left"/>
              <w:rPr>
                <w:rFonts w:ascii="Times New Roman" w:hAnsi="Times New Roman" w:cs="Times New Roman" w:eastAsia="Times New Roman" w:hint="default"/>
                <w:sz w:val="18"/>
                <w:szCs w:val="18"/>
              </w:rPr>
            </w:pPr>
            <w:r>
              <w:rPr>
                <w:rFonts w:ascii="Times New Roman"/>
                <w:sz w:val="18"/>
              </w:rPr>
              <w:t>6</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92"/>
              <w:ind w:left="139" w:right="0"/>
              <w:jc w:val="left"/>
              <w:rPr>
                <w:rFonts w:ascii="Times New Roman" w:hAnsi="Times New Roman" w:cs="Times New Roman" w:eastAsia="Times New Roman" w:hint="default"/>
                <w:sz w:val="18"/>
                <w:szCs w:val="18"/>
              </w:rPr>
            </w:pPr>
            <w:r>
              <w:rPr>
                <w:rFonts w:ascii="Times New Roman"/>
                <w:sz w:val="18"/>
              </w:rPr>
              <w:t>41,1</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71,0</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99.5</w:t>
            </w:r>
          </w:p>
          <w:p>
            <w:pPr>
              <w:pStyle w:val="TableParagraph"/>
              <w:spacing w:line="207" w:lineRule="exact"/>
              <w:ind w:left="364" w:right="0"/>
              <w:jc w:val="left"/>
              <w:rPr>
                <w:rFonts w:ascii="Times New Roman" w:hAnsi="Times New Roman" w:cs="Times New Roman" w:eastAsia="Times New Roman" w:hint="default"/>
                <w:sz w:val="18"/>
                <w:szCs w:val="18"/>
              </w:rPr>
            </w:pPr>
            <w:r>
              <w:rPr>
                <w:rFonts w:ascii="Times New Roman"/>
                <w:sz w:val="18"/>
              </w:rPr>
              <w:t>9</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07" w:lineRule="exact"/>
              <w:ind w:left="124" w:right="0"/>
              <w:jc w:val="left"/>
              <w:rPr>
                <w:rFonts w:ascii="Times New Roman" w:hAnsi="Times New Roman" w:cs="Times New Roman" w:eastAsia="Times New Roman" w:hint="default"/>
                <w:sz w:val="18"/>
                <w:szCs w:val="18"/>
              </w:rPr>
            </w:pPr>
            <w:r>
              <w:rPr>
                <w:rFonts w:ascii="Times New Roman"/>
                <w:sz w:val="18"/>
              </w:rPr>
              <w:t>5,409</w:t>
            </w:r>
          </w:p>
          <w:p>
            <w:pPr>
              <w:pStyle w:val="TableParagraph"/>
              <w:spacing w:line="207" w:lineRule="exact"/>
              <w:ind w:left="67" w:right="0"/>
              <w:jc w:val="center"/>
              <w:rPr>
                <w:rFonts w:ascii="Times New Roman" w:hAnsi="Times New Roman" w:cs="Times New Roman" w:eastAsia="Times New Roman" w:hint="default"/>
                <w:sz w:val="18"/>
                <w:szCs w:val="18"/>
              </w:rPr>
            </w:pPr>
            <w:r>
              <w:rPr>
                <w:rFonts w:ascii="Times New Roman"/>
                <w:sz w:val="18"/>
              </w:rPr>
              <w:t>,278.</w:t>
            </w:r>
          </w:p>
          <w:p>
            <w:pPr>
              <w:pStyle w:val="TableParagraph"/>
              <w:spacing w:line="240" w:lineRule="auto" w:before="2"/>
              <w:ind w:left="247" w:right="0"/>
              <w:jc w:val="center"/>
              <w:rPr>
                <w:rFonts w:ascii="Times New Roman" w:hAnsi="Times New Roman" w:cs="Times New Roman" w:eastAsia="Times New Roman" w:hint="default"/>
                <w:sz w:val="18"/>
                <w:szCs w:val="18"/>
              </w:rPr>
            </w:pPr>
            <w:r>
              <w:rPr>
                <w:rFonts w:ascii="Times New Roman"/>
                <w:sz w:val="18"/>
              </w:rPr>
              <w:t>28</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07" w:lineRule="exact"/>
              <w:ind w:left="30" w:right="0"/>
              <w:jc w:val="center"/>
              <w:rPr>
                <w:rFonts w:ascii="Times New Roman" w:hAnsi="Times New Roman" w:cs="Times New Roman" w:eastAsia="Times New Roman" w:hint="default"/>
                <w:sz w:val="18"/>
                <w:szCs w:val="18"/>
              </w:rPr>
            </w:pPr>
            <w:r>
              <w:rPr>
                <w:rFonts w:ascii="Times New Roman"/>
                <w:sz w:val="18"/>
              </w:rPr>
              <w:t>46,58</w:t>
            </w:r>
          </w:p>
          <w:p>
            <w:pPr>
              <w:pStyle w:val="TableParagraph"/>
              <w:spacing w:line="207" w:lineRule="exact"/>
              <w:ind w:left="30" w:right="0"/>
              <w:jc w:val="center"/>
              <w:rPr>
                <w:rFonts w:ascii="Times New Roman" w:hAnsi="Times New Roman" w:cs="Times New Roman" w:eastAsia="Times New Roman" w:hint="default"/>
                <w:sz w:val="18"/>
                <w:szCs w:val="18"/>
              </w:rPr>
            </w:pPr>
            <w:r>
              <w:rPr>
                <w:rFonts w:ascii="Times New Roman"/>
                <w:sz w:val="18"/>
              </w:rPr>
              <w:t>0,377</w:t>
            </w:r>
          </w:p>
          <w:p>
            <w:pPr>
              <w:pStyle w:val="TableParagraph"/>
              <w:spacing w:line="240" w:lineRule="auto" w:before="2"/>
              <w:ind w:left="210" w:right="0"/>
              <w:jc w:val="center"/>
              <w:rPr>
                <w:rFonts w:ascii="Times New Roman" w:hAnsi="Times New Roman" w:cs="Times New Roman" w:eastAsia="Times New Roman" w:hint="default"/>
                <w:sz w:val="18"/>
                <w:szCs w:val="18"/>
              </w:rPr>
            </w:pPr>
            <w:r>
              <w:rPr>
                <w:rFonts w:ascii="Times New Roman"/>
                <w:sz w:val="18"/>
              </w:rPr>
              <w:t>.87</w:t>
            </w:r>
          </w:p>
        </w:tc>
      </w:tr>
      <w:tr>
        <w:trPr>
          <w:trHeight w:val="91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6"/>
                <w:szCs w:val="16"/>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pacing w:val="-14"/>
                <w:sz w:val="18"/>
                <w:szCs w:val="18"/>
              </w:rPr>
              <w:t>（一）综合收</w:t>
            </w:r>
            <w:r>
              <w:rPr>
                <w:rFonts w:ascii="宋体" w:hAnsi="宋体" w:cs="宋体" w:eastAsia="宋体" w:hint="default"/>
                <w:sz w:val="18"/>
                <w:szCs w:val="18"/>
              </w:rPr>
              <w:t> 益总额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77" w:right="0"/>
              <w:jc w:val="center"/>
              <w:rPr>
                <w:rFonts w:ascii="Times New Roman" w:hAnsi="Times New Roman" w:cs="Times New Roman" w:eastAsia="Times New Roman" w:hint="default"/>
                <w:sz w:val="18"/>
                <w:szCs w:val="18"/>
              </w:rPr>
            </w:pPr>
            <w:r>
              <w:rPr>
                <w:rFonts w:ascii="Times New Roman"/>
                <w:sz w:val="18"/>
              </w:rPr>
              <w:t>-71,</w:t>
            </w:r>
          </w:p>
          <w:p>
            <w:pPr>
              <w:pStyle w:val="TableParagraph"/>
              <w:spacing w:line="206" w:lineRule="exact"/>
              <w:ind w:left="45" w:right="0"/>
              <w:jc w:val="center"/>
              <w:rPr>
                <w:rFonts w:ascii="Times New Roman" w:hAnsi="Times New Roman" w:cs="Times New Roman" w:eastAsia="Times New Roman" w:hint="default"/>
                <w:sz w:val="18"/>
                <w:szCs w:val="18"/>
              </w:rPr>
            </w:pPr>
            <w:r>
              <w:rPr>
                <w:rFonts w:ascii="Times New Roman"/>
                <w:sz w:val="18"/>
              </w:rPr>
              <w:t>325,</w:t>
            </w:r>
          </w:p>
          <w:p>
            <w:pPr>
              <w:pStyle w:val="TableParagraph"/>
              <w:spacing w:line="206" w:lineRule="exact"/>
              <w:ind w:left="45" w:right="0"/>
              <w:jc w:val="center"/>
              <w:rPr>
                <w:rFonts w:ascii="Times New Roman" w:hAnsi="Times New Roman" w:cs="Times New Roman" w:eastAsia="Times New Roman" w:hint="default"/>
                <w:sz w:val="18"/>
                <w:szCs w:val="18"/>
              </w:rPr>
            </w:pPr>
            <w:r>
              <w:rPr>
                <w:rFonts w:ascii="Times New Roman"/>
                <w:sz w:val="18"/>
              </w:rPr>
              <w:t>967.</w:t>
            </w:r>
          </w:p>
          <w:p>
            <w:pPr>
              <w:pStyle w:val="TableParagraph"/>
              <w:spacing w:line="207" w:lineRule="exact"/>
              <w:ind w:left="179" w:right="0"/>
              <w:jc w:val="center"/>
              <w:rPr>
                <w:rFonts w:ascii="Times New Roman" w:hAnsi="Times New Roman" w:cs="Times New Roman" w:eastAsia="Times New Roman" w:hint="default"/>
                <w:sz w:val="18"/>
                <w:szCs w:val="18"/>
              </w:rPr>
            </w:pPr>
            <w:r>
              <w:rPr>
                <w:rFonts w:ascii="Times New Roman"/>
                <w:sz w:val="18"/>
              </w:rPr>
              <w:t>56</w:t>
            </w: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73" w:right="0"/>
              <w:jc w:val="center"/>
              <w:rPr>
                <w:rFonts w:ascii="Times New Roman" w:hAnsi="Times New Roman" w:cs="Times New Roman" w:eastAsia="Times New Roman" w:hint="default"/>
                <w:sz w:val="18"/>
                <w:szCs w:val="18"/>
              </w:rPr>
            </w:pPr>
            <w:r>
              <w:rPr>
                <w:rFonts w:ascii="Times New Roman"/>
                <w:spacing w:val="-3"/>
                <w:sz w:val="18"/>
              </w:rPr>
              <w:t>111,</w:t>
            </w:r>
          </w:p>
          <w:p>
            <w:pPr>
              <w:pStyle w:val="TableParagraph"/>
              <w:spacing w:line="206" w:lineRule="exact"/>
              <w:ind w:left="56" w:right="0"/>
              <w:jc w:val="center"/>
              <w:rPr>
                <w:rFonts w:ascii="Times New Roman" w:hAnsi="Times New Roman" w:cs="Times New Roman" w:eastAsia="Times New Roman" w:hint="default"/>
                <w:sz w:val="18"/>
                <w:szCs w:val="18"/>
              </w:rPr>
            </w:pPr>
            <w:r>
              <w:rPr>
                <w:rFonts w:ascii="Times New Roman"/>
                <w:sz w:val="18"/>
              </w:rPr>
              <w:t>714,</w:t>
            </w:r>
          </w:p>
          <w:p>
            <w:pPr>
              <w:pStyle w:val="TableParagraph"/>
              <w:spacing w:line="206" w:lineRule="exact"/>
              <w:ind w:left="66" w:right="0"/>
              <w:jc w:val="center"/>
              <w:rPr>
                <w:rFonts w:ascii="Times New Roman" w:hAnsi="Times New Roman" w:cs="Times New Roman" w:eastAsia="Times New Roman" w:hint="default"/>
                <w:sz w:val="18"/>
                <w:szCs w:val="18"/>
              </w:rPr>
            </w:pPr>
            <w:r>
              <w:rPr>
                <w:rFonts w:ascii="Times New Roman"/>
                <w:sz w:val="18"/>
              </w:rPr>
              <w:t>711.</w:t>
            </w:r>
          </w:p>
          <w:p>
            <w:pPr>
              <w:pStyle w:val="TableParagraph"/>
              <w:spacing w:line="207" w:lineRule="exact"/>
              <w:ind w:left="195" w:right="0"/>
              <w:jc w:val="center"/>
              <w:rPr>
                <w:rFonts w:ascii="Times New Roman" w:hAnsi="Times New Roman" w:cs="Times New Roman" w:eastAsia="Times New Roman" w:hint="default"/>
                <w:sz w:val="18"/>
                <w:szCs w:val="18"/>
              </w:rPr>
            </w:pPr>
            <w:r>
              <w:rPr>
                <w:rFonts w:ascii="Times New Roman"/>
                <w:sz w:val="18"/>
              </w:rPr>
              <w:t>22</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39" w:right="0"/>
              <w:jc w:val="left"/>
              <w:rPr>
                <w:rFonts w:ascii="Times New Roman" w:hAnsi="Times New Roman" w:cs="Times New Roman" w:eastAsia="Times New Roman" w:hint="default"/>
                <w:sz w:val="18"/>
                <w:szCs w:val="18"/>
              </w:rPr>
            </w:pPr>
            <w:r>
              <w:rPr>
                <w:rFonts w:ascii="Times New Roman"/>
                <w:sz w:val="18"/>
              </w:rPr>
              <w:t>40,3</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88,7</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43.6</w:t>
            </w:r>
          </w:p>
          <w:p>
            <w:pPr>
              <w:pStyle w:val="TableParagraph"/>
              <w:spacing w:line="207" w:lineRule="exact"/>
              <w:ind w:left="364" w:right="0"/>
              <w:jc w:val="left"/>
              <w:rPr>
                <w:rFonts w:ascii="Times New Roman" w:hAnsi="Times New Roman" w:cs="Times New Roman" w:eastAsia="Times New Roman" w:hint="default"/>
                <w:sz w:val="18"/>
                <w:szCs w:val="18"/>
              </w:rPr>
            </w:pPr>
            <w:r>
              <w:rPr>
                <w:rFonts w:ascii="Times New Roman"/>
                <w:sz w:val="18"/>
              </w:rPr>
              <w:t>6</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before="143"/>
              <w:ind w:left="124" w:right="0"/>
              <w:jc w:val="left"/>
              <w:rPr>
                <w:rFonts w:ascii="Times New Roman" w:hAnsi="Times New Roman" w:cs="Times New Roman" w:eastAsia="Times New Roman" w:hint="default"/>
                <w:sz w:val="18"/>
                <w:szCs w:val="18"/>
              </w:rPr>
            </w:pPr>
            <w:r>
              <w:rPr>
                <w:rFonts w:ascii="Times New Roman"/>
                <w:sz w:val="18"/>
              </w:rPr>
              <w:t>3,483</w:t>
            </w:r>
          </w:p>
          <w:p>
            <w:pPr>
              <w:pStyle w:val="TableParagraph"/>
              <w:spacing w:line="205" w:lineRule="exact"/>
              <w:ind w:left="67" w:right="0"/>
              <w:jc w:val="center"/>
              <w:rPr>
                <w:rFonts w:ascii="Times New Roman" w:hAnsi="Times New Roman" w:cs="Times New Roman" w:eastAsia="Times New Roman" w:hint="default"/>
                <w:sz w:val="18"/>
                <w:szCs w:val="18"/>
              </w:rPr>
            </w:pPr>
            <w:r>
              <w:rPr>
                <w:rFonts w:ascii="Times New Roman"/>
                <w:sz w:val="18"/>
              </w:rPr>
              <w:t>,528.</w:t>
            </w:r>
          </w:p>
          <w:p>
            <w:pPr>
              <w:pStyle w:val="TableParagraph"/>
              <w:spacing w:line="240" w:lineRule="auto" w:before="2"/>
              <w:ind w:left="247" w:right="0"/>
              <w:jc w:val="center"/>
              <w:rPr>
                <w:rFonts w:ascii="Times New Roman" w:hAnsi="Times New Roman" w:cs="Times New Roman" w:eastAsia="Times New Roman" w:hint="default"/>
                <w:sz w:val="18"/>
                <w:szCs w:val="18"/>
              </w:rPr>
            </w:pPr>
            <w:r>
              <w:rPr>
                <w:rFonts w:ascii="Times New Roman"/>
                <w:sz w:val="18"/>
              </w:rPr>
              <w:t>28</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before="143"/>
              <w:ind w:left="30" w:right="0"/>
              <w:jc w:val="center"/>
              <w:rPr>
                <w:rFonts w:ascii="Times New Roman" w:hAnsi="Times New Roman" w:cs="Times New Roman" w:eastAsia="Times New Roman" w:hint="default"/>
                <w:sz w:val="18"/>
                <w:szCs w:val="18"/>
              </w:rPr>
            </w:pPr>
            <w:r>
              <w:rPr>
                <w:rFonts w:ascii="Times New Roman"/>
                <w:sz w:val="18"/>
              </w:rPr>
              <w:t>43,87</w:t>
            </w:r>
          </w:p>
          <w:p>
            <w:pPr>
              <w:pStyle w:val="TableParagraph"/>
              <w:spacing w:line="205" w:lineRule="exact"/>
              <w:ind w:left="30" w:right="0"/>
              <w:jc w:val="center"/>
              <w:rPr>
                <w:rFonts w:ascii="Times New Roman" w:hAnsi="Times New Roman" w:cs="Times New Roman" w:eastAsia="Times New Roman" w:hint="default"/>
                <w:sz w:val="18"/>
                <w:szCs w:val="18"/>
              </w:rPr>
            </w:pPr>
            <w:r>
              <w:rPr>
                <w:rFonts w:ascii="Times New Roman"/>
                <w:sz w:val="18"/>
              </w:rPr>
              <w:t>2,271</w:t>
            </w:r>
          </w:p>
          <w:p>
            <w:pPr>
              <w:pStyle w:val="TableParagraph"/>
              <w:spacing w:line="240" w:lineRule="auto" w:before="2"/>
              <w:ind w:left="210" w:right="0"/>
              <w:jc w:val="center"/>
              <w:rPr>
                <w:rFonts w:ascii="Times New Roman" w:hAnsi="Times New Roman" w:cs="Times New Roman" w:eastAsia="Times New Roman" w:hint="default"/>
                <w:sz w:val="18"/>
                <w:szCs w:val="18"/>
              </w:rPr>
            </w:pPr>
            <w:r>
              <w:rPr>
                <w:rFonts w:ascii="Times New Roman"/>
                <w:sz w:val="18"/>
              </w:rPr>
              <w:t>.94</w:t>
            </w:r>
          </w:p>
        </w:tc>
      </w:tr>
      <w:tr>
        <w:trPr>
          <w:trHeight w:val="295"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right="100"/>
              <w:jc w:val="righ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84"/>
                <w:sz w:val="18"/>
                <w:szCs w:val="18"/>
              </w:rPr>
              <w:t>）</w:t>
            </w:r>
            <w:r>
              <w:rPr>
                <w:rFonts w:ascii="宋体" w:hAnsi="宋体" w:cs="宋体" w:eastAsia="宋体" w:hint="default"/>
                <w:sz w:val="18"/>
                <w:szCs w:val="18"/>
              </w:rPr>
              <w:t>所有者</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18"/>
                <w:szCs w:val="18"/>
              </w:rPr>
            </w:pPr>
            <w:r>
              <w:rPr>
                <w:rFonts w:ascii="Times New Roman"/>
                <w:sz w:val="18"/>
              </w:rPr>
              <w:t>782,</w:t>
            </w: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7"/>
              <w:ind w:right="100"/>
              <w:jc w:val="right"/>
              <w:rPr>
                <w:rFonts w:ascii="Times New Roman" w:hAnsi="Times New Roman" w:cs="Times New Roman" w:eastAsia="Times New Roman" w:hint="default"/>
                <w:sz w:val="18"/>
                <w:szCs w:val="18"/>
              </w:rPr>
            </w:pPr>
            <w:r>
              <w:rPr>
                <w:rFonts w:ascii="Times New Roman"/>
                <w:sz w:val="18"/>
              </w:rPr>
              <w:t>782,</w:t>
            </w:r>
          </w:p>
        </w:tc>
        <w:tc>
          <w:tcPr>
            <w:tcW w:w="6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7"/>
              <w:ind w:right="100"/>
              <w:jc w:val="right"/>
              <w:rPr>
                <w:rFonts w:ascii="Times New Roman" w:hAnsi="Times New Roman" w:cs="Times New Roman" w:eastAsia="Times New Roman" w:hint="default"/>
                <w:sz w:val="18"/>
                <w:szCs w:val="18"/>
              </w:rPr>
            </w:pPr>
            <w:r>
              <w:rPr>
                <w:rFonts w:ascii="Times New Roman"/>
                <w:sz w:val="18"/>
              </w:rPr>
              <w:t>1,925</w:t>
            </w:r>
          </w:p>
        </w:tc>
        <w:tc>
          <w:tcPr>
            <w:tcW w:w="6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18"/>
                <w:szCs w:val="18"/>
              </w:rPr>
            </w:pPr>
            <w:r>
              <w:rPr>
                <w:rFonts w:ascii="Times New Roman"/>
                <w:spacing w:val="-1"/>
                <w:sz w:val="18"/>
              </w:rPr>
              <w:t>2,708</w:t>
            </w:r>
          </w:p>
        </w:tc>
      </w:tr>
      <w:tr>
        <w:trPr>
          <w:trHeight w:val="211"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9" w:lineRule="exact"/>
              <w:ind w:left="103" w:right="0"/>
              <w:jc w:val="left"/>
              <w:rPr>
                <w:rFonts w:ascii="宋体" w:hAnsi="宋体" w:cs="宋体" w:eastAsia="宋体" w:hint="default"/>
                <w:sz w:val="18"/>
                <w:szCs w:val="18"/>
              </w:rPr>
            </w:pPr>
            <w:r>
              <w:rPr>
                <w:rFonts w:ascii="宋体" w:hAnsi="宋体" w:cs="宋体" w:eastAsia="宋体" w:hint="default"/>
                <w:sz w:val="18"/>
                <w:szCs w:val="18"/>
              </w:rPr>
              <w:t>投入和减少</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01" w:lineRule="exact"/>
              <w:ind w:right="101"/>
              <w:jc w:val="right"/>
              <w:rPr>
                <w:rFonts w:ascii="Times New Roman" w:hAnsi="Times New Roman" w:cs="Times New Roman" w:eastAsia="Times New Roman" w:hint="default"/>
                <w:sz w:val="18"/>
                <w:szCs w:val="18"/>
              </w:rPr>
            </w:pPr>
            <w:r>
              <w:rPr>
                <w:rFonts w:ascii="Times New Roman"/>
                <w:sz w:val="18"/>
              </w:rPr>
              <w:t>355.</w:t>
            </w: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tcBorders>
              <w:top w:val="nil" w:sz="6" w:space="0" w:color="auto"/>
              <w:left w:val="single" w:sz="4" w:space="0" w:color="000000"/>
              <w:bottom w:val="nil" w:sz="6" w:space="0" w:color="auto"/>
              <w:right w:val="single" w:sz="4" w:space="0" w:color="000000"/>
            </w:tcBorders>
          </w:tcPr>
          <w:p>
            <w:pPr>
              <w:pStyle w:val="TableParagraph"/>
              <w:spacing w:line="201" w:lineRule="exact"/>
              <w:ind w:right="100"/>
              <w:jc w:val="right"/>
              <w:rPr>
                <w:rFonts w:ascii="Times New Roman" w:hAnsi="Times New Roman" w:cs="Times New Roman" w:eastAsia="Times New Roman" w:hint="default"/>
                <w:sz w:val="18"/>
                <w:szCs w:val="18"/>
              </w:rPr>
            </w:pPr>
            <w:r>
              <w:rPr>
                <w:rFonts w:ascii="Times New Roman"/>
                <w:sz w:val="18"/>
              </w:rPr>
              <w:t>355.</w:t>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01" w:lineRule="exact"/>
              <w:ind w:right="99"/>
              <w:jc w:val="right"/>
              <w:rPr>
                <w:rFonts w:ascii="Times New Roman" w:hAnsi="Times New Roman" w:cs="Times New Roman" w:eastAsia="Times New Roman" w:hint="default"/>
                <w:sz w:val="18"/>
                <w:szCs w:val="18"/>
              </w:rPr>
            </w:pPr>
            <w:r>
              <w:rPr>
                <w:rFonts w:ascii="Times New Roman"/>
                <w:sz w:val="18"/>
              </w:rPr>
              <w:t>,750.</w:t>
            </w:r>
          </w:p>
        </w:tc>
        <w:tc>
          <w:tcPr>
            <w:tcW w:w="651" w:type="dxa"/>
            <w:tcBorders>
              <w:top w:val="nil" w:sz="6" w:space="0" w:color="auto"/>
              <w:left w:val="single" w:sz="4" w:space="0" w:color="000000"/>
              <w:bottom w:val="nil" w:sz="6" w:space="0" w:color="auto"/>
              <w:right w:val="single" w:sz="4" w:space="0" w:color="000000"/>
            </w:tcBorders>
          </w:tcPr>
          <w:p>
            <w:pPr>
              <w:pStyle w:val="TableParagraph"/>
              <w:spacing w:line="201" w:lineRule="exact"/>
              <w:ind w:right="100"/>
              <w:jc w:val="right"/>
              <w:rPr>
                <w:rFonts w:ascii="Times New Roman" w:hAnsi="Times New Roman" w:cs="Times New Roman" w:eastAsia="Times New Roman" w:hint="default"/>
                <w:sz w:val="18"/>
                <w:szCs w:val="18"/>
              </w:rPr>
            </w:pPr>
            <w:r>
              <w:rPr>
                <w:rFonts w:ascii="Times New Roman"/>
                <w:sz w:val="18"/>
              </w:rPr>
              <w:t>,105.</w:t>
            </w:r>
          </w:p>
        </w:tc>
      </w:tr>
      <w:tr>
        <w:trPr>
          <w:trHeight w:val="284"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99"/>
              <w:jc w:val="right"/>
              <w:rPr>
                <w:rFonts w:ascii="Times New Roman" w:hAnsi="Times New Roman" w:cs="Times New Roman" w:eastAsia="Times New Roman" w:hint="default"/>
                <w:sz w:val="18"/>
                <w:szCs w:val="18"/>
              </w:rPr>
            </w:pPr>
            <w:r>
              <w:rPr>
                <w:rFonts w:ascii="Times New Roman"/>
                <w:sz w:val="18"/>
              </w:rPr>
              <w:t>93</w:t>
            </w: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100"/>
              <w:jc w:val="right"/>
              <w:rPr>
                <w:rFonts w:ascii="Times New Roman" w:hAnsi="Times New Roman" w:cs="Times New Roman" w:eastAsia="Times New Roman" w:hint="default"/>
                <w:sz w:val="18"/>
                <w:szCs w:val="18"/>
              </w:rPr>
            </w:pPr>
            <w:r>
              <w:rPr>
                <w:rFonts w:ascii="Times New Roman"/>
                <w:sz w:val="18"/>
              </w:rPr>
              <w:t>93</w:t>
            </w:r>
          </w:p>
        </w:tc>
        <w:tc>
          <w:tcPr>
            <w:tcW w:w="643"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100"/>
              <w:jc w:val="right"/>
              <w:rPr>
                <w:rFonts w:ascii="Times New Roman" w:hAnsi="Times New Roman" w:cs="Times New Roman" w:eastAsia="Times New Roman" w:hint="default"/>
                <w:sz w:val="18"/>
                <w:szCs w:val="18"/>
              </w:rPr>
            </w:pPr>
            <w:r>
              <w:rPr>
                <w:rFonts w:ascii="Times New Roman"/>
                <w:sz w:val="18"/>
              </w:rPr>
              <w:t>00</w:t>
            </w:r>
          </w:p>
        </w:tc>
        <w:tc>
          <w:tcPr>
            <w:tcW w:w="651"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right="101"/>
              <w:jc w:val="right"/>
              <w:rPr>
                <w:rFonts w:ascii="Times New Roman" w:hAnsi="Times New Roman" w:cs="Times New Roman" w:eastAsia="Times New Roman" w:hint="default"/>
                <w:sz w:val="18"/>
                <w:szCs w:val="18"/>
              </w:rPr>
            </w:pPr>
            <w:r>
              <w:rPr>
                <w:rFonts w:ascii="Times New Roman"/>
                <w:sz w:val="18"/>
              </w:rPr>
              <w:t>93</w:t>
            </w:r>
          </w:p>
        </w:tc>
      </w:tr>
      <w:tr>
        <w:trPr>
          <w:trHeight w:val="711"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2"/>
              <w:ind w:left="103"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24" w:right="0"/>
              <w:jc w:val="left"/>
              <w:rPr>
                <w:rFonts w:ascii="Times New Roman" w:hAnsi="Times New Roman" w:cs="Times New Roman" w:eastAsia="Times New Roman" w:hint="default"/>
                <w:sz w:val="18"/>
                <w:szCs w:val="18"/>
              </w:rPr>
            </w:pPr>
            <w:r>
              <w:rPr>
                <w:rFonts w:ascii="Times New Roman"/>
                <w:sz w:val="18"/>
              </w:rPr>
              <w:t>2,000</w:t>
            </w:r>
          </w:p>
          <w:p>
            <w:pPr>
              <w:pStyle w:val="TableParagraph"/>
              <w:spacing w:line="206" w:lineRule="exact"/>
              <w:ind w:left="67"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07" w:lineRule="exact"/>
              <w:ind w:left="247" w:right="0"/>
              <w:jc w:val="center"/>
              <w:rPr>
                <w:rFonts w:ascii="Times New Roman" w:hAnsi="Times New Roman" w:cs="Times New Roman" w:eastAsia="Times New Roman" w:hint="default"/>
                <w:sz w:val="18"/>
                <w:szCs w:val="18"/>
              </w:rPr>
            </w:pPr>
            <w:r>
              <w:rPr>
                <w:rFonts w:ascii="Times New Roman"/>
                <w:sz w:val="18"/>
              </w:rPr>
              <w:t>00</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34" w:right="0"/>
              <w:jc w:val="left"/>
              <w:rPr>
                <w:rFonts w:ascii="Times New Roman" w:hAnsi="Times New Roman" w:cs="Times New Roman" w:eastAsia="Times New Roman" w:hint="default"/>
                <w:sz w:val="18"/>
                <w:szCs w:val="18"/>
              </w:rPr>
            </w:pPr>
            <w:r>
              <w:rPr>
                <w:rFonts w:ascii="Times New Roman"/>
                <w:sz w:val="18"/>
              </w:rPr>
              <w:t>2,000</w:t>
            </w:r>
          </w:p>
          <w:p>
            <w:pPr>
              <w:pStyle w:val="TableParagraph"/>
              <w:spacing w:line="206" w:lineRule="exact"/>
              <w:ind w:left="74"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07" w:lineRule="exact"/>
              <w:ind w:left="254" w:right="0"/>
              <w:jc w:val="center"/>
              <w:rPr>
                <w:rFonts w:ascii="Times New Roman" w:hAnsi="Times New Roman" w:cs="Times New Roman" w:eastAsia="Times New Roman" w:hint="default"/>
                <w:sz w:val="18"/>
                <w:szCs w:val="18"/>
              </w:rPr>
            </w:pPr>
            <w:r>
              <w:rPr>
                <w:rFonts w:ascii="Times New Roman"/>
                <w:sz w:val="18"/>
              </w:rPr>
              <w:t>00</w:t>
            </w:r>
          </w:p>
        </w:tc>
      </w:tr>
      <w:tr>
        <w:trPr>
          <w:trHeight w:val="283"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right="107"/>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．其他权益</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29"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工具持有者</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6"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投入资本</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790"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44" w:right="0"/>
              <w:jc w:val="center"/>
              <w:rPr>
                <w:rFonts w:ascii="Times New Roman" w:hAnsi="Times New Roman" w:cs="Times New Roman" w:eastAsia="Times New Roman" w:hint="default"/>
                <w:sz w:val="18"/>
                <w:szCs w:val="18"/>
              </w:rPr>
            </w:pPr>
            <w:r>
              <w:rPr>
                <w:rFonts w:ascii="Times New Roman"/>
                <w:sz w:val="18"/>
              </w:rPr>
              <w:t>782,</w:t>
            </w:r>
          </w:p>
          <w:p>
            <w:pPr>
              <w:pStyle w:val="TableParagraph"/>
              <w:spacing w:line="206" w:lineRule="exact"/>
              <w:ind w:left="44" w:right="0"/>
              <w:jc w:val="center"/>
              <w:rPr>
                <w:rFonts w:ascii="Times New Roman" w:hAnsi="Times New Roman" w:cs="Times New Roman" w:eastAsia="Times New Roman" w:hint="default"/>
                <w:sz w:val="18"/>
                <w:szCs w:val="18"/>
              </w:rPr>
            </w:pPr>
            <w:r>
              <w:rPr>
                <w:rFonts w:ascii="Times New Roman"/>
                <w:sz w:val="18"/>
              </w:rPr>
              <w:t>355.</w:t>
            </w:r>
          </w:p>
          <w:p>
            <w:pPr>
              <w:pStyle w:val="TableParagraph"/>
              <w:spacing w:line="207" w:lineRule="exact"/>
              <w:ind w:left="182" w:right="0"/>
              <w:jc w:val="center"/>
              <w:rPr>
                <w:rFonts w:ascii="Times New Roman" w:hAnsi="Times New Roman" w:cs="Times New Roman" w:eastAsia="Times New Roman" w:hint="default"/>
                <w:sz w:val="18"/>
                <w:szCs w:val="18"/>
              </w:rPr>
            </w:pPr>
            <w:r>
              <w:rPr>
                <w:rFonts w:ascii="Times New Roman"/>
                <w:sz w:val="18"/>
              </w:rPr>
              <w:t>93</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37" w:right="0"/>
              <w:jc w:val="center"/>
              <w:rPr>
                <w:rFonts w:ascii="Times New Roman" w:hAnsi="Times New Roman" w:cs="Times New Roman" w:eastAsia="Times New Roman" w:hint="default"/>
                <w:sz w:val="18"/>
                <w:szCs w:val="18"/>
              </w:rPr>
            </w:pPr>
            <w:r>
              <w:rPr>
                <w:rFonts w:ascii="Times New Roman"/>
                <w:sz w:val="18"/>
              </w:rPr>
              <w:t>782,</w:t>
            </w:r>
          </w:p>
          <w:p>
            <w:pPr>
              <w:pStyle w:val="TableParagraph"/>
              <w:spacing w:line="206" w:lineRule="exact"/>
              <w:ind w:left="37" w:right="0"/>
              <w:jc w:val="center"/>
              <w:rPr>
                <w:rFonts w:ascii="Times New Roman" w:hAnsi="Times New Roman" w:cs="Times New Roman" w:eastAsia="Times New Roman" w:hint="default"/>
                <w:sz w:val="18"/>
                <w:szCs w:val="18"/>
              </w:rPr>
            </w:pPr>
            <w:r>
              <w:rPr>
                <w:rFonts w:ascii="Times New Roman"/>
                <w:sz w:val="18"/>
              </w:rPr>
              <w:t>355.</w:t>
            </w:r>
          </w:p>
          <w:p>
            <w:pPr>
              <w:pStyle w:val="TableParagraph"/>
              <w:spacing w:line="207" w:lineRule="exact"/>
              <w:ind w:left="170" w:right="0"/>
              <w:jc w:val="center"/>
              <w:rPr>
                <w:rFonts w:ascii="Times New Roman" w:hAnsi="Times New Roman" w:cs="Times New Roman" w:eastAsia="Times New Roman" w:hint="default"/>
                <w:sz w:val="18"/>
                <w:szCs w:val="18"/>
              </w:rPr>
            </w:pPr>
            <w:r>
              <w:rPr>
                <w:rFonts w:ascii="Times New Roman"/>
                <w:sz w:val="18"/>
              </w:rPr>
              <w:t>93</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left="155" w:right="0"/>
              <w:jc w:val="left"/>
              <w:rPr>
                <w:rFonts w:ascii="Times New Roman" w:hAnsi="Times New Roman" w:cs="Times New Roman" w:eastAsia="Times New Roman" w:hint="default"/>
                <w:sz w:val="18"/>
                <w:szCs w:val="18"/>
              </w:rPr>
            </w:pPr>
            <w:r>
              <w:rPr>
                <w:rFonts w:ascii="Times New Roman"/>
                <w:sz w:val="18"/>
              </w:rPr>
              <w:t>-74,2</w:t>
            </w:r>
          </w:p>
          <w:p>
            <w:pPr>
              <w:pStyle w:val="TableParagraph"/>
              <w:spacing w:line="207" w:lineRule="exact"/>
              <w:ind w:left="124" w:right="0"/>
              <w:jc w:val="left"/>
              <w:rPr>
                <w:rFonts w:ascii="Times New Roman" w:hAnsi="Times New Roman" w:cs="Times New Roman" w:eastAsia="Times New Roman" w:hint="default"/>
                <w:sz w:val="18"/>
                <w:szCs w:val="18"/>
              </w:rPr>
            </w:pPr>
            <w:r>
              <w:rPr>
                <w:rFonts w:ascii="Times New Roman"/>
                <w:sz w:val="18"/>
              </w:rPr>
              <w:t>50.00</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left="134" w:right="0"/>
              <w:jc w:val="left"/>
              <w:rPr>
                <w:rFonts w:ascii="Times New Roman" w:hAnsi="Times New Roman" w:cs="Times New Roman" w:eastAsia="Times New Roman" w:hint="default"/>
                <w:sz w:val="18"/>
                <w:szCs w:val="18"/>
              </w:rPr>
            </w:pPr>
            <w:r>
              <w:rPr>
                <w:rFonts w:ascii="Times New Roman"/>
                <w:sz w:val="18"/>
              </w:rPr>
              <w:t>708,1</w:t>
            </w:r>
          </w:p>
          <w:p>
            <w:pPr>
              <w:pStyle w:val="TableParagraph"/>
              <w:spacing w:line="207" w:lineRule="exact"/>
              <w:ind w:left="134" w:right="0"/>
              <w:jc w:val="left"/>
              <w:rPr>
                <w:rFonts w:ascii="Times New Roman" w:hAnsi="Times New Roman" w:cs="Times New Roman" w:eastAsia="Times New Roman" w:hint="default"/>
                <w:sz w:val="18"/>
                <w:szCs w:val="18"/>
              </w:rPr>
            </w:pPr>
            <w:r>
              <w:rPr>
                <w:rFonts w:ascii="Times New Roman"/>
                <w:sz w:val="18"/>
              </w:rPr>
              <w:t>05.93</w:t>
            </w:r>
          </w:p>
        </w:tc>
      </w:tr>
      <w:tr>
        <w:trPr>
          <w:trHeight w:val="250"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18"/>
                <w:szCs w:val="18"/>
              </w:rPr>
            </w:pPr>
            <w:r>
              <w:rPr>
                <w:rFonts w:ascii="Times New Roman"/>
                <w:spacing w:val="-1"/>
                <w:sz w:val="18"/>
              </w:rPr>
              <w:t>21,9</w:t>
            </w:r>
          </w:p>
        </w:tc>
        <w:tc>
          <w:tcPr>
            <w:tcW w:w="577" w:type="dxa"/>
            <w:vMerge w:val="restart"/>
            <w:tcBorders>
              <w:top w:val="single" w:sz="4" w:space="0" w:color="000000"/>
              <w:left w:val="single" w:sz="4" w:space="0" w:color="000000"/>
              <w:right w:val="single" w:sz="4" w:space="0" w:color="000000"/>
            </w:tcBorders>
          </w:tcPr>
          <w:p>
            <w:pPr/>
          </w:p>
        </w:tc>
        <w:tc>
          <w:tcPr>
            <w:tcW w:w="5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18"/>
                <w:szCs w:val="18"/>
              </w:rPr>
            </w:pPr>
            <w:r>
              <w:rPr>
                <w:rFonts w:ascii="Times New Roman"/>
                <w:spacing w:val="-1"/>
                <w:sz w:val="18"/>
              </w:rPr>
              <w:t>-21,</w:t>
            </w: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17"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82" w:lineRule="exact"/>
              <w:ind w:left="103"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4"/>
                <w:sz w:val="18"/>
                <w:szCs w:val="18"/>
              </w:rPr>
              <w:t>）</w:t>
            </w:r>
            <w:r>
              <w:rPr>
                <w:rFonts w:ascii="宋体" w:hAnsi="宋体" w:cs="宋体" w:eastAsia="宋体" w:hint="default"/>
                <w:sz w:val="18"/>
                <w:szCs w:val="18"/>
              </w:rPr>
              <w:t>利润分</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22,7</w:t>
            </w:r>
          </w:p>
        </w:tc>
        <w:tc>
          <w:tcPr>
            <w:tcW w:w="577" w:type="dxa"/>
            <w:vMerge/>
            <w:tcBorders>
              <w:left w:val="single" w:sz="4" w:space="0" w:color="000000"/>
              <w:right w:val="single" w:sz="4" w:space="0" w:color="000000"/>
            </w:tcBorders>
          </w:tcPr>
          <w:p>
            <w:pPr/>
          </w:p>
        </w:tc>
        <w:tc>
          <w:tcPr>
            <w:tcW w:w="58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922,</w:t>
            </w: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10"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配</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pacing w:val="-1"/>
                <w:sz w:val="18"/>
              </w:rPr>
              <w:t>26.6</w:t>
            </w:r>
          </w:p>
        </w:tc>
        <w:tc>
          <w:tcPr>
            <w:tcW w:w="577" w:type="dxa"/>
            <w:vMerge/>
            <w:tcBorders>
              <w:left w:val="single" w:sz="4" w:space="0" w:color="000000"/>
              <w:right w:val="single" w:sz="4" w:space="0" w:color="000000"/>
            </w:tcBorders>
          </w:tcPr>
          <w:p>
            <w:pPr/>
          </w:p>
        </w:tc>
        <w:tc>
          <w:tcPr>
            <w:tcW w:w="589"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z w:val="18"/>
              </w:rPr>
              <w:t>726.</w:t>
            </w: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41"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Style w:val="TableParagraph"/>
              <w:spacing w:line="196" w:lineRule="exact"/>
              <w:ind w:right="102"/>
              <w:jc w:val="right"/>
              <w:rPr>
                <w:rFonts w:ascii="Times New Roman" w:hAnsi="Times New Roman" w:cs="Times New Roman" w:eastAsia="Times New Roman" w:hint="default"/>
                <w:sz w:val="18"/>
                <w:szCs w:val="18"/>
              </w:rPr>
            </w:pPr>
            <w:r>
              <w:rPr>
                <w:rFonts w:ascii="Times New Roman"/>
                <w:sz w:val="18"/>
              </w:rPr>
              <w:t>6</w:t>
            </w:r>
          </w:p>
        </w:tc>
        <w:tc>
          <w:tcPr>
            <w:tcW w:w="577" w:type="dxa"/>
            <w:vMerge/>
            <w:tcBorders>
              <w:left w:val="single" w:sz="4" w:space="0" w:color="000000"/>
              <w:bottom w:val="single" w:sz="4" w:space="0" w:color="000000"/>
              <w:right w:val="single" w:sz="4" w:space="0" w:color="000000"/>
            </w:tcBorders>
          </w:tcPr>
          <w:p>
            <w:pPr/>
          </w:p>
        </w:tc>
        <w:tc>
          <w:tcPr>
            <w:tcW w:w="589" w:type="dxa"/>
            <w:tcBorders>
              <w:top w:val="nil" w:sz="6" w:space="0" w:color="auto"/>
              <w:left w:val="single" w:sz="4" w:space="0" w:color="000000"/>
              <w:bottom w:val="single" w:sz="4" w:space="0" w:color="000000"/>
              <w:right w:val="single" w:sz="4" w:space="0" w:color="000000"/>
            </w:tcBorders>
          </w:tcPr>
          <w:p>
            <w:pPr>
              <w:pStyle w:val="TableParagraph"/>
              <w:spacing w:line="196" w:lineRule="exact"/>
              <w:ind w:right="99"/>
              <w:jc w:val="right"/>
              <w:rPr>
                <w:rFonts w:ascii="Times New Roman" w:hAnsi="Times New Roman" w:cs="Times New Roman" w:eastAsia="Times New Roman" w:hint="default"/>
                <w:sz w:val="18"/>
                <w:szCs w:val="18"/>
              </w:rPr>
            </w:pPr>
            <w:r>
              <w:rPr>
                <w:rFonts w:ascii="Times New Roman"/>
                <w:sz w:val="18"/>
              </w:rPr>
              <w:t>66</w:t>
            </w: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251"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0"/>
              <w:ind w:right="99"/>
              <w:jc w:val="right"/>
              <w:rPr>
                <w:rFonts w:ascii="Times New Roman" w:hAnsi="Times New Roman" w:cs="Times New Roman" w:eastAsia="Times New Roman" w:hint="default"/>
                <w:sz w:val="18"/>
                <w:szCs w:val="18"/>
              </w:rPr>
            </w:pPr>
            <w:r>
              <w:rPr>
                <w:rFonts w:ascii="Times New Roman"/>
                <w:spacing w:val="-1"/>
                <w:sz w:val="18"/>
              </w:rPr>
              <w:t>21,9</w:t>
            </w:r>
          </w:p>
        </w:tc>
        <w:tc>
          <w:tcPr>
            <w:tcW w:w="577" w:type="dxa"/>
            <w:vMerge w:val="restart"/>
            <w:tcBorders>
              <w:top w:val="single" w:sz="4" w:space="0" w:color="000000"/>
              <w:left w:val="single" w:sz="4" w:space="0" w:color="000000"/>
              <w:right w:val="single" w:sz="4" w:space="0" w:color="000000"/>
            </w:tcBorders>
          </w:tcPr>
          <w:p>
            <w:pPr/>
          </w:p>
        </w:tc>
        <w:tc>
          <w:tcPr>
            <w:tcW w:w="5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-21,</w:t>
            </w: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17"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6"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22,7</w:t>
            </w:r>
          </w:p>
        </w:tc>
        <w:tc>
          <w:tcPr>
            <w:tcW w:w="577" w:type="dxa"/>
            <w:vMerge/>
            <w:tcBorders>
              <w:left w:val="single" w:sz="4" w:space="0" w:color="000000"/>
              <w:right w:val="single" w:sz="4" w:space="0" w:color="000000"/>
            </w:tcBorders>
          </w:tcPr>
          <w:p>
            <w:pPr/>
          </w:p>
        </w:tc>
        <w:tc>
          <w:tcPr>
            <w:tcW w:w="58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922,</w:t>
            </w: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09"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公积</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99"/>
              <w:jc w:val="right"/>
              <w:rPr>
                <w:rFonts w:ascii="Times New Roman" w:hAnsi="Times New Roman" w:cs="Times New Roman" w:eastAsia="Times New Roman" w:hint="default"/>
                <w:sz w:val="18"/>
                <w:szCs w:val="18"/>
              </w:rPr>
            </w:pPr>
            <w:r>
              <w:rPr>
                <w:rFonts w:ascii="Times New Roman"/>
                <w:spacing w:val="-1"/>
                <w:sz w:val="18"/>
              </w:rPr>
              <w:t>26.6</w:t>
            </w:r>
          </w:p>
        </w:tc>
        <w:tc>
          <w:tcPr>
            <w:tcW w:w="577" w:type="dxa"/>
            <w:vMerge/>
            <w:tcBorders>
              <w:left w:val="single" w:sz="4" w:space="0" w:color="000000"/>
              <w:right w:val="single" w:sz="4" w:space="0" w:color="000000"/>
            </w:tcBorders>
          </w:tcPr>
          <w:p>
            <w:pPr/>
          </w:p>
        </w:tc>
        <w:tc>
          <w:tcPr>
            <w:tcW w:w="589" w:type="dxa"/>
            <w:tcBorders>
              <w:top w:val="nil" w:sz="6" w:space="0" w:color="auto"/>
              <w:left w:val="single" w:sz="4" w:space="0" w:color="000000"/>
              <w:bottom w:val="nil" w:sz="6" w:space="0" w:color="auto"/>
              <w:right w:val="single" w:sz="4" w:space="0" w:color="000000"/>
            </w:tcBorders>
          </w:tcPr>
          <w:p>
            <w:pPr>
              <w:pStyle w:val="TableParagraph"/>
              <w:spacing w:line="197" w:lineRule="exact"/>
              <w:ind w:right="101"/>
              <w:jc w:val="right"/>
              <w:rPr>
                <w:rFonts w:ascii="Times New Roman" w:hAnsi="Times New Roman" w:cs="Times New Roman" w:eastAsia="Times New Roman" w:hint="default"/>
                <w:sz w:val="18"/>
                <w:szCs w:val="18"/>
              </w:rPr>
            </w:pPr>
            <w:r>
              <w:rPr>
                <w:rFonts w:ascii="Times New Roman"/>
                <w:sz w:val="18"/>
              </w:rPr>
              <w:t>726.</w:t>
            </w: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41"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102"/>
              <w:jc w:val="right"/>
              <w:rPr>
                <w:rFonts w:ascii="Times New Roman" w:hAnsi="Times New Roman" w:cs="Times New Roman" w:eastAsia="Times New Roman" w:hint="default"/>
                <w:sz w:val="18"/>
                <w:szCs w:val="18"/>
              </w:rPr>
            </w:pPr>
            <w:r>
              <w:rPr>
                <w:rFonts w:ascii="Times New Roman"/>
                <w:sz w:val="18"/>
              </w:rPr>
              <w:t>6</w:t>
            </w:r>
          </w:p>
        </w:tc>
        <w:tc>
          <w:tcPr>
            <w:tcW w:w="577" w:type="dxa"/>
            <w:vMerge/>
            <w:tcBorders>
              <w:left w:val="single" w:sz="4" w:space="0" w:color="000000"/>
              <w:bottom w:val="single" w:sz="4" w:space="0" w:color="000000"/>
              <w:right w:val="single" w:sz="4" w:space="0" w:color="000000"/>
            </w:tcBorders>
          </w:tcPr>
          <w:p>
            <w:pPr/>
          </w:p>
        </w:tc>
        <w:tc>
          <w:tcPr>
            <w:tcW w:w="589" w:type="dxa"/>
            <w:tcBorders>
              <w:top w:val="nil" w:sz="6" w:space="0" w:color="auto"/>
              <w:left w:val="single" w:sz="4" w:space="0" w:color="000000"/>
              <w:bottom w:val="single" w:sz="4" w:space="0" w:color="000000"/>
              <w:right w:val="single" w:sz="4" w:space="0" w:color="000000"/>
            </w:tcBorders>
          </w:tcPr>
          <w:p>
            <w:pPr>
              <w:pStyle w:val="TableParagraph"/>
              <w:spacing w:line="195" w:lineRule="exact"/>
              <w:ind w:right="99"/>
              <w:jc w:val="right"/>
              <w:rPr>
                <w:rFonts w:ascii="Times New Roman" w:hAnsi="Times New Roman" w:cs="Times New Roman" w:eastAsia="Times New Roman" w:hint="default"/>
                <w:sz w:val="18"/>
                <w:szCs w:val="18"/>
              </w:rPr>
            </w:pPr>
            <w:r>
              <w:rPr>
                <w:rFonts w:ascii="Times New Roman"/>
                <w:sz w:val="18"/>
              </w:rPr>
              <w:t>66</w:t>
            </w: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557"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29"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（或股东</w:t>
            </w:r>
            <w:r>
              <w:rPr>
                <w:rFonts w:ascii="宋体" w:hAnsi="宋体" w:cs="宋体" w:eastAsia="宋体" w:hint="default"/>
                <w:spacing w:val="-84"/>
                <w:sz w:val="18"/>
                <w:szCs w:val="18"/>
              </w:rPr>
              <w:t>）</w:t>
            </w:r>
            <w:r>
              <w:rPr>
                <w:rFonts w:ascii="宋体" w:hAnsi="宋体" w:cs="宋体" w:eastAsia="宋体" w:hint="default"/>
                <w:sz w:val="18"/>
                <w:szCs w:val="18"/>
              </w:rPr>
              <w:t>的</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9"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分配</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32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278"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84"/>
                <w:sz w:val="18"/>
                <w:szCs w:val="18"/>
              </w:rPr>
              <w:t>）</w:t>
            </w:r>
            <w:r>
              <w:rPr>
                <w:rFonts w:ascii="宋体" w:hAnsi="宋体" w:cs="宋体" w:eastAsia="宋体" w:hint="default"/>
                <w:sz w:val="18"/>
                <w:szCs w:val="18"/>
              </w:rPr>
              <w:t>所有者</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33"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权益内部结</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9"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转</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283"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29"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转增资</w:t>
            </w:r>
            <w:r>
              <w:rPr>
                <w:rFonts w:ascii="宋体" w:hAnsi="宋体" w:cs="宋体" w:eastAsia="宋体" w:hint="default"/>
                <w:spacing w:val="-84"/>
                <w:sz w:val="18"/>
                <w:szCs w:val="18"/>
              </w:rPr>
              <w:t>本</w:t>
            </w:r>
            <w:r>
              <w:rPr>
                <w:rFonts w:ascii="宋体" w:hAnsi="宋体" w:cs="宋体" w:eastAsia="宋体" w:hint="default"/>
                <w:sz w:val="18"/>
                <w:szCs w:val="18"/>
              </w:rPr>
              <w:t>（或</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7"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283"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29"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转增资</w:t>
            </w:r>
            <w:r>
              <w:rPr>
                <w:rFonts w:ascii="宋体" w:hAnsi="宋体" w:cs="宋体" w:eastAsia="宋体" w:hint="default"/>
                <w:spacing w:val="-84"/>
                <w:sz w:val="18"/>
                <w:szCs w:val="18"/>
              </w:rPr>
              <w:t>本</w:t>
            </w:r>
            <w:r>
              <w:rPr>
                <w:rFonts w:ascii="宋体" w:hAnsi="宋体" w:cs="宋体" w:eastAsia="宋体" w:hint="default"/>
                <w:sz w:val="18"/>
                <w:szCs w:val="18"/>
              </w:rPr>
              <w:t>（或</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9"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557"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28"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left="103" w:right="0"/>
              <w:jc w:val="left"/>
              <w:rPr>
                <w:rFonts w:ascii="宋体" w:hAnsi="宋体" w:cs="宋体" w:eastAsia="宋体" w:hint="default"/>
                <w:sz w:val="18"/>
                <w:szCs w:val="18"/>
              </w:rPr>
            </w:pPr>
            <w:r>
              <w:rPr>
                <w:rFonts w:ascii="宋体" w:hAnsi="宋体" w:cs="宋体" w:eastAsia="宋体" w:hint="default"/>
                <w:sz w:val="18"/>
                <w:szCs w:val="18"/>
              </w:rPr>
              <w:t>计划变动额</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34"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结转留存收</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8"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283"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w:t>
            </w:r>
          </w:p>
        </w:tc>
        <w:tc>
          <w:tcPr>
            <w:tcW w:w="490"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vMerge w:val="restart"/>
            <w:tcBorders>
              <w:top w:val="single" w:sz="4" w:space="0" w:color="000000"/>
              <w:left w:val="single" w:sz="4" w:space="0" w:color="000000"/>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643" w:type="dxa"/>
            <w:vMerge w:val="restart"/>
            <w:tcBorders>
              <w:top w:val="single" w:sz="4" w:space="0" w:color="000000"/>
              <w:left w:val="single" w:sz="4" w:space="0" w:color="000000"/>
              <w:right w:val="single" w:sz="4" w:space="0" w:color="000000"/>
            </w:tcBorders>
          </w:tcPr>
          <w:p>
            <w:pPr/>
          </w:p>
        </w:tc>
        <w:tc>
          <w:tcPr>
            <w:tcW w:w="651" w:type="dxa"/>
            <w:vMerge w:val="restart"/>
            <w:tcBorders>
              <w:top w:val="single" w:sz="4" w:space="0" w:color="000000"/>
              <w:left w:val="single" w:sz="4" w:space="0" w:color="000000"/>
              <w:right w:val="single" w:sz="4" w:space="0" w:color="000000"/>
            </w:tcBorders>
          </w:tcPr>
          <w:p>
            <w:pPr/>
          </w:p>
        </w:tc>
      </w:tr>
      <w:tr>
        <w:trPr>
          <w:trHeight w:val="229"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收益结转留</w:t>
            </w:r>
          </w:p>
        </w:tc>
        <w:tc>
          <w:tcPr>
            <w:tcW w:w="490"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76" w:type="dxa"/>
            <w:vMerge/>
            <w:tcBorders>
              <w:left w:val="single" w:sz="4" w:space="0" w:color="000000"/>
              <w:right w:val="single" w:sz="4" w:space="0" w:color="000000"/>
            </w:tcBorders>
          </w:tcPr>
          <w:p>
            <w:pPr/>
          </w:p>
        </w:tc>
        <w:tc>
          <w:tcPr>
            <w:tcW w:w="577" w:type="dxa"/>
            <w:vMerge/>
            <w:tcBorders>
              <w:left w:val="single" w:sz="4" w:space="0" w:color="000000"/>
              <w:right w:val="single" w:sz="4" w:space="0" w:color="000000"/>
            </w:tcBorders>
          </w:tcPr>
          <w:p>
            <w:pPr/>
          </w:p>
        </w:tc>
        <w:tc>
          <w:tcPr>
            <w:tcW w:w="589"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567" w:type="dxa"/>
            <w:vMerge/>
            <w:tcBorders>
              <w:left w:val="single" w:sz="4" w:space="0" w:color="000000"/>
              <w:right w:val="single" w:sz="4" w:space="0" w:color="000000"/>
            </w:tcBorders>
          </w:tcPr>
          <w:p>
            <w:pPr/>
          </w:p>
        </w:tc>
        <w:tc>
          <w:tcPr>
            <w:tcW w:w="643" w:type="dxa"/>
            <w:vMerge/>
            <w:tcBorders>
              <w:left w:val="single" w:sz="4" w:space="0" w:color="000000"/>
              <w:right w:val="single" w:sz="4" w:space="0" w:color="000000"/>
            </w:tcBorders>
          </w:tcPr>
          <w:p>
            <w:pPr/>
          </w:p>
        </w:tc>
        <w:tc>
          <w:tcPr>
            <w:tcW w:w="651" w:type="dxa"/>
            <w:vMerge/>
            <w:tcBorders>
              <w:left w:val="single" w:sz="4" w:space="0" w:color="000000"/>
              <w:right w:val="single" w:sz="4" w:space="0" w:color="000000"/>
            </w:tcBorders>
          </w:tcPr>
          <w:p>
            <w:pPr/>
          </w:p>
        </w:tc>
      </w:tr>
      <w:tr>
        <w:trPr>
          <w:trHeight w:val="279"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存收益</w:t>
            </w:r>
          </w:p>
        </w:tc>
        <w:tc>
          <w:tcPr>
            <w:tcW w:w="490"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vMerge/>
            <w:tcBorders>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643" w:type="dxa"/>
            <w:vMerge/>
            <w:tcBorders>
              <w:left w:val="single" w:sz="4" w:space="0" w:color="000000"/>
              <w:bottom w:val="single" w:sz="4" w:space="0" w:color="000000"/>
              <w:right w:val="single" w:sz="4" w:space="0" w:color="000000"/>
            </w:tcBorders>
          </w:tcPr>
          <w:p>
            <w:pPr/>
          </w:p>
        </w:tc>
        <w:tc>
          <w:tcPr>
            <w:tcW w:w="651" w:type="dxa"/>
            <w:vMerge/>
            <w:tcBorders>
              <w:left w:val="single" w:sz="4" w:space="0" w:color="000000"/>
              <w:bottom w:val="single" w:sz="4" w:space="0" w:color="000000"/>
              <w:right w:val="single" w:sz="4" w:space="0" w:color="000000"/>
            </w:tcBorders>
          </w:tcPr>
          <w:p>
            <w:pPr/>
          </w:p>
        </w:tc>
      </w:tr>
      <w:tr>
        <w:trPr>
          <w:trHeight w:val="323"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0"/>
              <w:jc w:val="left"/>
              <w:rPr>
                <w:rFonts w:ascii="宋体" w:hAnsi="宋体" w:cs="宋体" w:eastAsia="宋体" w:hint="default"/>
                <w:sz w:val="18"/>
                <w:szCs w:val="18"/>
              </w:rPr>
            </w:pPr>
            <w:r>
              <w:rPr>
                <w:rFonts w:ascii="宋体" w:hAnsi="宋体" w:cs="宋体" w:eastAsia="宋体" w:hint="default"/>
                <w:spacing w:val="-14"/>
                <w:sz w:val="18"/>
                <w:szCs w:val="18"/>
              </w:rPr>
              <w:t>（五）专项储</w:t>
            </w:r>
            <w:r>
              <w:rPr>
                <w:rFonts w:ascii="宋体" w:hAnsi="宋体" w:cs="宋体" w:eastAsia="宋体" w:hint="default"/>
                <w:sz w:val="18"/>
                <w:szCs w:val="18"/>
              </w:rPr>
              <w:t> 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261" w:hRule="exact"/>
        </w:trPr>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4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18"/>
                <w:szCs w:val="18"/>
              </w:rPr>
            </w:pPr>
            <w:r>
              <w:rPr>
                <w:rFonts w:ascii="Times New Roman"/>
                <w:sz w:val="18"/>
              </w:rPr>
              <w:t>1,0</w:t>
            </w:r>
          </w:p>
        </w:tc>
        <w:tc>
          <w:tcPr>
            <w:tcW w:w="449" w:type="dxa"/>
            <w:vMerge w:val="restart"/>
            <w:tcBorders>
              <w:top w:val="single" w:sz="4" w:space="0" w:color="000000"/>
              <w:left w:val="single" w:sz="4" w:space="0" w:color="000000"/>
              <w:right w:val="single" w:sz="4" w:space="0" w:color="000000"/>
            </w:tcBorders>
          </w:tcPr>
          <w:p>
            <w:pPr/>
          </w:p>
        </w:tc>
        <w:tc>
          <w:tcPr>
            <w:tcW w:w="449" w:type="dxa"/>
            <w:vMerge w:val="restart"/>
            <w:tcBorders>
              <w:top w:val="single" w:sz="4" w:space="0" w:color="000000"/>
              <w:left w:val="single" w:sz="4" w:space="0" w:color="000000"/>
              <w:right w:val="single" w:sz="4" w:space="0" w:color="000000"/>
            </w:tcBorders>
          </w:tcPr>
          <w:p>
            <w:pPr/>
          </w:p>
        </w:tc>
        <w:tc>
          <w:tcPr>
            <w:tcW w:w="491"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7"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76" w:type="dxa"/>
            <w:tcBorders>
              <w:top w:val="single" w:sz="4" w:space="0" w:color="000000"/>
              <w:left w:val="single" w:sz="4" w:space="0" w:color="000000"/>
              <w:bottom w:val="nil" w:sz="6" w:space="0" w:color="auto"/>
              <w:right w:val="single" w:sz="4" w:space="0" w:color="000000"/>
            </w:tcBorders>
          </w:tcPr>
          <w:p>
            <w:pPr/>
          </w:p>
        </w:tc>
        <w:tc>
          <w:tcPr>
            <w:tcW w:w="577" w:type="dxa"/>
            <w:vMerge w:val="restart"/>
            <w:tcBorders>
              <w:top w:val="single" w:sz="4" w:space="0" w:color="000000"/>
              <w:left w:val="single" w:sz="4" w:space="0" w:color="000000"/>
              <w:right w:val="single" w:sz="4" w:space="0" w:color="000000"/>
            </w:tcBorders>
          </w:tcPr>
          <w:p>
            <w:pPr/>
          </w:p>
        </w:tc>
        <w:tc>
          <w:tcPr>
            <w:tcW w:w="589" w:type="dxa"/>
            <w:tcBorders>
              <w:top w:val="single" w:sz="4" w:space="0" w:color="000000"/>
              <w:left w:val="single" w:sz="4" w:space="0" w:color="000000"/>
              <w:bottom w:val="nil" w:sz="6" w:space="0" w:color="auto"/>
              <w:right w:val="single" w:sz="4" w:space="0" w:color="000000"/>
            </w:tcBorders>
          </w:tcPr>
          <w:p>
            <w:pPr/>
          </w:p>
        </w:tc>
        <w:tc>
          <w:tcPr>
            <w:tcW w:w="567" w:type="dxa"/>
            <w:vMerge w:val="restart"/>
            <w:tcBorders>
              <w:top w:val="single" w:sz="4" w:space="0" w:color="000000"/>
              <w:left w:val="single" w:sz="4" w:space="0" w:color="000000"/>
              <w:right w:val="single" w:sz="4" w:space="0" w:color="000000"/>
            </w:tcBorders>
          </w:tcPr>
          <w:p>
            <w:pPr/>
          </w:p>
        </w:tc>
        <w:tc>
          <w:tcPr>
            <w:tcW w:w="567" w:type="dxa"/>
            <w:tcBorders>
              <w:top w:val="single" w:sz="4" w:space="0" w:color="000000"/>
              <w:left w:val="single" w:sz="4" w:space="0" w:color="000000"/>
              <w:bottom w:val="nil" w:sz="6" w:space="0" w:color="auto"/>
              <w:right w:val="single" w:sz="4" w:space="0" w:color="000000"/>
            </w:tcBorders>
          </w:tcPr>
          <w:p>
            <w:pPr/>
          </w:p>
        </w:tc>
        <w:tc>
          <w:tcPr>
            <w:tcW w:w="643" w:type="dxa"/>
            <w:tcBorders>
              <w:top w:val="single" w:sz="4" w:space="0" w:color="000000"/>
              <w:left w:val="single" w:sz="4" w:space="0" w:color="000000"/>
              <w:bottom w:val="nil" w:sz="6" w:space="0" w:color="auto"/>
              <w:right w:val="single" w:sz="4" w:space="0" w:color="000000"/>
            </w:tcBorders>
          </w:tcPr>
          <w:p>
            <w:pPr/>
          </w:p>
        </w:tc>
        <w:tc>
          <w:tcPr>
            <w:tcW w:w="651" w:type="dxa"/>
            <w:tcBorders>
              <w:top w:val="single" w:sz="4" w:space="0" w:color="000000"/>
              <w:left w:val="single" w:sz="4" w:space="0" w:color="000000"/>
              <w:bottom w:val="nil" w:sz="6" w:space="0" w:color="auto"/>
              <w:right w:val="single" w:sz="4" w:space="0" w:color="000000"/>
            </w:tcBorders>
          </w:tcPr>
          <w:p>
            <w:pPr/>
          </w:p>
        </w:tc>
      </w:tr>
      <w:tr>
        <w:trPr>
          <w:trHeight w:val="828" w:hRule="exact"/>
        </w:trPr>
        <w:tc>
          <w:tcPr>
            <w:tcW w:w="12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pacing w:val="-14"/>
                <w:sz w:val="18"/>
                <w:szCs w:val="18"/>
              </w:rPr>
              <w:t>四、本期期末</w:t>
            </w:r>
            <w:r>
              <w:rPr>
                <w:rFonts w:ascii="宋体" w:hAnsi="宋体" w:cs="宋体" w:eastAsia="宋体" w:hint="default"/>
                <w:sz w:val="18"/>
                <w:szCs w:val="18"/>
              </w:rPr>
              <w:t> 余额</w:t>
            </w: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51" w:right="0"/>
              <w:jc w:val="left"/>
              <w:rPr>
                <w:rFonts w:ascii="Times New Roman" w:hAnsi="Times New Roman" w:cs="Times New Roman" w:eastAsia="Times New Roman" w:hint="default"/>
                <w:sz w:val="18"/>
                <w:szCs w:val="18"/>
              </w:rPr>
            </w:pPr>
            <w:r>
              <w:rPr>
                <w:rFonts w:ascii="Times New Roman"/>
                <w:sz w:val="18"/>
              </w:rPr>
              <w:t>35,</w:t>
            </w:r>
          </w:p>
          <w:p>
            <w:pPr>
              <w:pStyle w:val="TableParagraph"/>
              <w:spacing w:line="207" w:lineRule="exact"/>
              <w:ind w:left="106" w:right="0"/>
              <w:jc w:val="left"/>
              <w:rPr>
                <w:rFonts w:ascii="Times New Roman" w:hAnsi="Times New Roman" w:cs="Times New Roman" w:eastAsia="Times New Roman" w:hint="default"/>
                <w:sz w:val="18"/>
                <w:szCs w:val="18"/>
              </w:rPr>
            </w:pPr>
            <w:r>
              <w:rPr>
                <w:rFonts w:ascii="Times New Roman"/>
                <w:sz w:val="18"/>
              </w:rPr>
              <w:t>489</w:t>
            </w:r>
          </w:p>
          <w:p>
            <w:pPr>
              <w:pStyle w:val="TableParagraph"/>
              <w:spacing w:line="207" w:lineRule="exact" w:before="2"/>
              <w:ind w:left="151" w:right="0"/>
              <w:jc w:val="left"/>
              <w:rPr>
                <w:rFonts w:ascii="Times New Roman" w:hAnsi="Times New Roman" w:cs="Times New Roman" w:eastAsia="Times New Roman" w:hint="default"/>
                <w:sz w:val="18"/>
                <w:szCs w:val="18"/>
              </w:rPr>
            </w:pPr>
            <w:r>
              <w:rPr>
                <w:rFonts w:ascii="Times New Roman"/>
                <w:sz w:val="18"/>
              </w:rPr>
              <w:t>,09</w:t>
            </w:r>
          </w:p>
          <w:p>
            <w:pPr>
              <w:pStyle w:val="TableParagraph"/>
              <w:spacing w:line="207" w:lineRule="exact"/>
              <w:ind w:left="151" w:right="0"/>
              <w:jc w:val="left"/>
              <w:rPr>
                <w:rFonts w:ascii="Times New Roman" w:hAnsi="Times New Roman" w:cs="Times New Roman" w:eastAsia="Times New Roman" w:hint="default"/>
                <w:sz w:val="18"/>
                <w:szCs w:val="18"/>
              </w:rPr>
            </w:pPr>
            <w:r>
              <w:rPr>
                <w:rFonts w:ascii="Times New Roman"/>
                <w:sz w:val="18"/>
              </w:rPr>
              <w:t>8.0</w:t>
            </w:r>
          </w:p>
        </w:tc>
        <w:tc>
          <w:tcPr>
            <w:tcW w:w="449" w:type="dxa"/>
            <w:vMerge/>
            <w:tcBorders>
              <w:left w:val="single" w:sz="4" w:space="0" w:color="000000"/>
              <w:right w:val="single" w:sz="4" w:space="0" w:color="000000"/>
            </w:tcBorders>
          </w:tcPr>
          <w:p>
            <w:pPr/>
          </w:p>
        </w:tc>
        <w:tc>
          <w:tcPr>
            <w:tcW w:w="449" w:type="dxa"/>
            <w:vMerge/>
            <w:tcBorders>
              <w:left w:val="single" w:sz="4" w:space="0" w:color="000000"/>
              <w:right w:val="single" w:sz="4" w:space="0" w:color="000000"/>
            </w:tcBorders>
          </w:tcPr>
          <w:p>
            <w:pPr/>
          </w:p>
        </w:tc>
        <w:tc>
          <w:tcPr>
            <w:tcW w:w="491"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47" w:right="0"/>
              <w:jc w:val="left"/>
              <w:rPr>
                <w:rFonts w:ascii="Times New Roman" w:hAnsi="Times New Roman" w:cs="Times New Roman" w:eastAsia="Times New Roman" w:hint="default"/>
                <w:sz w:val="18"/>
                <w:szCs w:val="18"/>
              </w:rPr>
            </w:pPr>
            <w:r>
              <w:rPr>
                <w:rFonts w:ascii="Times New Roman"/>
                <w:sz w:val="18"/>
              </w:rPr>
              <w:t>1,55</w:t>
            </w:r>
          </w:p>
          <w:p>
            <w:pPr>
              <w:pStyle w:val="TableParagraph"/>
              <w:spacing w:line="206" w:lineRule="exact"/>
              <w:ind w:left="147" w:right="0"/>
              <w:jc w:val="left"/>
              <w:rPr>
                <w:rFonts w:ascii="Times New Roman" w:hAnsi="Times New Roman" w:cs="Times New Roman" w:eastAsia="Times New Roman" w:hint="default"/>
                <w:sz w:val="18"/>
                <w:szCs w:val="18"/>
              </w:rPr>
            </w:pPr>
            <w:r>
              <w:rPr>
                <w:rFonts w:ascii="Times New Roman"/>
                <w:sz w:val="18"/>
              </w:rPr>
              <w:t>5,19</w:t>
            </w:r>
          </w:p>
          <w:p>
            <w:pPr>
              <w:pStyle w:val="TableParagraph"/>
              <w:spacing w:line="206" w:lineRule="exact"/>
              <w:ind w:left="147" w:right="0"/>
              <w:jc w:val="left"/>
              <w:rPr>
                <w:rFonts w:ascii="Times New Roman" w:hAnsi="Times New Roman" w:cs="Times New Roman" w:eastAsia="Times New Roman" w:hint="default"/>
                <w:sz w:val="18"/>
                <w:szCs w:val="18"/>
              </w:rPr>
            </w:pPr>
            <w:r>
              <w:rPr>
                <w:rFonts w:ascii="Times New Roman"/>
                <w:sz w:val="18"/>
              </w:rPr>
              <w:t>7,71</w:t>
            </w:r>
          </w:p>
          <w:p>
            <w:pPr>
              <w:pStyle w:val="TableParagraph"/>
              <w:spacing w:line="207" w:lineRule="exact"/>
              <w:ind w:left="147" w:right="0"/>
              <w:jc w:val="left"/>
              <w:rPr>
                <w:rFonts w:ascii="Times New Roman" w:hAnsi="Times New Roman" w:cs="Times New Roman" w:eastAsia="Times New Roman" w:hint="default"/>
                <w:sz w:val="18"/>
                <w:szCs w:val="18"/>
              </w:rPr>
            </w:pPr>
            <w:r>
              <w:rPr>
                <w:rFonts w:ascii="Times New Roman"/>
                <w:sz w:val="18"/>
              </w:rPr>
              <w:t>3.12</w:t>
            </w:r>
          </w:p>
        </w:tc>
        <w:tc>
          <w:tcPr>
            <w:tcW w:w="577" w:type="dxa"/>
            <w:vMerge/>
            <w:tcBorders>
              <w:left w:val="single" w:sz="4" w:space="0" w:color="000000"/>
              <w:right w:val="single" w:sz="4" w:space="0" w:color="000000"/>
            </w:tcBorders>
          </w:tcPr>
          <w:p>
            <w:pPr/>
          </w:p>
        </w:tc>
        <w:tc>
          <w:tcPr>
            <w:tcW w:w="57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77" w:right="0"/>
              <w:jc w:val="center"/>
              <w:rPr>
                <w:rFonts w:ascii="Times New Roman" w:hAnsi="Times New Roman" w:cs="Times New Roman" w:eastAsia="Times New Roman" w:hint="default"/>
                <w:sz w:val="18"/>
                <w:szCs w:val="18"/>
              </w:rPr>
            </w:pPr>
            <w:r>
              <w:rPr>
                <w:rFonts w:ascii="Times New Roman"/>
                <w:sz w:val="18"/>
              </w:rPr>
              <w:t>-35,</w:t>
            </w:r>
          </w:p>
          <w:p>
            <w:pPr>
              <w:pStyle w:val="TableParagraph"/>
              <w:spacing w:line="206" w:lineRule="exact"/>
              <w:ind w:left="45" w:right="0"/>
              <w:jc w:val="center"/>
              <w:rPr>
                <w:rFonts w:ascii="Times New Roman" w:hAnsi="Times New Roman" w:cs="Times New Roman" w:eastAsia="Times New Roman" w:hint="default"/>
                <w:sz w:val="18"/>
                <w:szCs w:val="18"/>
              </w:rPr>
            </w:pPr>
            <w:r>
              <w:rPr>
                <w:rFonts w:ascii="Times New Roman"/>
                <w:sz w:val="18"/>
              </w:rPr>
              <w:t>709,</w:t>
            </w:r>
          </w:p>
          <w:p>
            <w:pPr>
              <w:pStyle w:val="TableParagraph"/>
              <w:spacing w:line="206" w:lineRule="exact"/>
              <w:ind w:left="45" w:right="0"/>
              <w:jc w:val="center"/>
              <w:rPr>
                <w:rFonts w:ascii="Times New Roman" w:hAnsi="Times New Roman" w:cs="Times New Roman" w:eastAsia="Times New Roman" w:hint="default"/>
                <w:sz w:val="18"/>
                <w:szCs w:val="18"/>
              </w:rPr>
            </w:pPr>
            <w:r>
              <w:rPr>
                <w:rFonts w:ascii="Times New Roman"/>
                <w:sz w:val="18"/>
              </w:rPr>
              <w:t>017.</w:t>
            </w:r>
          </w:p>
          <w:p>
            <w:pPr>
              <w:pStyle w:val="TableParagraph"/>
              <w:spacing w:line="207" w:lineRule="exact"/>
              <w:ind w:left="179" w:right="0"/>
              <w:jc w:val="center"/>
              <w:rPr>
                <w:rFonts w:ascii="Times New Roman" w:hAnsi="Times New Roman" w:cs="Times New Roman" w:eastAsia="Times New Roman" w:hint="default"/>
                <w:sz w:val="18"/>
                <w:szCs w:val="18"/>
              </w:rPr>
            </w:pPr>
            <w:r>
              <w:rPr>
                <w:rFonts w:ascii="Times New Roman"/>
                <w:sz w:val="18"/>
              </w:rPr>
              <w:t>16</w:t>
            </w:r>
          </w:p>
        </w:tc>
        <w:tc>
          <w:tcPr>
            <w:tcW w:w="577" w:type="dxa"/>
            <w:vMerge/>
            <w:tcBorders>
              <w:left w:val="single" w:sz="4" w:space="0" w:color="000000"/>
              <w:right w:val="single" w:sz="4" w:space="0" w:color="000000"/>
            </w:tcBorders>
          </w:tcPr>
          <w:p>
            <w:pP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47" w:right="0"/>
              <w:jc w:val="center"/>
              <w:rPr>
                <w:rFonts w:ascii="Times New Roman" w:hAnsi="Times New Roman" w:cs="Times New Roman" w:eastAsia="Times New Roman" w:hint="default"/>
                <w:sz w:val="18"/>
                <w:szCs w:val="18"/>
              </w:rPr>
            </w:pPr>
            <w:r>
              <w:rPr>
                <w:rFonts w:ascii="Times New Roman"/>
                <w:sz w:val="18"/>
              </w:rPr>
              <w:t>222,</w:t>
            </w:r>
          </w:p>
          <w:p>
            <w:pPr>
              <w:pStyle w:val="TableParagraph"/>
              <w:spacing w:line="206" w:lineRule="exact"/>
              <w:ind w:left="47" w:right="0"/>
              <w:jc w:val="center"/>
              <w:rPr>
                <w:rFonts w:ascii="Times New Roman" w:hAnsi="Times New Roman" w:cs="Times New Roman" w:eastAsia="Times New Roman" w:hint="default"/>
                <w:sz w:val="18"/>
                <w:szCs w:val="18"/>
              </w:rPr>
            </w:pPr>
            <w:r>
              <w:rPr>
                <w:rFonts w:ascii="Times New Roman"/>
                <w:sz w:val="18"/>
              </w:rPr>
              <w:t>369,</w:t>
            </w:r>
          </w:p>
          <w:p>
            <w:pPr>
              <w:pStyle w:val="TableParagraph"/>
              <w:spacing w:line="206" w:lineRule="exact"/>
              <w:ind w:left="47"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07" w:lineRule="exact"/>
              <w:ind w:left="181" w:right="0"/>
              <w:jc w:val="center"/>
              <w:rPr>
                <w:rFonts w:ascii="Times New Roman" w:hAnsi="Times New Roman" w:cs="Times New Roman" w:eastAsia="Times New Roman" w:hint="default"/>
                <w:sz w:val="18"/>
                <w:szCs w:val="18"/>
              </w:rPr>
            </w:pPr>
            <w:r>
              <w:rPr>
                <w:rFonts w:ascii="Times New Roman"/>
                <w:sz w:val="18"/>
              </w:rPr>
              <w:t>21</w:t>
            </w:r>
          </w:p>
        </w:tc>
        <w:tc>
          <w:tcPr>
            <w:tcW w:w="577" w:type="dxa"/>
            <w:vMerge/>
            <w:tcBorders>
              <w:left w:val="single" w:sz="4" w:space="0" w:color="000000"/>
              <w:right w:val="single" w:sz="4" w:space="0" w:color="000000"/>
            </w:tcBorders>
          </w:tcPr>
          <w:p>
            <w:pPr/>
          </w:p>
        </w:tc>
        <w:tc>
          <w:tcPr>
            <w:tcW w:w="589"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59" w:right="0"/>
              <w:jc w:val="left"/>
              <w:rPr>
                <w:rFonts w:ascii="Times New Roman" w:hAnsi="Times New Roman" w:cs="Times New Roman" w:eastAsia="Times New Roman" w:hint="default"/>
                <w:sz w:val="18"/>
                <w:szCs w:val="18"/>
              </w:rPr>
            </w:pPr>
            <w:r>
              <w:rPr>
                <w:rFonts w:ascii="Times New Roman"/>
                <w:sz w:val="18"/>
              </w:rPr>
              <w:t>1,23</w:t>
            </w:r>
          </w:p>
          <w:p>
            <w:pPr>
              <w:pStyle w:val="TableParagraph"/>
              <w:spacing w:line="206" w:lineRule="exact"/>
              <w:ind w:left="159" w:right="0"/>
              <w:jc w:val="left"/>
              <w:rPr>
                <w:rFonts w:ascii="Times New Roman" w:hAnsi="Times New Roman" w:cs="Times New Roman" w:eastAsia="Times New Roman" w:hint="default"/>
                <w:sz w:val="18"/>
                <w:szCs w:val="18"/>
              </w:rPr>
            </w:pPr>
            <w:r>
              <w:rPr>
                <w:rFonts w:ascii="Times New Roman"/>
                <w:sz w:val="18"/>
              </w:rPr>
              <w:t>8,07</w:t>
            </w:r>
          </w:p>
          <w:p>
            <w:pPr>
              <w:pStyle w:val="TableParagraph"/>
              <w:spacing w:line="206" w:lineRule="exact"/>
              <w:ind w:left="159" w:right="0"/>
              <w:jc w:val="left"/>
              <w:rPr>
                <w:rFonts w:ascii="Times New Roman" w:hAnsi="Times New Roman" w:cs="Times New Roman" w:eastAsia="Times New Roman" w:hint="default"/>
                <w:sz w:val="18"/>
                <w:szCs w:val="18"/>
              </w:rPr>
            </w:pPr>
            <w:r>
              <w:rPr>
                <w:rFonts w:ascii="Times New Roman"/>
                <w:sz w:val="18"/>
              </w:rPr>
              <w:t>3,45</w:t>
            </w:r>
          </w:p>
          <w:p>
            <w:pPr>
              <w:pStyle w:val="TableParagraph"/>
              <w:spacing w:line="207" w:lineRule="exact"/>
              <w:ind w:left="159" w:right="0"/>
              <w:jc w:val="left"/>
              <w:rPr>
                <w:rFonts w:ascii="Times New Roman" w:hAnsi="Times New Roman" w:cs="Times New Roman" w:eastAsia="Times New Roman" w:hint="default"/>
                <w:sz w:val="18"/>
                <w:szCs w:val="18"/>
              </w:rPr>
            </w:pPr>
            <w:r>
              <w:rPr>
                <w:rFonts w:ascii="Times New Roman"/>
                <w:sz w:val="18"/>
              </w:rPr>
              <w:t>6.06</w:t>
            </w:r>
          </w:p>
        </w:tc>
        <w:tc>
          <w:tcPr>
            <w:tcW w:w="567" w:type="dxa"/>
            <w:vMerge/>
            <w:tcBorders>
              <w:left w:val="single" w:sz="4" w:space="0" w:color="000000"/>
              <w:right w:val="single" w:sz="4" w:space="0" w:color="000000"/>
            </w:tcBorders>
          </w:tcPr>
          <w:p>
            <w:pPr/>
          </w:p>
        </w:tc>
        <w:tc>
          <w:tcPr>
            <w:tcW w:w="567"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39" w:right="0"/>
              <w:jc w:val="left"/>
              <w:rPr>
                <w:rFonts w:ascii="Times New Roman" w:hAnsi="Times New Roman" w:cs="Times New Roman" w:eastAsia="Times New Roman" w:hint="default"/>
                <w:sz w:val="18"/>
                <w:szCs w:val="18"/>
              </w:rPr>
            </w:pPr>
            <w:r>
              <w:rPr>
                <w:rFonts w:ascii="Times New Roman"/>
                <w:sz w:val="18"/>
              </w:rPr>
              <w:t>4,01</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5,42</w:t>
            </w:r>
          </w:p>
          <w:p>
            <w:pPr>
              <w:pStyle w:val="TableParagraph"/>
              <w:spacing w:line="206" w:lineRule="exact"/>
              <w:ind w:left="139" w:right="0"/>
              <w:jc w:val="left"/>
              <w:rPr>
                <w:rFonts w:ascii="Times New Roman" w:hAnsi="Times New Roman" w:cs="Times New Roman" w:eastAsia="Times New Roman" w:hint="default"/>
                <w:sz w:val="18"/>
                <w:szCs w:val="18"/>
              </w:rPr>
            </w:pPr>
            <w:r>
              <w:rPr>
                <w:rFonts w:ascii="Times New Roman"/>
                <w:sz w:val="18"/>
              </w:rPr>
              <w:t>1,13</w:t>
            </w:r>
          </w:p>
          <w:p>
            <w:pPr>
              <w:pStyle w:val="TableParagraph"/>
              <w:spacing w:line="207" w:lineRule="exact"/>
              <w:ind w:left="139" w:right="0"/>
              <w:jc w:val="left"/>
              <w:rPr>
                <w:rFonts w:ascii="Times New Roman" w:hAnsi="Times New Roman" w:cs="Times New Roman" w:eastAsia="Times New Roman" w:hint="default"/>
                <w:sz w:val="18"/>
                <w:szCs w:val="18"/>
              </w:rPr>
            </w:pPr>
            <w:r>
              <w:rPr>
                <w:rFonts w:ascii="Times New Roman"/>
                <w:sz w:val="18"/>
              </w:rPr>
              <w:t>7.23</w:t>
            </w:r>
          </w:p>
        </w:tc>
        <w:tc>
          <w:tcPr>
            <w:tcW w:w="643" w:type="dxa"/>
            <w:tcBorders>
              <w:top w:val="nil" w:sz="6" w:space="0" w:color="auto"/>
              <w:left w:val="single" w:sz="4" w:space="0" w:color="000000"/>
              <w:bottom w:val="nil" w:sz="6" w:space="0" w:color="auto"/>
              <w:right w:val="single" w:sz="4" w:space="0" w:color="000000"/>
            </w:tcBorders>
          </w:tcPr>
          <w:p>
            <w:pPr>
              <w:pStyle w:val="TableParagraph"/>
              <w:spacing w:line="207" w:lineRule="exact" w:before="93"/>
              <w:ind w:left="21" w:right="0"/>
              <w:jc w:val="center"/>
              <w:rPr>
                <w:rFonts w:ascii="Times New Roman" w:hAnsi="Times New Roman" w:cs="Times New Roman" w:eastAsia="Times New Roman" w:hint="default"/>
                <w:sz w:val="18"/>
                <w:szCs w:val="18"/>
              </w:rPr>
            </w:pPr>
            <w:r>
              <w:rPr>
                <w:rFonts w:ascii="Times New Roman"/>
                <w:sz w:val="18"/>
              </w:rPr>
              <w:t>17,96</w:t>
            </w:r>
          </w:p>
          <w:p>
            <w:pPr>
              <w:pStyle w:val="TableParagraph"/>
              <w:spacing w:line="207" w:lineRule="exact"/>
              <w:ind w:left="21" w:right="0"/>
              <w:jc w:val="center"/>
              <w:rPr>
                <w:rFonts w:ascii="Times New Roman" w:hAnsi="Times New Roman" w:cs="Times New Roman" w:eastAsia="Times New Roman" w:hint="default"/>
                <w:sz w:val="18"/>
                <w:szCs w:val="18"/>
              </w:rPr>
            </w:pPr>
            <w:r>
              <w:rPr>
                <w:rFonts w:ascii="Times New Roman"/>
                <w:sz w:val="18"/>
              </w:rPr>
              <w:t>6,167</w:t>
            </w:r>
          </w:p>
          <w:p>
            <w:pPr>
              <w:pStyle w:val="TableParagraph"/>
              <w:spacing w:line="240" w:lineRule="auto" w:before="2"/>
              <w:ind w:left="201" w:right="0"/>
              <w:jc w:val="center"/>
              <w:rPr>
                <w:rFonts w:ascii="Times New Roman" w:hAnsi="Times New Roman" w:cs="Times New Roman" w:eastAsia="Times New Roman" w:hint="default"/>
                <w:sz w:val="18"/>
                <w:szCs w:val="18"/>
              </w:rPr>
            </w:pPr>
            <w:r>
              <w:rPr>
                <w:rFonts w:ascii="Times New Roman"/>
                <w:sz w:val="18"/>
              </w:rPr>
              <w:t>.27</w:t>
            </w:r>
          </w:p>
        </w:tc>
        <w:tc>
          <w:tcPr>
            <w:tcW w:w="651"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34" w:right="0"/>
              <w:jc w:val="left"/>
              <w:rPr>
                <w:rFonts w:ascii="Times New Roman" w:hAnsi="Times New Roman" w:cs="Times New Roman" w:eastAsia="Times New Roman" w:hint="default"/>
                <w:sz w:val="18"/>
                <w:szCs w:val="18"/>
              </w:rPr>
            </w:pPr>
            <w:r>
              <w:rPr>
                <w:rFonts w:ascii="Times New Roman"/>
                <w:sz w:val="18"/>
              </w:rPr>
              <w:t>4,033</w:t>
            </w:r>
          </w:p>
          <w:p>
            <w:pPr>
              <w:pStyle w:val="TableParagraph"/>
              <w:spacing w:line="206" w:lineRule="exact"/>
              <w:ind w:left="177" w:right="0"/>
              <w:jc w:val="left"/>
              <w:rPr>
                <w:rFonts w:ascii="Times New Roman" w:hAnsi="Times New Roman" w:cs="Times New Roman" w:eastAsia="Times New Roman" w:hint="default"/>
                <w:sz w:val="18"/>
                <w:szCs w:val="18"/>
              </w:rPr>
            </w:pPr>
            <w:r>
              <w:rPr>
                <w:rFonts w:ascii="Times New Roman"/>
                <w:sz w:val="18"/>
              </w:rPr>
              <w:t>,387,</w:t>
            </w:r>
          </w:p>
          <w:p>
            <w:pPr>
              <w:pStyle w:val="TableParagraph"/>
              <w:spacing w:line="206" w:lineRule="exact"/>
              <w:ind w:left="134" w:right="0"/>
              <w:jc w:val="left"/>
              <w:rPr>
                <w:rFonts w:ascii="Times New Roman" w:hAnsi="Times New Roman" w:cs="Times New Roman" w:eastAsia="Times New Roman" w:hint="default"/>
                <w:sz w:val="18"/>
                <w:szCs w:val="18"/>
              </w:rPr>
            </w:pPr>
            <w:r>
              <w:rPr>
                <w:rFonts w:ascii="Times New Roman"/>
                <w:sz w:val="18"/>
              </w:rPr>
              <w:t>304.5</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0</w:t>
            </w:r>
          </w:p>
        </w:tc>
      </w:tr>
      <w:tr>
        <w:trPr>
          <w:trHeight w:val="243" w:hRule="exact"/>
        </w:trPr>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490" w:type="dxa"/>
            <w:tcBorders>
              <w:top w:val="nil" w:sz="6" w:space="0" w:color="auto"/>
              <w:left w:val="single" w:sz="4" w:space="0" w:color="000000"/>
              <w:bottom w:val="single" w:sz="4" w:space="0" w:color="000000"/>
              <w:right w:val="single" w:sz="4" w:space="0" w:color="000000"/>
            </w:tcBorders>
          </w:tcPr>
          <w:p>
            <w:pPr>
              <w:pStyle w:val="TableParagraph"/>
              <w:spacing w:line="197" w:lineRule="exact"/>
              <w:ind w:right="102"/>
              <w:jc w:val="right"/>
              <w:rPr>
                <w:rFonts w:ascii="Times New Roman" w:hAnsi="Times New Roman" w:cs="Times New Roman" w:eastAsia="Times New Roman" w:hint="default"/>
                <w:sz w:val="18"/>
                <w:szCs w:val="18"/>
              </w:rPr>
            </w:pPr>
            <w:r>
              <w:rPr>
                <w:rFonts w:ascii="Times New Roman"/>
                <w:sz w:val="18"/>
              </w:rPr>
              <w:t>0</w:t>
            </w:r>
          </w:p>
        </w:tc>
        <w:tc>
          <w:tcPr>
            <w:tcW w:w="449" w:type="dxa"/>
            <w:vMerge/>
            <w:tcBorders>
              <w:left w:val="single" w:sz="4" w:space="0" w:color="000000"/>
              <w:bottom w:val="single" w:sz="4" w:space="0" w:color="000000"/>
              <w:right w:val="single" w:sz="4" w:space="0" w:color="000000"/>
            </w:tcBorders>
          </w:tcPr>
          <w:p>
            <w:pPr/>
          </w:p>
        </w:tc>
        <w:tc>
          <w:tcPr>
            <w:tcW w:w="449" w:type="dxa"/>
            <w:vMerge/>
            <w:tcBorders>
              <w:left w:val="single" w:sz="4" w:space="0" w:color="000000"/>
              <w:bottom w:val="single" w:sz="4" w:space="0" w:color="000000"/>
              <w:right w:val="single" w:sz="4" w:space="0" w:color="000000"/>
            </w:tcBorders>
          </w:tcPr>
          <w:p>
            <w:pPr/>
          </w:p>
        </w:tc>
        <w:tc>
          <w:tcPr>
            <w:tcW w:w="491"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7"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76" w:type="dxa"/>
            <w:tcBorders>
              <w:top w:val="nil" w:sz="6" w:space="0" w:color="auto"/>
              <w:left w:val="single" w:sz="4" w:space="0" w:color="000000"/>
              <w:bottom w:val="single" w:sz="4" w:space="0" w:color="000000"/>
              <w:right w:val="single" w:sz="4" w:space="0" w:color="000000"/>
            </w:tcBorders>
          </w:tcPr>
          <w:p>
            <w:pPr/>
          </w:p>
        </w:tc>
        <w:tc>
          <w:tcPr>
            <w:tcW w:w="577" w:type="dxa"/>
            <w:vMerge/>
            <w:tcBorders>
              <w:left w:val="single" w:sz="4" w:space="0" w:color="000000"/>
              <w:bottom w:val="single" w:sz="4" w:space="0" w:color="000000"/>
              <w:right w:val="single" w:sz="4" w:space="0" w:color="000000"/>
            </w:tcBorders>
          </w:tcPr>
          <w:p>
            <w:pPr/>
          </w:p>
        </w:tc>
        <w:tc>
          <w:tcPr>
            <w:tcW w:w="589" w:type="dxa"/>
            <w:tcBorders>
              <w:top w:val="nil" w:sz="6" w:space="0" w:color="auto"/>
              <w:left w:val="single" w:sz="4" w:space="0" w:color="000000"/>
              <w:bottom w:val="single" w:sz="4" w:space="0" w:color="000000"/>
              <w:right w:val="single" w:sz="4" w:space="0" w:color="000000"/>
            </w:tcBorders>
          </w:tcPr>
          <w:p>
            <w:pPr/>
          </w:p>
        </w:tc>
        <w:tc>
          <w:tcPr>
            <w:tcW w:w="567" w:type="dxa"/>
            <w:vMerge/>
            <w:tcBorders>
              <w:left w:val="single" w:sz="4" w:space="0" w:color="000000"/>
              <w:bottom w:val="single" w:sz="4" w:space="0" w:color="000000"/>
              <w:right w:val="single" w:sz="4" w:space="0" w:color="000000"/>
            </w:tcBorders>
          </w:tcPr>
          <w:p>
            <w:pPr/>
          </w:p>
        </w:tc>
        <w:tc>
          <w:tcPr>
            <w:tcW w:w="567" w:type="dxa"/>
            <w:tcBorders>
              <w:top w:val="nil" w:sz="6" w:space="0" w:color="auto"/>
              <w:left w:val="single" w:sz="4" w:space="0" w:color="000000"/>
              <w:bottom w:val="single" w:sz="4" w:space="0" w:color="000000"/>
              <w:right w:val="single" w:sz="4" w:space="0" w:color="000000"/>
            </w:tcBorders>
          </w:tcPr>
          <w:p>
            <w:pPr/>
          </w:p>
        </w:tc>
        <w:tc>
          <w:tcPr>
            <w:tcW w:w="643" w:type="dxa"/>
            <w:tcBorders>
              <w:top w:val="nil" w:sz="6" w:space="0" w:color="auto"/>
              <w:left w:val="single" w:sz="4" w:space="0" w:color="000000"/>
              <w:bottom w:val="single" w:sz="4" w:space="0" w:color="000000"/>
              <w:right w:val="single" w:sz="4" w:space="0" w:color="000000"/>
            </w:tcBorders>
          </w:tcPr>
          <w:p>
            <w:pPr/>
          </w:p>
        </w:tc>
        <w:tc>
          <w:tcPr>
            <w:tcW w:w="651"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before="120"/>
        <w:ind w:left="121" w:right="493" w:firstLine="0"/>
        <w:jc w:val="left"/>
        <w:rPr>
          <w:rFonts w:ascii="宋体" w:hAnsi="宋体" w:cs="宋体" w:eastAsia="宋体" w:hint="default"/>
          <w:sz w:val="21"/>
          <w:szCs w:val="21"/>
        </w:rPr>
      </w:pPr>
      <w:bookmarkStart w:name="8、母公司所有者权益变动表" w:id="169"/>
      <w:bookmarkEnd w:id="169"/>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、母公司所有者权益变动表</w:t>
      </w:r>
      <w:r>
        <w:rPr>
          <w:rFonts w:ascii="宋体" w:hAnsi="宋体" w:cs="宋体" w:eastAsia="宋体" w:hint="default"/>
          <w:sz w:val="21"/>
          <w:szCs w:val="21"/>
        </w:rPr>
      </w:r>
    </w:p>
    <w:p>
      <w:pPr>
        <w:spacing w:line="240" w:lineRule="auto" w:before="9"/>
        <w:rPr>
          <w:rFonts w:ascii="宋体" w:hAnsi="宋体" w:cs="宋体" w:eastAsia="宋体" w:hint="default"/>
          <w:b/>
          <w:bCs/>
          <w:sz w:val="18"/>
          <w:szCs w:val="18"/>
        </w:rPr>
      </w:pPr>
    </w:p>
    <w:p>
      <w:pPr>
        <w:spacing w:before="44"/>
        <w:ind w:left="121" w:right="493"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35"/>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324" w:hRule="exact"/>
        </w:trPr>
        <w:tc>
          <w:tcPr>
            <w:tcW w:w="13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26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r>
      <w:tr>
        <w:trPr>
          <w:trHeight w:val="323" w:hRule="exact"/>
        </w:trPr>
        <w:tc>
          <w:tcPr>
            <w:tcW w:w="1306" w:type="dxa"/>
            <w:vMerge/>
            <w:tcBorders>
              <w:left w:val="single" w:sz="4" w:space="0" w:color="000000"/>
              <w:right w:val="single" w:sz="4" w:space="0" w:color="000000"/>
            </w:tcBorders>
            <w:shd w:val="clear" w:color="auto" w:fill="D2D2D2"/>
          </w:tcPr>
          <w:p>
            <w:pPr/>
          </w:p>
        </w:tc>
        <w:tc>
          <w:tcPr>
            <w:tcW w:w="6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1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6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5"/>
                <w:szCs w:val="15"/>
              </w:rPr>
            </w:pPr>
          </w:p>
          <w:p>
            <w:pPr>
              <w:pStyle w:val="TableParagraph"/>
              <w:spacing w:line="232" w:lineRule="exact"/>
              <w:ind w:left="177" w:right="176"/>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5"/>
                <w:szCs w:val="15"/>
              </w:rPr>
            </w:pPr>
          </w:p>
          <w:p>
            <w:pPr>
              <w:pStyle w:val="TableParagraph"/>
              <w:spacing w:line="232" w:lineRule="exact"/>
              <w:ind w:left="178" w:right="102" w:hanging="77"/>
              <w:jc w:val="left"/>
              <w:rPr>
                <w:rFonts w:ascii="宋体" w:hAnsi="宋体" w:cs="宋体" w:eastAsia="宋体" w:hint="default"/>
                <w:sz w:val="18"/>
                <w:szCs w:val="18"/>
              </w:rPr>
            </w:pPr>
            <w:r>
              <w:rPr>
                <w:rFonts w:ascii="宋体" w:hAnsi="宋体" w:cs="宋体" w:eastAsia="宋体" w:hint="default"/>
                <w:spacing w:val="-10"/>
                <w:sz w:val="18"/>
                <w:szCs w:val="18"/>
              </w:rPr>
              <w:t>减：库</w:t>
            </w:r>
            <w:r>
              <w:rPr>
                <w:rFonts w:ascii="宋体" w:hAnsi="宋体" w:cs="宋体" w:eastAsia="宋体" w:hint="default"/>
                <w:sz w:val="18"/>
                <w:szCs w:val="18"/>
              </w:rPr>
              <w:t> 存股</w:t>
            </w:r>
          </w:p>
        </w:tc>
        <w:tc>
          <w:tcPr>
            <w:tcW w:w="726"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56"/>
              <w:ind w:left="178" w:right="175"/>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5"/>
                <w:szCs w:val="15"/>
              </w:rPr>
            </w:pPr>
          </w:p>
          <w:p>
            <w:pPr>
              <w:pStyle w:val="TableParagraph"/>
              <w:spacing w:line="232" w:lineRule="exact"/>
              <w:ind w:left="177" w:right="17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7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5"/>
                <w:szCs w:val="15"/>
              </w:rPr>
            </w:pPr>
          </w:p>
          <w:p>
            <w:pPr>
              <w:pStyle w:val="TableParagraph"/>
              <w:spacing w:line="232" w:lineRule="exact"/>
              <w:ind w:left="177" w:right="176"/>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615"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56"/>
              <w:ind w:left="121" w:right="121"/>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7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56"/>
              <w:ind w:left="155" w:right="156"/>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557" w:hRule="exact"/>
        </w:trPr>
        <w:tc>
          <w:tcPr>
            <w:tcW w:w="1306" w:type="dxa"/>
            <w:vMerge/>
            <w:tcBorders>
              <w:left w:val="single" w:sz="4" w:space="0" w:color="000000"/>
              <w:bottom w:val="single" w:sz="4" w:space="0" w:color="000000"/>
              <w:right w:val="single" w:sz="4" w:space="0" w:color="000000"/>
            </w:tcBorders>
            <w:shd w:val="clear" w:color="auto" w:fill="D2D2D2"/>
          </w:tcPr>
          <w:p>
            <w:pPr/>
          </w:p>
        </w:tc>
        <w:tc>
          <w:tcPr>
            <w:tcW w:w="628" w:type="dxa"/>
            <w:vMerge/>
            <w:tcBorders>
              <w:left w:val="single" w:sz="4" w:space="0" w:color="000000"/>
              <w:bottom w:val="single" w:sz="4" w:space="0" w:color="000000"/>
              <w:right w:val="single" w:sz="4" w:space="0" w:color="000000"/>
            </w:tcBorders>
            <w:shd w:val="clear" w:color="auto" w:fill="D2D2D2"/>
          </w:tcPr>
          <w:p>
            <w:pPr/>
          </w:p>
        </w:tc>
        <w:tc>
          <w:tcPr>
            <w:tcW w:w="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207" w:right="116"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208" w:right="115"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6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7"/>
              <w:ind w:left="11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6"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6"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6" w:type="dxa"/>
            <w:vMerge/>
            <w:tcBorders>
              <w:left w:val="single" w:sz="4" w:space="0" w:color="000000"/>
              <w:bottom w:val="single" w:sz="4" w:space="0" w:color="000000"/>
              <w:right w:val="single" w:sz="4" w:space="0" w:color="000000"/>
            </w:tcBorders>
            <w:shd w:val="clear" w:color="auto" w:fill="D2D2D2"/>
          </w:tcPr>
          <w:p>
            <w:pPr/>
          </w:p>
        </w:tc>
        <w:tc>
          <w:tcPr>
            <w:tcW w:w="615" w:type="dxa"/>
            <w:vMerge/>
            <w:tcBorders>
              <w:left w:val="single" w:sz="4" w:space="0" w:color="000000"/>
              <w:bottom w:val="single" w:sz="4" w:space="0" w:color="000000"/>
              <w:right w:val="single" w:sz="4" w:space="0" w:color="000000"/>
            </w:tcBorders>
            <w:shd w:val="clear" w:color="auto" w:fill="D2D2D2"/>
          </w:tcPr>
          <w:p>
            <w:pPr/>
          </w:p>
        </w:tc>
        <w:tc>
          <w:tcPr>
            <w:tcW w:w="710" w:type="dxa"/>
            <w:vMerge/>
            <w:tcBorders>
              <w:left w:val="single" w:sz="4" w:space="0" w:color="000000"/>
              <w:bottom w:val="single" w:sz="4" w:space="0" w:color="000000"/>
              <w:right w:val="single" w:sz="4" w:space="0" w:color="000000"/>
            </w:tcBorders>
            <w:shd w:val="clear" w:color="auto" w:fill="D2D2D2"/>
          </w:tcPr>
          <w:p>
            <w:pPr/>
          </w:p>
        </w:tc>
        <w:tc>
          <w:tcPr>
            <w:tcW w:w="863" w:type="dxa"/>
            <w:vMerge/>
            <w:tcBorders>
              <w:left w:val="single" w:sz="4" w:space="0" w:color="000000"/>
              <w:bottom w:val="single" w:sz="4" w:space="0" w:color="000000"/>
              <w:right w:val="single" w:sz="4" w:space="0" w:color="000000"/>
            </w:tcBorders>
            <w:shd w:val="clear" w:color="auto" w:fill="D2D2D2"/>
          </w:tcPr>
          <w:p>
            <w:pPr/>
          </w:p>
        </w:tc>
      </w:tr>
      <w:tr>
        <w:trPr>
          <w:trHeight w:val="91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6"/>
                <w:szCs w:val="16"/>
              </w:rPr>
            </w:pPr>
          </w:p>
          <w:p>
            <w:pPr>
              <w:pStyle w:val="TableParagraph"/>
              <w:spacing w:line="232" w:lineRule="exact"/>
              <w:ind w:left="103" w:right="110"/>
              <w:jc w:val="left"/>
              <w:rPr>
                <w:rFonts w:ascii="宋体" w:hAnsi="宋体" w:cs="宋体" w:eastAsia="宋体" w:hint="default"/>
                <w:sz w:val="18"/>
                <w:szCs w:val="18"/>
              </w:rPr>
            </w:pPr>
            <w:r>
              <w:rPr>
                <w:rFonts w:ascii="宋体" w:hAnsi="宋体" w:cs="宋体" w:eastAsia="宋体" w:hint="default"/>
                <w:sz w:val="18"/>
                <w:szCs w:val="18"/>
              </w:rPr>
              <w:t>一、上年期末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110" w:right="0"/>
              <w:jc w:val="left"/>
              <w:rPr>
                <w:rFonts w:ascii="Times New Roman" w:hAnsi="Times New Roman" w:cs="Times New Roman" w:eastAsia="Times New Roman" w:hint="default"/>
                <w:sz w:val="18"/>
                <w:szCs w:val="18"/>
              </w:rPr>
            </w:pPr>
            <w:r>
              <w:rPr>
                <w:rFonts w:ascii="Times New Roman"/>
                <w:sz w:val="18"/>
              </w:rPr>
              <w:t>1,035</w:t>
            </w:r>
          </w:p>
          <w:p>
            <w:pPr>
              <w:pStyle w:val="TableParagraph"/>
              <w:spacing w:line="206" w:lineRule="exact"/>
              <w:ind w:left="156" w:right="0"/>
              <w:jc w:val="left"/>
              <w:rPr>
                <w:rFonts w:ascii="Times New Roman" w:hAnsi="Times New Roman" w:cs="Times New Roman" w:eastAsia="Times New Roman" w:hint="default"/>
                <w:sz w:val="18"/>
                <w:szCs w:val="18"/>
              </w:rPr>
            </w:pPr>
            <w:r>
              <w:rPr>
                <w:rFonts w:ascii="Times New Roman"/>
                <w:sz w:val="18"/>
              </w:rPr>
              <w:t>,489,</w:t>
            </w:r>
          </w:p>
          <w:p>
            <w:pPr>
              <w:pStyle w:val="TableParagraph"/>
              <w:spacing w:line="207" w:lineRule="exact"/>
              <w:ind w:left="110" w:right="0"/>
              <w:jc w:val="left"/>
              <w:rPr>
                <w:rFonts w:ascii="Times New Roman" w:hAnsi="Times New Roman" w:cs="Times New Roman" w:eastAsia="Times New Roman" w:hint="default"/>
                <w:sz w:val="18"/>
                <w:szCs w:val="18"/>
              </w:rPr>
            </w:pPr>
            <w:r>
              <w:rPr>
                <w:rFonts w:ascii="Times New Roman"/>
                <w:sz w:val="18"/>
              </w:rPr>
              <w:t>098.0</w:t>
            </w:r>
          </w:p>
          <w:p>
            <w:pPr>
              <w:pStyle w:val="TableParagraph"/>
              <w:spacing w:line="240" w:lineRule="auto" w:before="2"/>
              <w:ind w:right="101"/>
              <w:jc w:val="right"/>
              <w:rPr>
                <w:rFonts w:ascii="Times New Roman" w:hAnsi="Times New Roman" w:cs="Times New Roman" w:eastAsia="Times New Roman" w:hint="default"/>
                <w:sz w:val="18"/>
                <w:szCs w:val="18"/>
              </w:rPr>
            </w:pPr>
            <w:r>
              <w:rPr>
                <w:rFonts w:ascii="Times New Roman"/>
                <w:sz w:val="18"/>
              </w:rPr>
              <w:t>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60" w:right="0"/>
              <w:jc w:val="center"/>
              <w:rPr>
                <w:rFonts w:ascii="Times New Roman" w:hAnsi="Times New Roman" w:cs="Times New Roman" w:eastAsia="Times New Roman" w:hint="default"/>
                <w:sz w:val="18"/>
                <w:szCs w:val="18"/>
              </w:rPr>
            </w:pPr>
            <w:r>
              <w:rPr>
                <w:rFonts w:ascii="Times New Roman"/>
                <w:sz w:val="18"/>
              </w:rPr>
              <w:t>1,717,</w:t>
            </w:r>
          </w:p>
          <w:p>
            <w:pPr>
              <w:pStyle w:val="TableParagraph"/>
              <w:spacing w:line="206" w:lineRule="exact"/>
              <w:ind w:left="14" w:right="0"/>
              <w:jc w:val="center"/>
              <w:rPr>
                <w:rFonts w:ascii="Times New Roman" w:hAnsi="Times New Roman" w:cs="Times New Roman" w:eastAsia="Times New Roman" w:hint="default"/>
                <w:sz w:val="18"/>
                <w:szCs w:val="18"/>
              </w:rPr>
            </w:pPr>
            <w:r>
              <w:rPr>
                <w:rFonts w:ascii="Times New Roman"/>
                <w:sz w:val="18"/>
              </w:rPr>
              <w:t>724,51</w:t>
            </w:r>
          </w:p>
          <w:p>
            <w:pPr>
              <w:pStyle w:val="TableParagraph"/>
              <w:spacing w:line="207" w:lineRule="exact"/>
              <w:ind w:left="194" w:right="0"/>
              <w:jc w:val="center"/>
              <w:rPr>
                <w:rFonts w:ascii="Times New Roman" w:hAnsi="Times New Roman" w:cs="Times New Roman" w:eastAsia="Times New Roman" w:hint="default"/>
                <w:sz w:val="18"/>
                <w:szCs w:val="18"/>
              </w:rPr>
            </w:pPr>
            <w:r>
              <w:rPr>
                <w:rFonts w:ascii="Times New Roman"/>
                <w:sz w:val="18"/>
              </w:rPr>
              <w:t>4.22</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50" w:right="0"/>
              <w:jc w:val="left"/>
              <w:rPr>
                <w:rFonts w:ascii="Times New Roman" w:hAnsi="Times New Roman" w:cs="Times New Roman" w:eastAsia="Times New Roman" w:hint="default"/>
                <w:sz w:val="18"/>
                <w:szCs w:val="18"/>
              </w:rPr>
            </w:pPr>
            <w:r>
              <w:rPr>
                <w:rFonts w:ascii="Times New Roman"/>
                <w:sz w:val="18"/>
              </w:rPr>
              <w:t>-35,69</w:t>
            </w:r>
          </w:p>
          <w:p>
            <w:pPr>
              <w:pStyle w:val="TableParagraph"/>
              <w:spacing w:line="206" w:lineRule="exact"/>
              <w:ind w:left="162" w:right="0"/>
              <w:jc w:val="left"/>
              <w:rPr>
                <w:rFonts w:ascii="Times New Roman" w:hAnsi="Times New Roman" w:cs="Times New Roman" w:eastAsia="Times New Roman" w:hint="default"/>
                <w:sz w:val="18"/>
                <w:szCs w:val="18"/>
              </w:rPr>
            </w:pPr>
            <w:r>
              <w:rPr>
                <w:rFonts w:ascii="Times New Roman"/>
                <w:sz w:val="18"/>
              </w:rPr>
              <w:t>5,315.</w:t>
            </w:r>
          </w:p>
          <w:p>
            <w:pPr>
              <w:pStyle w:val="TableParagraph"/>
              <w:spacing w:line="207" w:lineRule="exact"/>
              <w:ind w:left="433" w:right="0"/>
              <w:jc w:val="left"/>
              <w:rPr>
                <w:rFonts w:ascii="Times New Roman" w:hAnsi="Times New Roman" w:cs="Times New Roman" w:eastAsia="Times New Roman" w:hint="default"/>
                <w:sz w:val="18"/>
                <w:szCs w:val="18"/>
              </w:rPr>
            </w:pPr>
            <w:r>
              <w:rPr>
                <w:rFonts w:ascii="Times New Roman"/>
                <w:sz w:val="18"/>
              </w:rPr>
              <w:t>65</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17" w:right="0"/>
              <w:jc w:val="left"/>
              <w:rPr>
                <w:rFonts w:ascii="Times New Roman" w:hAnsi="Times New Roman" w:cs="Times New Roman" w:eastAsia="Times New Roman" w:hint="default"/>
                <w:sz w:val="18"/>
                <w:szCs w:val="18"/>
              </w:rPr>
            </w:pPr>
            <w:r>
              <w:rPr>
                <w:rFonts w:ascii="Times New Roman"/>
                <w:sz w:val="18"/>
              </w:rPr>
              <w:t>120,54</w:t>
            </w:r>
          </w:p>
          <w:p>
            <w:pPr>
              <w:pStyle w:val="TableParagraph"/>
              <w:spacing w:line="206" w:lineRule="exact"/>
              <w:ind w:left="163" w:right="0"/>
              <w:jc w:val="left"/>
              <w:rPr>
                <w:rFonts w:ascii="Times New Roman" w:hAnsi="Times New Roman" w:cs="Times New Roman" w:eastAsia="Times New Roman" w:hint="default"/>
                <w:sz w:val="18"/>
                <w:szCs w:val="18"/>
              </w:rPr>
            </w:pPr>
            <w:r>
              <w:rPr>
                <w:rFonts w:ascii="Times New Roman"/>
                <w:sz w:val="18"/>
              </w:rPr>
              <w:t>1,565.</w:t>
            </w:r>
          </w:p>
          <w:p>
            <w:pPr>
              <w:pStyle w:val="TableParagraph"/>
              <w:spacing w:line="207" w:lineRule="exact"/>
              <w:ind w:left="432" w:right="0"/>
              <w:jc w:val="left"/>
              <w:rPr>
                <w:rFonts w:ascii="Times New Roman" w:hAnsi="Times New Roman" w:cs="Times New Roman" w:eastAsia="Times New Roman" w:hint="default"/>
                <w:sz w:val="18"/>
                <w:szCs w:val="18"/>
              </w:rPr>
            </w:pPr>
            <w:r>
              <w:rPr>
                <w:rFonts w:ascii="Times New Roman"/>
                <w:sz w:val="18"/>
              </w:rPr>
              <w:t>87</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83" w:right="0"/>
              <w:jc w:val="center"/>
              <w:rPr>
                <w:rFonts w:ascii="Times New Roman" w:hAnsi="Times New Roman" w:cs="Times New Roman" w:eastAsia="Times New Roman" w:hint="default"/>
                <w:sz w:val="18"/>
                <w:szCs w:val="18"/>
              </w:rPr>
            </w:pPr>
            <w:r>
              <w:rPr>
                <w:rFonts w:ascii="Times New Roman"/>
                <w:sz w:val="18"/>
              </w:rPr>
              <w:t>654,</w:t>
            </w:r>
          </w:p>
          <w:p>
            <w:pPr>
              <w:pStyle w:val="TableParagraph"/>
              <w:spacing w:line="206" w:lineRule="exact"/>
              <w:ind w:left="83" w:right="0"/>
              <w:jc w:val="center"/>
              <w:rPr>
                <w:rFonts w:ascii="Times New Roman" w:hAnsi="Times New Roman" w:cs="Times New Roman" w:eastAsia="Times New Roman" w:hint="default"/>
                <w:sz w:val="18"/>
                <w:szCs w:val="18"/>
              </w:rPr>
            </w:pPr>
            <w:r>
              <w:rPr>
                <w:rFonts w:ascii="Times New Roman"/>
                <w:sz w:val="18"/>
              </w:rPr>
              <w:t>678,</w:t>
            </w:r>
          </w:p>
          <w:p>
            <w:pPr>
              <w:pStyle w:val="TableParagraph"/>
              <w:spacing w:line="207" w:lineRule="exact"/>
              <w:ind w:left="83" w:right="0"/>
              <w:jc w:val="center"/>
              <w:rPr>
                <w:rFonts w:ascii="Times New Roman" w:hAnsi="Times New Roman" w:cs="Times New Roman" w:eastAsia="Times New Roman" w:hint="default"/>
                <w:sz w:val="18"/>
                <w:szCs w:val="18"/>
              </w:rPr>
            </w:pPr>
            <w:r>
              <w:rPr>
                <w:rFonts w:ascii="Times New Roman"/>
                <w:sz w:val="18"/>
              </w:rPr>
              <w:t>261.</w:t>
            </w:r>
          </w:p>
          <w:p>
            <w:pPr>
              <w:pStyle w:val="TableParagraph"/>
              <w:spacing w:line="240" w:lineRule="auto" w:before="2"/>
              <w:ind w:left="222" w:right="0"/>
              <w:jc w:val="center"/>
              <w:rPr>
                <w:rFonts w:ascii="Times New Roman" w:hAnsi="Times New Roman" w:cs="Times New Roman" w:eastAsia="Times New Roman" w:hint="default"/>
                <w:sz w:val="18"/>
                <w:szCs w:val="18"/>
              </w:rPr>
            </w:pPr>
            <w:r>
              <w:rPr>
                <w:rFonts w:ascii="Times New Roman"/>
                <w:sz w:val="18"/>
              </w:rPr>
              <w:t>62</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07" w:lineRule="exact"/>
              <w:ind w:left="119" w:right="0"/>
              <w:jc w:val="left"/>
              <w:rPr>
                <w:rFonts w:ascii="Times New Roman" w:hAnsi="Times New Roman" w:cs="Times New Roman" w:eastAsia="Times New Roman" w:hint="default"/>
                <w:sz w:val="18"/>
                <w:szCs w:val="18"/>
              </w:rPr>
            </w:pPr>
            <w:r>
              <w:rPr>
                <w:rFonts w:ascii="Times New Roman"/>
                <w:sz w:val="18"/>
              </w:rPr>
              <w:t>3,492,73</w:t>
            </w:r>
          </w:p>
          <w:p>
            <w:pPr>
              <w:pStyle w:val="TableParagraph"/>
              <w:spacing w:line="207" w:lineRule="exact"/>
              <w:ind w:left="119" w:right="0"/>
              <w:jc w:val="left"/>
              <w:rPr>
                <w:rFonts w:ascii="Times New Roman" w:hAnsi="Times New Roman" w:cs="Times New Roman" w:eastAsia="Times New Roman" w:hint="default"/>
                <w:sz w:val="18"/>
                <w:szCs w:val="18"/>
              </w:rPr>
            </w:pPr>
            <w:r>
              <w:rPr>
                <w:rFonts w:ascii="Times New Roman"/>
                <w:sz w:val="18"/>
              </w:rPr>
              <w:t>8,124.06</w:t>
            </w:r>
          </w:p>
        </w:tc>
      </w:tr>
      <w:tr>
        <w:trPr>
          <w:trHeight w:val="711"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2"/>
              <w:ind w:left="103" w:right="110" w:firstLine="360"/>
              <w:jc w:val="left"/>
              <w:rPr>
                <w:rFonts w:ascii="宋体" w:hAnsi="宋体" w:cs="宋体" w:eastAsia="宋体" w:hint="default"/>
                <w:sz w:val="18"/>
                <w:szCs w:val="18"/>
              </w:rPr>
            </w:pPr>
            <w:r>
              <w:rPr>
                <w:rFonts w:ascii="宋体" w:hAnsi="宋体" w:cs="宋体" w:eastAsia="宋体" w:hint="default"/>
                <w:sz w:val="18"/>
                <w:szCs w:val="18"/>
              </w:rPr>
              <w:t>加：会计 政策变更</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86" w:right="0"/>
              <w:jc w:val="left"/>
              <w:rPr>
                <w:rFonts w:ascii="Times New Roman" w:hAnsi="Times New Roman" w:cs="Times New Roman" w:eastAsia="Times New Roman" w:hint="default"/>
                <w:sz w:val="18"/>
                <w:szCs w:val="18"/>
              </w:rPr>
            </w:pPr>
            <w:r>
              <w:rPr>
                <w:rFonts w:ascii="Times New Roman"/>
                <w:sz w:val="18"/>
              </w:rPr>
              <w:t>2,60</w:t>
            </w:r>
          </w:p>
          <w:p>
            <w:pPr>
              <w:pStyle w:val="TableParagraph"/>
              <w:spacing w:line="206" w:lineRule="exact"/>
              <w:ind w:left="186" w:right="0"/>
              <w:jc w:val="left"/>
              <w:rPr>
                <w:rFonts w:ascii="Times New Roman" w:hAnsi="Times New Roman" w:cs="Times New Roman" w:eastAsia="Times New Roman" w:hint="default"/>
                <w:sz w:val="18"/>
                <w:szCs w:val="18"/>
              </w:rPr>
            </w:pPr>
            <w:r>
              <w:rPr>
                <w:rFonts w:ascii="Times New Roman"/>
                <w:sz w:val="18"/>
              </w:rPr>
              <w:t>7,83</w:t>
            </w:r>
          </w:p>
          <w:p>
            <w:pPr>
              <w:pStyle w:val="TableParagraph"/>
              <w:spacing w:line="207" w:lineRule="exact"/>
              <w:ind w:left="186" w:right="0"/>
              <w:jc w:val="left"/>
              <w:rPr>
                <w:rFonts w:ascii="Times New Roman" w:hAnsi="Times New Roman" w:cs="Times New Roman" w:eastAsia="Times New Roman" w:hint="default"/>
                <w:sz w:val="18"/>
                <w:szCs w:val="18"/>
              </w:rPr>
            </w:pPr>
            <w:r>
              <w:rPr>
                <w:rFonts w:ascii="Times New Roman"/>
                <w:sz w:val="18"/>
              </w:rPr>
              <w:t>9.45</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4"/>
              <w:ind w:left="119" w:right="0"/>
              <w:jc w:val="left"/>
              <w:rPr>
                <w:rFonts w:ascii="Times New Roman" w:hAnsi="Times New Roman" w:cs="Times New Roman" w:eastAsia="Times New Roman" w:hint="default"/>
                <w:sz w:val="18"/>
                <w:szCs w:val="18"/>
              </w:rPr>
            </w:pPr>
            <w:r>
              <w:rPr>
                <w:rFonts w:ascii="Times New Roman"/>
                <w:sz w:val="18"/>
              </w:rPr>
              <w:t>2,607,83</w:t>
            </w:r>
          </w:p>
          <w:p>
            <w:pPr>
              <w:pStyle w:val="TableParagraph"/>
              <w:spacing w:line="207" w:lineRule="exact"/>
              <w:ind w:left="435" w:right="0"/>
              <w:jc w:val="left"/>
              <w:rPr>
                <w:rFonts w:ascii="Times New Roman" w:hAnsi="Times New Roman" w:cs="Times New Roman" w:eastAsia="Times New Roman" w:hint="default"/>
                <w:sz w:val="18"/>
                <w:szCs w:val="18"/>
              </w:rPr>
            </w:pPr>
            <w:r>
              <w:rPr>
                <w:rFonts w:ascii="Times New Roman"/>
                <w:sz w:val="18"/>
              </w:rPr>
              <w:t>9.45</w:t>
            </w:r>
          </w:p>
        </w:tc>
      </w:tr>
      <w:tr>
        <w:trPr>
          <w:trHeight w:val="55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110"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91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6"/>
                <w:szCs w:val="16"/>
              </w:rPr>
            </w:pPr>
          </w:p>
          <w:p>
            <w:pPr>
              <w:pStyle w:val="TableParagraph"/>
              <w:spacing w:line="232" w:lineRule="exact"/>
              <w:ind w:left="103" w:right="110"/>
              <w:jc w:val="left"/>
              <w:rPr>
                <w:rFonts w:ascii="宋体" w:hAnsi="宋体" w:cs="宋体" w:eastAsia="宋体" w:hint="default"/>
                <w:sz w:val="18"/>
                <w:szCs w:val="18"/>
              </w:rPr>
            </w:pPr>
            <w:r>
              <w:rPr>
                <w:rFonts w:ascii="宋体" w:hAnsi="宋体" w:cs="宋体" w:eastAsia="宋体" w:hint="default"/>
                <w:sz w:val="18"/>
                <w:szCs w:val="18"/>
              </w:rPr>
              <w:t>二、本年期初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1"/>
              <w:ind w:left="110" w:right="0"/>
              <w:jc w:val="left"/>
              <w:rPr>
                <w:rFonts w:ascii="Times New Roman" w:hAnsi="Times New Roman" w:cs="Times New Roman" w:eastAsia="Times New Roman" w:hint="default"/>
                <w:sz w:val="18"/>
                <w:szCs w:val="18"/>
              </w:rPr>
            </w:pPr>
            <w:r>
              <w:rPr>
                <w:rFonts w:ascii="Times New Roman"/>
                <w:sz w:val="18"/>
              </w:rPr>
              <w:t>1,035</w:t>
            </w:r>
          </w:p>
          <w:p>
            <w:pPr>
              <w:pStyle w:val="TableParagraph"/>
              <w:spacing w:line="206" w:lineRule="exact"/>
              <w:ind w:left="156" w:right="0"/>
              <w:jc w:val="left"/>
              <w:rPr>
                <w:rFonts w:ascii="Times New Roman" w:hAnsi="Times New Roman" w:cs="Times New Roman" w:eastAsia="Times New Roman" w:hint="default"/>
                <w:sz w:val="18"/>
                <w:szCs w:val="18"/>
              </w:rPr>
            </w:pPr>
            <w:r>
              <w:rPr>
                <w:rFonts w:ascii="Times New Roman"/>
                <w:sz w:val="18"/>
              </w:rPr>
              <w:t>,489,</w:t>
            </w:r>
          </w:p>
          <w:p>
            <w:pPr>
              <w:pStyle w:val="TableParagraph"/>
              <w:spacing w:line="206" w:lineRule="exact"/>
              <w:ind w:left="110" w:right="0"/>
              <w:jc w:val="left"/>
              <w:rPr>
                <w:rFonts w:ascii="Times New Roman" w:hAnsi="Times New Roman" w:cs="Times New Roman" w:eastAsia="Times New Roman" w:hint="default"/>
                <w:sz w:val="18"/>
                <w:szCs w:val="18"/>
              </w:rPr>
            </w:pPr>
            <w:r>
              <w:rPr>
                <w:rFonts w:ascii="Times New Roman"/>
                <w:sz w:val="18"/>
              </w:rPr>
              <w:t>098.0</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before="144"/>
              <w:ind w:left="60" w:right="0"/>
              <w:jc w:val="center"/>
              <w:rPr>
                <w:rFonts w:ascii="Times New Roman" w:hAnsi="Times New Roman" w:cs="Times New Roman" w:eastAsia="Times New Roman" w:hint="default"/>
                <w:sz w:val="18"/>
                <w:szCs w:val="18"/>
              </w:rPr>
            </w:pPr>
            <w:r>
              <w:rPr>
                <w:rFonts w:ascii="Times New Roman"/>
                <w:sz w:val="18"/>
              </w:rPr>
              <w:t>1,717,</w:t>
            </w:r>
          </w:p>
          <w:p>
            <w:pPr>
              <w:pStyle w:val="TableParagraph"/>
              <w:spacing w:line="205" w:lineRule="exact"/>
              <w:ind w:left="14" w:right="0"/>
              <w:jc w:val="center"/>
              <w:rPr>
                <w:rFonts w:ascii="Times New Roman" w:hAnsi="Times New Roman" w:cs="Times New Roman" w:eastAsia="Times New Roman" w:hint="default"/>
                <w:sz w:val="18"/>
                <w:szCs w:val="18"/>
              </w:rPr>
            </w:pPr>
            <w:r>
              <w:rPr>
                <w:rFonts w:ascii="Times New Roman"/>
                <w:sz w:val="18"/>
              </w:rPr>
              <w:t>724,51</w:t>
            </w:r>
          </w:p>
          <w:p>
            <w:pPr>
              <w:pStyle w:val="TableParagraph"/>
              <w:spacing w:line="240" w:lineRule="auto" w:before="2"/>
              <w:ind w:left="194" w:right="0"/>
              <w:jc w:val="center"/>
              <w:rPr>
                <w:rFonts w:ascii="Times New Roman" w:hAnsi="Times New Roman" w:cs="Times New Roman" w:eastAsia="Times New Roman" w:hint="default"/>
                <w:sz w:val="18"/>
                <w:szCs w:val="18"/>
              </w:rPr>
            </w:pPr>
            <w:r>
              <w:rPr>
                <w:rFonts w:ascii="Times New Roman"/>
                <w:sz w:val="18"/>
              </w:rPr>
              <w:t>4.22</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before="144"/>
              <w:ind w:left="150" w:right="0"/>
              <w:jc w:val="left"/>
              <w:rPr>
                <w:rFonts w:ascii="Times New Roman" w:hAnsi="Times New Roman" w:cs="Times New Roman" w:eastAsia="Times New Roman" w:hint="default"/>
                <w:sz w:val="18"/>
                <w:szCs w:val="18"/>
              </w:rPr>
            </w:pPr>
            <w:r>
              <w:rPr>
                <w:rFonts w:ascii="Times New Roman"/>
                <w:sz w:val="18"/>
              </w:rPr>
              <w:t>-35,69</w:t>
            </w:r>
          </w:p>
          <w:p>
            <w:pPr>
              <w:pStyle w:val="TableParagraph"/>
              <w:spacing w:line="205" w:lineRule="exact"/>
              <w:ind w:left="162" w:right="0"/>
              <w:jc w:val="left"/>
              <w:rPr>
                <w:rFonts w:ascii="Times New Roman" w:hAnsi="Times New Roman" w:cs="Times New Roman" w:eastAsia="Times New Roman" w:hint="default"/>
                <w:sz w:val="18"/>
                <w:szCs w:val="18"/>
              </w:rPr>
            </w:pPr>
            <w:r>
              <w:rPr>
                <w:rFonts w:ascii="Times New Roman"/>
                <w:sz w:val="18"/>
              </w:rPr>
              <w:t>5,315.</w:t>
            </w:r>
          </w:p>
          <w:p>
            <w:pPr>
              <w:pStyle w:val="TableParagraph"/>
              <w:spacing w:line="240" w:lineRule="auto" w:before="2"/>
              <w:ind w:left="433" w:right="0"/>
              <w:jc w:val="left"/>
              <w:rPr>
                <w:rFonts w:ascii="Times New Roman" w:hAnsi="Times New Roman" w:cs="Times New Roman" w:eastAsia="Times New Roman" w:hint="default"/>
                <w:sz w:val="18"/>
                <w:szCs w:val="18"/>
              </w:rPr>
            </w:pPr>
            <w:r>
              <w:rPr>
                <w:rFonts w:ascii="Times New Roman"/>
                <w:sz w:val="18"/>
              </w:rPr>
              <w:t>65</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before="144"/>
              <w:ind w:left="117" w:right="0"/>
              <w:jc w:val="left"/>
              <w:rPr>
                <w:rFonts w:ascii="Times New Roman" w:hAnsi="Times New Roman" w:cs="Times New Roman" w:eastAsia="Times New Roman" w:hint="default"/>
                <w:sz w:val="18"/>
                <w:szCs w:val="18"/>
              </w:rPr>
            </w:pPr>
            <w:r>
              <w:rPr>
                <w:rFonts w:ascii="Times New Roman"/>
                <w:sz w:val="18"/>
              </w:rPr>
              <w:t>120,54</w:t>
            </w:r>
          </w:p>
          <w:p>
            <w:pPr>
              <w:pStyle w:val="TableParagraph"/>
              <w:spacing w:line="205" w:lineRule="exact"/>
              <w:ind w:left="163" w:right="0"/>
              <w:jc w:val="left"/>
              <w:rPr>
                <w:rFonts w:ascii="Times New Roman" w:hAnsi="Times New Roman" w:cs="Times New Roman" w:eastAsia="Times New Roman" w:hint="default"/>
                <w:sz w:val="18"/>
                <w:szCs w:val="18"/>
              </w:rPr>
            </w:pPr>
            <w:r>
              <w:rPr>
                <w:rFonts w:ascii="Times New Roman"/>
                <w:sz w:val="18"/>
              </w:rPr>
              <w:t>1,565.</w:t>
            </w:r>
          </w:p>
          <w:p>
            <w:pPr>
              <w:pStyle w:val="TableParagraph"/>
              <w:spacing w:line="240" w:lineRule="auto" w:before="2"/>
              <w:ind w:left="432" w:right="0"/>
              <w:jc w:val="left"/>
              <w:rPr>
                <w:rFonts w:ascii="Times New Roman" w:hAnsi="Times New Roman" w:cs="Times New Roman" w:eastAsia="Times New Roman" w:hint="default"/>
                <w:sz w:val="18"/>
                <w:szCs w:val="18"/>
              </w:rPr>
            </w:pPr>
            <w:r>
              <w:rPr>
                <w:rFonts w:ascii="Times New Roman"/>
                <w:sz w:val="18"/>
              </w:rPr>
              <w:t>87</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1"/>
              <w:ind w:left="83" w:right="0"/>
              <w:jc w:val="center"/>
              <w:rPr>
                <w:rFonts w:ascii="Times New Roman" w:hAnsi="Times New Roman" w:cs="Times New Roman" w:eastAsia="Times New Roman" w:hint="default"/>
                <w:sz w:val="18"/>
                <w:szCs w:val="18"/>
              </w:rPr>
            </w:pPr>
            <w:r>
              <w:rPr>
                <w:rFonts w:ascii="Times New Roman"/>
                <w:sz w:val="18"/>
              </w:rPr>
              <w:t>657,</w:t>
            </w:r>
          </w:p>
          <w:p>
            <w:pPr>
              <w:pStyle w:val="TableParagraph"/>
              <w:spacing w:line="206" w:lineRule="exact"/>
              <w:ind w:left="83" w:right="0"/>
              <w:jc w:val="center"/>
              <w:rPr>
                <w:rFonts w:ascii="Times New Roman" w:hAnsi="Times New Roman" w:cs="Times New Roman" w:eastAsia="Times New Roman" w:hint="default"/>
                <w:sz w:val="18"/>
                <w:szCs w:val="18"/>
              </w:rPr>
            </w:pPr>
            <w:r>
              <w:rPr>
                <w:rFonts w:ascii="Times New Roman"/>
                <w:sz w:val="18"/>
              </w:rPr>
              <w:t>286,</w:t>
            </w:r>
          </w:p>
          <w:p>
            <w:pPr>
              <w:pStyle w:val="TableParagraph"/>
              <w:spacing w:line="206" w:lineRule="exact"/>
              <w:ind w:left="83" w:right="0"/>
              <w:jc w:val="center"/>
              <w:rPr>
                <w:rFonts w:ascii="Times New Roman" w:hAnsi="Times New Roman" w:cs="Times New Roman" w:eastAsia="Times New Roman" w:hint="default"/>
                <w:sz w:val="18"/>
                <w:szCs w:val="18"/>
              </w:rPr>
            </w:pPr>
            <w:r>
              <w:rPr>
                <w:rFonts w:ascii="Times New Roman"/>
                <w:sz w:val="18"/>
              </w:rPr>
              <w:t>101.</w:t>
            </w:r>
          </w:p>
          <w:p>
            <w:pPr>
              <w:pStyle w:val="TableParagraph"/>
              <w:spacing w:line="207" w:lineRule="exact"/>
              <w:ind w:left="222" w:right="0"/>
              <w:jc w:val="center"/>
              <w:rPr>
                <w:rFonts w:ascii="Times New Roman" w:hAnsi="Times New Roman" w:cs="Times New Roman" w:eastAsia="Times New Roman" w:hint="default"/>
                <w:sz w:val="18"/>
                <w:szCs w:val="18"/>
              </w:rPr>
            </w:pPr>
            <w:r>
              <w:rPr>
                <w:rFonts w:ascii="Times New Roman"/>
                <w:sz w:val="18"/>
              </w:rPr>
              <w:t>07</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05" w:lineRule="exact"/>
              <w:ind w:left="119" w:right="0"/>
              <w:jc w:val="left"/>
              <w:rPr>
                <w:rFonts w:ascii="Times New Roman" w:hAnsi="Times New Roman" w:cs="Times New Roman" w:eastAsia="Times New Roman" w:hint="default"/>
                <w:sz w:val="18"/>
                <w:szCs w:val="18"/>
              </w:rPr>
            </w:pPr>
            <w:r>
              <w:rPr>
                <w:rFonts w:ascii="Times New Roman"/>
                <w:sz w:val="18"/>
              </w:rPr>
              <w:t>3,495,34</w:t>
            </w:r>
          </w:p>
          <w:p>
            <w:pPr>
              <w:pStyle w:val="TableParagraph"/>
              <w:spacing w:line="205" w:lineRule="exact"/>
              <w:ind w:left="119" w:right="0"/>
              <w:jc w:val="left"/>
              <w:rPr>
                <w:rFonts w:ascii="Times New Roman" w:hAnsi="Times New Roman" w:cs="Times New Roman" w:eastAsia="Times New Roman" w:hint="default"/>
                <w:sz w:val="18"/>
                <w:szCs w:val="18"/>
              </w:rPr>
            </w:pPr>
            <w:r>
              <w:rPr>
                <w:rFonts w:ascii="Times New Roman"/>
                <w:sz w:val="18"/>
              </w:rPr>
              <w:t>5,963.51</w:t>
            </w:r>
          </w:p>
        </w:tc>
      </w:tr>
      <w:tr>
        <w:trPr>
          <w:trHeight w:val="1024"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4"/>
              <w:ind w:left="103" w:right="110"/>
              <w:jc w:val="both"/>
              <w:rPr>
                <w:rFonts w:ascii="宋体" w:hAnsi="宋体" w:cs="宋体" w:eastAsia="宋体" w:hint="default"/>
                <w:sz w:val="18"/>
                <w:szCs w:val="18"/>
              </w:rPr>
            </w:pPr>
            <w:r>
              <w:rPr>
                <w:rFonts w:ascii="宋体" w:hAnsi="宋体" w:cs="宋体" w:eastAsia="宋体" w:hint="default"/>
                <w:sz w:val="18"/>
                <w:szCs w:val="18"/>
              </w:rPr>
              <w:t>三、本期增减 变动金额（减 少以“－”号 填列）</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07" w:lineRule="exact"/>
              <w:ind w:right="99"/>
              <w:jc w:val="right"/>
              <w:rPr>
                <w:rFonts w:ascii="Times New Roman" w:hAnsi="Times New Roman" w:cs="Times New Roman" w:eastAsia="Times New Roman" w:hint="default"/>
                <w:sz w:val="18"/>
                <w:szCs w:val="18"/>
              </w:rPr>
            </w:pPr>
            <w:r>
              <w:rPr>
                <w:rFonts w:ascii="Times New Roman"/>
                <w:spacing w:val="-1"/>
                <w:sz w:val="18"/>
              </w:rPr>
              <w:t>33,758</w:t>
            </w:r>
          </w:p>
          <w:p>
            <w:pPr>
              <w:pStyle w:val="TableParagraph"/>
              <w:spacing w:line="206" w:lineRule="exact"/>
              <w:ind w:right="102"/>
              <w:jc w:val="right"/>
              <w:rPr>
                <w:rFonts w:ascii="Times New Roman" w:hAnsi="Times New Roman" w:cs="Times New Roman" w:eastAsia="Times New Roman" w:hint="default"/>
                <w:sz w:val="18"/>
                <w:szCs w:val="18"/>
              </w:rPr>
            </w:pPr>
            <w:r>
              <w:rPr>
                <w:rFonts w:ascii="Times New Roman"/>
                <w:spacing w:val="-1"/>
                <w:sz w:val="18"/>
              </w:rPr>
              <w:t>,242.9</w:t>
            </w:r>
          </w:p>
          <w:p>
            <w:pPr>
              <w:pStyle w:val="TableParagraph"/>
              <w:spacing w:line="207" w:lineRule="exact"/>
              <w:ind w:right="102"/>
              <w:jc w:val="right"/>
              <w:rPr>
                <w:rFonts w:ascii="Times New Roman" w:hAnsi="Times New Roman" w:cs="Times New Roman" w:eastAsia="Times New Roman" w:hint="default"/>
                <w:sz w:val="18"/>
                <w:szCs w:val="18"/>
              </w:rPr>
            </w:pPr>
            <w:r>
              <w:rPr>
                <w:rFonts w:ascii="Times New Roman"/>
                <w:sz w:val="18"/>
              </w:rPr>
              <w:t>9</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pacing w:val="-1"/>
                <w:sz w:val="18"/>
              </w:rPr>
              <w:t>14,322</w:t>
            </w:r>
          </w:p>
          <w:p>
            <w:pPr>
              <w:pStyle w:val="TableParagraph"/>
              <w:spacing w:line="206" w:lineRule="exact"/>
              <w:ind w:right="100"/>
              <w:jc w:val="right"/>
              <w:rPr>
                <w:rFonts w:ascii="Times New Roman" w:hAnsi="Times New Roman" w:cs="Times New Roman" w:eastAsia="Times New Roman" w:hint="default"/>
                <w:sz w:val="18"/>
                <w:szCs w:val="18"/>
              </w:rPr>
            </w:pPr>
            <w:r>
              <w:rPr>
                <w:rFonts w:ascii="Times New Roman"/>
                <w:spacing w:val="-1"/>
                <w:sz w:val="18"/>
              </w:rPr>
              <w:t>,609.2</w:t>
            </w: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z w:val="18"/>
              </w:rPr>
              <w:t>1</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92"/>
              <w:ind w:left="83" w:right="0"/>
              <w:jc w:val="center"/>
              <w:rPr>
                <w:rFonts w:ascii="Times New Roman" w:hAnsi="Times New Roman" w:cs="Times New Roman" w:eastAsia="Times New Roman" w:hint="default"/>
                <w:sz w:val="18"/>
                <w:szCs w:val="18"/>
              </w:rPr>
            </w:pPr>
            <w:r>
              <w:rPr>
                <w:rFonts w:ascii="Times New Roman"/>
                <w:sz w:val="18"/>
              </w:rPr>
              <w:t>108,</w:t>
            </w:r>
          </w:p>
          <w:p>
            <w:pPr>
              <w:pStyle w:val="TableParagraph"/>
              <w:spacing w:line="206" w:lineRule="exact"/>
              <w:ind w:left="83" w:right="0"/>
              <w:jc w:val="center"/>
              <w:rPr>
                <w:rFonts w:ascii="Times New Roman" w:hAnsi="Times New Roman" w:cs="Times New Roman" w:eastAsia="Times New Roman" w:hint="default"/>
                <w:sz w:val="18"/>
                <w:szCs w:val="18"/>
              </w:rPr>
            </w:pPr>
            <w:r>
              <w:rPr>
                <w:rFonts w:ascii="Times New Roman"/>
                <w:sz w:val="18"/>
              </w:rPr>
              <w:t>193,</w:t>
            </w:r>
          </w:p>
          <w:p>
            <w:pPr>
              <w:pStyle w:val="TableParagraph"/>
              <w:spacing w:line="206" w:lineRule="exact"/>
              <w:ind w:left="83" w:right="0"/>
              <w:jc w:val="center"/>
              <w:rPr>
                <w:rFonts w:ascii="Times New Roman" w:hAnsi="Times New Roman" w:cs="Times New Roman" w:eastAsia="Times New Roman" w:hint="default"/>
                <w:sz w:val="18"/>
                <w:szCs w:val="18"/>
              </w:rPr>
            </w:pPr>
            <w:r>
              <w:rPr>
                <w:rFonts w:ascii="Times New Roman"/>
                <w:sz w:val="18"/>
              </w:rPr>
              <w:t>700.</w:t>
            </w:r>
          </w:p>
          <w:p>
            <w:pPr>
              <w:pStyle w:val="TableParagraph"/>
              <w:spacing w:line="207" w:lineRule="exact"/>
              <w:ind w:left="222" w:right="0"/>
              <w:jc w:val="center"/>
              <w:rPr>
                <w:rFonts w:ascii="Times New Roman" w:hAnsi="Times New Roman" w:cs="Times New Roman" w:eastAsia="Times New Roman" w:hint="default"/>
                <w:sz w:val="18"/>
                <w:szCs w:val="18"/>
              </w:rPr>
            </w:pPr>
            <w:r>
              <w:rPr>
                <w:rFonts w:ascii="Times New Roman"/>
                <w:sz w:val="18"/>
              </w:rPr>
              <w:t>89</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07" w:lineRule="exact"/>
              <w:ind w:left="15" w:right="0"/>
              <w:jc w:val="center"/>
              <w:rPr>
                <w:rFonts w:ascii="Times New Roman" w:hAnsi="Times New Roman" w:cs="Times New Roman" w:eastAsia="Times New Roman" w:hint="default"/>
                <w:sz w:val="18"/>
                <w:szCs w:val="18"/>
              </w:rPr>
            </w:pPr>
            <w:r>
              <w:rPr>
                <w:rFonts w:ascii="Times New Roman"/>
                <w:sz w:val="18"/>
              </w:rPr>
              <w:t>156,274,</w:t>
            </w:r>
          </w:p>
          <w:p>
            <w:pPr>
              <w:pStyle w:val="TableParagraph"/>
              <w:spacing w:line="207" w:lineRule="exact"/>
              <w:ind w:left="153" w:right="0"/>
              <w:jc w:val="center"/>
              <w:rPr>
                <w:rFonts w:ascii="Times New Roman" w:hAnsi="Times New Roman" w:cs="Times New Roman" w:eastAsia="Times New Roman" w:hint="default"/>
                <w:sz w:val="18"/>
                <w:szCs w:val="18"/>
              </w:rPr>
            </w:pPr>
            <w:r>
              <w:rPr>
                <w:rFonts w:ascii="Times New Roman"/>
                <w:sz w:val="18"/>
              </w:rPr>
              <w:t>553.09</w:t>
            </w:r>
          </w:p>
        </w:tc>
      </w:tr>
      <w:tr>
        <w:trPr>
          <w:trHeight w:val="91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6"/>
                <w:szCs w:val="16"/>
              </w:rPr>
            </w:pPr>
          </w:p>
          <w:p>
            <w:pPr>
              <w:pStyle w:val="TableParagraph"/>
              <w:spacing w:line="232" w:lineRule="exact"/>
              <w:ind w:left="103" w:right="110"/>
              <w:jc w:val="left"/>
              <w:rPr>
                <w:rFonts w:ascii="宋体" w:hAnsi="宋体" w:cs="宋体" w:eastAsia="宋体" w:hint="default"/>
                <w:sz w:val="18"/>
                <w:szCs w:val="18"/>
              </w:rPr>
            </w:pPr>
            <w:r>
              <w:rPr>
                <w:rFonts w:ascii="宋体" w:hAnsi="宋体" w:cs="宋体" w:eastAsia="宋体" w:hint="default"/>
                <w:sz w:val="18"/>
                <w:szCs w:val="18"/>
              </w:rPr>
              <w:t>（一）综合收 益总额</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1"/>
              <w:ind w:right="99"/>
              <w:jc w:val="right"/>
              <w:rPr>
                <w:rFonts w:ascii="Times New Roman" w:hAnsi="Times New Roman" w:cs="Times New Roman" w:eastAsia="Times New Roman" w:hint="default"/>
                <w:sz w:val="18"/>
                <w:szCs w:val="18"/>
              </w:rPr>
            </w:pPr>
            <w:r>
              <w:rPr>
                <w:rFonts w:ascii="Times New Roman"/>
                <w:spacing w:val="-1"/>
                <w:sz w:val="18"/>
              </w:rPr>
              <w:t>33,758</w:t>
            </w:r>
          </w:p>
          <w:p>
            <w:pPr>
              <w:pStyle w:val="TableParagraph"/>
              <w:spacing w:line="206" w:lineRule="exact"/>
              <w:ind w:right="102"/>
              <w:jc w:val="right"/>
              <w:rPr>
                <w:rFonts w:ascii="Times New Roman" w:hAnsi="Times New Roman" w:cs="Times New Roman" w:eastAsia="Times New Roman" w:hint="default"/>
                <w:sz w:val="18"/>
                <w:szCs w:val="18"/>
              </w:rPr>
            </w:pPr>
            <w:r>
              <w:rPr>
                <w:rFonts w:ascii="Times New Roman"/>
                <w:spacing w:val="-1"/>
                <w:sz w:val="18"/>
              </w:rPr>
              <w:t>,242.9</w:t>
            </w:r>
          </w:p>
          <w:p>
            <w:pPr>
              <w:pStyle w:val="TableParagraph"/>
              <w:spacing w:line="207" w:lineRule="exact"/>
              <w:ind w:right="102"/>
              <w:jc w:val="right"/>
              <w:rPr>
                <w:rFonts w:ascii="Times New Roman" w:hAnsi="Times New Roman" w:cs="Times New Roman" w:eastAsia="Times New Roman" w:hint="default"/>
                <w:sz w:val="18"/>
                <w:szCs w:val="18"/>
              </w:rPr>
            </w:pPr>
            <w:r>
              <w:rPr>
                <w:rFonts w:ascii="Times New Roman"/>
                <w:sz w:val="18"/>
              </w:rPr>
              <w:t>9</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8"/>
              <w:ind w:left="83" w:right="0"/>
              <w:jc w:val="center"/>
              <w:rPr>
                <w:rFonts w:ascii="Times New Roman" w:hAnsi="Times New Roman" w:cs="Times New Roman" w:eastAsia="Times New Roman" w:hint="default"/>
                <w:sz w:val="18"/>
                <w:szCs w:val="18"/>
              </w:rPr>
            </w:pPr>
            <w:r>
              <w:rPr>
                <w:rFonts w:ascii="Times New Roman"/>
                <w:sz w:val="18"/>
              </w:rPr>
              <w:t>143,</w:t>
            </w:r>
          </w:p>
          <w:p>
            <w:pPr>
              <w:pStyle w:val="TableParagraph"/>
              <w:spacing w:line="207" w:lineRule="exact"/>
              <w:ind w:left="83" w:right="0"/>
              <w:jc w:val="center"/>
              <w:rPr>
                <w:rFonts w:ascii="Times New Roman" w:hAnsi="Times New Roman" w:cs="Times New Roman" w:eastAsia="Times New Roman" w:hint="default"/>
                <w:sz w:val="18"/>
                <w:szCs w:val="18"/>
              </w:rPr>
            </w:pPr>
            <w:r>
              <w:rPr>
                <w:rFonts w:ascii="Times New Roman"/>
                <w:sz w:val="18"/>
              </w:rPr>
              <w:t>226,</w:t>
            </w:r>
          </w:p>
          <w:p>
            <w:pPr>
              <w:pStyle w:val="TableParagraph"/>
              <w:spacing w:line="207" w:lineRule="exact" w:before="2"/>
              <w:ind w:left="83" w:right="0"/>
              <w:jc w:val="center"/>
              <w:rPr>
                <w:rFonts w:ascii="Times New Roman" w:hAnsi="Times New Roman" w:cs="Times New Roman" w:eastAsia="Times New Roman" w:hint="default"/>
                <w:sz w:val="18"/>
                <w:szCs w:val="18"/>
              </w:rPr>
            </w:pPr>
            <w:r>
              <w:rPr>
                <w:rFonts w:ascii="Times New Roman"/>
                <w:sz w:val="18"/>
              </w:rPr>
              <w:t>092.</w:t>
            </w:r>
          </w:p>
          <w:p>
            <w:pPr>
              <w:pStyle w:val="TableParagraph"/>
              <w:spacing w:line="207" w:lineRule="exact"/>
              <w:ind w:left="222" w:right="0"/>
              <w:jc w:val="center"/>
              <w:rPr>
                <w:rFonts w:ascii="Times New Roman" w:hAnsi="Times New Roman" w:cs="Times New Roman" w:eastAsia="Times New Roman" w:hint="default"/>
                <w:sz w:val="18"/>
                <w:szCs w:val="18"/>
              </w:rPr>
            </w:pPr>
            <w:r>
              <w:rPr>
                <w:rFonts w:ascii="Times New Roman"/>
                <w:sz w:val="18"/>
              </w:rPr>
              <w:t>06</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07" w:lineRule="exact"/>
              <w:ind w:left="15" w:right="0"/>
              <w:jc w:val="center"/>
              <w:rPr>
                <w:rFonts w:ascii="Times New Roman" w:hAnsi="Times New Roman" w:cs="Times New Roman" w:eastAsia="Times New Roman" w:hint="default"/>
                <w:sz w:val="18"/>
                <w:szCs w:val="18"/>
              </w:rPr>
            </w:pPr>
            <w:r>
              <w:rPr>
                <w:rFonts w:ascii="Times New Roman"/>
                <w:sz w:val="18"/>
              </w:rPr>
              <w:t>176,984,</w:t>
            </w:r>
          </w:p>
          <w:p>
            <w:pPr>
              <w:pStyle w:val="TableParagraph"/>
              <w:spacing w:line="207" w:lineRule="exact"/>
              <w:ind w:left="153" w:right="0"/>
              <w:jc w:val="center"/>
              <w:rPr>
                <w:rFonts w:ascii="Times New Roman" w:hAnsi="Times New Roman" w:cs="Times New Roman" w:eastAsia="Times New Roman" w:hint="default"/>
                <w:sz w:val="18"/>
                <w:szCs w:val="18"/>
              </w:rPr>
            </w:pPr>
            <w:r>
              <w:rPr>
                <w:rFonts w:ascii="Times New Roman"/>
                <w:sz w:val="18"/>
              </w:rPr>
              <w:t>335.05</w:t>
            </w:r>
          </w:p>
        </w:tc>
      </w:tr>
      <w:tr>
        <w:trPr>
          <w:trHeight w:val="79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10"/>
              <w:jc w:val="both"/>
              <w:rPr>
                <w:rFonts w:ascii="宋体" w:hAnsi="宋体" w:cs="宋体" w:eastAsia="宋体" w:hint="default"/>
                <w:sz w:val="18"/>
                <w:szCs w:val="18"/>
              </w:rPr>
            </w:pPr>
            <w:r>
              <w:rPr>
                <w:rFonts w:ascii="宋体" w:hAnsi="宋体" w:cs="宋体" w:eastAsia="宋体" w:hint="default"/>
                <w:sz w:val="18"/>
                <w:szCs w:val="18"/>
              </w:rPr>
              <w:t>（二）所有者 投入和减少资 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．所有者投入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的普通股</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7"/>
              <w:ind w:left="103"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．其他权益工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具持有者投入 资本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91"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．股份支付计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入所有者权益 的金额</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91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6"/>
                <w:szCs w:val="16"/>
              </w:rPr>
            </w:pPr>
          </w:p>
          <w:p>
            <w:pPr>
              <w:pStyle w:val="TableParagraph"/>
              <w:spacing w:line="232" w:lineRule="exact"/>
              <w:ind w:left="103" w:right="110"/>
              <w:jc w:val="left"/>
              <w:rPr>
                <w:rFonts w:ascii="宋体" w:hAnsi="宋体" w:cs="宋体" w:eastAsia="宋体" w:hint="default"/>
                <w:sz w:val="18"/>
                <w:szCs w:val="18"/>
              </w:rPr>
            </w:pPr>
            <w:r>
              <w:rPr>
                <w:rFonts w:ascii="宋体" w:hAnsi="宋体" w:cs="宋体" w:eastAsia="宋体" w:hint="default"/>
                <w:sz w:val="18"/>
                <w:szCs w:val="18"/>
              </w:rPr>
              <w:t>（三）利润分 配</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right="100"/>
              <w:jc w:val="right"/>
              <w:rPr>
                <w:rFonts w:ascii="Times New Roman" w:hAnsi="Times New Roman" w:cs="Times New Roman" w:eastAsia="Times New Roman" w:hint="default"/>
                <w:sz w:val="18"/>
                <w:szCs w:val="18"/>
              </w:rPr>
            </w:pPr>
            <w:r>
              <w:rPr>
                <w:rFonts w:ascii="Times New Roman"/>
                <w:spacing w:val="-1"/>
                <w:sz w:val="18"/>
              </w:rPr>
              <w:t>14,322</w:t>
            </w:r>
          </w:p>
          <w:p>
            <w:pPr>
              <w:pStyle w:val="TableParagraph"/>
              <w:spacing w:line="206" w:lineRule="exact"/>
              <w:ind w:right="100"/>
              <w:jc w:val="right"/>
              <w:rPr>
                <w:rFonts w:ascii="Times New Roman" w:hAnsi="Times New Roman" w:cs="Times New Roman" w:eastAsia="Times New Roman" w:hint="default"/>
                <w:sz w:val="18"/>
                <w:szCs w:val="18"/>
              </w:rPr>
            </w:pPr>
            <w:r>
              <w:rPr>
                <w:rFonts w:ascii="Times New Roman"/>
                <w:spacing w:val="-1"/>
                <w:sz w:val="18"/>
              </w:rPr>
              <w:t>,609.2</w:t>
            </w: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z w:val="18"/>
              </w:rPr>
              <w:t>1</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28" w:right="0"/>
              <w:jc w:val="left"/>
              <w:rPr>
                <w:rFonts w:ascii="Times New Roman" w:hAnsi="Times New Roman" w:cs="Times New Roman" w:eastAsia="Times New Roman" w:hint="default"/>
                <w:sz w:val="18"/>
                <w:szCs w:val="18"/>
              </w:rPr>
            </w:pPr>
            <w:r>
              <w:rPr>
                <w:rFonts w:ascii="Times New Roman"/>
                <w:sz w:val="18"/>
              </w:rPr>
              <w:t>-35,0</w:t>
            </w:r>
          </w:p>
          <w:p>
            <w:pPr>
              <w:pStyle w:val="TableParagraph"/>
              <w:spacing w:line="206" w:lineRule="exact"/>
              <w:ind w:left="186" w:right="0"/>
              <w:jc w:val="left"/>
              <w:rPr>
                <w:rFonts w:ascii="Times New Roman" w:hAnsi="Times New Roman" w:cs="Times New Roman" w:eastAsia="Times New Roman" w:hint="default"/>
                <w:sz w:val="18"/>
                <w:szCs w:val="18"/>
              </w:rPr>
            </w:pPr>
            <w:r>
              <w:rPr>
                <w:rFonts w:ascii="Times New Roman"/>
                <w:sz w:val="18"/>
              </w:rPr>
              <w:t>32,3</w:t>
            </w:r>
          </w:p>
          <w:p>
            <w:pPr>
              <w:pStyle w:val="TableParagraph"/>
              <w:spacing w:line="206" w:lineRule="exact"/>
              <w:ind w:left="186" w:right="0"/>
              <w:jc w:val="left"/>
              <w:rPr>
                <w:rFonts w:ascii="Times New Roman" w:hAnsi="Times New Roman" w:cs="Times New Roman" w:eastAsia="Times New Roman" w:hint="default"/>
                <w:sz w:val="18"/>
                <w:szCs w:val="18"/>
              </w:rPr>
            </w:pPr>
            <w:r>
              <w:rPr>
                <w:rFonts w:ascii="Times New Roman"/>
                <w:sz w:val="18"/>
              </w:rPr>
              <w:t>91.1</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7</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07" w:lineRule="exact"/>
              <w:ind w:left="48" w:right="0"/>
              <w:jc w:val="center"/>
              <w:rPr>
                <w:rFonts w:ascii="Times New Roman" w:hAnsi="Times New Roman" w:cs="Times New Roman" w:eastAsia="Times New Roman" w:hint="default"/>
                <w:sz w:val="18"/>
                <w:szCs w:val="18"/>
              </w:rPr>
            </w:pPr>
            <w:r>
              <w:rPr>
                <w:rFonts w:ascii="Times New Roman"/>
                <w:sz w:val="18"/>
              </w:rPr>
              <w:t>-20,709,</w:t>
            </w:r>
          </w:p>
          <w:p>
            <w:pPr>
              <w:pStyle w:val="TableParagraph"/>
              <w:spacing w:line="207" w:lineRule="exact"/>
              <w:ind w:left="153" w:right="0"/>
              <w:jc w:val="center"/>
              <w:rPr>
                <w:rFonts w:ascii="Times New Roman" w:hAnsi="Times New Roman" w:cs="Times New Roman" w:eastAsia="Times New Roman" w:hint="default"/>
                <w:sz w:val="18"/>
                <w:szCs w:val="18"/>
              </w:rPr>
            </w:pPr>
            <w:r>
              <w:rPr>
                <w:rFonts w:ascii="Times New Roman"/>
                <w:sz w:val="18"/>
              </w:rPr>
              <w:t>781.96</w:t>
            </w:r>
          </w:p>
        </w:tc>
      </w:tr>
      <w:tr>
        <w:trPr>
          <w:trHeight w:val="91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6"/>
                <w:szCs w:val="16"/>
              </w:rPr>
            </w:pPr>
          </w:p>
          <w:p>
            <w:pPr>
              <w:pStyle w:val="TableParagraph"/>
              <w:spacing w:line="232" w:lineRule="exact"/>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．提取盈余公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积</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right="100"/>
              <w:jc w:val="right"/>
              <w:rPr>
                <w:rFonts w:ascii="Times New Roman" w:hAnsi="Times New Roman" w:cs="Times New Roman" w:eastAsia="Times New Roman" w:hint="default"/>
                <w:sz w:val="18"/>
                <w:szCs w:val="18"/>
              </w:rPr>
            </w:pPr>
            <w:r>
              <w:rPr>
                <w:rFonts w:ascii="Times New Roman"/>
                <w:spacing w:val="-1"/>
                <w:sz w:val="18"/>
              </w:rPr>
              <w:t>14,322</w:t>
            </w:r>
          </w:p>
          <w:p>
            <w:pPr>
              <w:pStyle w:val="TableParagraph"/>
              <w:spacing w:line="206" w:lineRule="exact"/>
              <w:ind w:right="100"/>
              <w:jc w:val="right"/>
              <w:rPr>
                <w:rFonts w:ascii="Times New Roman" w:hAnsi="Times New Roman" w:cs="Times New Roman" w:eastAsia="Times New Roman" w:hint="default"/>
                <w:sz w:val="18"/>
                <w:szCs w:val="18"/>
              </w:rPr>
            </w:pPr>
            <w:r>
              <w:rPr>
                <w:rFonts w:ascii="Times New Roman"/>
                <w:spacing w:val="-1"/>
                <w:sz w:val="18"/>
              </w:rPr>
              <w:t>,609.2</w:t>
            </w: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z w:val="18"/>
              </w:rPr>
              <w:t>1</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128" w:right="0"/>
              <w:jc w:val="left"/>
              <w:rPr>
                <w:rFonts w:ascii="Times New Roman" w:hAnsi="Times New Roman" w:cs="Times New Roman" w:eastAsia="Times New Roman" w:hint="default"/>
                <w:sz w:val="18"/>
                <w:szCs w:val="18"/>
              </w:rPr>
            </w:pPr>
            <w:r>
              <w:rPr>
                <w:rFonts w:ascii="Times New Roman"/>
                <w:sz w:val="18"/>
              </w:rPr>
              <w:t>-14,3</w:t>
            </w:r>
          </w:p>
          <w:p>
            <w:pPr>
              <w:pStyle w:val="TableParagraph"/>
              <w:spacing w:line="207" w:lineRule="exact"/>
              <w:ind w:left="186" w:right="0"/>
              <w:jc w:val="left"/>
              <w:rPr>
                <w:rFonts w:ascii="Times New Roman" w:hAnsi="Times New Roman" w:cs="Times New Roman" w:eastAsia="Times New Roman" w:hint="default"/>
                <w:sz w:val="18"/>
                <w:szCs w:val="18"/>
              </w:rPr>
            </w:pPr>
            <w:r>
              <w:rPr>
                <w:rFonts w:ascii="Times New Roman"/>
                <w:sz w:val="18"/>
              </w:rPr>
              <w:t>22,6</w:t>
            </w:r>
          </w:p>
          <w:p>
            <w:pPr>
              <w:pStyle w:val="TableParagraph"/>
              <w:spacing w:line="207" w:lineRule="exact" w:before="2"/>
              <w:ind w:left="186" w:right="0"/>
              <w:jc w:val="left"/>
              <w:rPr>
                <w:rFonts w:ascii="Times New Roman" w:hAnsi="Times New Roman" w:cs="Times New Roman" w:eastAsia="Times New Roman" w:hint="default"/>
                <w:sz w:val="18"/>
                <w:szCs w:val="18"/>
              </w:rPr>
            </w:pPr>
            <w:r>
              <w:rPr>
                <w:rFonts w:ascii="Times New Roman"/>
                <w:sz w:val="18"/>
              </w:rPr>
              <w:t>09.2</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1</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11"/>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91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before="7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232" w:lineRule="exact" w:before="16"/>
              <w:ind w:left="103" w:right="110"/>
              <w:jc w:val="left"/>
              <w:rPr>
                <w:rFonts w:ascii="宋体" w:hAnsi="宋体" w:cs="宋体" w:eastAsia="宋体" w:hint="default"/>
                <w:sz w:val="18"/>
                <w:szCs w:val="18"/>
              </w:rPr>
            </w:pPr>
            <w:r>
              <w:rPr>
                <w:rFonts w:ascii="宋体" w:hAnsi="宋体" w:cs="宋体" w:eastAsia="宋体" w:hint="default"/>
                <w:sz w:val="18"/>
                <w:szCs w:val="18"/>
              </w:rPr>
              <w:t>（或股东）的 分配</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28" w:right="0"/>
              <w:jc w:val="left"/>
              <w:rPr>
                <w:rFonts w:ascii="Times New Roman" w:hAnsi="Times New Roman" w:cs="Times New Roman" w:eastAsia="Times New Roman" w:hint="default"/>
                <w:sz w:val="18"/>
                <w:szCs w:val="18"/>
              </w:rPr>
            </w:pPr>
            <w:r>
              <w:rPr>
                <w:rFonts w:ascii="Times New Roman"/>
                <w:sz w:val="18"/>
              </w:rPr>
              <w:t>-20,7</w:t>
            </w:r>
          </w:p>
          <w:p>
            <w:pPr>
              <w:pStyle w:val="TableParagraph"/>
              <w:spacing w:line="206" w:lineRule="exact"/>
              <w:ind w:left="186" w:right="0"/>
              <w:jc w:val="left"/>
              <w:rPr>
                <w:rFonts w:ascii="Times New Roman" w:hAnsi="Times New Roman" w:cs="Times New Roman" w:eastAsia="Times New Roman" w:hint="default"/>
                <w:sz w:val="18"/>
                <w:szCs w:val="18"/>
              </w:rPr>
            </w:pPr>
            <w:r>
              <w:rPr>
                <w:rFonts w:ascii="Times New Roman"/>
                <w:sz w:val="18"/>
              </w:rPr>
              <w:t>09,7</w:t>
            </w:r>
          </w:p>
          <w:p>
            <w:pPr>
              <w:pStyle w:val="TableParagraph"/>
              <w:spacing w:line="206" w:lineRule="exact"/>
              <w:ind w:left="186" w:right="0"/>
              <w:jc w:val="left"/>
              <w:rPr>
                <w:rFonts w:ascii="Times New Roman" w:hAnsi="Times New Roman" w:cs="Times New Roman" w:eastAsia="Times New Roman" w:hint="default"/>
                <w:sz w:val="18"/>
                <w:szCs w:val="18"/>
              </w:rPr>
            </w:pPr>
            <w:r>
              <w:rPr>
                <w:rFonts w:ascii="Times New Roman"/>
                <w:sz w:val="18"/>
              </w:rPr>
              <w:t>81.9</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6</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07" w:lineRule="exact"/>
              <w:ind w:left="48" w:right="0"/>
              <w:jc w:val="center"/>
              <w:rPr>
                <w:rFonts w:ascii="Times New Roman" w:hAnsi="Times New Roman" w:cs="Times New Roman" w:eastAsia="Times New Roman" w:hint="default"/>
                <w:sz w:val="18"/>
                <w:szCs w:val="18"/>
              </w:rPr>
            </w:pPr>
            <w:r>
              <w:rPr>
                <w:rFonts w:ascii="Times New Roman"/>
                <w:sz w:val="18"/>
              </w:rPr>
              <w:t>-20,709,</w:t>
            </w:r>
          </w:p>
          <w:p>
            <w:pPr>
              <w:pStyle w:val="TableParagraph"/>
              <w:spacing w:line="207" w:lineRule="exact"/>
              <w:ind w:left="153" w:right="0"/>
              <w:jc w:val="center"/>
              <w:rPr>
                <w:rFonts w:ascii="Times New Roman" w:hAnsi="Times New Roman" w:cs="Times New Roman" w:eastAsia="Times New Roman" w:hint="default"/>
                <w:sz w:val="18"/>
                <w:szCs w:val="18"/>
              </w:rPr>
            </w:pPr>
            <w:r>
              <w:rPr>
                <w:rFonts w:ascii="Times New Roman"/>
                <w:sz w:val="18"/>
              </w:rPr>
              <w:t>781.96</w:t>
            </w:r>
          </w:p>
        </w:tc>
      </w:tr>
      <w:tr>
        <w:trPr>
          <w:trHeight w:val="32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10"/>
              <w:jc w:val="left"/>
              <w:rPr>
                <w:rFonts w:ascii="宋体" w:hAnsi="宋体" w:cs="宋体" w:eastAsia="宋体" w:hint="default"/>
                <w:sz w:val="18"/>
                <w:szCs w:val="18"/>
              </w:rPr>
            </w:pPr>
            <w:r>
              <w:rPr>
                <w:rFonts w:ascii="宋体" w:hAnsi="宋体" w:cs="宋体" w:eastAsia="宋体" w:hint="default"/>
                <w:sz w:val="18"/>
                <w:szCs w:val="18"/>
              </w:rPr>
              <w:t>（四）所有者 权益内部结转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91"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．资本公积转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增资本（或股 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．盈余公积转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增资本（或股 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．盈余公积弥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补亏损</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6"/>
              <w:ind w:left="103"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4</w:t>
            </w:r>
            <w:r>
              <w:rPr>
                <w:rFonts w:ascii="宋体" w:hAnsi="宋体" w:cs="宋体" w:eastAsia="宋体" w:hint="default"/>
                <w:spacing w:val="-12"/>
                <w:sz w:val="18"/>
                <w:szCs w:val="18"/>
              </w:rPr>
              <w:t>．设定受益计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划变动额结转 留存收益</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5</w:t>
            </w:r>
            <w:r>
              <w:rPr>
                <w:rFonts w:ascii="宋体" w:hAnsi="宋体" w:cs="宋体" w:eastAsia="宋体" w:hint="default"/>
                <w:spacing w:val="-12"/>
                <w:sz w:val="18"/>
                <w:szCs w:val="18"/>
              </w:rPr>
              <w:t>．其他综合收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益结转留存收 益</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10"/>
              <w:jc w:val="left"/>
              <w:rPr>
                <w:rFonts w:ascii="宋体" w:hAnsi="宋体" w:cs="宋体" w:eastAsia="宋体" w:hint="default"/>
                <w:sz w:val="18"/>
                <w:szCs w:val="18"/>
              </w:rPr>
            </w:pPr>
            <w:r>
              <w:rPr>
                <w:rFonts w:ascii="宋体" w:hAnsi="宋体" w:cs="宋体" w:eastAsia="宋体" w:hint="default"/>
                <w:sz w:val="18"/>
                <w:szCs w:val="18"/>
              </w:rPr>
              <w:t>（五）专项储 备</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91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6"/>
                <w:szCs w:val="16"/>
              </w:rPr>
            </w:pPr>
          </w:p>
          <w:p>
            <w:pPr>
              <w:pStyle w:val="TableParagraph"/>
              <w:spacing w:line="232" w:lineRule="exact"/>
              <w:ind w:left="103" w:right="110"/>
              <w:jc w:val="left"/>
              <w:rPr>
                <w:rFonts w:ascii="宋体" w:hAnsi="宋体" w:cs="宋体" w:eastAsia="宋体" w:hint="default"/>
                <w:sz w:val="18"/>
                <w:szCs w:val="18"/>
              </w:rPr>
            </w:pPr>
            <w:r>
              <w:rPr>
                <w:rFonts w:ascii="宋体" w:hAnsi="宋体" w:cs="宋体" w:eastAsia="宋体" w:hint="default"/>
                <w:sz w:val="18"/>
                <w:szCs w:val="18"/>
              </w:rPr>
              <w:t>四、本期期末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110" w:right="0"/>
              <w:jc w:val="left"/>
              <w:rPr>
                <w:rFonts w:ascii="Times New Roman" w:hAnsi="Times New Roman" w:cs="Times New Roman" w:eastAsia="Times New Roman" w:hint="default"/>
                <w:sz w:val="18"/>
                <w:szCs w:val="18"/>
              </w:rPr>
            </w:pPr>
            <w:r>
              <w:rPr>
                <w:rFonts w:ascii="Times New Roman"/>
                <w:sz w:val="18"/>
              </w:rPr>
              <w:t>1,035</w:t>
            </w:r>
          </w:p>
          <w:p>
            <w:pPr>
              <w:pStyle w:val="TableParagraph"/>
              <w:spacing w:line="206" w:lineRule="exact"/>
              <w:ind w:left="156" w:right="0"/>
              <w:jc w:val="left"/>
              <w:rPr>
                <w:rFonts w:ascii="Times New Roman" w:hAnsi="Times New Roman" w:cs="Times New Roman" w:eastAsia="Times New Roman" w:hint="default"/>
                <w:sz w:val="18"/>
                <w:szCs w:val="18"/>
              </w:rPr>
            </w:pPr>
            <w:r>
              <w:rPr>
                <w:rFonts w:ascii="Times New Roman"/>
                <w:sz w:val="18"/>
              </w:rPr>
              <w:t>,489,</w:t>
            </w:r>
          </w:p>
          <w:p>
            <w:pPr>
              <w:pStyle w:val="TableParagraph"/>
              <w:spacing w:line="206" w:lineRule="exact"/>
              <w:ind w:left="110" w:right="0"/>
              <w:jc w:val="left"/>
              <w:rPr>
                <w:rFonts w:ascii="Times New Roman" w:hAnsi="Times New Roman" w:cs="Times New Roman" w:eastAsia="Times New Roman" w:hint="default"/>
                <w:sz w:val="18"/>
                <w:szCs w:val="18"/>
              </w:rPr>
            </w:pPr>
            <w:r>
              <w:rPr>
                <w:rFonts w:ascii="Times New Roman"/>
                <w:sz w:val="18"/>
              </w:rPr>
              <w:t>098.0</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60" w:right="0"/>
              <w:jc w:val="center"/>
              <w:rPr>
                <w:rFonts w:ascii="Times New Roman" w:hAnsi="Times New Roman" w:cs="Times New Roman" w:eastAsia="Times New Roman" w:hint="default"/>
                <w:sz w:val="18"/>
                <w:szCs w:val="18"/>
              </w:rPr>
            </w:pPr>
            <w:r>
              <w:rPr>
                <w:rFonts w:ascii="Times New Roman"/>
                <w:sz w:val="18"/>
              </w:rPr>
              <w:t>1,717,</w:t>
            </w:r>
          </w:p>
          <w:p>
            <w:pPr>
              <w:pStyle w:val="TableParagraph"/>
              <w:spacing w:line="206" w:lineRule="exact"/>
              <w:ind w:left="14" w:right="0"/>
              <w:jc w:val="center"/>
              <w:rPr>
                <w:rFonts w:ascii="Times New Roman" w:hAnsi="Times New Roman" w:cs="Times New Roman" w:eastAsia="Times New Roman" w:hint="default"/>
                <w:sz w:val="18"/>
                <w:szCs w:val="18"/>
              </w:rPr>
            </w:pPr>
            <w:r>
              <w:rPr>
                <w:rFonts w:ascii="Times New Roman"/>
                <w:sz w:val="18"/>
              </w:rPr>
              <w:t>724,51</w:t>
            </w:r>
          </w:p>
          <w:p>
            <w:pPr>
              <w:pStyle w:val="TableParagraph"/>
              <w:spacing w:line="207" w:lineRule="exact"/>
              <w:ind w:left="194" w:right="0"/>
              <w:jc w:val="center"/>
              <w:rPr>
                <w:rFonts w:ascii="Times New Roman" w:hAnsi="Times New Roman" w:cs="Times New Roman" w:eastAsia="Times New Roman" w:hint="default"/>
                <w:sz w:val="18"/>
                <w:szCs w:val="18"/>
              </w:rPr>
            </w:pPr>
            <w:r>
              <w:rPr>
                <w:rFonts w:ascii="Times New Roman"/>
                <w:sz w:val="18"/>
              </w:rPr>
              <w:t>4.22</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07" w:lineRule="exact"/>
              <w:ind w:left="104" w:right="0"/>
              <w:jc w:val="left"/>
              <w:rPr>
                <w:rFonts w:ascii="Times New Roman" w:hAnsi="Times New Roman" w:cs="Times New Roman" w:eastAsia="Times New Roman" w:hint="default"/>
                <w:sz w:val="18"/>
                <w:szCs w:val="18"/>
              </w:rPr>
            </w:pPr>
            <w:r>
              <w:rPr>
                <w:rFonts w:ascii="Times New Roman"/>
                <w:sz w:val="18"/>
              </w:rPr>
              <w:t>-1,937,</w:t>
            </w:r>
          </w:p>
          <w:p>
            <w:pPr>
              <w:pStyle w:val="TableParagraph"/>
              <w:spacing w:line="207" w:lineRule="exact"/>
              <w:ind w:left="118" w:right="0"/>
              <w:jc w:val="left"/>
              <w:rPr>
                <w:rFonts w:ascii="Times New Roman" w:hAnsi="Times New Roman" w:cs="Times New Roman" w:eastAsia="Times New Roman" w:hint="default"/>
                <w:sz w:val="18"/>
                <w:szCs w:val="18"/>
              </w:rPr>
            </w:pPr>
            <w:r>
              <w:rPr>
                <w:rFonts w:ascii="Times New Roman"/>
                <w:sz w:val="18"/>
              </w:rPr>
              <w:t>072.66</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17" w:right="0"/>
              <w:jc w:val="left"/>
              <w:rPr>
                <w:rFonts w:ascii="Times New Roman" w:hAnsi="Times New Roman" w:cs="Times New Roman" w:eastAsia="Times New Roman" w:hint="default"/>
                <w:sz w:val="18"/>
                <w:szCs w:val="18"/>
              </w:rPr>
            </w:pPr>
            <w:r>
              <w:rPr>
                <w:rFonts w:ascii="Times New Roman"/>
                <w:sz w:val="18"/>
              </w:rPr>
              <w:t>134,86</w:t>
            </w:r>
          </w:p>
          <w:p>
            <w:pPr>
              <w:pStyle w:val="TableParagraph"/>
              <w:spacing w:line="206" w:lineRule="exact"/>
              <w:ind w:left="163" w:right="0"/>
              <w:jc w:val="left"/>
              <w:rPr>
                <w:rFonts w:ascii="Times New Roman" w:hAnsi="Times New Roman" w:cs="Times New Roman" w:eastAsia="Times New Roman" w:hint="default"/>
                <w:sz w:val="18"/>
                <w:szCs w:val="18"/>
              </w:rPr>
            </w:pPr>
            <w:r>
              <w:rPr>
                <w:rFonts w:ascii="Times New Roman"/>
                <w:sz w:val="18"/>
              </w:rPr>
              <w:t>4,175.</w:t>
            </w:r>
          </w:p>
          <w:p>
            <w:pPr>
              <w:pStyle w:val="TableParagraph"/>
              <w:spacing w:line="207" w:lineRule="exact"/>
              <w:ind w:left="432" w:right="0"/>
              <w:jc w:val="left"/>
              <w:rPr>
                <w:rFonts w:ascii="Times New Roman" w:hAnsi="Times New Roman" w:cs="Times New Roman" w:eastAsia="Times New Roman" w:hint="default"/>
                <w:sz w:val="18"/>
                <w:szCs w:val="18"/>
              </w:rPr>
            </w:pPr>
            <w:r>
              <w:rPr>
                <w:rFonts w:ascii="Times New Roman"/>
                <w:sz w:val="18"/>
              </w:rPr>
              <w:t>08</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83" w:right="0"/>
              <w:jc w:val="center"/>
              <w:rPr>
                <w:rFonts w:ascii="Times New Roman" w:hAnsi="Times New Roman" w:cs="Times New Roman" w:eastAsia="Times New Roman" w:hint="default"/>
                <w:sz w:val="18"/>
                <w:szCs w:val="18"/>
              </w:rPr>
            </w:pPr>
            <w:r>
              <w:rPr>
                <w:rFonts w:ascii="Times New Roman"/>
                <w:sz w:val="18"/>
              </w:rPr>
              <w:t>765,</w:t>
            </w:r>
          </w:p>
          <w:p>
            <w:pPr>
              <w:pStyle w:val="TableParagraph"/>
              <w:spacing w:line="206" w:lineRule="exact"/>
              <w:ind w:left="83" w:right="0"/>
              <w:jc w:val="center"/>
              <w:rPr>
                <w:rFonts w:ascii="Times New Roman" w:hAnsi="Times New Roman" w:cs="Times New Roman" w:eastAsia="Times New Roman" w:hint="default"/>
                <w:sz w:val="18"/>
                <w:szCs w:val="18"/>
              </w:rPr>
            </w:pPr>
            <w:r>
              <w:rPr>
                <w:rFonts w:ascii="Times New Roman"/>
                <w:sz w:val="18"/>
              </w:rPr>
              <w:t>479,</w:t>
            </w:r>
          </w:p>
          <w:p>
            <w:pPr>
              <w:pStyle w:val="TableParagraph"/>
              <w:spacing w:line="206" w:lineRule="exact"/>
              <w:ind w:left="83"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07" w:lineRule="exact"/>
              <w:ind w:left="222" w:right="0"/>
              <w:jc w:val="center"/>
              <w:rPr>
                <w:rFonts w:ascii="Times New Roman" w:hAnsi="Times New Roman" w:cs="Times New Roman" w:eastAsia="Times New Roman" w:hint="default"/>
                <w:sz w:val="18"/>
                <w:szCs w:val="18"/>
              </w:rPr>
            </w:pPr>
            <w:r>
              <w:rPr>
                <w:rFonts w:ascii="Times New Roman"/>
                <w:sz w:val="18"/>
              </w:rPr>
              <w:t>96</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07" w:lineRule="exact"/>
              <w:ind w:left="119" w:right="0"/>
              <w:jc w:val="left"/>
              <w:rPr>
                <w:rFonts w:ascii="Times New Roman" w:hAnsi="Times New Roman" w:cs="Times New Roman" w:eastAsia="Times New Roman" w:hint="default"/>
                <w:sz w:val="18"/>
                <w:szCs w:val="18"/>
              </w:rPr>
            </w:pPr>
            <w:r>
              <w:rPr>
                <w:rFonts w:ascii="Times New Roman"/>
                <w:sz w:val="18"/>
              </w:rPr>
              <w:t>3,651,62</w:t>
            </w:r>
          </w:p>
          <w:p>
            <w:pPr>
              <w:pStyle w:val="TableParagraph"/>
              <w:spacing w:line="207" w:lineRule="exact"/>
              <w:ind w:left="119" w:right="0"/>
              <w:jc w:val="left"/>
              <w:rPr>
                <w:rFonts w:ascii="Times New Roman" w:hAnsi="Times New Roman" w:cs="Times New Roman" w:eastAsia="Times New Roman" w:hint="default"/>
                <w:sz w:val="18"/>
                <w:szCs w:val="18"/>
              </w:rPr>
            </w:pPr>
            <w:r>
              <w:rPr>
                <w:rFonts w:ascii="Times New Roman"/>
                <w:sz w:val="18"/>
              </w:rPr>
              <w:t>0,516.60</w:t>
            </w:r>
          </w:p>
        </w:tc>
      </w:tr>
    </w:tbl>
    <w:p>
      <w:pPr>
        <w:spacing w:before="10"/>
        <w:ind w:left="121" w:right="493"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40"/>
        <w:ind w:left="0" w:right="169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323" w:hRule="exact"/>
        </w:trPr>
        <w:tc>
          <w:tcPr>
            <w:tcW w:w="12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37"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年年度</w:t>
            </w:r>
          </w:p>
        </w:tc>
      </w:tr>
      <w:tr>
        <w:trPr>
          <w:trHeight w:val="324" w:hRule="exact"/>
        </w:trPr>
        <w:tc>
          <w:tcPr>
            <w:tcW w:w="1231" w:type="dxa"/>
            <w:vMerge/>
            <w:tcBorders>
              <w:left w:val="single" w:sz="4" w:space="0" w:color="000000"/>
              <w:right w:val="single" w:sz="4" w:space="0" w:color="000000"/>
            </w:tcBorders>
            <w:shd w:val="clear" w:color="auto" w:fill="D2D2D2"/>
          </w:tcPr>
          <w:p>
            <w:pPr/>
          </w:p>
        </w:tc>
        <w:tc>
          <w:tcPr>
            <w:tcW w:w="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31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57" w:right="155"/>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6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56" w:right="102" w:hanging="53"/>
              <w:jc w:val="left"/>
              <w:rPr>
                <w:rFonts w:ascii="宋体" w:hAnsi="宋体" w:cs="宋体" w:eastAsia="宋体" w:hint="default"/>
                <w:sz w:val="18"/>
                <w:szCs w:val="18"/>
              </w:rPr>
            </w:pPr>
            <w:r>
              <w:rPr>
                <w:rFonts w:ascii="宋体" w:hAnsi="宋体" w:cs="宋体" w:eastAsia="宋体" w:hint="default"/>
                <w:spacing w:val="-24"/>
                <w:sz w:val="18"/>
                <w:szCs w:val="18"/>
              </w:rPr>
              <w:t>减：库</w:t>
            </w:r>
            <w:r>
              <w:rPr>
                <w:rFonts w:ascii="宋体" w:hAnsi="宋体" w:cs="宋体" w:eastAsia="宋体" w:hint="default"/>
                <w:sz w:val="18"/>
                <w:szCs w:val="18"/>
              </w:rPr>
              <w:t> 存股</w:t>
            </w:r>
          </w:p>
        </w:tc>
        <w:tc>
          <w:tcPr>
            <w:tcW w:w="6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232" w:lineRule="exact"/>
              <w:ind w:left="157" w:right="156"/>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295" w:right="113"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148" w:right="145"/>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4"/>
                <w:szCs w:val="24"/>
              </w:rPr>
            </w:pPr>
          </w:p>
          <w:p>
            <w:pPr>
              <w:pStyle w:val="TableParagraph"/>
              <w:spacing w:line="232" w:lineRule="exact"/>
              <w:ind w:left="215" w:right="12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232" w:lineRule="exact"/>
              <w:ind w:left="189" w:right="18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790" w:hRule="exact"/>
        </w:trPr>
        <w:tc>
          <w:tcPr>
            <w:tcW w:w="1231" w:type="dxa"/>
            <w:vMerge/>
            <w:tcBorders>
              <w:left w:val="single" w:sz="4" w:space="0" w:color="000000"/>
              <w:bottom w:val="single" w:sz="4" w:space="0" w:color="000000"/>
              <w:right w:val="single" w:sz="4" w:space="0" w:color="000000"/>
            </w:tcBorders>
            <w:shd w:val="clear" w:color="auto" w:fill="D2D2D2"/>
          </w:tcPr>
          <w:p>
            <w:pPr/>
          </w:p>
        </w:tc>
        <w:tc>
          <w:tcPr>
            <w:tcW w:w="594" w:type="dxa"/>
            <w:vMerge/>
            <w:tcBorders>
              <w:left w:val="single" w:sz="4" w:space="0" w:color="000000"/>
              <w:bottom w:val="single" w:sz="4" w:space="0" w:color="000000"/>
              <w:right w:val="single" w:sz="4" w:space="0" w:color="000000"/>
            </w:tcBorders>
            <w:shd w:val="clear" w:color="auto" w:fill="D2D2D2"/>
          </w:tcPr>
          <w:p>
            <w:pP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91" w:right="188"/>
              <w:jc w:val="both"/>
              <w:rPr>
                <w:rFonts w:ascii="宋体" w:hAnsi="宋体" w:cs="宋体" w:eastAsia="宋体" w:hint="default"/>
                <w:sz w:val="18"/>
                <w:szCs w:val="18"/>
              </w:rPr>
            </w:pPr>
            <w:r>
              <w:rPr>
                <w:rFonts w:ascii="宋体" w:hAnsi="宋体" w:cs="宋体" w:eastAsia="宋体" w:hint="default"/>
                <w:sz w:val="18"/>
                <w:szCs w:val="18"/>
              </w:rPr>
              <w:t>优 先 股</w:t>
            </w: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90" w:right="18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51"/>
              <w:ind w:left="190" w:right="190"/>
              <w:jc w:val="center"/>
              <w:rPr>
                <w:rFonts w:ascii="宋体" w:hAnsi="宋体" w:cs="宋体" w:eastAsia="宋体" w:hint="default"/>
                <w:sz w:val="18"/>
                <w:szCs w:val="18"/>
              </w:rPr>
            </w:pPr>
            <w:r>
              <w:rPr>
                <w:rFonts w:ascii="宋体" w:hAnsi="宋体" w:cs="宋体" w:eastAsia="宋体" w:hint="default"/>
                <w:sz w:val="18"/>
                <w:szCs w:val="18"/>
              </w:rPr>
              <w:t>其 他</w:t>
            </w:r>
          </w:p>
        </w:tc>
        <w:tc>
          <w:tcPr>
            <w:tcW w:w="685" w:type="dxa"/>
            <w:vMerge/>
            <w:tcBorders>
              <w:left w:val="single" w:sz="4" w:space="0" w:color="000000"/>
              <w:bottom w:val="single" w:sz="4" w:space="0" w:color="000000"/>
              <w:right w:val="single" w:sz="4" w:space="0" w:color="000000"/>
            </w:tcBorders>
            <w:shd w:val="clear" w:color="auto" w:fill="D2D2D2"/>
          </w:tcPr>
          <w:p>
            <w:pPr/>
          </w:p>
        </w:tc>
        <w:tc>
          <w:tcPr>
            <w:tcW w:w="686" w:type="dxa"/>
            <w:vMerge/>
            <w:tcBorders>
              <w:left w:val="single" w:sz="4" w:space="0" w:color="000000"/>
              <w:bottom w:val="single" w:sz="4" w:space="0" w:color="000000"/>
              <w:right w:val="single" w:sz="4" w:space="0" w:color="000000"/>
            </w:tcBorders>
            <w:shd w:val="clear" w:color="auto" w:fill="D2D2D2"/>
          </w:tcPr>
          <w:p>
            <w:pPr/>
          </w:p>
        </w:tc>
        <w:tc>
          <w:tcPr>
            <w:tcW w:w="685"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30" w:type="dxa"/>
            <w:vMerge/>
            <w:tcBorders>
              <w:left w:val="single" w:sz="4" w:space="0" w:color="000000"/>
              <w:bottom w:val="single" w:sz="4" w:space="0" w:color="000000"/>
              <w:right w:val="single" w:sz="4" w:space="0" w:color="000000"/>
            </w:tcBorders>
            <w:shd w:val="clear" w:color="auto" w:fill="D2D2D2"/>
          </w:tcPr>
          <w:p>
            <w:pPr/>
          </w:p>
        </w:tc>
      </w:tr>
      <w:tr>
        <w:trPr>
          <w:trHeight w:val="91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6"/>
                <w:szCs w:val="16"/>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pacing w:val="-11"/>
                <w:sz w:val="18"/>
                <w:szCs w:val="18"/>
              </w:rPr>
              <w:t>一、上年期末</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166" w:right="0"/>
              <w:jc w:val="left"/>
              <w:rPr>
                <w:rFonts w:ascii="Times New Roman" w:hAnsi="Times New Roman" w:cs="Times New Roman" w:eastAsia="Times New Roman" w:hint="default"/>
                <w:sz w:val="18"/>
                <w:szCs w:val="18"/>
              </w:rPr>
            </w:pPr>
            <w:r>
              <w:rPr>
                <w:rFonts w:ascii="Times New Roman"/>
                <w:sz w:val="18"/>
              </w:rPr>
              <w:t>1,03</w:t>
            </w:r>
          </w:p>
          <w:p>
            <w:pPr>
              <w:pStyle w:val="TableParagraph"/>
              <w:spacing w:line="206" w:lineRule="exact"/>
              <w:ind w:left="166" w:right="0"/>
              <w:jc w:val="left"/>
              <w:rPr>
                <w:rFonts w:ascii="Times New Roman" w:hAnsi="Times New Roman" w:cs="Times New Roman" w:eastAsia="Times New Roman" w:hint="default"/>
                <w:sz w:val="18"/>
                <w:szCs w:val="18"/>
              </w:rPr>
            </w:pPr>
            <w:r>
              <w:rPr>
                <w:rFonts w:ascii="Times New Roman"/>
                <w:sz w:val="18"/>
              </w:rPr>
              <w:t>5,48</w:t>
            </w:r>
          </w:p>
          <w:p>
            <w:pPr>
              <w:pStyle w:val="TableParagraph"/>
              <w:spacing w:line="206" w:lineRule="exact"/>
              <w:ind w:left="166" w:right="0"/>
              <w:jc w:val="left"/>
              <w:rPr>
                <w:rFonts w:ascii="Times New Roman" w:hAnsi="Times New Roman" w:cs="Times New Roman" w:eastAsia="Times New Roman" w:hint="default"/>
                <w:sz w:val="18"/>
                <w:szCs w:val="18"/>
              </w:rPr>
            </w:pPr>
            <w:r>
              <w:rPr>
                <w:rFonts w:ascii="Times New Roman"/>
                <w:sz w:val="18"/>
              </w:rPr>
              <w:t>9,09</w:t>
            </w:r>
          </w:p>
          <w:p>
            <w:pPr>
              <w:pStyle w:val="TableParagraph"/>
              <w:spacing w:line="207" w:lineRule="exact"/>
              <w:ind w:left="166" w:right="0"/>
              <w:jc w:val="left"/>
              <w:rPr>
                <w:rFonts w:ascii="Times New Roman" w:hAnsi="Times New Roman" w:cs="Times New Roman" w:eastAsia="Times New Roman" w:hint="default"/>
                <w:sz w:val="18"/>
                <w:szCs w:val="18"/>
              </w:rPr>
            </w:pPr>
            <w:r>
              <w:rPr>
                <w:rFonts w:ascii="Times New Roman"/>
                <w:sz w:val="18"/>
              </w:rPr>
              <w:t>8.00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21" w:right="0"/>
              <w:jc w:val="left"/>
              <w:rPr>
                <w:rFonts w:ascii="Times New Roman" w:hAnsi="Times New Roman" w:cs="Times New Roman" w:eastAsia="Times New Roman" w:hint="default"/>
                <w:sz w:val="18"/>
                <w:szCs w:val="18"/>
              </w:rPr>
            </w:pPr>
            <w:r>
              <w:rPr>
                <w:rFonts w:ascii="Times New Roman"/>
                <w:sz w:val="18"/>
              </w:rPr>
              <w:t>1,716,</w:t>
            </w:r>
          </w:p>
          <w:p>
            <w:pPr>
              <w:pStyle w:val="TableParagraph"/>
              <w:spacing w:line="206" w:lineRule="exact"/>
              <w:ind w:left="167" w:right="0"/>
              <w:jc w:val="left"/>
              <w:rPr>
                <w:rFonts w:ascii="Times New Roman" w:hAnsi="Times New Roman" w:cs="Times New Roman" w:eastAsia="Times New Roman" w:hint="default"/>
                <w:sz w:val="18"/>
                <w:szCs w:val="18"/>
              </w:rPr>
            </w:pPr>
            <w:r>
              <w:rPr>
                <w:rFonts w:ascii="Times New Roman"/>
                <w:sz w:val="18"/>
              </w:rPr>
              <w:t>942,1</w:t>
            </w:r>
          </w:p>
          <w:p>
            <w:pPr>
              <w:pStyle w:val="TableParagraph"/>
              <w:spacing w:line="207" w:lineRule="exact"/>
              <w:ind w:left="167" w:right="0"/>
              <w:jc w:val="left"/>
              <w:rPr>
                <w:rFonts w:ascii="Times New Roman" w:hAnsi="Times New Roman" w:cs="Times New Roman" w:eastAsia="Times New Roman" w:hint="default"/>
                <w:sz w:val="18"/>
                <w:szCs w:val="18"/>
              </w:rPr>
            </w:pPr>
            <w:r>
              <w:rPr>
                <w:rFonts w:ascii="Times New Roman"/>
                <w:sz w:val="18"/>
              </w:rPr>
              <w:t>58.29</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67" w:right="0"/>
              <w:jc w:val="left"/>
              <w:rPr>
                <w:rFonts w:ascii="Times New Roman" w:hAnsi="Times New Roman" w:cs="Times New Roman" w:eastAsia="Times New Roman" w:hint="default"/>
                <w:sz w:val="18"/>
                <w:szCs w:val="18"/>
              </w:rPr>
            </w:pPr>
            <w:r>
              <w:rPr>
                <w:rFonts w:ascii="Times New Roman"/>
                <w:sz w:val="18"/>
              </w:rPr>
              <w:t>35,67</w:t>
            </w:r>
          </w:p>
          <w:p>
            <w:pPr>
              <w:pStyle w:val="TableParagraph"/>
              <w:spacing w:line="206" w:lineRule="exact"/>
              <w:ind w:left="121" w:right="0"/>
              <w:jc w:val="left"/>
              <w:rPr>
                <w:rFonts w:ascii="Times New Roman" w:hAnsi="Times New Roman" w:cs="Times New Roman" w:eastAsia="Times New Roman" w:hint="default"/>
                <w:sz w:val="18"/>
                <w:szCs w:val="18"/>
              </w:rPr>
            </w:pPr>
            <w:r>
              <w:rPr>
                <w:rFonts w:ascii="Times New Roman"/>
                <w:sz w:val="18"/>
              </w:rPr>
              <w:t>7,081.</w:t>
            </w:r>
          </w:p>
          <w:p>
            <w:pPr>
              <w:pStyle w:val="TableParagraph"/>
              <w:spacing w:line="207" w:lineRule="exact"/>
              <w:ind w:left="392" w:right="0"/>
              <w:jc w:val="left"/>
              <w:rPr>
                <w:rFonts w:ascii="Times New Roman" w:hAnsi="Times New Roman" w:cs="Times New Roman" w:eastAsia="Times New Roman" w:hint="default"/>
                <w:sz w:val="18"/>
                <w:szCs w:val="18"/>
              </w:rPr>
            </w:pPr>
            <w:r>
              <w:rPr>
                <w:rFonts w:ascii="Times New Roman"/>
                <w:sz w:val="18"/>
              </w:rPr>
              <w:t>23</w:t>
            </w: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52" w:right="0"/>
              <w:jc w:val="left"/>
              <w:rPr>
                <w:rFonts w:ascii="Times New Roman" w:hAnsi="Times New Roman" w:cs="Times New Roman" w:eastAsia="Times New Roman" w:hint="default"/>
                <w:sz w:val="18"/>
                <w:szCs w:val="18"/>
              </w:rPr>
            </w:pPr>
            <w:r>
              <w:rPr>
                <w:rFonts w:ascii="Times New Roman"/>
                <w:sz w:val="18"/>
              </w:rPr>
              <w:t>112,2</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63,27</w:t>
            </w:r>
          </w:p>
          <w:p>
            <w:pPr>
              <w:pStyle w:val="TableParagraph"/>
              <w:spacing w:line="207" w:lineRule="exact"/>
              <w:ind w:left="237" w:right="0"/>
              <w:jc w:val="left"/>
              <w:rPr>
                <w:rFonts w:ascii="Times New Roman" w:hAnsi="Times New Roman" w:cs="Times New Roman" w:eastAsia="Times New Roman" w:hint="default"/>
                <w:sz w:val="18"/>
                <w:szCs w:val="18"/>
              </w:rPr>
            </w:pPr>
            <w:r>
              <w:rPr>
                <w:rFonts w:ascii="Times New Roman"/>
                <w:sz w:val="18"/>
              </w:rPr>
              <w:t>6.76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right="99"/>
              <w:jc w:val="right"/>
              <w:rPr>
                <w:rFonts w:ascii="Times New Roman" w:hAnsi="Times New Roman" w:cs="Times New Roman" w:eastAsia="Times New Roman" w:hint="default"/>
                <w:sz w:val="18"/>
                <w:szCs w:val="18"/>
              </w:rPr>
            </w:pPr>
            <w:r>
              <w:rPr>
                <w:rFonts w:ascii="Times New Roman"/>
                <w:spacing w:val="-1"/>
                <w:sz w:val="18"/>
              </w:rPr>
              <w:t>580,17</w:t>
            </w:r>
          </w:p>
          <w:p>
            <w:pPr>
              <w:pStyle w:val="TableParagraph"/>
              <w:spacing w:line="206" w:lineRule="exact"/>
              <w:ind w:right="99"/>
              <w:jc w:val="right"/>
              <w:rPr>
                <w:rFonts w:ascii="Times New Roman" w:hAnsi="Times New Roman" w:cs="Times New Roman" w:eastAsia="Times New Roman" w:hint="default"/>
                <w:sz w:val="18"/>
                <w:szCs w:val="18"/>
              </w:rPr>
            </w:pPr>
            <w:r>
              <w:rPr>
                <w:rFonts w:ascii="Times New Roman"/>
                <w:spacing w:val="-1"/>
                <w:sz w:val="18"/>
              </w:rPr>
              <w:t>3,659.6</w:t>
            </w:r>
          </w:p>
          <w:p>
            <w:pPr>
              <w:pStyle w:val="TableParagraph"/>
              <w:spacing w:line="207" w:lineRule="exact"/>
              <w:ind w:right="102"/>
              <w:jc w:val="right"/>
              <w:rPr>
                <w:rFonts w:ascii="Times New Roman" w:hAnsi="Times New Roman" w:cs="Times New Roman" w:eastAsia="Times New Roman" w:hint="default"/>
                <w:sz w:val="18"/>
                <w:szCs w:val="18"/>
              </w:rPr>
            </w:pPr>
            <w:r>
              <w:rPr>
                <w:rFonts w:ascii="Times New Roman"/>
                <w:sz w:val="18"/>
              </w:rPr>
              <w:t>7</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07" w:lineRule="exact"/>
              <w:ind w:left="187" w:right="0"/>
              <w:jc w:val="left"/>
              <w:rPr>
                <w:rFonts w:ascii="Times New Roman" w:hAnsi="Times New Roman" w:cs="Times New Roman" w:eastAsia="Times New Roman" w:hint="default"/>
                <w:sz w:val="18"/>
                <w:szCs w:val="18"/>
              </w:rPr>
            </w:pPr>
            <w:r>
              <w:rPr>
                <w:rFonts w:ascii="Times New Roman"/>
                <w:sz w:val="18"/>
              </w:rPr>
              <w:t>3,480,54</w:t>
            </w:r>
          </w:p>
          <w:p>
            <w:pPr>
              <w:pStyle w:val="TableParagraph"/>
              <w:spacing w:line="207" w:lineRule="exact"/>
              <w:ind w:left="187" w:right="0"/>
              <w:jc w:val="left"/>
              <w:rPr>
                <w:rFonts w:ascii="Times New Roman" w:hAnsi="Times New Roman" w:cs="Times New Roman" w:eastAsia="Times New Roman" w:hint="default"/>
                <w:sz w:val="18"/>
                <w:szCs w:val="18"/>
              </w:rPr>
            </w:pPr>
            <w:r>
              <w:rPr>
                <w:rFonts w:ascii="Times New Roman"/>
                <w:sz w:val="18"/>
              </w:rPr>
              <w:t>5,273.95</w:t>
            </w:r>
          </w:p>
        </w:tc>
      </w:tr>
      <w:tr>
        <w:trPr>
          <w:trHeight w:val="557"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100" w:firstLine="360"/>
              <w:jc w:val="left"/>
              <w:rPr>
                <w:rFonts w:ascii="宋体" w:hAnsi="宋体" w:cs="宋体" w:eastAsia="宋体" w:hint="default"/>
                <w:sz w:val="18"/>
                <w:szCs w:val="18"/>
              </w:rPr>
            </w:pPr>
            <w:r>
              <w:rPr>
                <w:rFonts w:ascii="宋体" w:hAnsi="宋体" w:cs="宋体" w:eastAsia="宋体" w:hint="default"/>
                <w:spacing w:val="-17"/>
                <w:sz w:val="18"/>
                <w:szCs w:val="18"/>
              </w:rPr>
              <w:t>加：会计</w:t>
            </w:r>
            <w:r>
              <w:rPr>
                <w:rFonts w:ascii="宋体" w:hAnsi="宋体" w:cs="宋体" w:eastAsia="宋体" w:hint="default"/>
                <w:sz w:val="18"/>
                <w:szCs w:val="18"/>
              </w:rPr>
              <w:t> 政策变更</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215"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2"/>
              <w:ind w:right="215"/>
              <w:jc w:val="righ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91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pacing w:val="-11"/>
                <w:sz w:val="18"/>
                <w:szCs w:val="18"/>
              </w:rPr>
              <w:t>二、本年期初</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66" w:right="0"/>
              <w:jc w:val="left"/>
              <w:rPr>
                <w:rFonts w:ascii="Times New Roman" w:hAnsi="Times New Roman" w:cs="Times New Roman" w:eastAsia="Times New Roman" w:hint="default"/>
                <w:sz w:val="18"/>
                <w:szCs w:val="18"/>
              </w:rPr>
            </w:pPr>
            <w:r>
              <w:rPr>
                <w:rFonts w:ascii="Times New Roman"/>
                <w:sz w:val="18"/>
              </w:rPr>
              <w:t>1,03</w:t>
            </w:r>
          </w:p>
          <w:p>
            <w:pPr>
              <w:pStyle w:val="TableParagraph"/>
              <w:spacing w:line="206" w:lineRule="exact"/>
              <w:ind w:left="166" w:right="0"/>
              <w:jc w:val="left"/>
              <w:rPr>
                <w:rFonts w:ascii="Times New Roman" w:hAnsi="Times New Roman" w:cs="Times New Roman" w:eastAsia="Times New Roman" w:hint="default"/>
                <w:sz w:val="18"/>
                <w:szCs w:val="18"/>
              </w:rPr>
            </w:pPr>
            <w:r>
              <w:rPr>
                <w:rFonts w:ascii="Times New Roman"/>
                <w:sz w:val="18"/>
              </w:rPr>
              <w:t>5,48</w:t>
            </w:r>
          </w:p>
          <w:p>
            <w:pPr>
              <w:pStyle w:val="TableParagraph"/>
              <w:spacing w:line="206" w:lineRule="exact"/>
              <w:ind w:left="166" w:right="0"/>
              <w:jc w:val="left"/>
              <w:rPr>
                <w:rFonts w:ascii="Times New Roman" w:hAnsi="Times New Roman" w:cs="Times New Roman" w:eastAsia="Times New Roman" w:hint="default"/>
                <w:sz w:val="18"/>
                <w:szCs w:val="18"/>
              </w:rPr>
            </w:pPr>
            <w:r>
              <w:rPr>
                <w:rFonts w:ascii="Times New Roman"/>
                <w:sz w:val="18"/>
              </w:rPr>
              <w:t>9,09</w:t>
            </w:r>
          </w:p>
          <w:p>
            <w:pPr>
              <w:pStyle w:val="TableParagraph"/>
              <w:spacing w:line="207" w:lineRule="exact"/>
              <w:ind w:left="166" w:right="0"/>
              <w:jc w:val="left"/>
              <w:rPr>
                <w:rFonts w:ascii="Times New Roman" w:hAnsi="Times New Roman" w:cs="Times New Roman" w:eastAsia="Times New Roman" w:hint="default"/>
                <w:sz w:val="18"/>
                <w:szCs w:val="18"/>
              </w:rPr>
            </w:pPr>
            <w:r>
              <w:rPr>
                <w:rFonts w:ascii="Times New Roman"/>
                <w:sz w:val="18"/>
              </w:rPr>
              <w:t>8.00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left="121" w:right="0"/>
              <w:jc w:val="left"/>
              <w:rPr>
                <w:rFonts w:ascii="Times New Roman" w:hAnsi="Times New Roman" w:cs="Times New Roman" w:eastAsia="Times New Roman" w:hint="default"/>
                <w:sz w:val="18"/>
                <w:szCs w:val="18"/>
              </w:rPr>
            </w:pPr>
            <w:r>
              <w:rPr>
                <w:rFonts w:ascii="Times New Roman"/>
                <w:sz w:val="18"/>
              </w:rPr>
              <w:t>1,716,</w:t>
            </w:r>
          </w:p>
          <w:p>
            <w:pPr>
              <w:pStyle w:val="TableParagraph"/>
              <w:spacing w:line="206" w:lineRule="exact"/>
              <w:ind w:left="167" w:right="0"/>
              <w:jc w:val="left"/>
              <w:rPr>
                <w:rFonts w:ascii="Times New Roman" w:hAnsi="Times New Roman" w:cs="Times New Roman" w:eastAsia="Times New Roman" w:hint="default"/>
                <w:sz w:val="18"/>
                <w:szCs w:val="18"/>
              </w:rPr>
            </w:pPr>
            <w:r>
              <w:rPr>
                <w:rFonts w:ascii="Times New Roman"/>
                <w:sz w:val="18"/>
              </w:rPr>
              <w:t>942,1</w:t>
            </w:r>
          </w:p>
          <w:p>
            <w:pPr>
              <w:pStyle w:val="TableParagraph"/>
              <w:spacing w:line="207" w:lineRule="exact"/>
              <w:ind w:left="167" w:right="0"/>
              <w:jc w:val="left"/>
              <w:rPr>
                <w:rFonts w:ascii="Times New Roman" w:hAnsi="Times New Roman" w:cs="Times New Roman" w:eastAsia="Times New Roman" w:hint="default"/>
                <w:sz w:val="18"/>
                <w:szCs w:val="18"/>
              </w:rPr>
            </w:pPr>
            <w:r>
              <w:rPr>
                <w:rFonts w:ascii="Times New Roman"/>
                <w:sz w:val="18"/>
              </w:rPr>
              <w:t>58.29</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left="167" w:right="0"/>
              <w:jc w:val="left"/>
              <w:rPr>
                <w:rFonts w:ascii="Times New Roman" w:hAnsi="Times New Roman" w:cs="Times New Roman" w:eastAsia="Times New Roman" w:hint="default"/>
                <w:sz w:val="18"/>
                <w:szCs w:val="18"/>
              </w:rPr>
            </w:pPr>
            <w:r>
              <w:rPr>
                <w:rFonts w:ascii="Times New Roman"/>
                <w:sz w:val="18"/>
              </w:rPr>
              <w:t>35,67</w:t>
            </w:r>
          </w:p>
          <w:p>
            <w:pPr>
              <w:pStyle w:val="TableParagraph"/>
              <w:spacing w:line="206" w:lineRule="exact"/>
              <w:ind w:left="121" w:right="0"/>
              <w:jc w:val="left"/>
              <w:rPr>
                <w:rFonts w:ascii="Times New Roman" w:hAnsi="Times New Roman" w:cs="Times New Roman" w:eastAsia="Times New Roman" w:hint="default"/>
                <w:sz w:val="18"/>
                <w:szCs w:val="18"/>
              </w:rPr>
            </w:pPr>
            <w:r>
              <w:rPr>
                <w:rFonts w:ascii="Times New Roman"/>
                <w:sz w:val="18"/>
              </w:rPr>
              <w:t>7,081.</w:t>
            </w:r>
          </w:p>
          <w:p>
            <w:pPr>
              <w:pStyle w:val="TableParagraph"/>
              <w:spacing w:line="207" w:lineRule="exact"/>
              <w:ind w:left="392" w:right="0"/>
              <w:jc w:val="left"/>
              <w:rPr>
                <w:rFonts w:ascii="Times New Roman" w:hAnsi="Times New Roman" w:cs="Times New Roman" w:eastAsia="Times New Roman" w:hint="default"/>
                <w:sz w:val="18"/>
                <w:szCs w:val="18"/>
              </w:rPr>
            </w:pPr>
            <w:r>
              <w:rPr>
                <w:rFonts w:ascii="Times New Roman"/>
                <w:sz w:val="18"/>
              </w:rPr>
              <w:t>23</w:t>
            </w: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left="152" w:right="0"/>
              <w:jc w:val="left"/>
              <w:rPr>
                <w:rFonts w:ascii="Times New Roman" w:hAnsi="Times New Roman" w:cs="Times New Roman" w:eastAsia="Times New Roman" w:hint="default"/>
                <w:sz w:val="18"/>
                <w:szCs w:val="18"/>
              </w:rPr>
            </w:pPr>
            <w:r>
              <w:rPr>
                <w:rFonts w:ascii="Times New Roman"/>
                <w:sz w:val="18"/>
              </w:rPr>
              <w:t>112,2</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63,27</w:t>
            </w:r>
          </w:p>
          <w:p>
            <w:pPr>
              <w:pStyle w:val="TableParagraph"/>
              <w:spacing w:line="207" w:lineRule="exact"/>
              <w:ind w:left="237" w:right="0"/>
              <w:jc w:val="left"/>
              <w:rPr>
                <w:rFonts w:ascii="Times New Roman" w:hAnsi="Times New Roman" w:cs="Times New Roman" w:eastAsia="Times New Roman" w:hint="default"/>
                <w:sz w:val="18"/>
                <w:szCs w:val="18"/>
              </w:rPr>
            </w:pPr>
            <w:r>
              <w:rPr>
                <w:rFonts w:ascii="Times New Roman"/>
                <w:sz w:val="18"/>
              </w:rPr>
              <w:t>6.76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right="99"/>
              <w:jc w:val="right"/>
              <w:rPr>
                <w:rFonts w:ascii="Times New Roman" w:hAnsi="Times New Roman" w:cs="Times New Roman" w:eastAsia="Times New Roman" w:hint="default"/>
                <w:sz w:val="18"/>
                <w:szCs w:val="18"/>
              </w:rPr>
            </w:pPr>
            <w:r>
              <w:rPr>
                <w:rFonts w:ascii="Times New Roman"/>
                <w:spacing w:val="-1"/>
                <w:sz w:val="18"/>
              </w:rPr>
              <w:t>580,17</w:t>
            </w:r>
          </w:p>
          <w:p>
            <w:pPr>
              <w:pStyle w:val="TableParagraph"/>
              <w:spacing w:line="206" w:lineRule="exact"/>
              <w:ind w:right="99"/>
              <w:jc w:val="right"/>
              <w:rPr>
                <w:rFonts w:ascii="Times New Roman" w:hAnsi="Times New Roman" w:cs="Times New Roman" w:eastAsia="Times New Roman" w:hint="default"/>
                <w:sz w:val="18"/>
                <w:szCs w:val="18"/>
              </w:rPr>
            </w:pPr>
            <w:r>
              <w:rPr>
                <w:rFonts w:ascii="Times New Roman"/>
                <w:spacing w:val="-1"/>
                <w:sz w:val="18"/>
              </w:rPr>
              <w:t>3,659.6</w:t>
            </w:r>
          </w:p>
          <w:p>
            <w:pPr>
              <w:pStyle w:val="TableParagraph"/>
              <w:spacing w:line="207" w:lineRule="exact"/>
              <w:ind w:right="102"/>
              <w:jc w:val="right"/>
              <w:rPr>
                <w:rFonts w:ascii="Times New Roman" w:hAnsi="Times New Roman" w:cs="Times New Roman" w:eastAsia="Times New Roman" w:hint="default"/>
                <w:sz w:val="18"/>
                <w:szCs w:val="18"/>
              </w:rPr>
            </w:pPr>
            <w:r>
              <w:rPr>
                <w:rFonts w:ascii="Times New Roman"/>
                <w:sz w:val="18"/>
              </w:rPr>
              <w:t>7</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07" w:lineRule="exact"/>
              <w:ind w:left="187" w:right="0"/>
              <w:jc w:val="left"/>
              <w:rPr>
                <w:rFonts w:ascii="Times New Roman" w:hAnsi="Times New Roman" w:cs="Times New Roman" w:eastAsia="Times New Roman" w:hint="default"/>
                <w:sz w:val="18"/>
                <w:szCs w:val="18"/>
              </w:rPr>
            </w:pPr>
            <w:r>
              <w:rPr>
                <w:rFonts w:ascii="Times New Roman"/>
                <w:sz w:val="18"/>
              </w:rPr>
              <w:t>3,480,54</w:t>
            </w:r>
          </w:p>
          <w:p>
            <w:pPr>
              <w:pStyle w:val="TableParagraph"/>
              <w:spacing w:line="207" w:lineRule="exact"/>
              <w:ind w:left="187" w:right="0"/>
              <w:jc w:val="left"/>
              <w:rPr>
                <w:rFonts w:ascii="Times New Roman" w:hAnsi="Times New Roman" w:cs="Times New Roman" w:eastAsia="Times New Roman" w:hint="default"/>
                <w:sz w:val="18"/>
                <w:szCs w:val="18"/>
              </w:rPr>
            </w:pPr>
            <w:r>
              <w:rPr>
                <w:rFonts w:ascii="Times New Roman"/>
                <w:sz w:val="18"/>
              </w:rPr>
              <w:t>5,273.95</w:t>
            </w:r>
          </w:p>
        </w:tc>
      </w:tr>
      <w:tr>
        <w:trPr>
          <w:trHeight w:val="102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3"/>
              <w:ind w:left="103" w:right="100"/>
              <w:jc w:val="both"/>
              <w:rPr>
                <w:rFonts w:ascii="宋体" w:hAnsi="宋体" w:cs="宋体" w:eastAsia="宋体" w:hint="default"/>
                <w:sz w:val="18"/>
                <w:szCs w:val="18"/>
              </w:rPr>
            </w:pPr>
            <w:r>
              <w:rPr>
                <w:rFonts w:ascii="宋体" w:hAnsi="宋体" w:cs="宋体" w:eastAsia="宋体" w:hint="default"/>
                <w:spacing w:val="-11"/>
                <w:sz w:val="18"/>
                <w:szCs w:val="18"/>
              </w:rPr>
              <w:t>三、本期增减</w:t>
            </w:r>
            <w:r>
              <w:rPr>
                <w:rFonts w:ascii="宋体" w:hAnsi="宋体" w:cs="宋体" w:eastAsia="宋体" w:hint="default"/>
                <w:sz w:val="18"/>
                <w:szCs w:val="18"/>
              </w:rPr>
              <w:t> </w:t>
            </w:r>
            <w:r>
              <w:rPr>
                <w:rFonts w:ascii="宋体" w:hAnsi="宋体" w:cs="宋体" w:eastAsia="宋体" w:hint="default"/>
                <w:spacing w:val="-11"/>
                <w:sz w:val="18"/>
                <w:szCs w:val="18"/>
              </w:rPr>
              <w:t>变动金额（减</w:t>
            </w:r>
            <w:r>
              <w:rPr>
                <w:rFonts w:ascii="宋体" w:hAnsi="宋体" w:cs="宋体" w:eastAsia="宋体" w:hint="default"/>
                <w:sz w:val="18"/>
                <w:szCs w:val="18"/>
              </w:rPr>
              <w:t> </w:t>
            </w:r>
            <w:r>
              <w:rPr>
                <w:rFonts w:ascii="宋体" w:hAnsi="宋体" w:cs="宋体" w:eastAsia="宋体" w:hint="default"/>
                <w:spacing w:val="-11"/>
                <w:sz w:val="18"/>
                <w:szCs w:val="18"/>
              </w:rPr>
              <w:t>少以“－”号</w:t>
            </w:r>
            <w:r>
              <w:rPr>
                <w:rFonts w:ascii="宋体" w:hAnsi="宋体" w:cs="宋体" w:eastAsia="宋体" w:hint="default"/>
                <w:sz w:val="18"/>
                <w:szCs w:val="18"/>
              </w:rPr>
              <w:t> 填列）</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07" w:lineRule="exact"/>
              <w:ind w:left="167" w:right="0"/>
              <w:jc w:val="left"/>
              <w:rPr>
                <w:rFonts w:ascii="Times New Roman" w:hAnsi="Times New Roman" w:cs="Times New Roman" w:eastAsia="Times New Roman" w:hint="default"/>
                <w:sz w:val="18"/>
                <w:szCs w:val="18"/>
              </w:rPr>
            </w:pPr>
            <w:r>
              <w:rPr>
                <w:rFonts w:ascii="Times New Roman"/>
                <w:sz w:val="18"/>
              </w:rPr>
              <w:t>782,3</w:t>
            </w:r>
          </w:p>
          <w:p>
            <w:pPr>
              <w:pStyle w:val="TableParagraph"/>
              <w:spacing w:line="207" w:lineRule="exact"/>
              <w:ind w:left="167" w:right="0"/>
              <w:jc w:val="left"/>
              <w:rPr>
                <w:rFonts w:ascii="Times New Roman" w:hAnsi="Times New Roman" w:cs="Times New Roman" w:eastAsia="Times New Roman" w:hint="default"/>
                <w:sz w:val="18"/>
                <w:szCs w:val="18"/>
              </w:rPr>
            </w:pPr>
            <w:r>
              <w:rPr>
                <w:rFonts w:ascii="Times New Roman"/>
                <w:sz w:val="18"/>
              </w:rPr>
              <w:t>55.93</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07" w:lineRule="exact"/>
              <w:ind w:left="107" w:right="0"/>
              <w:jc w:val="left"/>
              <w:rPr>
                <w:rFonts w:ascii="Times New Roman" w:hAnsi="Times New Roman" w:cs="Times New Roman" w:eastAsia="Times New Roman" w:hint="default"/>
                <w:sz w:val="18"/>
                <w:szCs w:val="18"/>
              </w:rPr>
            </w:pPr>
            <w:r>
              <w:rPr>
                <w:rFonts w:ascii="Times New Roman"/>
                <w:sz w:val="18"/>
              </w:rPr>
              <w:t>-71,37</w:t>
            </w:r>
          </w:p>
          <w:p>
            <w:pPr>
              <w:pStyle w:val="TableParagraph"/>
              <w:spacing w:line="206" w:lineRule="exact"/>
              <w:ind w:left="121" w:right="0"/>
              <w:jc w:val="left"/>
              <w:rPr>
                <w:rFonts w:ascii="Times New Roman" w:hAnsi="Times New Roman" w:cs="Times New Roman" w:eastAsia="Times New Roman" w:hint="default"/>
                <w:sz w:val="18"/>
                <w:szCs w:val="18"/>
              </w:rPr>
            </w:pPr>
            <w:r>
              <w:rPr>
                <w:rFonts w:ascii="Times New Roman"/>
                <w:sz w:val="18"/>
              </w:rPr>
              <w:t>2,396.</w:t>
            </w:r>
          </w:p>
          <w:p>
            <w:pPr>
              <w:pStyle w:val="TableParagraph"/>
              <w:spacing w:line="207" w:lineRule="exact"/>
              <w:ind w:left="392" w:right="0"/>
              <w:jc w:val="left"/>
              <w:rPr>
                <w:rFonts w:ascii="Times New Roman" w:hAnsi="Times New Roman" w:cs="Times New Roman" w:eastAsia="Times New Roman" w:hint="default"/>
                <w:sz w:val="18"/>
                <w:szCs w:val="18"/>
              </w:rPr>
            </w:pPr>
            <w:r>
              <w:rPr>
                <w:rFonts w:ascii="Times New Roman"/>
                <w:sz w:val="18"/>
              </w:rPr>
              <w:t>88</w:t>
            </w: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pacing w:val="-1"/>
                <w:sz w:val="18"/>
              </w:rPr>
              <w:t>8,278</w:t>
            </w:r>
          </w:p>
          <w:p>
            <w:pPr>
              <w:pStyle w:val="TableParagraph"/>
              <w:spacing w:line="206" w:lineRule="exact"/>
              <w:ind w:right="93"/>
              <w:jc w:val="right"/>
              <w:rPr>
                <w:rFonts w:ascii="Times New Roman" w:hAnsi="Times New Roman" w:cs="Times New Roman" w:eastAsia="Times New Roman" w:hint="default"/>
                <w:sz w:val="18"/>
                <w:szCs w:val="18"/>
              </w:rPr>
            </w:pPr>
            <w:r>
              <w:rPr>
                <w:rFonts w:ascii="Times New Roman"/>
                <w:spacing w:val="-1"/>
                <w:sz w:val="18"/>
              </w:rPr>
              <w:t>,289.1</w:t>
            </w: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z w:val="18"/>
              </w:rPr>
              <w:t>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07" w:lineRule="exact"/>
              <w:ind w:left="145" w:right="0"/>
              <w:jc w:val="left"/>
              <w:rPr>
                <w:rFonts w:ascii="Times New Roman" w:hAnsi="Times New Roman" w:cs="Times New Roman" w:eastAsia="Times New Roman" w:hint="default"/>
                <w:sz w:val="18"/>
                <w:szCs w:val="18"/>
              </w:rPr>
            </w:pPr>
            <w:r>
              <w:rPr>
                <w:rFonts w:ascii="Times New Roman"/>
                <w:sz w:val="18"/>
              </w:rPr>
              <w:t>74,504,</w:t>
            </w:r>
          </w:p>
          <w:p>
            <w:pPr>
              <w:pStyle w:val="TableParagraph"/>
              <w:spacing w:line="207" w:lineRule="exact"/>
              <w:ind w:left="191" w:right="0"/>
              <w:jc w:val="left"/>
              <w:rPr>
                <w:rFonts w:ascii="Times New Roman" w:hAnsi="Times New Roman" w:cs="Times New Roman" w:eastAsia="Times New Roman" w:hint="default"/>
                <w:sz w:val="18"/>
                <w:szCs w:val="18"/>
              </w:rPr>
            </w:pPr>
            <w:r>
              <w:rPr>
                <w:rFonts w:ascii="Times New Roman"/>
                <w:sz w:val="18"/>
              </w:rPr>
              <w:t>601.95</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07" w:lineRule="exact"/>
              <w:ind w:left="187" w:right="0"/>
              <w:jc w:val="left"/>
              <w:rPr>
                <w:rFonts w:ascii="Times New Roman" w:hAnsi="Times New Roman" w:cs="Times New Roman" w:eastAsia="Times New Roman" w:hint="default"/>
                <w:sz w:val="18"/>
                <w:szCs w:val="18"/>
              </w:rPr>
            </w:pPr>
            <w:r>
              <w:rPr>
                <w:rFonts w:ascii="Times New Roman"/>
                <w:sz w:val="18"/>
              </w:rPr>
              <w:t>12,192,8</w:t>
            </w:r>
          </w:p>
          <w:p>
            <w:pPr>
              <w:pStyle w:val="TableParagraph"/>
              <w:spacing w:line="207" w:lineRule="exact"/>
              <w:ind w:left="420" w:right="0"/>
              <w:jc w:val="left"/>
              <w:rPr>
                <w:rFonts w:ascii="Times New Roman" w:hAnsi="Times New Roman" w:cs="Times New Roman" w:eastAsia="Times New Roman" w:hint="default"/>
                <w:sz w:val="18"/>
                <w:szCs w:val="18"/>
              </w:rPr>
            </w:pPr>
            <w:r>
              <w:rPr>
                <w:rFonts w:ascii="Times New Roman"/>
                <w:sz w:val="18"/>
              </w:rPr>
              <w:t>50.11</w:t>
            </w:r>
          </w:p>
        </w:tc>
      </w:tr>
      <w:tr>
        <w:trPr>
          <w:trHeight w:val="711"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1"/>
              <w:ind w:left="103" w:right="100"/>
              <w:jc w:val="left"/>
              <w:rPr>
                <w:rFonts w:ascii="宋体" w:hAnsi="宋体" w:cs="宋体" w:eastAsia="宋体" w:hint="default"/>
                <w:sz w:val="18"/>
                <w:szCs w:val="18"/>
              </w:rPr>
            </w:pPr>
            <w:r>
              <w:rPr>
                <w:rFonts w:ascii="宋体" w:hAnsi="宋体" w:cs="宋体" w:eastAsia="宋体" w:hint="default"/>
                <w:spacing w:val="-11"/>
                <w:sz w:val="18"/>
                <w:szCs w:val="18"/>
              </w:rPr>
              <w:t>（一）综合收</w:t>
            </w:r>
            <w:r>
              <w:rPr>
                <w:rFonts w:ascii="宋体" w:hAnsi="宋体" w:cs="宋体" w:eastAsia="宋体" w:hint="default"/>
                <w:sz w:val="18"/>
                <w:szCs w:val="18"/>
              </w:rPr>
              <w:t> 益总额</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07" w:right="0"/>
              <w:jc w:val="left"/>
              <w:rPr>
                <w:rFonts w:ascii="Times New Roman" w:hAnsi="Times New Roman" w:cs="Times New Roman" w:eastAsia="Times New Roman" w:hint="default"/>
                <w:sz w:val="18"/>
                <w:szCs w:val="18"/>
              </w:rPr>
            </w:pPr>
            <w:r>
              <w:rPr>
                <w:rFonts w:ascii="Times New Roman"/>
                <w:sz w:val="18"/>
              </w:rPr>
              <w:t>-71,37</w:t>
            </w:r>
          </w:p>
          <w:p>
            <w:pPr>
              <w:pStyle w:val="TableParagraph"/>
              <w:spacing w:line="206" w:lineRule="exact"/>
              <w:ind w:left="121" w:right="0"/>
              <w:jc w:val="left"/>
              <w:rPr>
                <w:rFonts w:ascii="Times New Roman" w:hAnsi="Times New Roman" w:cs="Times New Roman" w:eastAsia="Times New Roman" w:hint="default"/>
                <w:sz w:val="18"/>
                <w:szCs w:val="18"/>
              </w:rPr>
            </w:pPr>
            <w:r>
              <w:rPr>
                <w:rFonts w:ascii="Times New Roman"/>
                <w:sz w:val="18"/>
              </w:rPr>
              <w:t>2,396.</w:t>
            </w:r>
          </w:p>
          <w:p>
            <w:pPr>
              <w:pStyle w:val="TableParagraph"/>
              <w:spacing w:line="207" w:lineRule="exact"/>
              <w:ind w:left="392" w:right="0"/>
              <w:jc w:val="left"/>
              <w:rPr>
                <w:rFonts w:ascii="Times New Roman" w:hAnsi="Times New Roman" w:cs="Times New Roman" w:eastAsia="Times New Roman" w:hint="default"/>
                <w:sz w:val="18"/>
                <w:szCs w:val="18"/>
              </w:rPr>
            </w:pPr>
            <w:r>
              <w:rPr>
                <w:rFonts w:ascii="Times New Roman"/>
                <w:sz w:val="18"/>
              </w:rPr>
              <w:t>88</w:t>
            </w: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before="143"/>
              <w:ind w:left="145" w:right="0"/>
              <w:jc w:val="left"/>
              <w:rPr>
                <w:rFonts w:ascii="Times New Roman" w:hAnsi="Times New Roman" w:cs="Times New Roman" w:eastAsia="Times New Roman" w:hint="default"/>
                <w:sz w:val="18"/>
                <w:szCs w:val="18"/>
              </w:rPr>
            </w:pPr>
            <w:r>
              <w:rPr>
                <w:rFonts w:ascii="Times New Roman"/>
                <w:sz w:val="18"/>
              </w:rPr>
              <w:t>82,782,</w:t>
            </w:r>
          </w:p>
          <w:p>
            <w:pPr>
              <w:pStyle w:val="TableParagraph"/>
              <w:spacing w:line="205" w:lineRule="exact"/>
              <w:ind w:left="191" w:right="0"/>
              <w:jc w:val="left"/>
              <w:rPr>
                <w:rFonts w:ascii="Times New Roman" w:hAnsi="Times New Roman" w:cs="Times New Roman" w:eastAsia="Times New Roman" w:hint="default"/>
                <w:sz w:val="18"/>
                <w:szCs w:val="18"/>
              </w:rPr>
            </w:pPr>
            <w:r>
              <w:rPr>
                <w:rFonts w:ascii="Times New Roman"/>
                <w:sz w:val="18"/>
              </w:rPr>
              <w:t>891.06</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before="143"/>
              <w:ind w:left="103" w:right="0"/>
              <w:jc w:val="left"/>
              <w:rPr>
                <w:rFonts w:ascii="Times New Roman" w:hAnsi="Times New Roman" w:cs="Times New Roman" w:eastAsia="Times New Roman" w:hint="default"/>
                <w:sz w:val="18"/>
                <w:szCs w:val="18"/>
              </w:rPr>
            </w:pPr>
            <w:r>
              <w:rPr>
                <w:rFonts w:ascii="Times New Roman"/>
                <w:sz w:val="18"/>
              </w:rPr>
              <w:t>11,410,49</w:t>
            </w:r>
          </w:p>
          <w:p>
            <w:pPr>
              <w:pStyle w:val="TableParagraph"/>
              <w:spacing w:line="205" w:lineRule="exact"/>
              <w:ind w:left="501" w:right="0"/>
              <w:jc w:val="left"/>
              <w:rPr>
                <w:rFonts w:ascii="Times New Roman" w:hAnsi="Times New Roman" w:cs="Times New Roman" w:eastAsia="Times New Roman" w:hint="default"/>
                <w:sz w:val="18"/>
                <w:szCs w:val="18"/>
              </w:rPr>
            </w:pPr>
            <w:r>
              <w:rPr>
                <w:rFonts w:ascii="Times New Roman"/>
                <w:sz w:val="18"/>
              </w:rPr>
              <w:t>4.18</w:t>
            </w:r>
          </w:p>
        </w:tc>
      </w:tr>
      <w:tr>
        <w:trPr>
          <w:trHeight w:val="790"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00"/>
              <w:jc w:val="left"/>
              <w:rPr>
                <w:rFonts w:ascii="宋体" w:hAnsi="宋体" w:cs="宋体" w:eastAsia="宋体" w:hint="default"/>
                <w:sz w:val="18"/>
                <w:szCs w:val="18"/>
              </w:rPr>
            </w:pPr>
            <w:r>
              <w:rPr>
                <w:rFonts w:ascii="宋体" w:hAnsi="宋体" w:cs="宋体" w:eastAsia="宋体" w:hint="default"/>
                <w:spacing w:val="-11"/>
                <w:sz w:val="18"/>
                <w:szCs w:val="18"/>
              </w:rPr>
              <w:t>（二）所有者</w:t>
            </w:r>
            <w:r>
              <w:rPr>
                <w:rFonts w:ascii="宋体" w:hAnsi="宋体" w:cs="宋体" w:eastAsia="宋体" w:hint="default"/>
                <w:sz w:val="18"/>
                <w:szCs w:val="18"/>
              </w:rPr>
              <w:t> 投入和减少 资本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05" w:lineRule="exact"/>
              <w:ind w:left="167" w:right="0"/>
              <w:jc w:val="left"/>
              <w:rPr>
                <w:rFonts w:ascii="Times New Roman" w:hAnsi="Times New Roman" w:cs="Times New Roman" w:eastAsia="Times New Roman" w:hint="default"/>
                <w:sz w:val="18"/>
                <w:szCs w:val="18"/>
              </w:rPr>
            </w:pPr>
            <w:r>
              <w:rPr>
                <w:rFonts w:ascii="Times New Roman"/>
                <w:sz w:val="18"/>
              </w:rPr>
              <w:t>782,3</w:t>
            </w:r>
          </w:p>
          <w:p>
            <w:pPr>
              <w:pStyle w:val="TableParagraph"/>
              <w:spacing w:line="205" w:lineRule="exact"/>
              <w:ind w:left="167" w:right="0"/>
              <w:jc w:val="left"/>
              <w:rPr>
                <w:rFonts w:ascii="Times New Roman" w:hAnsi="Times New Roman" w:cs="Times New Roman" w:eastAsia="Times New Roman" w:hint="default"/>
                <w:sz w:val="18"/>
                <w:szCs w:val="18"/>
              </w:rPr>
            </w:pPr>
            <w:r>
              <w:rPr>
                <w:rFonts w:ascii="Times New Roman"/>
                <w:sz w:val="18"/>
              </w:rPr>
              <w:t>55.93</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05" w:lineRule="exact"/>
              <w:ind w:right="100"/>
              <w:jc w:val="right"/>
              <w:rPr>
                <w:rFonts w:ascii="Times New Roman" w:hAnsi="Times New Roman" w:cs="Times New Roman" w:eastAsia="Times New Roman" w:hint="default"/>
                <w:sz w:val="18"/>
                <w:szCs w:val="18"/>
              </w:rPr>
            </w:pPr>
            <w:r>
              <w:rPr>
                <w:rFonts w:ascii="Times New Roman"/>
                <w:spacing w:val="-1"/>
                <w:sz w:val="18"/>
              </w:rPr>
              <w:t>782,355.</w:t>
            </w:r>
          </w:p>
          <w:p>
            <w:pPr>
              <w:pStyle w:val="TableParagraph"/>
              <w:spacing w:line="205" w:lineRule="exact"/>
              <w:ind w:right="101"/>
              <w:jc w:val="right"/>
              <w:rPr>
                <w:rFonts w:ascii="Times New Roman" w:hAnsi="Times New Roman" w:cs="Times New Roman" w:eastAsia="Times New Roman" w:hint="default"/>
                <w:sz w:val="18"/>
                <w:szCs w:val="18"/>
              </w:rPr>
            </w:pPr>
            <w:r>
              <w:rPr>
                <w:rFonts w:ascii="Times New Roman"/>
                <w:sz w:val="18"/>
              </w:rPr>
              <w:t>93</w:t>
            </w:r>
          </w:p>
        </w:tc>
      </w:tr>
      <w:tr>
        <w:trPr>
          <w:trHeight w:val="557"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50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left="167" w:right="0"/>
              <w:jc w:val="left"/>
              <w:rPr>
                <w:rFonts w:ascii="Times New Roman" w:hAnsi="Times New Roman" w:cs="Times New Roman" w:eastAsia="Times New Roman" w:hint="default"/>
                <w:sz w:val="18"/>
                <w:szCs w:val="18"/>
              </w:rPr>
            </w:pPr>
            <w:r>
              <w:rPr>
                <w:rFonts w:ascii="Times New Roman"/>
                <w:sz w:val="18"/>
              </w:rPr>
              <w:t>782,3</w:t>
            </w:r>
          </w:p>
          <w:p>
            <w:pPr>
              <w:pStyle w:val="TableParagraph"/>
              <w:spacing w:line="207" w:lineRule="exact"/>
              <w:ind w:left="167" w:right="0"/>
              <w:jc w:val="left"/>
              <w:rPr>
                <w:rFonts w:ascii="Times New Roman" w:hAnsi="Times New Roman" w:cs="Times New Roman" w:eastAsia="Times New Roman" w:hint="default"/>
                <w:sz w:val="18"/>
                <w:szCs w:val="18"/>
              </w:rPr>
            </w:pPr>
            <w:r>
              <w:rPr>
                <w:rFonts w:ascii="Times New Roman"/>
                <w:sz w:val="18"/>
              </w:rPr>
              <w:t>55.93</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right="100"/>
              <w:jc w:val="right"/>
              <w:rPr>
                <w:rFonts w:ascii="Times New Roman" w:hAnsi="Times New Roman" w:cs="Times New Roman" w:eastAsia="Times New Roman" w:hint="default"/>
                <w:sz w:val="18"/>
                <w:szCs w:val="18"/>
              </w:rPr>
            </w:pPr>
            <w:r>
              <w:rPr>
                <w:rFonts w:ascii="Times New Roman"/>
                <w:spacing w:val="-1"/>
                <w:sz w:val="18"/>
              </w:rPr>
              <w:t>782,355.</w:t>
            </w:r>
          </w:p>
          <w:p>
            <w:pPr>
              <w:pStyle w:val="TableParagraph"/>
              <w:spacing w:line="207" w:lineRule="exact"/>
              <w:ind w:right="101"/>
              <w:jc w:val="right"/>
              <w:rPr>
                <w:rFonts w:ascii="Times New Roman" w:hAnsi="Times New Roman" w:cs="Times New Roman" w:eastAsia="Times New Roman" w:hint="default"/>
                <w:sz w:val="18"/>
                <w:szCs w:val="18"/>
              </w:rPr>
            </w:pPr>
            <w:r>
              <w:rPr>
                <w:rFonts w:ascii="Times New Roman"/>
                <w:sz w:val="18"/>
              </w:rPr>
              <w:t>93</w:t>
            </w:r>
          </w:p>
        </w:tc>
      </w:tr>
      <w:tr>
        <w:trPr>
          <w:trHeight w:val="711"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7"/>
              <w:ind w:left="103" w:right="100"/>
              <w:jc w:val="left"/>
              <w:rPr>
                <w:rFonts w:ascii="宋体" w:hAnsi="宋体" w:cs="宋体" w:eastAsia="宋体" w:hint="default"/>
                <w:sz w:val="18"/>
                <w:szCs w:val="18"/>
              </w:rPr>
            </w:pPr>
            <w:r>
              <w:rPr>
                <w:rFonts w:ascii="宋体" w:hAnsi="宋体" w:cs="宋体" w:eastAsia="宋体" w:hint="default"/>
                <w:spacing w:val="-11"/>
                <w:sz w:val="18"/>
                <w:szCs w:val="18"/>
              </w:rPr>
              <w:t>（三）利润分</w:t>
            </w:r>
            <w:r>
              <w:rPr>
                <w:rFonts w:ascii="宋体" w:hAnsi="宋体" w:cs="宋体" w:eastAsia="宋体" w:hint="default"/>
                <w:sz w:val="18"/>
                <w:szCs w:val="18"/>
              </w:rPr>
              <w:t> 配</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40"/>
              <w:ind w:right="100"/>
              <w:jc w:val="right"/>
              <w:rPr>
                <w:rFonts w:ascii="Times New Roman" w:hAnsi="Times New Roman" w:cs="Times New Roman" w:eastAsia="Times New Roman" w:hint="default"/>
                <w:sz w:val="18"/>
                <w:szCs w:val="18"/>
              </w:rPr>
            </w:pPr>
            <w:r>
              <w:rPr>
                <w:rFonts w:ascii="Times New Roman"/>
                <w:spacing w:val="-1"/>
                <w:sz w:val="18"/>
              </w:rPr>
              <w:t>8,278</w:t>
            </w:r>
          </w:p>
          <w:p>
            <w:pPr>
              <w:pStyle w:val="TableParagraph"/>
              <w:spacing w:line="206" w:lineRule="exact"/>
              <w:ind w:right="93"/>
              <w:jc w:val="right"/>
              <w:rPr>
                <w:rFonts w:ascii="Times New Roman" w:hAnsi="Times New Roman" w:cs="Times New Roman" w:eastAsia="Times New Roman" w:hint="default"/>
                <w:sz w:val="18"/>
                <w:szCs w:val="18"/>
              </w:rPr>
            </w:pPr>
            <w:r>
              <w:rPr>
                <w:rFonts w:ascii="Times New Roman"/>
                <w:spacing w:val="-1"/>
                <w:sz w:val="18"/>
              </w:rPr>
              <w:t>,289.1</w:t>
            </w: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z w:val="18"/>
              </w:rPr>
              <w:t>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left="176" w:right="0"/>
              <w:jc w:val="left"/>
              <w:rPr>
                <w:rFonts w:ascii="Times New Roman" w:hAnsi="Times New Roman" w:cs="Times New Roman" w:eastAsia="Times New Roman" w:hint="default"/>
                <w:sz w:val="18"/>
                <w:szCs w:val="18"/>
              </w:rPr>
            </w:pPr>
            <w:r>
              <w:rPr>
                <w:rFonts w:ascii="Times New Roman"/>
                <w:sz w:val="18"/>
              </w:rPr>
              <w:t>-8,278,</w:t>
            </w:r>
          </w:p>
          <w:p>
            <w:pPr>
              <w:pStyle w:val="TableParagraph"/>
              <w:spacing w:line="207" w:lineRule="exact"/>
              <w:ind w:left="196" w:right="0"/>
              <w:jc w:val="left"/>
              <w:rPr>
                <w:rFonts w:ascii="Times New Roman" w:hAnsi="Times New Roman" w:cs="Times New Roman" w:eastAsia="Times New Roman" w:hint="default"/>
                <w:sz w:val="18"/>
                <w:szCs w:val="18"/>
              </w:rPr>
            </w:pPr>
            <w:r>
              <w:rPr>
                <w:rFonts w:ascii="Times New Roman"/>
                <w:sz w:val="18"/>
              </w:rPr>
              <w:t>289.11</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3"/>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right="100"/>
              <w:jc w:val="right"/>
              <w:rPr>
                <w:rFonts w:ascii="Times New Roman" w:hAnsi="Times New Roman" w:cs="Times New Roman" w:eastAsia="Times New Roman" w:hint="default"/>
                <w:sz w:val="18"/>
                <w:szCs w:val="18"/>
              </w:rPr>
            </w:pPr>
            <w:r>
              <w:rPr>
                <w:rFonts w:ascii="Times New Roman"/>
                <w:spacing w:val="-1"/>
                <w:sz w:val="18"/>
              </w:rPr>
              <w:t>8,278</w:t>
            </w:r>
          </w:p>
          <w:p>
            <w:pPr>
              <w:pStyle w:val="TableParagraph"/>
              <w:spacing w:line="206" w:lineRule="exact"/>
              <w:ind w:right="93"/>
              <w:jc w:val="right"/>
              <w:rPr>
                <w:rFonts w:ascii="Times New Roman" w:hAnsi="Times New Roman" w:cs="Times New Roman" w:eastAsia="Times New Roman" w:hint="default"/>
                <w:sz w:val="18"/>
                <w:szCs w:val="18"/>
              </w:rPr>
            </w:pPr>
            <w:r>
              <w:rPr>
                <w:rFonts w:ascii="Times New Roman"/>
                <w:spacing w:val="-1"/>
                <w:sz w:val="18"/>
              </w:rPr>
              <w:t>,289.1</w:t>
            </w:r>
          </w:p>
          <w:p>
            <w:pPr>
              <w:pStyle w:val="TableParagraph"/>
              <w:spacing w:line="207" w:lineRule="exact"/>
              <w:ind w:right="100"/>
              <w:jc w:val="right"/>
              <w:rPr>
                <w:rFonts w:ascii="Times New Roman" w:hAnsi="Times New Roman" w:cs="Times New Roman" w:eastAsia="Times New Roman" w:hint="default"/>
                <w:sz w:val="18"/>
                <w:szCs w:val="18"/>
              </w:rPr>
            </w:pPr>
            <w:r>
              <w:rPr>
                <w:rFonts w:ascii="Times New Roman"/>
                <w:sz w:val="18"/>
              </w:rPr>
              <w:t>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3"/>
              <w:ind w:left="176" w:right="0"/>
              <w:jc w:val="left"/>
              <w:rPr>
                <w:rFonts w:ascii="Times New Roman" w:hAnsi="Times New Roman" w:cs="Times New Roman" w:eastAsia="Times New Roman" w:hint="default"/>
                <w:sz w:val="18"/>
                <w:szCs w:val="18"/>
              </w:rPr>
            </w:pPr>
            <w:r>
              <w:rPr>
                <w:rFonts w:ascii="Times New Roman"/>
                <w:sz w:val="18"/>
              </w:rPr>
              <w:t>-8,278,</w:t>
            </w:r>
          </w:p>
          <w:p>
            <w:pPr>
              <w:pStyle w:val="TableParagraph"/>
              <w:spacing w:line="207" w:lineRule="exact"/>
              <w:ind w:left="196" w:right="0"/>
              <w:jc w:val="left"/>
              <w:rPr>
                <w:rFonts w:ascii="Times New Roman" w:hAnsi="Times New Roman" w:cs="Times New Roman" w:eastAsia="Times New Roman" w:hint="default"/>
                <w:sz w:val="18"/>
                <w:szCs w:val="18"/>
              </w:rPr>
            </w:pPr>
            <w:r>
              <w:rPr>
                <w:rFonts w:ascii="Times New Roman"/>
                <w:sz w:val="18"/>
              </w:rPr>
              <w:t>289.11</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91"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232" w:lineRule="exact" w:before="16"/>
              <w:ind w:left="103" w:right="100"/>
              <w:jc w:val="left"/>
              <w:rPr>
                <w:rFonts w:ascii="宋体" w:hAnsi="宋体" w:cs="宋体" w:eastAsia="宋体" w:hint="default"/>
                <w:sz w:val="18"/>
                <w:szCs w:val="18"/>
              </w:rPr>
            </w:pPr>
            <w:r>
              <w:rPr>
                <w:rFonts w:ascii="宋体" w:hAnsi="宋体" w:cs="宋体" w:eastAsia="宋体" w:hint="default"/>
                <w:spacing w:val="-11"/>
                <w:sz w:val="18"/>
                <w:szCs w:val="18"/>
              </w:rPr>
              <w:t>（或股东）的</w:t>
            </w:r>
            <w:r>
              <w:rPr>
                <w:rFonts w:ascii="宋体" w:hAnsi="宋体" w:cs="宋体" w:eastAsia="宋体" w:hint="default"/>
                <w:sz w:val="18"/>
                <w:szCs w:val="18"/>
              </w:rPr>
              <w:t> 分配</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3"/>
              <w:ind w:left="103" w:right="100"/>
              <w:jc w:val="left"/>
              <w:rPr>
                <w:rFonts w:ascii="宋体" w:hAnsi="宋体" w:cs="宋体" w:eastAsia="宋体" w:hint="default"/>
                <w:sz w:val="18"/>
                <w:szCs w:val="18"/>
              </w:rPr>
            </w:pPr>
            <w:r>
              <w:rPr>
                <w:rFonts w:ascii="宋体" w:hAnsi="宋体" w:cs="宋体" w:eastAsia="宋体" w:hint="default"/>
                <w:spacing w:val="-11"/>
                <w:sz w:val="18"/>
                <w:szCs w:val="18"/>
              </w:rPr>
              <w:t>（四）所有者</w:t>
            </w:r>
            <w:r>
              <w:rPr>
                <w:rFonts w:ascii="宋体" w:hAnsi="宋体" w:cs="宋体" w:eastAsia="宋体" w:hint="default"/>
                <w:sz w:val="18"/>
                <w:szCs w:val="18"/>
              </w:rPr>
              <w:t> 权益内部结 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91"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11"/>
                <w:sz w:val="18"/>
                <w:szCs w:val="18"/>
              </w:rPr>
              <w:t>转增资本（或</w:t>
            </w:r>
            <w:r>
              <w:rPr>
                <w:rFonts w:ascii="宋体" w:hAnsi="宋体" w:cs="宋体" w:eastAsia="宋体" w:hint="default"/>
                <w:sz w:val="18"/>
                <w:szCs w:val="18"/>
              </w:rPr>
              <w:t> 股本）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6"/>
              <w:ind w:left="103" w:right="1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11"/>
                <w:sz w:val="18"/>
                <w:szCs w:val="18"/>
              </w:rPr>
              <w:t>转增资本（或</w:t>
            </w:r>
            <w:r>
              <w:rPr>
                <w:rFonts w:ascii="宋体" w:hAnsi="宋体" w:cs="宋体" w:eastAsia="宋体" w:hint="default"/>
                <w:sz w:val="18"/>
                <w:szCs w:val="18"/>
              </w:rPr>
              <w:t> 股本）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2"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7"/>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39" w:footer="883" w:top="1940" w:bottom="1080" w:left="158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790"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 收益结转留 存收益</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7"/>
              <w:ind w:left="103" w:right="100"/>
              <w:jc w:val="left"/>
              <w:rPr>
                <w:rFonts w:ascii="宋体" w:hAnsi="宋体" w:cs="宋体" w:eastAsia="宋体" w:hint="default"/>
                <w:sz w:val="18"/>
                <w:szCs w:val="18"/>
              </w:rPr>
            </w:pPr>
            <w:r>
              <w:rPr>
                <w:rFonts w:ascii="宋体" w:hAnsi="宋体" w:cs="宋体" w:eastAsia="宋体" w:hint="default"/>
                <w:spacing w:val="-11"/>
                <w:sz w:val="18"/>
                <w:szCs w:val="18"/>
              </w:rPr>
              <w:t>（五）专项储</w:t>
            </w:r>
            <w:r>
              <w:rPr>
                <w:rFonts w:ascii="宋体" w:hAnsi="宋体" w:cs="宋体" w:eastAsia="宋体" w:hint="default"/>
                <w:sz w:val="18"/>
                <w:szCs w:val="18"/>
              </w:rPr>
              <w:t> 备</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91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32" w:lineRule="exact"/>
              <w:ind w:left="103" w:right="100"/>
              <w:jc w:val="left"/>
              <w:rPr>
                <w:rFonts w:ascii="宋体" w:hAnsi="宋体" w:cs="宋体" w:eastAsia="宋体" w:hint="default"/>
                <w:sz w:val="18"/>
                <w:szCs w:val="18"/>
              </w:rPr>
            </w:pPr>
            <w:r>
              <w:rPr>
                <w:rFonts w:ascii="宋体" w:hAnsi="宋体" w:cs="宋体" w:eastAsia="宋体" w:hint="default"/>
                <w:spacing w:val="-11"/>
                <w:sz w:val="18"/>
                <w:szCs w:val="18"/>
              </w:rPr>
              <w:t>四、本期期末</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39"/>
              <w:ind w:left="166" w:right="0"/>
              <w:jc w:val="left"/>
              <w:rPr>
                <w:rFonts w:ascii="Times New Roman" w:hAnsi="Times New Roman" w:cs="Times New Roman" w:eastAsia="Times New Roman" w:hint="default"/>
                <w:sz w:val="18"/>
                <w:szCs w:val="18"/>
              </w:rPr>
            </w:pPr>
            <w:r>
              <w:rPr>
                <w:rFonts w:ascii="Times New Roman"/>
                <w:sz w:val="18"/>
              </w:rPr>
              <w:t>1,03</w:t>
            </w:r>
          </w:p>
          <w:p>
            <w:pPr>
              <w:pStyle w:val="TableParagraph"/>
              <w:spacing w:line="206" w:lineRule="exact"/>
              <w:ind w:left="166" w:right="0"/>
              <w:jc w:val="left"/>
              <w:rPr>
                <w:rFonts w:ascii="Times New Roman" w:hAnsi="Times New Roman" w:cs="Times New Roman" w:eastAsia="Times New Roman" w:hint="default"/>
                <w:sz w:val="18"/>
                <w:szCs w:val="18"/>
              </w:rPr>
            </w:pPr>
            <w:r>
              <w:rPr>
                <w:rFonts w:ascii="Times New Roman"/>
                <w:sz w:val="18"/>
              </w:rPr>
              <w:t>5,48</w:t>
            </w:r>
          </w:p>
          <w:p>
            <w:pPr>
              <w:pStyle w:val="TableParagraph"/>
              <w:spacing w:line="206" w:lineRule="exact"/>
              <w:ind w:left="166" w:right="0"/>
              <w:jc w:val="left"/>
              <w:rPr>
                <w:rFonts w:ascii="Times New Roman" w:hAnsi="Times New Roman" w:cs="Times New Roman" w:eastAsia="Times New Roman" w:hint="default"/>
                <w:sz w:val="18"/>
                <w:szCs w:val="18"/>
              </w:rPr>
            </w:pPr>
            <w:r>
              <w:rPr>
                <w:rFonts w:ascii="Times New Roman"/>
                <w:sz w:val="18"/>
              </w:rPr>
              <w:t>9,09</w:t>
            </w:r>
          </w:p>
          <w:p>
            <w:pPr>
              <w:pStyle w:val="TableParagraph"/>
              <w:spacing w:line="207" w:lineRule="exact"/>
              <w:ind w:left="166" w:right="0"/>
              <w:jc w:val="left"/>
              <w:rPr>
                <w:rFonts w:ascii="Times New Roman" w:hAnsi="Times New Roman" w:cs="Times New Roman" w:eastAsia="Times New Roman" w:hint="default"/>
                <w:sz w:val="18"/>
                <w:szCs w:val="18"/>
              </w:rPr>
            </w:pPr>
            <w:r>
              <w:rPr>
                <w:rFonts w:ascii="Times New Roman"/>
                <w:sz w:val="18"/>
              </w:rPr>
              <w:t>8.00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21" w:right="0"/>
              <w:jc w:val="left"/>
              <w:rPr>
                <w:rFonts w:ascii="Times New Roman" w:hAnsi="Times New Roman" w:cs="Times New Roman" w:eastAsia="Times New Roman" w:hint="default"/>
                <w:sz w:val="18"/>
                <w:szCs w:val="18"/>
              </w:rPr>
            </w:pPr>
            <w:r>
              <w:rPr>
                <w:rFonts w:ascii="Times New Roman"/>
                <w:sz w:val="18"/>
              </w:rPr>
              <w:t>1,717,</w:t>
            </w:r>
          </w:p>
          <w:p>
            <w:pPr>
              <w:pStyle w:val="TableParagraph"/>
              <w:spacing w:line="206" w:lineRule="exact"/>
              <w:ind w:left="167" w:right="0"/>
              <w:jc w:val="left"/>
              <w:rPr>
                <w:rFonts w:ascii="Times New Roman" w:hAnsi="Times New Roman" w:cs="Times New Roman" w:eastAsia="Times New Roman" w:hint="default"/>
                <w:sz w:val="18"/>
                <w:szCs w:val="18"/>
              </w:rPr>
            </w:pPr>
            <w:r>
              <w:rPr>
                <w:rFonts w:ascii="Times New Roman"/>
                <w:sz w:val="18"/>
              </w:rPr>
              <w:t>724,5</w:t>
            </w:r>
          </w:p>
          <w:p>
            <w:pPr>
              <w:pStyle w:val="TableParagraph"/>
              <w:spacing w:line="207" w:lineRule="exact"/>
              <w:ind w:left="167" w:right="0"/>
              <w:jc w:val="left"/>
              <w:rPr>
                <w:rFonts w:ascii="Times New Roman" w:hAnsi="Times New Roman" w:cs="Times New Roman" w:eastAsia="Times New Roman" w:hint="default"/>
                <w:sz w:val="18"/>
                <w:szCs w:val="18"/>
              </w:rPr>
            </w:pPr>
            <w:r>
              <w:rPr>
                <w:rFonts w:ascii="Times New Roman"/>
                <w:sz w:val="18"/>
              </w:rPr>
              <w:t>14.22</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07" w:right="0"/>
              <w:jc w:val="left"/>
              <w:rPr>
                <w:rFonts w:ascii="Times New Roman" w:hAnsi="Times New Roman" w:cs="Times New Roman" w:eastAsia="Times New Roman" w:hint="default"/>
                <w:sz w:val="18"/>
                <w:szCs w:val="18"/>
              </w:rPr>
            </w:pPr>
            <w:r>
              <w:rPr>
                <w:rFonts w:ascii="Times New Roman"/>
                <w:sz w:val="18"/>
              </w:rPr>
              <w:t>-35,69</w:t>
            </w:r>
          </w:p>
          <w:p>
            <w:pPr>
              <w:pStyle w:val="TableParagraph"/>
              <w:spacing w:line="206" w:lineRule="exact"/>
              <w:ind w:left="121" w:right="0"/>
              <w:jc w:val="left"/>
              <w:rPr>
                <w:rFonts w:ascii="Times New Roman" w:hAnsi="Times New Roman" w:cs="Times New Roman" w:eastAsia="Times New Roman" w:hint="default"/>
                <w:sz w:val="18"/>
                <w:szCs w:val="18"/>
              </w:rPr>
            </w:pPr>
            <w:r>
              <w:rPr>
                <w:rFonts w:ascii="Times New Roman"/>
                <w:sz w:val="18"/>
              </w:rPr>
              <w:t>5,315.</w:t>
            </w:r>
          </w:p>
          <w:p>
            <w:pPr>
              <w:pStyle w:val="TableParagraph"/>
              <w:spacing w:line="207" w:lineRule="exact"/>
              <w:ind w:left="392" w:right="0"/>
              <w:jc w:val="left"/>
              <w:rPr>
                <w:rFonts w:ascii="Times New Roman" w:hAnsi="Times New Roman" w:cs="Times New Roman" w:eastAsia="Times New Roman" w:hint="default"/>
                <w:sz w:val="18"/>
                <w:szCs w:val="18"/>
              </w:rPr>
            </w:pPr>
            <w:r>
              <w:rPr>
                <w:rFonts w:ascii="Times New Roman"/>
                <w:sz w:val="18"/>
              </w:rPr>
              <w:t>65</w:t>
            </w: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left="148" w:right="0"/>
              <w:jc w:val="left"/>
              <w:rPr>
                <w:rFonts w:ascii="Times New Roman" w:hAnsi="Times New Roman" w:cs="Times New Roman" w:eastAsia="Times New Roman" w:hint="default"/>
                <w:sz w:val="18"/>
                <w:szCs w:val="18"/>
              </w:rPr>
            </w:pPr>
            <w:r>
              <w:rPr>
                <w:rFonts w:ascii="Times New Roman"/>
                <w:sz w:val="18"/>
              </w:rPr>
              <w:t>120,5</w:t>
            </w:r>
          </w:p>
          <w:p>
            <w:pPr>
              <w:pStyle w:val="TableParagraph"/>
              <w:spacing w:line="206" w:lineRule="exact"/>
              <w:ind w:left="148" w:right="0"/>
              <w:jc w:val="left"/>
              <w:rPr>
                <w:rFonts w:ascii="Times New Roman" w:hAnsi="Times New Roman" w:cs="Times New Roman" w:eastAsia="Times New Roman" w:hint="default"/>
                <w:sz w:val="18"/>
                <w:szCs w:val="18"/>
              </w:rPr>
            </w:pPr>
            <w:r>
              <w:rPr>
                <w:rFonts w:ascii="Times New Roman"/>
                <w:sz w:val="18"/>
              </w:rPr>
              <w:t>41,56</w:t>
            </w:r>
          </w:p>
          <w:p>
            <w:pPr>
              <w:pStyle w:val="TableParagraph"/>
              <w:spacing w:line="207" w:lineRule="exact"/>
              <w:ind w:left="237" w:right="0"/>
              <w:jc w:val="left"/>
              <w:rPr>
                <w:rFonts w:ascii="Times New Roman" w:hAnsi="Times New Roman" w:cs="Times New Roman" w:eastAsia="Times New Roman" w:hint="default"/>
                <w:sz w:val="18"/>
                <w:szCs w:val="18"/>
              </w:rPr>
            </w:pPr>
            <w:r>
              <w:rPr>
                <w:rFonts w:ascii="Times New Roman"/>
                <w:sz w:val="18"/>
              </w:rPr>
              <w:t>5.87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142"/>
              <w:ind w:right="99"/>
              <w:jc w:val="right"/>
              <w:rPr>
                <w:rFonts w:ascii="Times New Roman" w:hAnsi="Times New Roman" w:cs="Times New Roman" w:eastAsia="Times New Roman" w:hint="default"/>
                <w:sz w:val="18"/>
                <w:szCs w:val="18"/>
              </w:rPr>
            </w:pPr>
            <w:r>
              <w:rPr>
                <w:rFonts w:ascii="Times New Roman"/>
                <w:spacing w:val="-1"/>
                <w:sz w:val="18"/>
              </w:rPr>
              <w:t>654,67</w:t>
            </w:r>
          </w:p>
          <w:p>
            <w:pPr>
              <w:pStyle w:val="TableParagraph"/>
              <w:spacing w:line="206" w:lineRule="exact"/>
              <w:ind w:right="99"/>
              <w:jc w:val="right"/>
              <w:rPr>
                <w:rFonts w:ascii="Times New Roman" w:hAnsi="Times New Roman" w:cs="Times New Roman" w:eastAsia="Times New Roman" w:hint="default"/>
                <w:sz w:val="18"/>
                <w:szCs w:val="18"/>
              </w:rPr>
            </w:pPr>
            <w:r>
              <w:rPr>
                <w:rFonts w:ascii="Times New Roman"/>
                <w:spacing w:val="-1"/>
                <w:sz w:val="18"/>
              </w:rPr>
              <w:t>8,261.6</w:t>
            </w:r>
          </w:p>
          <w:p>
            <w:pPr>
              <w:pStyle w:val="TableParagraph"/>
              <w:spacing w:line="207" w:lineRule="exact"/>
              <w:ind w:right="102"/>
              <w:jc w:val="right"/>
              <w:rPr>
                <w:rFonts w:ascii="Times New Roman" w:hAnsi="Times New Roman" w:cs="Times New Roman" w:eastAsia="Times New Roman" w:hint="default"/>
                <w:sz w:val="18"/>
                <w:szCs w:val="18"/>
              </w:rPr>
            </w:pPr>
            <w:r>
              <w:rPr>
                <w:rFonts w:ascii="Times New Roman"/>
                <w:sz w:val="18"/>
              </w:rPr>
              <w:t>2</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07" w:lineRule="exact"/>
              <w:ind w:left="187" w:right="0"/>
              <w:jc w:val="left"/>
              <w:rPr>
                <w:rFonts w:ascii="Times New Roman" w:hAnsi="Times New Roman" w:cs="Times New Roman" w:eastAsia="Times New Roman" w:hint="default"/>
                <w:sz w:val="18"/>
                <w:szCs w:val="18"/>
              </w:rPr>
            </w:pPr>
            <w:r>
              <w:rPr>
                <w:rFonts w:ascii="Times New Roman"/>
                <w:sz w:val="18"/>
              </w:rPr>
              <w:t>3,492,73</w:t>
            </w:r>
          </w:p>
          <w:p>
            <w:pPr>
              <w:pStyle w:val="TableParagraph"/>
              <w:spacing w:line="207" w:lineRule="exact"/>
              <w:ind w:left="187" w:right="0"/>
              <w:jc w:val="left"/>
              <w:rPr>
                <w:rFonts w:ascii="Times New Roman" w:hAnsi="Times New Roman" w:cs="Times New Roman" w:eastAsia="Times New Roman" w:hint="default"/>
                <w:sz w:val="18"/>
                <w:szCs w:val="18"/>
              </w:rPr>
            </w:pPr>
            <w:r>
              <w:rPr>
                <w:rFonts w:ascii="Times New Roman"/>
                <w:sz w:val="18"/>
              </w:rPr>
              <w:t>8,124.06</w:t>
            </w:r>
          </w:p>
        </w:tc>
      </w:tr>
    </w:tbl>
    <w:p>
      <w:pPr>
        <w:spacing w:line="240" w:lineRule="auto" w:before="9"/>
        <w:rPr>
          <w:rFonts w:ascii="Times New Roman" w:hAnsi="Times New Roman" w:cs="Times New Roman" w:eastAsia="Times New Roman" w:hint="default"/>
          <w:sz w:val="19"/>
          <w:szCs w:val="19"/>
        </w:rPr>
      </w:pPr>
    </w:p>
    <w:p>
      <w:pPr>
        <w:tabs>
          <w:tab w:pos="3181" w:val="left" w:leader="none"/>
          <w:tab w:pos="6601" w:val="left" w:leader="none"/>
        </w:tabs>
        <w:spacing w:before="44"/>
        <w:ind w:left="121" w:right="0" w:firstLine="0"/>
        <w:jc w:val="both"/>
        <w:rPr>
          <w:rFonts w:ascii="宋体" w:hAnsi="宋体" w:cs="宋体" w:eastAsia="宋体" w:hint="default"/>
          <w:sz w:val="18"/>
          <w:szCs w:val="18"/>
        </w:rPr>
      </w:pPr>
      <w:r>
        <w:rPr>
          <w:rFonts w:ascii="宋体" w:hAnsi="宋体" w:cs="宋体" w:eastAsia="宋体" w:hint="default"/>
          <w:sz w:val="18"/>
          <w:szCs w:val="18"/>
        </w:rPr>
        <w:t>法定代表人：张珊珊</w:t>
        <w:tab/>
        <w:t>主管会计工作负责人：许刚</w:t>
        <w:tab/>
        <w:t>会计机构负责人：丁大雷</w:t>
      </w:r>
    </w:p>
    <w:p>
      <w:pPr>
        <w:spacing w:line="240" w:lineRule="auto" w:before="12"/>
        <w:rPr>
          <w:rFonts w:ascii="宋体" w:hAnsi="宋体" w:cs="宋体" w:eastAsia="宋体" w:hint="default"/>
          <w:sz w:val="21"/>
          <w:szCs w:val="21"/>
        </w:rPr>
      </w:pPr>
    </w:p>
    <w:p>
      <w:pPr>
        <w:pStyle w:val="Heading2"/>
        <w:spacing w:line="240" w:lineRule="auto"/>
        <w:ind w:left="121" w:right="0"/>
        <w:jc w:val="both"/>
        <w:rPr>
          <w:b w:val="0"/>
          <w:bCs w:val="0"/>
        </w:rPr>
      </w:pPr>
      <w:bookmarkStart w:name="三、公司的基本情况" w:id="170"/>
      <w:bookmarkEnd w:id="170"/>
      <w:r>
        <w:rPr>
          <w:b w:val="0"/>
          <w:bCs w:val="0"/>
        </w:rPr>
      </w:r>
      <w:r>
        <w:rPr/>
        <w:t>三、公司的基本情况</w:t>
      </w:r>
      <w:r>
        <w:rPr>
          <w:b w:val="0"/>
          <w:bCs w:val="0"/>
        </w:rPr>
      </w:r>
    </w:p>
    <w:p>
      <w:pPr>
        <w:spacing w:line="240" w:lineRule="auto" w:before="3"/>
        <w:rPr>
          <w:rFonts w:ascii="宋体" w:hAnsi="宋体" w:cs="宋体" w:eastAsia="宋体" w:hint="default"/>
          <w:b/>
          <w:bCs/>
          <w:sz w:val="28"/>
          <w:szCs w:val="28"/>
        </w:rPr>
      </w:pPr>
    </w:p>
    <w:p>
      <w:pPr>
        <w:pStyle w:val="BodyText"/>
        <w:spacing w:line="300" w:lineRule="auto" w:before="0"/>
        <w:ind w:left="121" w:right="1694" w:firstLine="439"/>
        <w:jc w:val="both"/>
      </w:pPr>
      <w:r>
        <w:rPr>
          <w:spacing w:val="-4"/>
        </w:rPr>
        <w:t>浙江万马股份有限公司（以下简称“本公司”，在包含子公司时统称“本集团”）是</w:t>
      </w:r>
      <w:r>
        <w:rPr>
          <w:w w:val="100"/>
        </w:rPr>
        <w:t> </w:t>
      </w:r>
      <w:r>
        <w:rPr/>
        <w:t>以浙江万马电气电缆集团有限公司（以下简称“电气电缆集团”）和张珊珊等</w:t>
      </w:r>
      <w:r>
        <w:rPr>
          <w:spacing w:val="-52"/>
        </w:rPr>
        <w:t> </w:t>
      </w:r>
      <w:r>
        <w:rPr/>
        <w:t>15</w:t>
      </w:r>
      <w:r>
        <w:rPr>
          <w:spacing w:val="-52"/>
        </w:rPr>
        <w:t> </w:t>
      </w:r>
      <w:r>
        <w:rPr/>
        <w:t>位自然</w:t>
      </w:r>
      <w:r>
        <w:rPr>
          <w:spacing w:val="-108"/>
        </w:rPr>
        <w:t> </w:t>
      </w:r>
      <w:r>
        <w:rPr>
          <w:spacing w:val="-108"/>
        </w:rPr>
      </w:r>
      <w:r>
        <w:rPr>
          <w:spacing w:val="-4"/>
        </w:rPr>
        <w:t>人为发起人，由浙江万马集团电缆有限公司（以下简称“电缆有限公司”）整体变更方式</w:t>
      </w:r>
      <w:r>
        <w:rPr>
          <w:spacing w:val="-49"/>
        </w:rPr>
        <w:t> </w:t>
      </w:r>
      <w:r>
        <w:rPr>
          <w:spacing w:val="-49"/>
        </w:rPr>
      </w:r>
      <w:r>
        <w:rPr/>
        <w:t>设立的股份有限公司，并于</w:t>
      </w:r>
      <w:r>
        <w:rPr>
          <w:spacing w:val="-53"/>
        </w:rPr>
        <w:t> </w:t>
      </w:r>
      <w:r>
        <w:rPr/>
        <w:t>2007</w:t>
      </w:r>
      <w:r>
        <w:rPr>
          <w:spacing w:val="-57"/>
        </w:rPr>
        <w:t> </w:t>
      </w:r>
      <w:r>
        <w:rPr/>
        <w:t>年</w:t>
      </w:r>
      <w:r>
        <w:rPr>
          <w:spacing w:val="-53"/>
        </w:rPr>
        <w:t> </w:t>
      </w:r>
      <w:r>
        <w:rPr/>
        <w:t>2</w:t>
      </w:r>
      <w:r>
        <w:rPr>
          <w:spacing w:val="-53"/>
        </w:rPr>
        <w:t> </w:t>
      </w:r>
      <w:r>
        <w:rPr/>
        <w:t>月</w:t>
      </w:r>
      <w:r>
        <w:rPr>
          <w:spacing w:val="-53"/>
        </w:rPr>
        <w:t> </w:t>
      </w:r>
      <w:r>
        <w:rPr/>
        <w:t>6</w:t>
      </w:r>
      <w:r>
        <w:rPr>
          <w:spacing w:val="-51"/>
        </w:rPr>
        <w:t> </w:t>
      </w:r>
      <w:r>
        <w:rPr/>
        <w:t>日在浙江省工商行政管理局办理股份公司工商</w:t>
      </w:r>
      <w:r>
        <w:rPr>
          <w:w w:val="100"/>
        </w:rPr>
        <w:t> </w:t>
      </w:r>
      <w:r>
        <w:rPr/>
        <w:t>登记手续。本公司企业法人营业执照统一社会信用代码为 913300007043088475，公司住</w:t>
      </w:r>
      <w:r>
        <w:rPr>
          <w:spacing w:val="-95"/>
        </w:rPr>
        <w:t> </w:t>
      </w:r>
      <w:r>
        <w:rPr>
          <w:spacing w:val="-95"/>
        </w:rPr>
      </w:r>
      <w:r>
        <w:rPr>
          <w:spacing w:val="-3"/>
        </w:rPr>
        <w:t>所：浙江省杭州市临安区青山湖街道鹤亭街 </w:t>
      </w:r>
      <w:r>
        <w:rPr/>
        <w:t>896</w:t>
      </w:r>
      <w:r>
        <w:rPr>
          <w:spacing w:val="-56"/>
        </w:rPr>
        <w:t> </w:t>
      </w:r>
      <w:r>
        <w:rPr>
          <w:spacing w:val="-5"/>
        </w:rPr>
        <w:t>号；法定代表人：张珊珊；注册资本：人</w:t>
      </w:r>
    </w:p>
    <w:p>
      <w:pPr>
        <w:pStyle w:val="BodyText"/>
        <w:spacing w:line="240" w:lineRule="auto" w:before="17"/>
        <w:ind w:left="121" w:right="0"/>
        <w:jc w:val="both"/>
      </w:pPr>
      <w:r>
        <w:rPr/>
        <w:t>民币</w:t>
      </w:r>
      <w:r>
        <w:rPr>
          <w:spacing w:val="-63"/>
        </w:rPr>
        <w:t> </w:t>
      </w:r>
      <w:r>
        <w:rPr/>
        <w:t>1,035,489,098.00</w:t>
      </w:r>
      <w:r>
        <w:rPr>
          <w:spacing w:val="-63"/>
        </w:rPr>
        <w:t> </w:t>
      </w:r>
      <w:r>
        <w:rPr/>
        <w:t>元。</w:t>
      </w:r>
    </w:p>
    <w:p>
      <w:pPr>
        <w:spacing w:line="240" w:lineRule="auto" w:before="11"/>
        <w:rPr>
          <w:rFonts w:ascii="宋体" w:hAnsi="宋体" w:cs="宋体" w:eastAsia="宋体" w:hint="default"/>
          <w:sz w:val="23"/>
          <w:szCs w:val="23"/>
        </w:rPr>
      </w:pPr>
    </w:p>
    <w:p>
      <w:pPr>
        <w:pStyle w:val="BodyText"/>
        <w:spacing w:line="300" w:lineRule="auto" w:before="0"/>
        <w:ind w:left="121" w:right="493" w:firstLine="439"/>
        <w:jc w:val="left"/>
      </w:pPr>
      <w:r>
        <w:rPr>
          <w:spacing w:val="-4"/>
        </w:rPr>
        <w:t>本集团从事电线电缆、高分子材料、汽车充电设备等产品的研发、生产和销售，以及</w:t>
      </w:r>
      <w:r>
        <w:rPr>
          <w:w w:val="100"/>
        </w:rPr>
        <w:t> </w:t>
      </w:r>
      <w:r>
        <w:rPr/>
        <w:t>汽车充电设备、光伏发电的投资与运营服务。产品类别主要包括</w:t>
      </w:r>
      <w:r>
        <w:rPr>
          <w:spacing w:val="-67"/>
        </w:rPr>
        <w:t> </w:t>
      </w:r>
      <w:r>
        <w:rPr/>
        <w:t>500kV</w:t>
      </w:r>
      <w:r>
        <w:rPr>
          <w:spacing w:val="-67"/>
        </w:rPr>
        <w:t> </w:t>
      </w:r>
      <w:r>
        <w:rPr/>
        <w:t>及以下电力电缆，</w:t>
      </w:r>
      <w:r>
        <w:rPr>
          <w:w w:val="100"/>
        </w:rPr>
        <w:t> </w:t>
      </w:r>
      <w:r>
        <w:rPr>
          <w:spacing w:val="-4"/>
        </w:rPr>
        <w:t>光缆、同轴与连接线等通信线缆，硅烷、交联、低烟无卤、弹性体等高分子材料以及交流</w:t>
      </w:r>
      <w:r>
        <w:rPr>
          <w:spacing w:val="-49"/>
        </w:rPr>
        <w:t> </w:t>
      </w:r>
      <w:r>
        <w:rPr>
          <w:spacing w:val="-49"/>
        </w:rPr>
      </w:r>
      <w:r>
        <w:rPr/>
        <w:t>与直流充电设备。</w:t>
      </w:r>
    </w:p>
    <w:p>
      <w:pPr>
        <w:spacing w:line="600" w:lineRule="exact" w:before="34"/>
        <w:ind w:left="560" w:right="493" w:firstLine="19"/>
        <w:jc w:val="left"/>
        <w:rPr>
          <w:rFonts w:ascii="宋体" w:hAnsi="宋体" w:cs="宋体" w:eastAsia="宋体" w:hint="default"/>
          <w:sz w:val="22"/>
          <w:szCs w:val="22"/>
        </w:rPr>
      </w:pPr>
      <w:bookmarkStart w:name="四、合并财务报表范围" w:id="171"/>
      <w:bookmarkEnd w:id="171"/>
      <w:r>
        <w:rPr/>
      </w:r>
      <w:r>
        <w:rPr>
          <w:rFonts w:ascii="宋体" w:hAnsi="宋体" w:cs="宋体" w:eastAsia="宋体" w:hint="default"/>
          <w:b/>
          <w:bCs/>
          <w:sz w:val="22"/>
          <w:szCs w:val="22"/>
        </w:rPr>
        <w:t>四</w:t>
      </w:r>
      <w:r>
        <w:rPr>
          <w:rFonts w:ascii="宋体" w:hAnsi="宋体" w:cs="宋体" w:eastAsia="宋体" w:hint="default"/>
          <w:b/>
          <w:bCs/>
          <w:spacing w:val="-71"/>
          <w:sz w:val="22"/>
          <w:szCs w:val="22"/>
        </w:rPr>
        <w:t> </w:t>
      </w:r>
      <w:r>
        <w:rPr>
          <w:rFonts w:ascii="宋体" w:hAnsi="宋体" w:cs="宋体" w:eastAsia="宋体" w:hint="default"/>
          <w:b/>
          <w:bCs/>
          <w:sz w:val="22"/>
          <w:szCs w:val="22"/>
        </w:rPr>
        <w:t>、</w:t>
      </w:r>
      <w:r>
        <w:rPr>
          <w:rFonts w:ascii="宋体" w:hAnsi="宋体" w:cs="宋体" w:eastAsia="宋体" w:hint="default"/>
          <w:b/>
          <w:bCs/>
          <w:spacing w:val="-73"/>
          <w:sz w:val="22"/>
          <w:szCs w:val="22"/>
        </w:rPr>
        <w:t> </w:t>
      </w:r>
      <w:r>
        <w:rPr>
          <w:rFonts w:ascii="宋体" w:hAnsi="宋体" w:cs="宋体" w:eastAsia="宋体" w:hint="default"/>
          <w:b/>
          <w:bCs/>
          <w:sz w:val="22"/>
          <w:szCs w:val="22"/>
        </w:rPr>
        <w:t>合</w:t>
      </w:r>
      <w:r>
        <w:rPr>
          <w:rFonts w:ascii="宋体" w:hAnsi="宋体" w:cs="宋体" w:eastAsia="宋体" w:hint="default"/>
          <w:b/>
          <w:bCs/>
          <w:spacing w:val="-71"/>
          <w:sz w:val="22"/>
          <w:szCs w:val="22"/>
        </w:rPr>
        <w:t> </w:t>
      </w:r>
      <w:r>
        <w:rPr>
          <w:rFonts w:ascii="宋体" w:hAnsi="宋体" w:cs="宋体" w:eastAsia="宋体" w:hint="default"/>
          <w:b/>
          <w:bCs/>
          <w:sz w:val="22"/>
          <w:szCs w:val="22"/>
        </w:rPr>
        <w:t>并</w:t>
      </w:r>
      <w:r>
        <w:rPr>
          <w:rFonts w:ascii="宋体" w:hAnsi="宋体" w:cs="宋体" w:eastAsia="宋体" w:hint="default"/>
          <w:b/>
          <w:bCs/>
          <w:spacing w:val="-71"/>
          <w:sz w:val="22"/>
          <w:szCs w:val="22"/>
        </w:rPr>
        <w:t> </w:t>
      </w:r>
      <w:r>
        <w:rPr>
          <w:rFonts w:ascii="宋体" w:hAnsi="宋体" w:cs="宋体" w:eastAsia="宋体" w:hint="default"/>
          <w:b/>
          <w:bCs/>
          <w:sz w:val="22"/>
          <w:szCs w:val="22"/>
        </w:rPr>
        <w:t>财</w:t>
      </w:r>
      <w:r>
        <w:rPr>
          <w:rFonts w:ascii="宋体" w:hAnsi="宋体" w:cs="宋体" w:eastAsia="宋体" w:hint="default"/>
          <w:b/>
          <w:bCs/>
          <w:spacing w:val="-73"/>
          <w:sz w:val="22"/>
          <w:szCs w:val="22"/>
        </w:rPr>
        <w:t> </w:t>
      </w:r>
      <w:r>
        <w:rPr>
          <w:rFonts w:ascii="宋体" w:hAnsi="宋体" w:cs="宋体" w:eastAsia="宋体" w:hint="default"/>
          <w:b/>
          <w:bCs/>
          <w:sz w:val="22"/>
          <w:szCs w:val="22"/>
        </w:rPr>
        <w:t>务</w:t>
      </w:r>
      <w:r>
        <w:rPr>
          <w:rFonts w:ascii="宋体" w:hAnsi="宋体" w:cs="宋体" w:eastAsia="宋体" w:hint="default"/>
          <w:b/>
          <w:bCs/>
          <w:spacing w:val="-71"/>
          <w:sz w:val="22"/>
          <w:szCs w:val="22"/>
        </w:rPr>
        <w:t> </w:t>
      </w:r>
      <w:r>
        <w:rPr>
          <w:rFonts w:ascii="宋体" w:hAnsi="宋体" w:cs="宋体" w:eastAsia="宋体" w:hint="default"/>
          <w:b/>
          <w:bCs/>
          <w:sz w:val="22"/>
          <w:szCs w:val="22"/>
        </w:rPr>
        <w:t>报</w:t>
      </w:r>
      <w:r>
        <w:rPr>
          <w:rFonts w:ascii="宋体" w:hAnsi="宋体" w:cs="宋体" w:eastAsia="宋体" w:hint="default"/>
          <w:b/>
          <w:bCs/>
          <w:spacing w:val="-71"/>
          <w:sz w:val="22"/>
          <w:szCs w:val="22"/>
        </w:rPr>
        <w:t> </w:t>
      </w:r>
      <w:r>
        <w:rPr>
          <w:rFonts w:ascii="宋体" w:hAnsi="宋体" w:cs="宋体" w:eastAsia="宋体" w:hint="default"/>
          <w:b/>
          <w:bCs/>
          <w:sz w:val="22"/>
          <w:szCs w:val="22"/>
        </w:rPr>
        <w:t>表</w:t>
      </w:r>
      <w:r>
        <w:rPr>
          <w:rFonts w:ascii="宋体" w:hAnsi="宋体" w:cs="宋体" w:eastAsia="宋体" w:hint="default"/>
          <w:b/>
          <w:bCs/>
          <w:spacing w:val="-71"/>
          <w:sz w:val="22"/>
          <w:szCs w:val="22"/>
        </w:rPr>
        <w:t> </w:t>
      </w:r>
      <w:r>
        <w:rPr>
          <w:rFonts w:ascii="宋体" w:hAnsi="宋体" w:cs="宋体" w:eastAsia="宋体" w:hint="default"/>
          <w:b/>
          <w:bCs/>
          <w:sz w:val="22"/>
          <w:szCs w:val="22"/>
        </w:rPr>
        <w:t>范</w:t>
      </w:r>
      <w:r>
        <w:rPr>
          <w:rFonts w:ascii="宋体" w:hAnsi="宋体" w:cs="宋体" w:eastAsia="宋体" w:hint="default"/>
          <w:b/>
          <w:bCs/>
          <w:spacing w:val="-73"/>
          <w:sz w:val="22"/>
          <w:szCs w:val="22"/>
        </w:rPr>
        <w:t> </w:t>
      </w:r>
      <w:r>
        <w:rPr>
          <w:rFonts w:ascii="宋体" w:hAnsi="宋体" w:cs="宋体" w:eastAsia="宋体" w:hint="default"/>
          <w:b/>
          <w:bCs/>
          <w:sz w:val="22"/>
          <w:szCs w:val="22"/>
        </w:rPr>
        <w:t>围</w:t>
      </w:r>
      <w:r>
        <w:rPr>
          <w:rFonts w:ascii="宋体" w:hAnsi="宋体" w:cs="宋体" w:eastAsia="宋体" w:hint="default"/>
          <w:b/>
          <w:bCs/>
          <w:w w:val="100"/>
          <w:sz w:val="22"/>
          <w:szCs w:val="22"/>
        </w:rPr>
        <w:t> </w:t>
      </w:r>
      <w:r>
        <w:rPr>
          <w:rFonts w:ascii="宋体" w:hAnsi="宋体" w:cs="宋体" w:eastAsia="宋体" w:hint="default"/>
          <w:spacing w:val="-4"/>
          <w:sz w:val="22"/>
          <w:szCs w:val="22"/>
        </w:rPr>
        <w:t>本集团合并财务报表范围包括浙江万马股份有限公司、浙江万马高分子材料集团有限</w:t>
      </w:r>
    </w:p>
    <w:p>
      <w:pPr>
        <w:pStyle w:val="BodyText"/>
        <w:spacing w:line="271" w:lineRule="exact" w:before="0"/>
        <w:ind w:left="121" w:right="0"/>
        <w:jc w:val="both"/>
      </w:pPr>
      <w:r>
        <w:rPr>
          <w:spacing w:val="-4"/>
        </w:rPr>
        <w:t>公司、四川万马高分子材料有限公司、浙江万马聚力新材料科技有限公司、清远万马新材</w:t>
      </w:r>
    </w:p>
    <w:p>
      <w:pPr>
        <w:pStyle w:val="BodyText"/>
        <w:spacing w:line="300" w:lineRule="auto" w:before="72"/>
        <w:ind w:left="121" w:right="1697"/>
        <w:jc w:val="both"/>
      </w:pPr>
      <w:r>
        <w:rPr>
          <w:spacing w:val="-4"/>
        </w:rPr>
        <w:t>料有限公司、浙江万马天屹通信线缆有限公司、浙江万马集团特种电子电缆有限公司、万</w:t>
      </w:r>
      <w:r>
        <w:rPr>
          <w:spacing w:val="-51"/>
        </w:rPr>
        <w:t> </w:t>
      </w:r>
      <w:r>
        <w:rPr>
          <w:spacing w:val="-51"/>
        </w:rPr>
      </w:r>
      <w:r>
        <w:rPr>
          <w:spacing w:val="-4"/>
        </w:rPr>
        <w:t>马奔腾新能源产业集团有限公司、浙江万马新能源有限公司、浙江万马光伏有限公司、浙</w:t>
      </w:r>
      <w:r>
        <w:rPr>
          <w:spacing w:val="-51"/>
        </w:rPr>
        <w:t> </w:t>
      </w:r>
      <w:r>
        <w:rPr>
          <w:spacing w:val="-51"/>
        </w:rPr>
      </w:r>
      <w:r>
        <w:rPr>
          <w:spacing w:val="-4"/>
        </w:rPr>
        <w:t>江爱充网络科技有限公司、上海万马乾驭电动汽车服务有限公司、香港骐骥国际发展有限</w:t>
      </w:r>
      <w:r>
        <w:rPr>
          <w:spacing w:val="-51"/>
        </w:rPr>
        <w:t> </w:t>
      </w:r>
      <w:r>
        <w:rPr>
          <w:spacing w:val="-51"/>
        </w:rPr>
      </w:r>
      <w:r>
        <w:rPr>
          <w:spacing w:val="-4"/>
        </w:rPr>
        <w:t>公司、浙江万马专用线缆科技有限公司、浙江万马电缆有限公司、万马联合新能源投资有</w:t>
      </w:r>
      <w:r>
        <w:rPr>
          <w:spacing w:val="-51"/>
        </w:rPr>
        <w:t> </w:t>
      </w:r>
      <w:r>
        <w:rPr>
          <w:spacing w:val="-51"/>
        </w:rPr>
      </w:r>
      <w:r>
        <w:rPr>
          <w:spacing w:val="-4"/>
        </w:rPr>
        <w:t>限公司、江苏万充新能源科技有限公司、苏州万充新能源科技有限公司、无锡万充新能源</w:t>
      </w:r>
      <w:r>
        <w:rPr>
          <w:spacing w:val="-51"/>
        </w:rPr>
        <w:t> </w:t>
      </w:r>
      <w:r>
        <w:rPr>
          <w:spacing w:val="-51"/>
        </w:rPr>
      </w:r>
      <w:r>
        <w:rPr>
          <w:spacing w:val="-4"/>
        </w:rPr>
        <w:t>科技有限公司、武汉万爱新能源科技有限公司、北京万京新能源科技有限公司、宁波万爱</w:t>
      </w:r>
      <w:r>
        <w:rPr>
          <w:spacing w:val="-51"/>
        </w:rPr>
        <w:t> </w:t>
      </w:r>
      <w:r>
        <w:rPr>
          <w:spacing w:val="-51"/>
        </w:rPr>
      </w:r>
      <w:r>
        <w:rPr>
          <w:spacing w:val="-4"/>
        </w:rPr>
        <w:t>新能源科技有限公司、上海万遥新能源科技有限公司、福州万充新能源科技有限公司、深</w:t>
      </w:r>
    </w:p>
    <w:p>
      <w:pPr>
        <w:spacing w:after="0" w:line="300" w:lineRule="auto"/>
        <w:jc w:val="both"/>
        <w:sectPr>
          <w:footerReference w:type="default" r:id="rId42"/>
          <w:pgSz w:w="11910" w:h="16840"/>
          <w:pgMar w:footer="883" w:header="939" w:top="1940" w:bottom="1080" w:left="1580" w:right="0"/>
          <w:pgNumType w:start="90"/>
        </w:sectPr>
      </w:pPr>
    </w:p>
    <w:p>
      <w:pPr>
        <w:spacing w:line="240" w:lineRule="auto" w:before="11"/>
        <w:rPr>
          <w:rFonts w:ascii="宋体" w:hAnsi="宋体" w:cs="宋体" w:eastAsia="宋体" w:hint="default"/>
          <w:sz w:val="11"/>
          <w:szCs w:val="11"/>
        </w:rPr>
      </w:pPr>
    </w:p>
    <w:p>
      <w:pPr>
        <w:pStyle w:val="BodyText"/>
        <w:spacing w:line="300" w:lineRule="auto"/>
        <w:ind w:right="1090"/>
        <w:jc w:val="left"/>
      </w:pPr>
      <w:r>
        <w:rPr>
          <w:spacing w:val="-7"/>
          <w:w w:val="100"/>
        </w:rPr>
        <w:t>圳万充新能源科技有限公司、陕西万充新能源科技有限公司、杭州万充电力工程有限公司、</w:t>
      </w:r>
      <w:r>
        <w:rPr>
          <w:spacing w:val="-80"/>
          <w:w w:val="100"/>
        </w:rPr>
        <w:t> </w:t>
      </w:r>
      <w:r>
        <w:rPr>
          <w:spacing w:val="-80"/>
          <w:w w:val="100"/>
        </w:rPr>
      </w:r>
      <w:r>
        <w:rPr>
          <w:spacing w:val="-4"/>
        </w:rPr>
        <w:t>重庆万充新能源科技有限公司、四川万充新能源科技有限公司、广州万充新能源科技有限</w:t>
      </w:r>
      <w:r>
        <w:rPr>
          <w:spacing w:val="-51"/>
        </w:rPr>
        <w:t> </w:t>
      </w:r>
      <w:r>
        <w:rPr>
          <w:spacing w:val="-51"/>
        </w:rPr>
      </w:r>
      <w:r>
        <w:rPr>
          <w:spacing w:val="-4"/>
        </w:rPr>
        <w:t>公司、海南万充新能源科技有限公司、山西万马新能源科技有限公司、佛山万爱新能源科</w:t>
      </w:r>
      <w:r>
        <w:rPr>
          <w:spacing w:val="-51"/>
        </w:rPr>
        <w:t> </w:t>
      </w:r>
      <w:r>
        <w:rPr>
          <w:spacing w:val="-51"/>
        </w:rPr>
      </w:r>
      <w:r>
        <w:rPr/>
        <w:t>技有限公司、Optrum</w:t>
      </w:r>
      <w:r>
        <w:rPr>
          <w:spacing w:val="-51"/>
        </w:rPr>
        <w:t> </w:t>
      </w:r>
      <w:r>
        <w:rPr/>
        <w:t>Technology</w:t>
      </w:r>
      <w:r>
        <w:rPr>
          <w:spacing w:val="-51"/>
        </w:rPr>
        <w:t> </w:t>
      </w:r>
      <w:r>
        <w:rPr/>
        <w:t>LLC、浙江万马家装有限公司、杭州以田科技有限公司、</w:t>
      </w:r>
      <w:r>
        <w:rPr>
          <w:w w:val="100"/>
        </w:rPr>
        <w:t> </w:t>
      </w:r>
      <w:r>
        <w:rPr/>
        <w:t>Wanma Cable (Viet Nam) Co.,Ltd、Steed Networks Technologies</w:t>
      </w:r>
      <w:r>
        <w:rPr>
          <w:spacing w:val="-8"/>
        </w:rPr>
        <w:t> </w:t>
      </w:r>
      <w:r>
        <w:rPr/>
        <w:t>Co.,Ltd、广州万马</w:t>
      </w:r>
      <w:r>
        <w:rPr>
          <w:w w:val="100"/>
        </w:rPr>
        <w:t> </w:t>
      </w:r>
      <w:r>
        <w:rPr/>
        <w:t>爱充新能源科技有限公司、浙江骏业科创科技有限公司</w:t>
      </w:r>
      <w:r>
        <w:rPr>
          <w:spacing w:val="-64"/>
        </w:rPr>
        <w:t> </w:t>
      </w:r>
      <w:r>
        <w:rPr/>
        <w:t>40</w:t>
      </w:r>
      <w:r>
        <w:rPr>
          <w:spacing w:val="-66"/>
        </w:rPr>
        <w:t> </w:t>
      </w:r>
      <w:r>
        <w:rPr/>
        <w:t>家公司。</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t>与上年相比，本年因非同一控制企业合并</w:t>
      </w:r>
      <w:r>
        <w:rPr>
          <w:spacing w:val="-62"/>
        </w:rPr>
        <w:t> </w:t>
      </w:r>
      <w:r>
        <w:rPr/>
        <w:t>Steed</w:t>
      </w:r>
      <w:r>
        <w:rPr>
          <w:spacing w:val="-33"/>
        </w:rPr>
        <w:t> </w:t>
      </w:r>
      <w:r>
        <w:rPr/>
        <w:t>Networks</w:t>
      </w:r>
      <w:r>
        <w:rPr>
          <w:spacing w:val="-30"/>
        </w:rPr>
        <w:t> </w:t>
      </w:r>
      <w:r>
        <w:rPr/>
        <w:t>Technologies</w:t>
      </w:r>
      <w:r>
        <w:rPr>
          <w:spacing w:val="-35"/>
        </w:rPr>
        <w:t> </w:t>
      </w:r>
      <w:r>
        <w:rPr/>
        <w:t>Co.,Ltd</w:t>
      </w:r>
      <w:r>
        <w:rPr>
          <w:spacing w:val="-59"/>
        </w:rPr>
        <w:t> </w:t>
      </w:r>
      <w:r>
        <w:rPr/>
        <w:t>增</w:t>
      </w:r>
      <w:r>
        <w:rPr>
          <w:w w:val="100"/>
        </w:rPr>
        <w:t> </w:t>
      </w:r>
      <w:r>
        <w:rPr/>
        <w:t>加</w:t>
      </w:r>
      <w:r>
        <w:rPr>
          <w:spacing w:val="-48"/>
        </w:rPr>
        <w:t> </w:t>
      </w:r>
      <w:r>
        <w:rPr/>
        <w:t>1</w:t>
      </w:r>
      <w:r>
        <w:rPr>
          <w:spacing w:val="-48"/>
        </w:rPr>
        <w:t> </w:t>
      </w:r>
      <w:r>
        <w:rPr/>
        <w:t>家公司；因新设</w:t>
      </w:r>
      <w:r>
        <w:rPr>
          <w:spacing w:val="-51"/>
        </w:rPr>
        <w:t> </w:t>
      </w:r>
      <w:r>
        <w:rPr/>
        <w:t>Wanma</w:t>
      </w:r>
      <w:r>
        <w:rPr>
          <w:spacing w:val="11"/>
        </w:rPr>
        <w:t> </w:t>
      </w:r>
      <w:r>
        <w:rPr/>
        <w:t>Cable</w:t>
      </w:r>
      <w:r>
        <w:rPr>
          <w:spacing w:val="9"/>
        </w:rPr>
        <w:t> </w:t>
      </w:r>
      <w:r>
        <w:rPr/>
        <w:t>(Viet</w:t>
      </w:r>
      <w:r>
        <w:rPr>
          <w:spacing w:val="9"/>
        </w:rPr>
        <w:t> </w:t>
      </w:r>
      <w:r>
        <w:rPr/>
        <w:t>Nam)</w:t>
      </w:r>
      <w:r>
        <w:rPr>
          <w:spacing w:val="11"/>
        </w:rPr>
        <w:t> </w:t>
      </w:r>
      <w:r>
        <w:rPr/>
        <w:t>Co.,Ltd、广州万马爱充新能源科技有限</w:t>
      </w:r>
      <w:r>
        <w:rPr>
          <w:spacing w:val="-108"/>
        </w:rPr>
        <w:t> </w:t>
      </w:r>
      <w:r>
        <w:rPr>
          <w:spacing w:val="-108"/>
        </w:rPr>
      </w:r>
      <w:r>
        <w:rPr>
          <w:spacing w:val="-3"/>
        </w:rPr>
        <w:t>公司、浙江骏业科创科技有限公司增加</w:t>
      </w:r>
      <w:r>
        <w:rPr>
          <w:spacing w:val="-30"/>
        </w:rPr>
        <w:t> </w:t>
      </w:r>
      <w:r>
        <w:rPr/>
        <w:t>3</w:t>
      </w:r>
      <w:r>
        <w:rPr>
          <w:spacing w:val="-30"/>
        </w:rPr>
        <w:t> </w:t>
      </w:r>
      <w:r>
        <w:rPr>
          <w:spacing w:val="-5"/>
        </w:rPr>
        <w:t>家公司；详见本附注“九、合并范围的变化”及</w:t>
      </w:r>
      <w:r>
        <w:rPr>
          <w:spacing w:val="-99"/>
        </w:rPr>
        <w:t> </w:t>
      </w:r>
      <w:r>
        <w:rPr>
          <w:spacing w:val="-99"/>
        </w:rPr>
      </w:r>
      <w:r>
        <w:rPr/>
        <w:t>本附注“十、在其他主体中的权益”相关内容。</w:t>
      </w:r>
    </w:p>
    <w:p>
      <w:pPr>
        <w:spacing w:line="240" w:lineRule="auto" w:before="8"/>
        <w:rPr>
          <w:rFonts w:ascii="宋体" w:hAnsi="宋体" w:cs="宋体" w:eastAsia="宋体" w:hint="default"/>
          <w:sz w:val="19"/>
          <w:szCs w:val="19"/>
        </w:rPr>
      </w:pPr>
    </w:p>
    <w:p>
      <w:pPr>
        <w:pStyle w:val="Heading4"/>
        <w:spacing w:line="240" w:lineRule="auto"/>
        <w:ind w:left="560" w:right="1634"/>
        <w:jc w:val="left"/>
        <w:rPr>
          <w:b w:val="0"/>
          <w:bCs w:val="0"/>
        </w:rPr>
      </w:pPr>
      <w:bookmarkStart w:name="五、财务报表的编制基础" w:id="172"/>
      <w:bookmarkEnd w:id="172"/>
      <w:r>
        <w:rPr>
          <w:b w:val="0"/>
          <w:bCs w:val="0"/>
        </w:rPr>
      </w:r>
      <w:r>
        <w:rPr/>
        <w:t>五</w:t>
      </w:r>
      <w:r>
        <w:rPr>
          <w:spacing w:val="-71"/>
        </w:rPr>
        <w:t> </w:t>
      </w:r>
      <w:r>
        <w:rPr/>
        <w:t>、</w:t>
      </w:r>
      <w:r>
        <w:rPr>
          <w:spacing w:val="-73"/>
        </w:rPr>
        <w:t> </w:t>
      </w:r>
      <w:r>
        <w:rPr/>
        <w:t>财</w:t>
      </w:r>
      <w:r>
        <w:rPr>
          <w:spacing w:val="-71"/>
        </w:rPr>
        <w:t> </w:t>
      </w:r>
      <w:r>
        <w:rPr/>
        <w:t>务</w:t>
      </w:r>
      <w:r>
        <w:rPr>
          <w:spacing w:val="-71"/>
        </w:rPr>
        <w:t> </w:t>
      </w:r>
      <w:r>
        <w:rPr/>
        <w:t>报</w:t>
      </w:r>
      <w:r>
        <w:rPr>
          <w:spacing w:val="-73"/>
        </w:rPr>
        <w:t> </w:t>
      </w:r>
      <w:r>
        <w:rPr/>
        <w:t>表</w:t>
      </w:r>
      <w:r>
        <w:rPr>
          <w:spacing w:val="-71"/>
        </w:rPr>
        <w:t> </w:t>
      </w:r>
      <w:r>
        <w:rPr/>
        <w:t>的</w:t>
      </w:r>
      <w:r>
        <w:rPr>
          <w:spacing w:val="-71"/>
        </w:rPr>
        <w:t> </w:t>
      </w:r>
      <w:r>
        <w:rPr/>
        <w:t>编</w:t>
      </w:r>
      <w:r>
        <w:rPr>
          <w:spacing w:val="-71"/>
        </w:rPr>
        <w:t> </w:t>
      </w:r>
      <w:r>
        <w:rPr/>
        <w:t>制</w:t>
      </w:r>
      <w:r>
        <w:rPr>
          <w:spacing w:val="-73"/>
        </w:rPr>
        <w:t> </w:t>
      </w:r>
      <w:r>
        <w:rPr/>
        <w:t>基</w:t>
      </w:r>
      <w:r>
        <w:rPr>
          <w:spacing w:val="-71"/>
        </w:rPr>
        <w:t> </w:t>
      </w:r>
      <w:r>
        <w:rPr/>
        <w:t>础</w:t>
      </w:r>
      <w:r>
        <w:rPr>
          <w:b w:val="0"/>
          <w:bCs w:val="0"/>
        </w:rPr>
      </w:r>
    </w:p>
    <w:p>
      <w:pPr>
        <w:pStyle w:val="BodyText"/>
        <w:spacing w:line="580" w:lineRule="atLeast" w:before="36"/>
        <w:ind w:left="540" w:right="1634" w:firstLine="60"/>
        <w:jc w:val="left"/>
      </w:pPr>
      <w:r>
        <w:rPr/>
        <w:t>（</w:t>
      </w:r>
      <w:r>
        <w:rPr>
          <w:rFonts w:ascii="Times New Roman" w:hAnsi="Times New Roman" w:cs="Times New Roman" w:eastAsia="Times New Roman" w:hint="default"/>
        </w:rPr>
        <w:t>1</w:t>
      </w:r>
      <w:r>
        <w:rPr/>
        <w:t>）</w:t>
      </w:r>
      <w:r>
        <w:rPr>
          <w:spacing w:val="80"/>
        </w:rPr>
        <w:t> </w:t>
      </w:r>
      <w:bookmarkStart w:name="（1）编制基础" w:id="173"/>
      <w:bookmarkEnd w:id="173"/>
      <w:r>
        <w:rPr/>
        <w:t>编</w:t>
      </w:r>
      <w:r>
        <w:rPr/>
        <w:t>制基础</w:t>
      </w:r>
      <w:r>
        <w:rPr>
          <w:w w:val="100"/>
        </w:rPr>
        <w:t> </w:t>
      </w:r>
      <w:r>
        <w:rPr>
          <w:spacing w:val="-4"/>
        </w:rPr>
        <w:t>本集团财务报表以持续经营为基础，根据实际发生的交易和事项，按照财政部颁布的</w:t>
      </w:r>
    </w:p>
    <w:p>
      <w:pPr>
        <w:pStyle w:val="BodyText"/>
        <w:spacing w:line="300" w:lineRule="auto" w:before="72"/>
        <w:ind w:right="1634"/>
        <w:jc w:val="left"/>
      </w:pPr>
      <w:r>
        <w:rPr>
          <w:spacing w:val="-4"/>
        </w:rPr>
        <w:t>《企业会计准则》及相关规定，并基于本附注“四、重要会计政策及会计估计”所述会计</w:t>
      </w:r>
      <w:r>
        <w:rPr>
          <w:spacing w:val="-49"/>
        </w:rPr>
        <w:t> </w:t>
      </w:r>
      <w:r>
        <w:rPr>
          <w:spacing w:val="-49"/>
        </w:rPr>
      </w:r>
      <w:r>
        <w:rPr/>
        <w:t>政策和会计估计编制。</w:t>
      </w:r>
    </w:p>
    <w:p>
      <w:pPr>
        <w:spacing w:line="240" w:lineRule="auto" w:before="8"/>
        <w:rPr>
          <w:rFonts w:ascii="宋体" w:hAnsi="宋体" w:cs="宋体" w:eastAsia="宋体" w:hint="default"/>
          <w:sz w:val="19"/>
          <w:szCs w:val="19"/>
        </w:rPr>
      </w:pPr>
    </w:p>
    <w:p>
      <w:pPr>
        <w:pStyle w:val="BodyText"/>
        <w:spacing w:line="240" w:lineRule="auto" w:before="0"/>
        <w:ind w:left="600" w:right="1634"/>
        <w:jc w:val="left"/>
      </w:pPr>
      <w:r>
        <w:rPr/>
        <w:t>（</w:t>
      </w:r>
      <w:r>
        <w:rPr>
          <w:rFonts w:ascii="Times New Roman" w:hAnsi="Times New Roman" w:cs="Times New Roman" w:eastAsia="Times New Roman" w:hint="default"/>
        </w:rPr>
        <w:t>2</w:t>
      </w:r>
      <w:r>
        <w:rPr/>
        <w:t>）</w:t>
      </w:r>
      <w:r>
        <w:rPr>
          <w:spacing w:val="78"/>
        </w:rPr>
        <w:t> </w:t>
      </w:r>
      <w:bookmarkStart w:name="（2）持续经营" w:id="174"/>
      <w:bookmarkEnd w:id="174"/>
      <w:r>
        <w:rPr/>
        <w:t>持</w:t>
      </w:r>
      <w:r>
        <w:rPr/>
        <w:t>续经营</w:t>
      </w:r>
    </w:p>
    <w:p>
      <w:pPr>
        <w:spacing w:line="240" w:lineRule="auto" w:before="8"/>
        <w:rPr>
          <w:rFonts w:ascii="宋体" w:hAnsi="宋体" w:cs="宋体" w:eastAsia="宋体" w:hint="default"/>
          <w:sz w:val="22"/>
          <w:szCs w:val="22"/>
        </w:rPr>
      </w:pPr>
    </w:p>
    <w:p>
      <w:pPr>
        <w:pStyle w:val="BodyText"/>
        <w:spacing w:line="300" w:lineRule="auto" w:before="0"/>
        <w:ind w:right="1634" w:firstLine="439"/>
        <w:jc w:val="left"/>
      </w:pPr>
      <w:r>
        <w:rPr/>
        <w:t>本集团自本报告期末至少</w:t>
      </w:r>
      <w:r>
        <w:rPr>
          <w:spacing w:val="-51"/>
        </w:rPr>
        <w:t> </w:t>
      </w:r>
      <w:r>
        <w:rPr/>
        <w:t>12</w:t>
      </w:r>
      <w:r>
        <w:rPr>
          <w:spacing w:val="-51"/>
        </w:rPr>
        <w:t> </w:t>
      </w:r>
      <w:r>
        <w:rPr/>
        <w:t>个月内具备持续经营能力，无影响持续经营能力的重大</w:t>
      </w:r>
      <w:r>
        <w:rPr>
          <w:w w:val="100"/>
        </w:rPr>
        <w:t> </w:t>
      </w:r>
      <w:r>
        <w:rPr/>
        <w:t>事项。</w:t>
      </w:r>
    </w:p>
    <w:p>
      <w:pPr>
        <w:spacing w:line="600" w:lineRule="exact" w:before="34"/>
        <w:ind w:left="540" w:right="1634" w:firstLine="19"/>
        <w:jc w:val="left"/>
        <w:rPr>
          <w:rFonts w:ascii="宋体" w:hAnsi="宋体" w:cs="宋体" w:eastAsia="宋体" w:hint="default"/>
          <w:sz w:val="22"/>
          <w:szCs w:val="22"/>
        </w:rPr>
      </w:pPr>
      <w:bookmarkStart w:name="六、重要会计政策及会计估计" w:id="175"/>
      <w:bookmarkEnd w:id="175"/>
      <w:r>
        <w:rPr/>
      </w:r>
      <w:r>
        <w:rPr>
          <w:rFonts w:ascii="宋体" w:hAnsi="宋体" w:cs="宋体" w:eastAsia="宋体" w:hint="default"/>
          <w:b/>
          <w:bCs/>
          <w:sz w:val="22"/>
          <w:szCs w:val="22"/>
        </w:rPr>
        <w:t>六</w:t>
      </w:r>
      <w:r>
        <w:rPr>
          <w:rFonts w:ascii="宋体" w:hAnsi="宋体" w:cs="宋体" w:eastAsia="宋体" w:hint="default"/>
          <w:b/>
          <w:bCs/>
          <w:spacing w:val="-71"/>
          <w:sz w:val="22"/>
          <w:szCs w:val="22"/>
        </w:rPr>
        <w:t> </w:t>
      </w:r>
      <w:r>
        <w:rPr>
          <w:rFonts w:ascii="宋体" w:hAnsi="宋体" w:cs="宋体" w:eastAsia="宋体" w:hint="default"/>
          <w:b/>
          <w:bCs/>
          <w:sz w:val="22"/>
          <w:szCs w:val="22"/>
        </w:rPr>
        <w:t>、</w:t>
      </w:r>
      <w:r>
        <w:rPr>
          <w:rFonts w:ascii="宋体" w:hAnsi="宋体" w:cs="宋体" w:eastAsia="宋体" w:hint="default"/>
          <w:b/>
          <w:bCs/>
          <w:spacing w:val="-73"/>
          <w:sz w:val="22"/>
          <w:szCs w:val="22"/>
        </w:rPr>
        <w:t> </w:t>
      </w:r>
      <w:r>
        <w:rPr>
          <w:rFonts w:ascii="宋体" w:hAnsi="宋体" w:cs="宋体" w:eastAsia="宋体" w:hint="default"/>
          <w:b/>
          <w:bCs/>
          <w:sz w:val="22"/>
          <w:szCs w:val="22"/>
        </w:rPr>
        <w:t>重</w:t>
      </w:r>
      <w:r>
        <w:rPr>
          <w:rFonts w:ascii="宋体" w:hAnsi="宋体" w:cs="宋体" w:eastAsia="宋体" w:hint="default"/>
          <w:b/>
          <w:bCs/>
          <w:spacing w:val="-71"/>
          <w:sz w:val="22"/>
          <w:szCs w:val="22"/>
        </w:rPr>
        <w:t> </w:t>
      </w:r>
      <w:r>
        <w:rPr>
          <w:rFonts w:ascii="宋体" w:hAnsi="宋体" w:cs="宋体" w:eastAsia="宋体" w:hint="default"/>
          <w:b/>
          <w:bCs/>
          <w:sz w:val="22"/>
          <w:szCs w:val="22"/>
        </w:rPr>
        <w:t>要</w:t>
      </w:r>
      <w:r>
        <w:rPr>
          <w:rFonts w:ascii="宋体" w:hAnsi="宋体" w:cs="宋体" w:eastAsia="宋体" w:hint="default"/>
          <w:b/>
          <w:bCs/>
          <w:spacing w:val="-71"/>
          <w:sz w:val="22"/>
          <w:szCs w:val="22"/>
        </w:rPr>
        <w:t> </w:t>
      </w:r>
      <w:r>
        <w:rPr>
          <w:rFonts w:ascii="宋体" w:hAnsi="宋体" w:cs="宋体" w:eastAsia="宋体" w:hint="default"/>
          <w:b/>
          <w:bCs/>
          <w:sz w:val="22"/>
          <w:szCs w:val="22"/>
        </w:rPr>
        <w:t>会</w:t>
      </w:r>
      <w:r>
        <w:rPr>
          <w:rFonts w:ascii="宋体" w:hAnsi="宋体" w:cs="宋体" w:eastAsia="宋体" w:hint="default"/>
          <w:b/>
          <w:bCs/>
          <w:spacing w:val="-73"/>
          <w:sz w:val="22"/>
          <w:szCs w:val="22"/>
        </w:rPr>
        <w:t> </w:t>
      </w:r>
      <w:r>
        <w:rPr>
          <w:rFonts w:ascii="宋体" w:hAnsi="宋体" w:cs="宋体" w:eastAsia="宋体" w:hint="default"/>
          <w:b/>
          <w:bCs/>
          <w:sz w:val="22"/>
          <w:szCs w:val="22"/>
        </w:rPr>
        <w:t>计</w:t>
      </w:r>
      <w:r>
        <w:rPr>
          <w:rFonts w:ascii="宋体" w:hAnsi="宋体" w:cs="宋体" w:eastAsia="宋体" w:hint="default"/>
          <w:b/>
          <w:bCs/>
          <w:spacing w:val="-71"/>
          <w:sz w:val="22"/>
          <w:szCs w:val="22"/>
        </w:rPr>
        <w:t> </w:t>
      </w:r>
      <w:r>
        <w:rPr>
          <w:rFonts w:ascii="宋体" w:hAnsi="宋体" w:cs="宋体" w:eastAsia="宋体" w:hint="default"/>
          <w:b/>
          <w:bCs/>
          <w:sz w:val="22"/>
          <w:szCs w:val="22"/>
        </w:rPr>
        <w:t>政</w:t>
      </w:r>
      <w:r>
        <w:rPr>
          <w:rFonts w:ascii="宋体" w:hAnsi="宋体" w:cs="宋体" w:eastAsia="宋体" w:hint="default"/>
          <w:b/>
          <w:bCs/>
          <w:spacing w:val="-71"/>
          <w:sz w:val="22"/>
          <w:szCs w:val="22"/>
        </w:rPr>
        <w:t> </w:t>
      </w:r>
      <w:r>
        <w:rPr>
          <w:rFonts w:ascii="宋体" w:hAnsi="宋体" w:cs="宋体" w:eastAsia="宋体" w:hint="default"/>
          <w:b/>
          <w:bCs/>
          <w:sz w:val="22"/>
          <w:szCs w:val="22"/>
        </w:rPr>
        <w:t>策</w:t>
      </w:r>
      <w:r>
        <w:rPr>
          <w:rFonts w:ascii="宋体" w:hAnsi="宋体" w:cs="宋体" w:eastAsia="宋体" w:hint="default"/>
          <w:b/>
          <w:bCs/>
          <w:spacing w:val="-71"/>
          <w:sz w:val="22"/>
          <w:szCs w:val="22"/>
        </w:rPr>
        <w:t> </w:t>
      </w:r>
      <w:r>
        <w:rPr>
          <w:rFonts w:ascii="宋体" w:hAnsi="宋体" w:cs="宋体" w:eastAsia="宋体" w:hint="default"/>
          <w:b/>
          <w:bCs/>
          <w:sz w:val="22"/>
          <w:szCs w:val="22"/>
        </w:rPr>
        <w:t>及</w:t>
      </w:r>
      <w:r>
        <w:rPr>
          <w:rFonts w:ascii="宋体" w:hAnsi="宋体" w:cs="宋体" w:eastAsia="宋体" w:hint="default"/>
          <w:b/>
          <w:bCs/>
          <w:spacing w:val="-73"/>
          <w:sz w:val="22"/>
          <w:szCs w:val="22"/>
        </w:rPr>
        <w:t> </w:t>
      </w:r>
      <w:r>
        <w:rPr>
          <w:rFonts w:ascii="宋体" w:hAnsi="宋体" w:cs="宋体" w:eastAsia="宋体" w:hint="default"/>
          <w:b/>
          <w:bCs/>
          <w:sz w:val="22"/>
          <w:szCs w:val="22"/>
        </w:rPr>
        <w:t>会</w:t>
      </w:r>
      <w:r>
        <w:rPr>
          <w:rFonts w:ascii="宋体" w:hAnsi="宋体" w:cs="宋体" w:eastAsia="宋体" w:hint="default"/>
          <w:b/>
          <w:bCs/>
          <w:spacing w:val="-71"/>
          <w:sz w:val="22"/>
          <w:szCs w:val="22"/>
        </w:rPr>
        <w:t> </w:t>
      </w:r>
      <w:r>
        <w:rPr>
          <w:rFonts w:ascii="宋体" w:hAnsi="宋体" w:cs="宋体" w:eastAsia="宋体" w:hint="default"/>
          <w:b/>
          <w:bCs/>
          <w:sz w:val="22"/>
          <w:szCs w:val="22"/>
        </w:rPr>
        <w:t>计</w:t>
      </w:r>
      <w:r>
        <w:rPr>
          <w:rFonts w:ascii="宋体" w:hAnsi="宋体" w:cs="宋体" w:eastAsia="宋体" w:hint="default"/>
          <w:b/>
          <w:bCs/>
          <w:spacing w:val="-71"/>
          <w:sz w:val="22"/>
          <w:szCs w:val="22"/>
        </w:rPr>
        <w:t> </w:t>
      </w:r>
      <w:r>
        <w:rPr>
          <w:rFonts w:ascii="宋体" w:hAnsi="宋体" w:cs="宋体" w:eastAsia="宋体" w:hint="default"/>
          <w:b/>
          <w:bCs/>
          <w:sz w:val="22"/>
          <w:szCs w:val="22"/>
        </w:rPr>
        <w:t>估</w:t>
      </w:r>
      <w:r>
        <w:rPr>
          <w:rFonts w:ascii="宋体" w:hAnsi="宋体" w:cs="宋体" w:eastAsia="宋体" w:hint="default"/>
          <w:b/>
          <w:bCs/>
          <w:spacing w:val="-73"/>
          <w:sz w:val="22"/>
          <w:szCs w:val="22"/>
        </w:rPr>
        <w:t> </w:t>
      </w:r>
      <w:r>
        <w:rPr>
          <w:rFonts w:ascii="宋体" w:hAnsi="宋体" w:cs="宋体" w:eastAsia="宋体" w:hint="default"/>
          <w:b/>
          <w:bCs/>
          <w:sz w:val="22"/>
          <w:szCs w:val="22"/>
        </w:rPr>
        <w:t>计</w:t>
      </w:r>
      <w:r>
        <w:rPr>
          <w:rFonts w:ascii="宋体" w:hAnsi="宋体" w:cs="宋体" w:eastAsia="宋体" w:hint="default"/>
          <w:b/>
          <w:bCs/>
          <w:w w:val="100"/>
          <w:sz w:val="22"/>
          <w:szCs w:val="22"/>
        </w:rPr>
        <w:t> </w:t>
      </w:r>
      <w:r>
        <w:rPr>
          <w:rFonts w:ascii="宋体" w:hAnsi="宋体" w:cs="宋体" w:eastAsia="宋体" w:hint="default"/>
          <w:spacing w:val="-4"/>
          <w:sz w:val="22"/>
          <w:szCs w:val="22"/>
        </w:rPr>
        <w:t>具体会计政策和会计估计提示：本集团根据实际生产经营特点制定的具体会计政策和</w:t>
      </w:r>
    </w:p>
    <w:p>
      <w:pPr>
        <w:pStyle w:val="BodyText"/>
        <w:spacing w:line="271" w:lineRule="exact" w:before="0"/>
        <w:ind w:right="1090"/>
        <w:jc w:val="left"/>
      </w:pPr>
      <w:r>
        <w:rPr>
          <w:spacing w:val="-1"/>
          <w:w w:val="100"/>
        </w:rPr>
        <w:t>会</w:t>
      </w:r>
      <w:r>
        <w:rPr>
          <w:spacing w:val="-3"/>
          <w:w w:val="100"/>
        </w:rPr>
        <w:t>计</w:t>
      </w:r>
      <w:r>
        <w:rPr>
          <w:spacing w:val="-1"/>
          <w:w w:val="100"/>
        </w:rPr>
        <w:t>估计</w:t>
      </w:r>
      <w:r>
        <w:rPr>
          <w:spacing w:val="-3"/>
          <w:w w:val="100"/>
        </w:rPr>
        <w:t>包</w:t>
      </w:r>
      <w:r>
        <w:rPr>
          <w:spacing w:val="-1"/>
          <w:w w:val="100"/>
        </w:rPr>
        <w:t>括应</w:t>
      </w:r>
      <w:r>
        <w:rPr>
          <w:spacing w:val="-3"/>
          <w:w w:val="100"/>
        </w:rPr>
        <w:t>收</w:t>
      </w:r>
      <w:r>
        <w:rPr>
          <w:spacing w:val="-1"/>
          <w:w w:val="100"/>
        </w:rPr>
        <w:t>款项</w:t>
      </w:r>
      <w:r>
        <w:rPr>
          <w:spacing w:val="-3"/>
          <w:w w:val="100"/>
        </w:rPr>
        <w:t>坏</w:t>
      </w:r>
      <w:r>
        <w:rPr>
          <w:spacing w:val="-1"/>
          <w:w w:val="100"/>
        </w:rPr>
        <w:t>账准</w:t>
      </w:r>
      <w:r>
        <w:rPr>
          <w:spacing w:val="-3"/>
          <w:w w:val="100"/>
        </w:rPr>
        <w:t>备</w:t>
      </w:r>
      <w:r>
        <w:rPr>
          <w:spacing w:val="-1"/>
          <w:w w:val="100"/>
        </w:rPr>
        <w:t>的确认</w:t>
      </w:r>
      <w:r>
        <w:rPr>
          <w:spacing w:val="-3"/>
          <w:w w:val="100"/>
        </w:rPr>
        <w:t>和</w:t>
      </w:r>
      <w:r>
        <w:rPr>
          <w:spacing w:val="-1"/>
          <w:w w:val="100"/>
        </w:rPr>
        <w:t>计</w:t>
      </w:r>
      <w:r>
        <w:rPr>
          <w:spacing w:val="-3"/>
          <w:w w:val="100"/>
        </w:rPr>
        <w:t>量</w:t>
      </w:r>
      <w:r>
        <w:rPr>
          <w:spacing w:val="-92"/>
          <w:w w:val="100"/>
        </w:rPr>
        <w:t>、</w:t>
      </w:r>
      <w:r>
        <w:rPr>
          <w:spacing w:val="-1"/>
          <w:w w:val="100"/>
        </w:rPr>
        <w:t>发</w:t>
      </w:r>
      <w:r>
        <w:rPr>
          <w:spacing w:val="-3"/>
          <w:w w:val="100"/>
        </w:rPr>
        <w:t>出</w:t>
      </w:r>
      <w:r>
        <w:rPr>
          <w:spacing w:val="-1"/>
          <w:w w:val="100"/>
        </w:rPr>
        <w:t>存货</w:t>
      </w:r>
      <w:r>
        <w:rPr>
          <w:spacing w:val="-3"/>
          <w:w w:val="100"/>
        </w:rPr>
        <w:t>计</w:t>
      </w:r>
      <w:r>
        <w:rPr>
          <w:spacing w:val="-1"/>
          <w:w w:val="100"/>
        </w:rPr>
        <w:t>量</w:t>
      </w:r>
      <w:r>
        <w:rPr>
          <w:spacing w:val="-94"/>
          <w:w w:val="100"/>
        </w:rPr>
        <w:t>、</w:t>
      </w:r>
      <w:r>
        <w:rPr>
          <w:spacing w:val="-1"/>
          <w:w w:val="100"/>
        </w:rPr>
        <w:t>固</w:t>
      </w:r>
      <w:r>
        <w:rPr>
          <w:spacing w:val="-3"/>
          <w:w w:val="100"/>
        </w:rPr>
        <w:t>定</w:t>
      </w:r>
      <w:r>
        <w:rPr>
          <w:spacing w:val="-1"/>
          <w:w w:val="100"/>
        </w:rPr>
        <w:t>资产</w:t>
      </w:r>
      <w:r>
        <w:rPr>
          <w:spacing w:val="-3"/>
          <w:w w:val="100"/>
        </w:rPr>
        <w:t>分</w:t>
      </w:r>
      <w:r>
        <w:rPr>
          <w:spacing w:val="-1"/>
          <w:w w:val="100"/>
        </w:rPr>
        <w:t>类及</w:t>
      </w:r>
      <w:r>
        <w:rPr>
          <w:spacing w:val="-3"/>
          <w:w w:val="100"/>
        </w:rPr>
        <w:t>折</w:t>
      </w:r>
      <w:r>
        <w:rPr>
          <w:spacing w:val="-1"/>
          <w:w w:val="100"/>
        </w:rPr>
        <w:t>旧方</w:t>
      </w:r>
      <w:r>
        <w:rPr>
          <w:spacing w:val="-3"/>
          <w:w w:val="100"/>
        </w:rPr>
        <w:t>法</w:t>
      </w:r>
      <w:r>
        <w:rPr>
          <w:w w:val="100"/>
        </w:rPr>
        <w:t>、</w:t>
      </w:r>
    </w:p>
    <w:p>
      <w:pPr>
        <w:pStyle w:val="BodyText"/>
        <w:tabs>
          <w:tab w:pos="967" w:val="left" w:leader="none"/>
        </w:tabs>
        <w:spacing w:line="499" w:lineRule="auto" w:before="72"/>
        <w:ind w:left="526" w:right="4483" w:hanging="425"/>
        <w:jc w:val="left"/>
      </w:pPr>
      <w:r>
        <w:rPr>
          <w:spacing w:val="-2"/>
        </w:rPr>
        <w:t>无形资产摊销、研发费用资本化条件、收入确认和计量等。</w:t>
      </w:r>
      <w:r>
        <w:rPr>
          <w:spacing w:val="-73"/>
        </w:rPr>
        <w:t> </w:t>
      </w:r>
      <w:r>
        <w:rPr>
          <w:spacing w:val="-73"/>
        </w:rPr>
      </w:r>
      <w:r>
        <w:rPr>
          <w:spacing w:val="-1"/>
        </w:rPr>
        <w:t>1.</w:t>
        <w:tab/>
      </w:r>
      <w:bookmarkStart w:name="1.遵循企业会计准则的声明" w:id="176"/>
      <w:bookmarkEnd w:id="176"/>
      <w:r>
        <w:rPr>
          <w:spacing w:val="-2"/>
        </w:rPr>
        <w:t>遵</w:t>
      </w:r>
      <w:r>
        <w:rPr>
          <w:spacing w:val="-2"/>
        </w:rPr>
        <w:t>循企业会计准则的声明</w:t>
      </w:r>
    </w:p>
    <w:p>
      <w:pPr>
        <w:pStyle w:val="BodyText"/>
        <w:spacing w:line="300" w:lineRule="auto" w:before="74"/>
        <w:ind w:right="1634" w:firstLine="439"/>
        <w:jc w:val="left"/>
      </w:pPr>
      <w:r>
        <w:rPr>
          <w:spacing w:val="-4"/>
        </w:rPr>
        <w:t>本公司编制的财务报表符合企业会计准则的要求，真实、完整地反映了本公司及本集</w:t>
      </w:r>
      <w:r>
        <w:rPr>
          <w:w w:val="100"/>
        </w:rPr>
        <w:t> </w:t>
      </w:r>
      <w:r>
        <w:rPr/>
        <w:t>团的财务状况、经营成果和现金流量等有关信息。</w:t>
      </w:r>
    </w:p>
    <w:p>
      <w:pPr>
        <w:spacing w:line="240" w:lineRule="auto" w:before="8"/>
        <w:rPr>
          <w:rFonts w:ascii="宋体" w:hAnsi="宋体" w:cs="宋体" w:eastAsia="宋体" w:hint="default"/>
          <w:sz w:val="19"/>
          <w:szCs w:val="19"/>
        </w:rPr>
      </w:pPr>
    </w:p>
    <w:p>
      <w:pPr>
        <w:pStyle w:val="BodyText"/>
        <w:tabs>
          <w:tab w:pos="967" w:val="left" w:leader="none"/>
        </w:tabs>
        <w:spacing w:line="240" w:lineRule="auto" w:before="0"/>
        <w:ind w:left="526" w:right="1634"/>
        <w:jc w:val="left"/>
      </w:pPr>
      <w:r>
        <w:rPr>
          <w:spacing w:val="-1"/>
        </w:rPr>
        <w:t>2.</w:t>
        <w:tab/>
      </w:r>
      <w:bookmarkStart w:name="2.会计期间" w:id="177"/>
      <w:bookmarkEnd w:id="177"/>
      <w:r>
        <w:rPr>
          <w:spacing w:val="-2"/>
        </w:rPr>
        <w:t>会</w:t>
      </w:r>
      <w:r>
        <w:rPr>
          <w:spacing w:val="-2"/>
        </w:rPr>
        <w:t>计期间</w:t>
      </w:r>
    </w:p>
    <w:p>
      <w:pPr>
        <w:spacing w:line="240" w:lineRule="auto" w:before="11"/>
        <w:rPr>
          <w:rFonts w:ascii="宋体" w:hAnsi="宋体" w:cs="宋体" w:eastAsia="宋体" w:hint="default"/>
          <w:sz w:val="23"/>
          <w:szCs w:val="23"/>
        </w:rPr>
      </w:pPr>
    </w:p>
    <w:p>
      <w:pPr>
        <w:pStyle w:val="BodyText"/>
        <w:spacing w:line="240" w:lineRule="auto" w:before="0"/>
        <w:ind w:left="540" w:right="1634"/>
        <w:jc w:val="left"/>
      </w:pPr>
      <w:r>
        <w:rPr/>
        <w:t>本集团的会计期间为公历</w:t>
      </w:r>
      <w:r>
        <w:rPr>
          <w:spacing w:val="-58"/>
        </w:rPr>
        <w:t> </w:t>
      </w:r>
      <w:r>
        <w:rPr/>
        <w:t>1</w:t>
      </w:r>
      <w:r>
        <w:rPr>
          <w:spacing w:val="-55"/>
        </w:rPr>
        <w:t> </w:t>
      </w:r>
      <w:r>
        <w:rPr/>
        <w:t>月</w:t>
      </w:r>
      <w:r>
        <w:rPr>
          <w:spacing w:val="-55"/>
        </w:rPr>
        <w:t> </w:t>
      </w:r>
      <w:r>
        <w:rPr/>
        <w:t>1</w:t>
      </w:r>
      <w:r>
        <w:rPr>
          <w:spacing w:val="-58"/>
        </w:rPr>
        <w:t> </w:t>
      </w:r>
      <w:r>
        <w:rPr/>
        <w:t>日至</w:t>
      </w:r>
      <w:r>
        <w:rPr>
          <w:spacing w:val="-55"/>
        </w:rPr>
        <w:t> </w:t>
      </w:r>
      <w:r>
        <w:rPr/>
        <w:t>12</w:t>
      </w:r>
      <w:r>
        <w:rPr>
          <w:spacing w:val="-58"/>
        </w:rPr>
        <w:t> </w:t>
      </w:r>
      <w:r>
        <w:rPr/>
        <w:t>月</w:t>
      </w:r>
      <w:r>
        <w:rPr>
          <w:spacing w:val="-55"/>
        </w:rPr>
        <w:t> </w:t>
      </w:r>
      <w:r>
        <w:rPr/>
        <w:t>31</w:t>
      </w:r>
      <w:r>
        <w:rPr>
          <w:spacing w:val="-58"/>
        </w:rPr>
        <w:t> </w:t>
      </w:r>
      <w:r>
        <w:rPr/>
        <w:t>日。</w:t>
      </w:r>
    </w:p>
    <w:p>
      <w:pPr>
        <w:spacing w:after="0" w:line="240" w:lineRule="auto"/>
        <w:jc w:val="left"/>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tabs>
          <w:tab w:pos="967" w:val="left" w:leader="none"/>
        </w:tabs>
        <w:spacing w:line="240" w:lineRule="auto"/>
        <w:ind w:left="540" w:right="1634"/>
        <w:jc w:val="left"/>
      </w:pPr>
      <w:r>
        <w:rPr>
          <w:spacing w:val="-1"/>
        </w:rPr>
        <w:t>3.</w:t>
        <w:tab/>
      </w:r>
      <w:bookmarkStart w:name="3.营业周期" w:id="178"/>
      <w:bookmarkEnd w:id="178"/>
      <w:r>
        <w:rPr>
          <w:spacing w:val="-2"/>
        </w:rPr>
        <w:t>营</w:t>
      </w:r>
      <w:r>
        <w:rPr>
          <w:spacing w:val="-2"/>
        </w:rPr>
        <w:t>业周期</w:t>
      </w:r>
    </w:p>
    <w:p>
      <w:pPr>
        <w:spacing w:line="240" w:lineRule="auto" w:before="11"/>
        <w:rPr>
          <w:rFonts w:ascii="宋体" w:hAnsi="宋体" w:cs="宋体" w:eastAsia="宋体" w:hint="default"/>
          <w:sz w:val="23"/>
          <w:szCs w:val="23"/>
        </w:rPr>
      </w:pPr>
    </w:p>
    <w:p>
      <w:pPr>
        <w:pStyle w:val="BodyText"/>
        <w:spacing w:line="240" w:lineRule="auto" w:before="0"/>
        <w:ind w:left="540" w:right="1634"/>
        <w:jc w:val="left"/>
      </w:pPr>
      <w:r>
        <w:rPr/>
        <w:t>本集团的营业周期为公历</w:t>
      </w:r>
      <w:r>
        <w:rPr>
          <w:spacing w:val="-58"/>
        </w:rPr>
        <w:t> </w:t>
      </w:r>
      <w:r>
        <w:rPr/>
        <w:t>1</w:t>
      </w:r>
      <w:r>
        <w:rPr>
          <w:spacing w:val="-55"/>
        </w:rPr>
        <w:t> </w:t>
      </w:r>
      <w:r>
        <w:rPr/>
        <w:t>月</w:t>
      </w:r>
      <w:r>
        <w:rPr>
          <w:spacing w:val="-55"/>
        </w:rPr>
        <w:t> </w:t>
      </w:r>
      <w:r>
        <w:rPr/>
        <w:t>1</w:t>
      </w:r>
      <w:r>
        <w:rPr>
          <w:spacing w:val="-58"/>
        </w:rPr>
        <w:t> </w:t>
      </w:r>
      <w:r>
        <w:rPr/>
        <w:t>日至</w:t>
      </w:r>
      <w:r>
        <w:rPr>
          <w:spacing w:val="-55"/>
        </w:rPr>
        <w:t> </w:t>
      </w:r>
      <w:r>
        <w:rPr/>
        <w:t>12</w:t>
      </w:r>
      <w:r>
        <w:rPr>
          <w:spacing w:val="-58"/>
        </w:rPr>
        <w:t> </w:t>
      </w:r>
      <w:r>
        <w:rPr/>
        <w:t>月</w:t>
      </w:r>
      <w:r>
        <w:rPr>
          <w:spacing w:val="-55"/>
        </w:rPr>
        <w:t> </w:t>
      </w:r>
      <w:r>
        <w:rPr/>
        <w:t>31</w:t>
      </w:r>
      <w:r>
        <w:rPr>
          <w:spacing w:val="-58"/>
        </w:rPr>
        <w:t> </w:t>
      </w:r>
      <w:r>
        <w:rPr/>
        <w:t>日。</w:t>
      </w:r>
    </w:p>
    <w:p>
      <w:pPr>
        <w:spacing w:line="240" w:lineRule="auto" w:before="11"/>
        <w:rPr>
          <w:rFonts w:ascii="宋体" w:hAnsi="宋体" w:cs="宋体" w:eastAsia="宋体" w:hint="default"/>
          <w:sz w:val="23"/>
          <w:szCs w:val="23"/>
        </w:rPr>
      </w:pPr>
    </w:p>
    <w:p>
      <w:pPr>
        <w:pStyle w:val="BodyText"/>
        <w:tabs>
          <w:tab w:pos="967" w:val="left" w:leader="none"/>
        </w:tabs>
        <w:spacing w:line="499" w:lineRule="auto" w:before="0"/>
        <w:ind w:left="540" w:right="6684" w:hanging="15"/>
        <w:jc w:val="left"/>
      </w:pPr>
      <w:r>
        <w:rPr>
          <w:spacing w:val="-1"/>
        </w:rPr>
        <w:t>4.</w:t>
        <w:tab/>
      </w:r>
      <w:bookmarkStart w:name="4.记账本位币 " w:id="179"/>
      <w:bookmarkEnd w:id="179"/>
      <w:r>
        <w:rPr>
          <w:spacing w:val="-2"/>
        </w:rPr>
        <w:t>记</w:t>
      </w:r>
      <w:r>
        <w:rPr>
          <w:spacing w:val="-2"/>
        </w:rPr>
        <w:t>账本位币</w:t>
      </w:r>
      <w:r>
        <w:rPr>
          <w:spacing w:val="-101"/>
        </w:rPr>
        <w:t> </w:t>
      </w:r>
      <w:r>
        <w:rPr>
          <w:spacing w:val="-101"/>
        </w:rPr>
      </w:r>
      <w:r>
        <w:rPr>
          <w:spacing w:val="-2"/>
        </w:rPr>
        <w:t>本集团以人民币为记账本位币。</w:t>
      </w:r>
    </w:p>
    <w:p>
      <w:pPr>
        <w:pStyle w:val="BodyText"/>
        <w:tabs>
          <w:tab w:pos="967" w:val="left" w:leader="none"/>
        </w:tabs>
        <w:spacing w:line="240" w:lineRule="auto" w:before="74"/>
        <w:ind w:left="526" w:right="1634"/>
        <w:jc w:val="left"/>
      </w:pPr>
      <w:r>
        <w:rPr>
          <w:spacing w:val="-1"/>
        </w:rPr>
        <w:t>5.</w:t>
        <w:tab/>
      </w:r>
      <w:bookmarkStart w:name="5.同一控制下和非同一控制下企业合并的会计处理方法" w:id="180"/>
      <w:bookmarkEnd w:id="180"/>
      <w:r>
        <w:rPr>
          <w:spacing w:val="-2"/>
        </w:rPr>
        <w:t>同</w:t>
      </w:r>
      <w:r>
        <w:rPr>
          <w:spacing w:val="-2"/>
        </w:rPr>
        <w:t>一控制下和非同一控制下企业合并的会计处理方法</w:t>
      </w:r>
    </w:p>
    <w:p>
      <w:pPr>
        <w:spacing w:line="240" w:lineRule="auto" w:before="11"/>
        <w:rPr>
          <w:rFonts w:ascii="宋体" w:hAnsi="宋体" w:cs="宋体" w:eastAsia="宋体" w:hint="default"/>
          <w:sz w:val="23"/>
          <w:szCs w:val="23"/>
        </w:rPr>
      </w:pPr>
    </w:p>
    <w:p>
      <w:pPr>
        <w:pStyle w:val="BodyText"/>
        <w:spacing w:line="300" w:lineRule="auto" w:before="0"/>
        <w:ind w:right="1697" w:firstLine="439"/>
        <w:jc w:val="both"/>
      </w:pPr>
      <w:r>
        <w:rPr>
          <w:spacing w:val="-4"/>
        </w:rPr>
        <w:t>本集团作为合并方，在同一控制下企业合并中取得的资产和负债，在合并日按被合并</w:t>
      </w:r>
      <w:r>
        <w:rPr>
          <w:w w:val="100"/>
        </w:rPr>
        <w:t> </w:t>
      </w:r>
      <w:r>
        <w:rPr>
          <w:spacing w:val="-4"/>
        </w:rPr>
        <w:t>方在最终控制方合并报表中的账面价值计量。取得的净资产账面价值与支付的合并对价账</w:t>
      </w:r>
      <w:r>
        <w:rPr>
          <w:spacing w:val="-51"/>
        </w:rPr>
        <w:t> </w:t>
      </w:r>
      <w:r>
        <w:rPr>
          <w:spacing w:val="-51"/>
        </w:rPr>
      </w:r>
      <w:r>
        <w:rPr/>
        <w:t>面价值的差额，调整资本公积；资本公积不足冲减的，调整留存收益。</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4"/>
        </w:rPr>
        <w:t>在非同一控制下企业合并中取得的被购买方可辨认资产、负债及或有负债在收购日以</w:t>
      </w:r>
      <w:r>
        <w:rPr>
          <w:w w:val="100"/>
        </w:rPr>
        <w:t> </w:t>
      </w:r>
      <w:r>
        <w:rPr>
          <w:spacing w:val="-4"/>
        </w:rPr>
        <w:t>公允价值计量。合并成本为本集团在购买日为取得对被购买方的控制权而支付的现金或非</w:t>
      </w:r>
      <w:r>
        <w:rPr>
          <w:spacing w:val="-51"/>
        </w:rPr>
        <w:t> </w:t>
      </w:r>
      <w:r>
        <w:rPr>
          <w:spacing w:val="-51"/>
        </w:rPr>
      </w:r>
      <w:r>
        <w:rPr>
          <w:spacing w:val="-4"/>
        </w:rPr>
        <w:t>现金资产、发行或承担的负债、发行的权益性证券等的公允价值以及在企业合并中发生的</w:t>
      </w:r>
      <w:r>
        <w:rPr>
          <w:spacing w:val="-51"/>
        </w:rPr>
        <w:t> </w:t>
      </w:r>
      <w:r>
        <w:rPr>
          <w:spacing w:val="-51"/>
        </w:rPr>
      </w:r>
      <w:r>
        <w:rPr>
          <w:spacing w:val="-4"/>
        </w:rPr>
        <w:t>各项直接相关费用之和（通过多次交易分步实现的企业合并，其合并成本为每一单项交易</w:t>
      </w:r>
      <w:r>
        <w:rPr>
          <w:spacing w:val="-53"/>
        </w:rPr>
        <w:t> </w:t>
      </w:r>
      <w:r>
        <w:rPr>
          <w:spacing w:val="-53"/>
        </w:rPr>
      </w:r>
      <w:r>
        <w:rPr>
          <w:spacing w:val="-2"/>
        </w:rPr>
        <w:t>的成本之和）。合并成本大于合并中取得的被购买方可辨认净资产公允价值份额的差额，</w:t>
      </w:r>
      <w:r>
        <w:rPr>
          <w:spacing w:val="-57"/>
        </w:rPr>
        <w:t> </w:t>
      </w:r>
      <w:r>
        <w:rPr>
          <w:spacing w:val="-57"/>
        </w:rPr>
      </w:r>
      <w:r>
        <w:rPr>
          <w:spacing w:val="-4"/>
        </w:rPr>
        <w:t>确认为商誉；合并成本小于合并中取得的被购买方可辨认净资产公允价值份额的，首先对</w:t>
      </w:r>
      <w:r>
        <w:rPr>
          <w:spacing w:val="-53"/>
        </w:rPr>
        <w:t> </w:t>
      </w:r>
      <w:r>
        <w:rPr>
          <w:spacing w:val="-53"/>
        </w:rPr>
      </w:r>
      <w:r>
        <w:rPr>
          <w:spacing w:val="-4"/>
        </w:rPr>
        <w:t>合并中取得的各项可辨认资产、负债及或有负债的公允价值、以及合并对价的非现金资产</w:t>
      </w:r>
      <w:r>
        <w:rPr>
          <w:spacing w:val="-53"/>
        </w:rPr>
        <w:t> </w:t>
      </w:r>
      <w:r>
        <w:rPr>
          <w:spacing w:val="-53"/>
        </w:rPr>
      </w:r>
      <w:r>
        <w:rPr>
          <w:spacing w:val="-4"/>
        </w:rPr>
        <w:t>或发行的权益性证券等的公允价值进行复核，经复核后，合并成本仍小于合并中取得的被</w:t>
      </w:r>
      <w:r>
        <w:rPr>
          <w:spacing w:val="-51"/>
        </w:rPr>
        <w:t> </w:t>
      </w:r>
      <w:r>
        <w:rPr>
          <w:spacing w:val="-51"/>
        </w:rPr>
      </w:r>
      <w:r>
        <w:rPr/>
        <w:t>购买方可辨认净资产公允价值份额的，将其差额计入合并当期营业外收入。</w:t>
      </w:r>
    </w:p>
    <w:p>
      <w:pPr>
        <w:spacing w:line="240" w:lineRule="auto" w:before="8"/>
        <w:rPr>
          <w:rFonts w:ascii="宋体" w:hAnsi="宋体" w:cs="宋体" w:eastAsia="宋体" w:hint="default"/>
          <w:sz w:val="19"/>
          <w:szCs w:val="19"/>
        </w:rPr>
      </w:pPr>
    </w:p>
    <w:p>
      <w:pPr>
        <w:pStyle w:val="BodyText"/>
        <w:tabs>
          <w:tab w:pos="967" w:val="left" w:leader="none"/>
        </w:tabs>
        <w:spacing w:line="499" w:lineRule="auto" w:before="0"/>
        <w:ind w:left="540" w:right="4704" w:hanging="15"/>
        <w:jc w:val="left"/>
      </w:pPr>
      <w:r>
        <w:rPr>
          <w:spacing w:val="-1"/>
        </w:rPr>
        <w:t>6.</w:t>
        <w:tab/>
      </w:r>
      <w:bookmarkStart w:name="6.合并财务报表的编制方法" w:id="181"/>
      <w:bookmarkEnd w:id="181"/>
      <w:r>
        <w:rPr>
          <w:spacing w:val="-2"/>
        </w:rPr>
        <w:t>合</w:t>
      </w:r>
      <w:r>
        <w:rPr>
          <w:spacing w:val="-2"/>
        </w:rPr>
        <w:t>并财务报表的编制方法</w:t>
      </w:r>
      <w:r>
        <w:rPr>
          <w:spacing w:val="-93"/>
        </w:rPr>
        <w:t> </w:t>
      </w:r>
      <w:r>
        <w:rPr>
          <w:spacing w:val="-93"/>
        </w:rPr>
      </w:r>
      <w:r>
        <w:rPr>
          <w:spacing w:val="-2"/>
        </w:rPr>
        <w:t>本集团将所有控制的子公司纳入合并财务报表范围。</w:t>
      </w:r>
    </w:p>
    <w:p>
      <w:pPr>
        <w:pStyle w:val="BodyText"/>
        <w:spacing w:line="300" w:lineRule="auto" w:before="74"/>
        <w:ind w:right="1634" w:firstLine="439"/>
        <w:jc w:val="left"/>
      </w:pPr>
      <w:r>
        <w:rPr>
          <w:spacing w:val="-4"/>
        </w:rPr>
        <w:t>在编制合并财务报表时，子公司与本公司采用的会计政策或会计期间不一致的，按照</w:t>
      </w:r>
      <w:r>
        <w:rPr>
          <w:w w:val="100"/>
        </w:rPr>
        <w:t> </w:t>
      </w:r>
      <w:r>
        <w:rPr/>
        <w:t>本公司的会计政策或会计期间对子公司财务报表进行必要的调整。</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2"/>
        </w:rPr>
        <w:t>合并范围内的所有重大内部交易、往来余额及未实现利润在合并报表编制时予以抵</w:t>
      </w:r>
      <w:r>
        <w:rPr>
          <w:w w:val="100"/>
        </w:rPr>
        <w:t> </w:t>
      </w:r>
      <w:r>
        <w:rPr>
          <w:spacing w:val="-4"/>
        </w:rPr>
        <w:t>销。子公司的所有者权益中不属于母公司的份额以及当期净损益、其他综合收益及综合收</w:t>
      </w:r>
      <w:r>
        <w:rPr>
          <w:spacing w:val="-51"/>
        </w:rPr>
        <w:t> </w:t>
      </w:r>
      <w:r>
        <w:rPr>
          <w:spacing w:val="-51"/>
        </w:rPr>
      </w:r>
      <w:r>
        <w:rPr>
          <w:spacing w:val="-7"/>
        </w:rPr>
        <w:t>益总额中属于少数股东权益的份额，分别在合并财务报表“少数股东权益、少数股东损益、</w:t>
      </w:r>
      <w:r>
        <w:rPr>
          <w:spacing w:val="-39"/>
        </w:rPr>
        <w:t> </w:t>
      </w:r>
      <w:r>
        <w:rPr>
          <w:spacing w:val="-39"/>
        </w:rPr>
      </w:r>
      <w:r>
        <w:rPr/>
        <w:t>归属于少数股东的其他综合收益及归属于少数股东的综合收益总额”项目列示。</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对于同一控制下企业合并取得的子公司，其经营成果和现金流量自合并当期期初纳入</w:t>
      </w:r>
      <w:r>
        <w:rPr>
          <w:w w:val="100"/>
        </w:rPr>
        <w:t> </w:t>
      </w:r>
      <w:r>
        <w:rPr>
          <w:spacing w:val="-4"/>
        </w:rPr>
        <w:t>合并财务报表。编制比较合并财务报表时，对上年财务报表的相关项目进行调整，视同合</w:t>
      </w:r>
      <w:r>
        <w:rPr>
          <w:spacing w:val="-51"/>
        </w:rPr>
        <w:t> </w:t>
      </w:r>
      <w:r>
        <w:rPr>
          <w:spacing w:val="-51"/>
        </w:rPr>
      </w:r>
      <w:r>
        <w:rPr/>
        <w:t>并后形成的报告主体自最终控制方开始控制时点起一直存在。</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300" w:lineRule="auto"/>
        <w:ind w:right="1697" w:firstLine="439"/>
        <w:jc w:val="both"/>
      </w:pPr>
      <w:r>
        <w:rPr>
          <w:spacing w:val="-4"/>
        </w:rPr>
        <w:t>对于非同一控制下企业合并取得子公司，经营成果和现金流量自本集团取得控制权之</w:t>
      </w:r>
      <w:r>
        <w:rPr>
          <w:w w:val="100"/>
        </w:rPr>
        <w:t> </w:t>
      </w:r>
      <w:r>
        <w:rPr>
          <w:spacing w:val="-4"/>
        </w:rPr>
        <w:t>日起纳入合并财务报表。在编制合并财务报表时，以购买日确定的各项可辨认资产、负债</w:t>
      </w:r>
      <w:r>
        <w:rPr>
          <w:spacing w:val="-51"/>
        </w:rPr>
        <w:t> </w:t>
      </w:r>
      <w:r>
        <w:rPr>
          <w:spacing w:val="-51"/>
        </w:rPr>
      </w:r>
      <w:r>
        <w:rPr/>
        <w:t>及或有负债的公允价值为基础对子公司的财务报表进行调整。</w:t>
      </w:r>
    </w:p>
    <w:p>
      <w:pPr>
        <w:pStyle w:val="BodyText"/>
        <w:tabs>
          <w:tab w:pos="967" w:val="left" w:leader="none"/>
        </w:tabs>
        <w:spacing w:line="600" w:lineRule="exact" w:before="34"/>
        <w:ind w:left="540" w:right="1699" w:hanging="15"/>
        <w:jc w:val="left"/>
      </w:pPr>
      <w:r>
        <w:rPr>
          <w:spacing w:val="-1"/>
        </w:rPr>
        <w:t>7.</w:t>
        <w:tab/>
      </w:r>
      <w:bookmarkStart w:name="7.合营安排分类及共同经营会计处理方法" w:id="182"/>
      <w:bookmarkEnd w:id="182"/>
      <w:r>
        <w:rPr>
          <w:spacing w:val="-2"/>
        </w:rPr>
        <w:t>合</w:t>
      </w:r>
      <w:r>
        <w:rPr>
          <w:spacing w:val="-2"/>
        </w:rPr>
        <w:t>营安排分类及共同经营会计处理方法</w:t>
      </w:r>
      <w:r>
        <w:rPr>
          <w:spacing w:val="-85"/>
        </w:rPr>
        <w:t> </w:t>
      </w:r>
      <w:r>
        <w:rPr>
          <w:spacing w:val="-85"/>
        </w:rPr>
      </w:r>
      <w:r>
        <w:rPr>
          <w:spacing w:val="-1"/>
        </w:rPr>
        <w:t>本集团的合营安排包括共同经营和合营企业。对于共同经营项目,本集团作为共同经</w:t>
      </w:r>
    </w:p>
    <w:p>
      <w:pPr>
        <w:pStyle w:val="BodyText"/>
        <w:spacing w:line="271" w:lineRule="exact" w:before="0"/>
        <w:ind w:right="0"/>
        <w:jc w:val="both"/>
      </w:pPr>
      <w:r>
        <w:rPr>
          <w:spacing w:val="-4"/>
        </w:rPr>
        <w:t>营中的合营方确认单独持有的资产和承担的负债，以及按份额确认持有的资产和承担的负</w:t>
      </w:r>
    </w:p>
    <w:p>
      <w:pPr>
        <w:pStyle w:val="BodyText"/>
        <w:spacing w:line="300" w:lineRule="auto" w:before="72"/>
        <w:ind w:right="1625"/>
        <w:jc w:val="both"/>
      </w:pPr>
      <w:r>
        <w:rPr>
          <w:spacing w:val="-4"/>
        </w:rPr>
        <w:t>债，根据相关约定单独或按份额确认相关的收入和费用。与共同经营发生购买、销售不构</w:t>
      </w:r>
      <w:r>
        <w:rPr>
          <w:spacing w:val="-51"/>
        </w:rPr>
        <w:t> </w:t>
      </w:r>
      <w:r>
        <w:rPr>
          <w:spacing w:val="-51"/>
        </w:rPr>
      </w:r>
      <w:r>
        <w:rPr>
          <w:spacing w:val="-2"/>
        </w:rPr>
        <w:t>成业务的资产交易的，仅确认因该交易产生的损益中归属于共同经营其他参与方的部分。</w:t>
      </w:r>
    </w:p>
    <w:p>
      <w:pPr>
        <w:pStyle w:val="BodyText"/>
        <w:tabs>
          <w:tab w:pos="967" w:val="left" w:leader="none"/>
        </w:tabs>
        <w:spacing w:line="600" w:lineRule="exact" w:before="34"/>
        <w:ind w:left="540" w:right="1699" w:hanging="15"/>
        <w:jc w:val="left"/>
      </w:pPr>
      <w:r>
        <w:rPr>
          <w:spacing w:val="-1"/>
        </w:rPr>
        <w:t>8.</w:t>
        <w:tab/>
      </w:r>
      <w:bookmarkStart w:name="8.现金及现金等价物" w:id="183"/>
      <w:bookmarkEnd w:id="183"/>
      <w:r>
        <w:rPr>
          <w:spacing w:val="-2"/>
        </w:rPr>
        <w:t>现</w:t>
      </w:r>
      <w:r>
        <w:rPr>
          <w:spacing w:val="-2"/>
        </w:rPr>
        <w:t>金及现金等价物</w:t>
      </w:r>
      <w:r>
        <w:rPr>
          <w:spacing w:val="-97"/>
        </w:rPr>
        <w:t> </w:t>
      </w:r>
      <w:r>
        <w:rPr>
          <w:spacing w:val="-97"/>
        </w:rPr>
      </w:r>
      <w:r>
        <w:rPr>
          <w:spacing w:val="-4"/>
        </w:rPr>
        <w:t>本集团现金流量表之现金指库存现金以及可以随时用于支付的存款。现金流量表之现</w:t>
      </w:r>
    </w:p>
    <w:p>
      <w:pPr>
        <w:pStyle w:val="BodyText"/>
        <w:spacing w:line="271" w:lineRule="exact" w:before="0"/>
        <w:ind w:right="0"/>
        <w:jc w:val="both"/>
      </w:pPr>
      <w:r>
        <w:rPr/>
        <w:t>金等价物指持有期限不超过 3</w:t>
      </w:r>
      <w:r>
        <w:rPr>
          <w:spacing w:val="-77"/>
        </w:rPr>
        <w:t> </w:t>
      </w:r>
      <w:r>
        <w:rPr>
          <w:spacing w:val="-5"/>
        </w:rPr>
        <w:t>个月、流动性强、易于转换为已知金额现金且价值变动风险</w:t>
      </w:r>
    </w:p>
    <w:p>
      <w:pPr>
        <w:pStyle w:val="BodyText"/>
        <w:spacing w:line="240" w:lineRule="auto" w:before="72"/>
        <w:ind w:right="0"/>
        <w:jc w:val="both"/>
      </w:pPr>
      <w:r>
        <w:rPr/>
        <w:t>很小的投资。</w:t>
      </w:r>
    </w:p>
    <w:p>
      <w:pPr>
        <w:spacing w:line="240" w:lineRule="auto" w:before="11"/>
        <w:rPr>
          <w:rFonts w:ascii="宋体" w:hAnsi="宋体" w:cs="宋体" w:eastAsia="宋体" w:hint="default"/>
          <w:sz w:val="23"/>
          <w:szCs w:val="23"/>
        </w:rPr>
      </w:pPr>
    </w:p>
    <w:p>
      <w:pPr>
        <w:pStyle w:val="BodyText"/>
        <w:tabs>
          <w:tab w:pos="967" w:val="left" w:leader="none"/>
        </w:tabs>
        <w:spacing w:line="240" w:lineRule="auto" w:before="0"/>
        <w:ind w:left="526" w:right="1634"/>
        <w:jc w:val="left"/>
      </w:pPr>
      <w:r>
        <w:rPr>
          <w:spacing w:val="-1"/>
        </w:rPr>
        <w:t>9.</w:t>
        <w:tab/>
      </w:r>
      <w:bookmarkStart w:name="9.外币业务和外币财务报表折算" w:id="184"/>
      <w:bookmarkEnd w:id="184"/>
      <w:r>
        <w:rPr>
          <w:spacing w:val="-2"/>
        </w:rPr>
        <w:t>外</w:t>
      </w:r>
      <w:r>
        <w:rPr>
          <w:spacing w:val="-2"/>
        </w:rPr>
        <w:t>币业务和外币财务报表折算</w:t>
      </w:r>
    </w:p>
    <w:p>
      <w:pPr>
        <w:pStyle w:val="BodyText"/>
        <w:spacing w:line="600" w:lineRule="atLeast" w:before="0"/>
        <w:ind w:left="540" w:right="1634" w:hanging="36"/>
        <w:jc w:val="left"/>
      </w:pPr>
      <w:r>
        <w:rPr/>
        <w:t>（1）</w:t>
      </w:r>
      <w:r>
        <w:rPr>
          <w:spacing w:val="68"/>
        </w:rPr>
        <w:t> </w:t>
      </w:r>
      <w:bookmarkStart w:name="（1）外币交易" w:id="185"/>
      <w:bookmarkEnd w:id="185"/>
      <w:r>
        <w:rPr/>
        <w:t>外</w:t>
      </w:r>
      <w:r>
        <w:rPr/>
        <w:t>币交易</w:t>
      </w:r>
      <w:r>
        <w:rPr>
          <w:w w:val="100"/>
        </w:rPr>
        <w:t> </w:t>
      </w:r>
      <w:r>
        <w:rPr>
          <w:spacing w:val="-4"/>
        </w:rPr>
        <w:t>本集团外币交易按交易发生日的即期汇率将外币金额折算为人民币金额。于资产负债</w:t>
      </w:r>
    </w:p>
    <w:p>
      <w:pPr>
        <w:pStyle w:val="BodyText"/>
        <w:spacing w:line="300" w:lineRule="auto" w:before="72"/>
        <w:ind w:right="1697"/>
        <w:jc w:val="both"/>
      </w:pPr>
      <w:r>
        <w:rPr>
          <w:spacing w:val="-4"/>
        </w:rPr>
        <w:t>表日，外币货币性项目采用资产负债表日的即期汇率折算为人民币，所产生的折算差额除</w:t>
      </w:r>
      <w:r>
        <w:rPr>
          <w:spacing w:val="-53"/>
        </w:rPr>
        <w:t> </w:t>
      </w:r>
      <w:r>
        <w:rPr>
          <w:spacing w:val="-53"/>
        </w:rPr>
      </w:r>
      <w:r>
        <w:rPr>
          <w:spacing w:val="2"/>
        </w:rPr>
        <w:t>了为购建或生产符合资本化条件的资产而借入的外币专门借款产生的汇兑差额按资本化</w:t>
      </w:r>
      <w:r>
        <w:rPr>
          <w:spacing w:val="-51"/>
        </w:rPr>
        <w:t> </w:t>
      </w:r>
      <w:r>
        <w:rPr>
          <w:spacing w:val="-51"/>
        </w:rPr>
      </w:r>
      <w:r>
        <w:rPr/>
        <w:t>的原则处理外，直接计入当期损益。</w:t>
      </w:r>
    </w:p>
    <w:p>
      <w:pPr>
        <w:pStyle w:val="BodyText"/>
        <w:spacing w:line="600" w:lineRule="exact" w:before="34"/>
        <w:ind w:left="540" w:right="1634" w:hanging="36"/>
        <w:jc w:val="left"/>
      </w:pPr>
      <w:r>
        <w:rPr/>
        <w:t>（2）</w:t>
      </w:r>
      <w:r>
        <w:rPr>
          <w:spacing w:val="68"/>
        </w:rPr>
        <w:t> </w:t>
      </w:r>
      <w:bookmarkStart w:name="（2）外币财务报表的折算" w:id="186"/>
      <w:bookmarkEnd w:id="186"/>
      <w:r>
        <w:rPr/>
        <w:t>外</w:t>
      </w:r>
      <w:r>
        <w:rPr/>
        <w:t>币财务报表的折算</w:t>
      </w:r>
      <w:r>
        <w:rPr>
          <w:w w:val="100"/>
        </w:rPr>
        <w:t> </w:t>
      </w:r>
      <w:r>
        <w:rPr>
          <w:spacing w:val="-4"/>
        </w:rPr>
        <w:t>外币资产负债表中资产、负债类项目采用资产负债表日的即期汇率折算；所有者权益</w:t>
      </w:r>
    </w:p>
    <w:p>
      <w:pPr>
        <w:pStyle w:val="BodyText"/>
        <w:spacing w:line="271" w:lineRule="exact" w:before="0"/>
        <w:ind w:right="0"/>
        <w:jc w:val="both"/>
      </w:pPr>
      <w:r>
        <w:rPr>
          <w:spacing w:val="-4"/>
        </w:rPr>
        <w:t>类项目除“未分配利润”外，均按业务发生时的即期汇率折算；利润表中的收入与费用项</w:t>
      </w:r>
    </w:p>
    <w:p>
      <w:pPr>
        <w:pStyle w:val="BodyText"/>
        <w:spacing w:line="300" w:lineRule="auto" w:before="72"/>
        <w:ind w:right="1697"/>
        <w:jc w:val="both"/>
      </w:pPr>
      <w:r>
        <w:rPr>
          <w:spacing w:val="-4"/>
        </w:rPr>
        <w:t>目，采用交易发生日的即期汇率折算。上述折算产生的外币报表折算差额，在其他综合收</w:t>
      </w:r>
      <w:r>
        <w:rPr>
          <w:spacing w:val="-51"/>
        </w:rPr>
        <w:t> </w:t>
      </w:r>
      <w:r>
        <w:rPr>
          <w:spacing w:val="-51"/>
        </w:rPr>
      </w:r>
      <w:r>
        <w:rPr>
          <w:spacing w:val="-4"/>
        </w:rPr>
        <w:t>益项目中列示。外币现金流量采用现金流量发生日的即期汇率折算。汇率变动对现金的影</w:t>
      </w:r>
      <w:r>
        <w:rPr>
          <w:spacing w:val="-53"/>
        </w:rPr>
        <w:t> </w:t>
      </w:r>
      <w:r>
        <w:rPr>
          <w:spacing w:val="-53"/>
        </w:rPr>
      </w:r>
      <w:r>
        <w:rPr/>
        <w:t>响额，在现金流量表中单独列示。</w:t>
      </w:r>
    </w:p>
    <w:p>
      <w:pPr>
        <w:spacing w:line="240" w:lineRule="auto" w:before="8"/>
        <w:rPr>
          <w:rFonts w:ascii="宋体" w:hAnsi="宋体" w:cs="宋体" w:eastAsia="宋体" w:hint="default"/>
          <w:sz w:val="19"/>
          <w:szCs w:val="19"/>
        </w:rPr>
      </w:pPr>
    </w:p>
    <w:p>
      <w:pPr>
        <w:pStyle w:val="BodyText"/>
        <w:spacing w:line="499" w:lineRule="auto" w:before="0"/>
        <w:ind w:left="540" w:right="1634" w:hanging="15"/>
        <w:jc w:val="left"/>
      </w:pPr>
      <w:r>
        <w:rPr/>
        <w:t>10.</w:t>
      </w:r>
      <w:r>
        <w:rPr>
          <w:spacing w:val="-1"/>
        </w:rPr>
        <w:t> </w:t>
      </w:r>
      <w:bookmarkStart w:name="10.金融资产和金融负债" w:id="187"/>
      <w:bookmarkEnd w:id="187"/>
      <w:r>
        <w:rPr/>
        <w:t>金</w:t>
      </w:r>
      <w:r>
        <w:rPr/>
        <w:t>融资产和金融负债</w:t>
      </w:r>
      <w:r>
        <w:rPr>
          <w:w w:val="100"/>
        </w:rPr>
        <w:t> </w:t>
      </w:r>
      <w:r>
        <w:rPr>
          <w:spacing w:val="-2"/>
        </w:rPr>
        <w:t>本集团成为金融工具合同的一方时确认一项金融资产或金融负债。</w:t>
      </w:r>
    </w:p>
    <w:p>
      <w:pPr>
        <w:pStyle w:val="BodyText"/>
        <w:spacing w:line="240" w:lineRule="auto" w:before="74"/>
        <w:ind w:left="540" w:right="1634"/>
        <w:jc w:val="left"/>
      </w:pPr>
      <w:r>
        <w:rPr/>
        <w:t>（1）</w:t>
      </w:r>
      <w:r>
        <w:rPr>
          <w:spacing w:val="56"/>
        </w:rPr>
        <w:t> </w:t>
      </w:r>
      <w:bookmarkStart w:name="（1）金融资产" w:id="188"/>
      <w:bookmarkEnd w:id="188"/>
      <w:r>
        <w:rPr/>
        <w:t>金</w:t>
      </w:r>
      <w:r>
        <w:rPr/>
        <w:t>融资产</w:t>
      </w:r>
    </w:p>
    <w:p>
      <w:pPr>
        <w:spacing w:line="240" w:lineRule="auto" w:before="11"/>
        <w:rPr>
          <w:rFonts w:ascii="宋体" w:hAnsi="宋体" w:cs="宋体" w:eastAsia="宋体" w:hint="default"/>
          <w:sz w:val="23"/>
          <w:szCs w:val="23"/>
        </w:rPr>
      </w:pPr>
    </w:p>
    <w:p>
      <w:pPr>
        <w:pStyle w:val="BodyText"/>
        <w:tabs>
          <w:tab w:pos="1301" w:val="left" w:leader="none"/>
        </w:tabs>
        <w:spacing w:line="240" w:lineRule="auto" w:before="0"/>
        <w:ind w:left="701" w:right="1634"/>
        <w:jc w:val="left"/>
      </w:pPr>
      <w:r>
        <w:rPr>
          <w:spacing w:val="-1"/>
        </w:rPr>
        <w:t>1）</w:t>
        <w:tab/>
      </w:r>
      <w:r>
        <w:rPr>
          <w:spacing w:val="-2"/>
        </w:rPr>
        <w:t>金融资产分类、确认依据和计量方法</w:t>
      </w:r>
    </w:p>
    <w:p>
      <w:pPr>
        <w:spacing w:after="0" w:line="240" w:lineRule="auto"/>
        <w:jc w:val="left"/>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300" w:lineRule="auto"/>
        <w:ind w:right="1634" w:firstLine="439"/>
        <w:jc w:val="left"/>
      </w:pPr>
      <w:r>
        <w:rPr>
          <w:spacing w:val="-4"/>
        </w:rPr>
        <w:t>本集团根据管理金融资产的业务模式和金融资产的合同现金流特征，将金融资产分类</w:t>
      </w:r>
      <w:r>
        <w:rPr>
          <w:w w:val="100"/>
        </w:rPr>
        <w:t> </w:t>
      </w:r>
      <w:r>
        <w:rPr>
          <w:spacing w:val="-2"/>
        </w:rPr>
        <w:t>为以摊余成本计量的金融资产、以公允价值计量且其变动计入其他综合收益的金融资产、</w:t>
      </w:r>
      <w:r>
        <w:rPr>
          <w:spacing w:val="-57"/>
        </w:rPr>
        <w:t> </w:t>
      </w:r>
      <w:r>
        <w:rPr>
          <w:spacing w:val="-57"/>
        </w:rPr>
      </w:r>
      <w:r>
        <w:rPr/>
        <w:t>以公允价值计量且其变动计入当期损益的金融资产。</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4"/>
        </w:rPr>
        <w:t>本集团将同时符合下列条件的金融资产分类为以摊余成本计量的金融资产：①管理该</w:t>
      </w:r>
      <w:r>
        <w:rPr>
          <w:w w:val="100"/>
        </w:rPr>
        <w:t> </w:t>
      </w:r>
      <w:r>
        <w:rPr>
          <w:spacing w:val="-4"/>
        </w:rPr>
        <w:t>金融资产的业务模式是以收取合同现金流量为目标。②该金融资产的合同条款规定，在特</w:t>
      </w:r>
      <w:r>
        <w:rPr>
          <w:spacing w:val="-51"/>
        </w:rPr>
        <w:t> </w:t>
      </w:r>
      <w:r>
        <w:rPr>
          <w:spacing w:val="-51"/>
        </w:rPr>
      </w:r>
      <w:r>
        <w:rPr>
          <w:spacing w:val="-4"/>
        </w:rPr>
        <w:t>定日期产生的现金流量，仅为对本金和以未偿付本金金额为基础的利息的支付。此类金融</w:t>
      </w:r>
      <w:r>
        <w:rPr>
          <w:spacing w:val="-51"/>
        </w:rPr>
        <w:t> </w:t>
      </w:r>
      <w:r>
        <w:rPr>
          <w:spacing w:val="-51"/>
        </w:rPr>
      </w:r>
      <w:r>
        <w:rPr>
          <w:spacing w:val="-4"/>
        </w:rPr>
        <w:t>资产按照公允价值进行初始计量，相关交易费用计入初始确认金额；以摊余成本进行后续</w:t>
      </w:r>
      <w:r>
        <w:rPr>
          <w:spacing w:val="-53"/>
        </w:rPr>
        <w:t> </w:t>
      </w:r>
      <w:r>
        <w:rPr>
          <w:spacing w:val="-53"/>
        </w:rPr>
      </w:r>
      <w:r>
        <w:rPr>
          <w:spacing w:val="-2"/>
        </w:rPr>
        <w:t>计量。除被指定为被套期项目的，按照实际利率法摊销初始金额与到期金额之间的差额，</w:t>
      </w:r>
      <w:r>
        <w:rPr>
          <w:spacing w:val="-57"/>
        </w:rPr>
        <w:t> </w:t>
      </w:r>
      <w:r>
        <w:rPr>
          <w:spacing w:val="-57"/>
        </w:rPr>
      </w:r>
      <w:r>
        <w:rPr/>
        <w:t>其摊销、减值、汇兑损益以及终止确认时产生的利得或损失，计入当期损益。</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2"/>
        </w:rPr>
        <w:t>本集团将同时符合下列条件的金融资产分类为以公允价值计量且其变动计入其他综</w:t>
      </w:r>
      <w:r>
        <w:rPr>
          <w:w w:val="100"/>
        </w:rPr>
        <w:t> </w:t>
      </w:r>
      <w:r>
        <w:rPr>
          <w:spacing w:val="-4"/>
        </w:rPr>
        <w:t>合收益的金融资产：①管理该金融资产的业务模式既以收取合同现金流量为目标又以出售</w:t>
      </w:r>
      <w:r>
        <w:rPr>
          <w:spacing w:val="-51"/>
        </w:rPr>
        <w:t> </w:t>
      </w:r>
      <w:r>
        <w:rPr>
          <w:spacing w:val="-51"/>
        </w:rPr>
      </w:r>
      <w:r>
        <w:rPr>
          <w:spacing w:val="-4"/>
        </w:rPr>
        <w:t>该金融资产为目标。②该金融资产的合同条款规定，在特定日期产生的现金流量，仅为对</w:t>
      </w:r>
      <w:r>
        <w:rPr>
          <w:spacing w:val="-51"/>
        </w:rPr>
        <w:t> </w:t>
      </w:r>
      <w:r>
        <w:rPr>
          <w:spacing w:val="-51"/>
        </w:rPr>
      </w:r>
      <w:r>
        <w:rPr>
          <w:spacing w:val="2"/>
        </w:rPr>
        <w:t>本金和以未偿付本金金额为基础的利息的支付。此类金融资产按照公允价值进行初始计</w:t>
      </w:r>
      <w:r>
        <w:rPr>
          <w:spacing w:val="-51"/>
        </w:rPr>
        <w:t> </w:t>
      </w:r>
      <w:r>
        <w:rPr>
          <w:spacing w:val="-51"/>
        </w:rPr>
      </w:r>
      <w:r>
        <w:rPr>
          <w:spacing w:val="-4"/>
        </w:rPr>
        <w:t>量，相关交易费用计入初始确认金额。除被指定为被套期项目的，此类金融资产，除信用</w:t>
      </w:r>
      <w:r>
        <w:rPr>
          <w:spacing w:val="-51"/>
        </w:rPr>
        <w:t> </w:t>
      </w:r>
      <w:r>
        <w:rPr>
          <w:spacing w:val="-51"/>
        </w:rPr>
      </w:r>
      <w:r>
        <w:rPr>
          <w:spacing w:val="-4"/>
        </w:rPr>
        <w:t>减值损失或利得、汇兑损益和按照实际利率法计算的该金融资产利息之外，所产生的其他</w:t>
      </w:r>
      <w:r>
        <w:rPr>
          <w:spacing w:val="-53"/>
        </w:rPr>
        <w:t> </w:t>
      </w:r>
      <w:r>
        <w:rPr>
          <w:spacing w:val="-53"/>
        </w:rPr>
      </w:r>
      <w:r>
        <w:rPr>
          <w:spacing w:val="-4"/>
        </w:rPr>
        <w:t>利得或损失，均计入其他综合收益；金融资产终止确认时，之前计入其他综合收益的累计</w:t>
      </w:r>
      <w:r>
        <w:rPr>
          <w:spacing w:val="-51"/>
        </w:rPr>
        <w:t> </w:t>
      </w:r>
      <w:r>
        <w:rPr>
          <w:spacing w:val="-51"/>
        </w:rPr>
      </w:r>
      <w:r>
        <w:rPr/>
        <w:t>利得或损失应当从其他综合收益中转出，计入当期损益。</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本集团按照实际利率法确认利息收入。利息收入根据金融资产账面余额乘以实际利率</w:t>
      </w:r>
      <w:r>
        <w:rPr>
          <w:w w:val="100"/>
        </w:rPr>
        <w:t> </w:t>
      </w:r>
      <w:r>
        <w:rPr>
          <w:spacing w:val="-4"/>
        </w:rPr>
        <w:t>计算确定，但下列情况除外：①对于购入或源生的已发生信用减值的金融资产，自初始确</w:t>
      </w:r>
      <w:r>
        <w:rPr>
          <w:spacing w:val="-51"/>
        </w:rPr>
        <w:t> </w:t>
      </w:r>
      <w:r>
        <w:rPr>
          <w:spacing w:val="-51"/>
        </w:rPr>
      </w:r>
      <w:r>
        <w:rPr>
          <w:spacing w:val="-4"/>
        </w:rPr>
        <w:t>认起，按照该金融资产的摊余成本和经信用调整的实际利率计算确定其利息收入。②对于</w:t>
      </w:r>
      <w:r>
        <w:rPr>
          <w:spacing w:val="-51"/>
        </w:rPr>
        <w:t> </w:t>
      </w:r>
      <w:r>
        <w:rPr>
          <w:spacing w:val="-51"/>
        </w:rPr>
      </w:r>
      <w:r>
        <w:rPr>
          <w:spacing w:val="-4"/>
        </w:rPr>
        <w:t>购入或源生的未发生信用减值、但在后续期间成为已发生信用减值的金融资产，在后续期</w:t>
      </w:r>
      <w:r>
        <w:rPr>
          <w:spacing w:val="-51"/>
        </w:rPr>
        <w:t> </w:t>
      </w:r>
      <w:r>
        <w:rPr>
          <w:spacing w:val="-51"/>
        </w:rPr>
      </w:r>
      <w:r>
        <w:rPr/>
        <w:t>间，按照该金融资产的摊余成本和实际利率计算确定其利息收入。</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2"/>
        </w:rPr>
        <w:t>本集团将非交易性权益工具投资指定为以公允价值计量且其变动计入其他综合收益</w:t>
      </w:r>
      <w:r>
        <w:rPr>
          <w:w w:val="100"/>
        </w:rPr>
        <w:t> </w:t>
      </w:r>
      <w:r>
        <w:rPr>
          <w:spacing w:val="-4"/>
        </w:rPr>
        <w:t>的金融资产。该指定一经作出，不得撤销。本集团指定的以公允价值计量且其变动计入其</w:t>
      </w:r>
      <w:r>
        <w:rPr>
          <w:spacing w:val="-51"/>
        </w:rPr>
        <w:t> </w:t>
      </w:r>
      <w:r>
        <w:rPr>
          <w:spacing w:val="-51"/>
        </w:rPr>
      </w:r>
      <w:r>
        <w:rPr>
          <w:spacing w:val="-4"/>
        </w:rPr>
        <w:t>他综合收益的非交易性权益工具投资，按照公允价值进行初始计量，相关交易费用计入初</w:t>
      </w:r>
      <w:r>
        <w:rPr>
          <w:spacing w:val="-53"/>
        </w:rPr>
        <w:t> </w:t>
      </w:r>
      <w:r>
        <w:rPr>
          <w:spacing w:val="-53"/>
        </w:rPr>
      </w:r>
      <w:r>
        <w:rPr>
          <w:spacing w:val="-4"/>
        </w:rPr>
        <w:t>始确认金额；除了获得股利（属于投资成本收回部分的除外）计入当期损益外，其他相关</w:t>
      </w:r>
      <w:r>
        <w:rPr>
          <w:spacing w:val="-49"/>
        </w:rPr>
        <w:t> </w:t>
      </w:r>
      <w:r>
        <w:rPr>
          <w:spacing w:val="-49"/>
        </w:rPr>
      </w:r>
      <w:r>
        <w:rPr>
          <w:spacing w:val="-4"/>
        </w:rPr>
        <w:t>的利得和损失（包括汇兑损益）均计入其他综合收益，且后续不得转入当期损益。当其终</w:t>
      </w:r>
      <w:r>
        <w:rPr>
          <w:spacing w:val="-50"/>
        </w:rPr>
        <w:t> </w:t>
      </w:r>
      <w:r>
        <w:rPr>
          <w:spacing w:val="-50"/>
        </w:rPr>
      </w:r>
      <w:r>
        <w:rPr>
          <w:spacing w:val="-4"/>
        </w:rPr>
        <w:t>止确认时，之前计入其他综合收益的累计利得或损失从其他综合收益中转出，计入留存收</w:t>
      </w:r>
      <w:r>
        <w:rPr>
          <w:spacing w:val="-51"/>
        </w:rPr>
        <w:t> </w:t>
      </w:r>
      <w:r>
        <w:rPr>
          <w:spacing w:val="-51"/>
        </w:rPr>
      </w:r>
      <w:r>
        <w:rPr/>
        <w:t>益。</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2"/>
        </w:rPr>
        <w:t>除上述分类为以摊余成本计量的金融资产和分类为以公允价值计量且其变动计入其</w:t>
      </w:r>
      <w:r>
        <w:rPr>
          <w:w w:val="100"/>
        </w:rPr>
        <w:t> </w:t>
      </w:r>
      <w:r>
        <w:rPr>
          <w:spacing w:val="-4"/>
        </w:rPr>
        <w:t>他综合收益的金融资产之外的金融资产。本集团将其分类两位以公允价值计量且其变动计</w:t>
      </w:r>
      <w:r>
        <w:rPr>
          <w:spacing w:val="-53"/>
        </w:rPr>
        <w:t> </w:t>
      </w:r>
      <w:r>
        <w:rPr>
          <w:spacing w:val="-53"/>
        </w:rPr>
      </w:r>
      <w:r>
        <w:rPr>
          <w:spacing w:val="-4"/>
        </w:rPr>
        <w:t>入当期损益的金融资产。此类金融资产按照公允价值进行初始计量，相关交易费用直接计</w:t>
      </w:r>
      <w:r>
        <w:rPr>
          <w:spacing w:val="-53"/>
        </w:rPr>
        <w:t> </w:t>
      </w:r>
      <w:r>
        <w:rPr>
          <w:spacing w:val="-53"/>
        </w:rPr>
      </w:r>
      <w:r>
        <w:rPr/>
        <w:t>入当期损益。此类金融资产的利得或损失，计入当期损益。</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300" w:lineRule="auto"/>
        <w:ind w:right="1697" w:firstLine="439"/>
        <w:jc w:val="both"/>
      </w:pPr>
      <w:r>
        <w:rPr>
          <w:spacing w:val="-4"/>
        </w:rPr>
        <w:t>本集团在非同一控制下的企业合并中确认的或有对价构成金融资产的，该金融资产分</w:t>
      </w:r>
      <w:r>
        <w:rPr>
          <w:w w:val="100"/>
        </w:rPr>
        <w:t> </w:t>
      </w:r>
      <w:r>
        <w:rPr>
          <w:spacing w:val="-4"/>
        </w:rPr>
        <w:t>类为以公允价值计量且其变动计入当期损益的金融资产。此外，在初始确认时，本集团将</w:t>
      </w:r>
      <w:r>
        <w:rPr>
          <w:spacing w:val="-50"/>
        </w:rPr>
        <w:t> </w:t>
      </w:r>
      <w:r>
        <w:rPr>
          <w:spacing w:val="-50"/>
        </w:rPr>
      </w:r>
      <w:r>
        <w:rPr>
          <w:spacing w:val="-4"/>
        </w:rPr>
        <w:t>部分金融资产（包括权益工具投资等）指定为以公允价值计量且其变动计入当期损益的金</w:t>
      </w:r>
      <w:r>
        <w:rPr>
          <w:spacing w:val="-51"/>
        </w:rPr>
        <w:t> </w:t>
      </w:r>
      <w:r>
        <w:rPr>
          <w:spacing w:val="-51"/>
        </w:rPr>
      </w:r>
      <w:r>
        <w:rPr>
          <w:spacing w:val="-4"/>
        </w:rPr>
        <w:t>融资产。对于此类金融资产，本集团采用公允价值进行后续计量，公允价值变动计入当期</w:t>
      </w:r>
      <w:r>
        <w:rPr>
          <w:spacing w:val="-51"/>
        </w:rPr>
        <w:t> </w:t>
      </w:r>
      <w:r>
        <w:rPr>
          <w:spacing w:val="-51"/>
        </w:rPr>
      </w:r>
      <w:r>
        <w:rPr/>
        <w:t>损益。自资产负债表日起预期持有超过一年的，列示为其他非流动金融资产。</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2"/>
        </w:rPr>
        <w:t>本集团在改变管理金融资产的业务模式时，对所有受影响的相关金融资产进行重分</w:t>
      </w:r>
      <w:r>
        <w:rPr>
          <w:w w:val="100"/>
        </w:rPr>
        <w:t> </w:t>
      </w:r>
      <w:r>
        <w:rPr/>
        <w:t>类。</w:t>
      </w:r>
    </w:p>
    <w:p>
      <w:pPr>
        <w:pStyle w:val="BodyText"/>
        <w:tabs>
          <w:tab w:pos="1301" w:val="left" w:leader="none"/>
        </w:tabs>
        <w:spacing w:line="600" w:lineRule="exact" w:before="34"/>
        <w:ind w:left="540" w:right="1699" w:firstLine="160"/>
        <w:jc w:val="left"/>
      </w:pPr>
      <w:r>
        <w:rPr>
          <w:spacing w:val="-1"/>
        </w:rPr>
        <w:t>2）</w:t>
        <w:tab/>
      </w:r>
      <w:r>
        <w:rPr>
          <w:spacing w:val="-2"/>
        </w:rPr>
        <w:t>金融资产转移的确认依据和计量方法</w:t>
      </w:r>
      <w:r>
        <w:rPr>
          <w:w w:val="100"/>
        </w:rPr>
        <w:t> </w:t>
      </w:r>
      <w:r>
        <w:rPr>
          <w:spacing w:val="-4"/>
        </w:rPr>
        <w:t>本集团将满足下列条件之一的金融资产予以终止确认：①收取该金融资产现金流量的</w:t>
      </w:r>
    </w:p>
    <w:p>
      <w:pPr>
        <w:pStyle w:val="BodyText"/>
        <w:spacing w:line="271" w:lineRule="exact" w:before="0"/>
        <w:ind w:right="1634"/>
        <w:jc w:val="left"/>
      </w:pPr>
      <w:r>
        <w:rPr>
          <w:spacing w:val="-4"/>
        </w:rPr>
        <w:t>合同权利终止；②金融资产发生转移，本集团转移了金融资产所有权上几乎所有风险和报</w:t>
      </w:r>
    </w:p>
    <w:p>
      <w:pPr>
        <w:pStyle w:val="BodyText"/>
        <w:spacing w:line="300" w:lineRule="auto" w:before="72"/>
        <w:ind w:right="1634"/>
        <w:jc w:val="left"/>
      </w:pPr>
      <w:r>
        <w:rPr>
          <w:spacing w:val="-4"/>
        </w:rPr>
        <w:t>酬；③金融资产发生转移，本集团既没有转移也没有保留金融资产所有权上几乎所有风险</w:t>
      </w:r>
      <w:r>
        <w:rPr>
          <w:spacing w:val="-51"/>
        </w:rPr>
        <w:t> </w:t>
      </w:r>
      <w:r>
        <w:rPr>
          <w:spacing w:val="-51"/>
        </w:rPr>
      </w:r>
      <w:r>
        <w:rPr/>
        <w:t>和报酬，且未保留对该金融资产控制的。</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金融资产整体转移满足终止确认条件的，将所转移金融资产的账面价值，与因转移而</w:t>
      </w:r>
      <w:r>
        <w:rPr>
          <w:w w:val="100"/>
        </w:rPr>
        <w:t> </w:t>
      </w:r>
      <w:r>
        <w:rPr>
          <w:spacing w:val="2"/>
        </w:rPr>
        <w:t>收到的对价及原直接计入其他综合收益的公允价值变动累计额中对应终止确认部分的金</w:t>
      </w:r>
      <w:r>
        <w:rPr>
          <w:spacing w:val="-51"/>
        </w:rPr>
        <w:t> </w:t>
      </w:r>
      <w:r>
        <w:rPr>
          <w:spacing w:val="-51"/>
        </w:rPr>
      </w:r>
      <w:r>
        <w:rPr>
          <w:spacing w:val="-4"/>
        </w:rPr>
        <w:t>额（涉及转移的金融资产的合同条款规定，在特定日期产生的现金流量，仅为对本金和以</w:t>
      </w:r>
      <w:r>
        <w:rPr>
          <w:spacing w:val="-51"/>
        </w:rPr>
        <w:t> </w:t>
      </w:r>
      <w:r>
        <w:rPr>
          <w:spacing w:val="-51"/>
        </w:rPr>
      </w:r>
      <w:r>
        <w:rPr/>
        <w:t>未偿付本金金额为基础的利息的支付）之和的差额计入当期损益。</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4"/>
        </w:rPr>
        <w:t>金融资产部分转移满足终止确认条件的，将所转移金融资产整体的账面价值，在终止</w:t>
      </w:r>
      <w:r>
        <w:rPr>
          <w:w w:val="100"/>
        </w:rPr>
        <w:t> </w:t>
      </w:r>
      <w:r>
        <w:rPr>
          <w:spacing w:val="-4"/>
        </w:rPr>
        <w:t>确认部分和未终止确认部分之间，按照各自的相对公允价值进行分摊，并将因转移而收到</w:t>
      </w:r>
      <w:r>
        <w:rPr>
          <w:spacing w:val="-50"/>
        </w:rPr>
        <w:t> </w:t>
      </w:r>
      <w:r>
        <w:rPr>
          <w:spacing w:val="-50"/>
        </w:rPr>
      </w:r>
      <w:r>
        <w:rPr>
          <w:spacing w:val="2"/>
        </w:rPr>
        <w:t>的对价及应分摊至终止确认部分的原计入其他综合收益的公允价值变动累计额中对应终</w:t>
      </w:r>
      <w:r>
        <w:rPr>
          <w:spacing w:val="-51"/>
        </w:rPr>
        <w:t> </w:t>
      </w:r>
      <w:r>
        <w:rPr>
          <w:spacing w:val="-51"/>
        </w:rPr>
      </w:r>
      <w:r>
        <w:rPr>
          <w:spacing w:val="-2"/>
        </w:rPr>
        <w:t>止确认部分的金额（涉及转移的金融资产的合同条款规定，在特定日期产生的现金流量，</w:t>
      </w:r>
      <w:r>
        <w:rPr>
          <w:spacing w:val="-57"/>
        </w:rPr>
        <w:t> </w:t>
      </w:r>
      <w:r>
        <w:rPr>
          <w:spacing w:val="-57"/>
        </w:rPr>
      </w:r>
      <w:r>
        <w:rPr>
          <w:spacing w:val="-4"/>
        </w:rPr>
        <w:t>仅为对本金和以未偿付本金金额为基础的利息的支付）之和，与分摊的前述金融资产整体</w:t>
      </w:r>
      <w:r>
        <w:rPr>
          <w:spacing w:val="-53"/>
        </w:rPr>
        <w:t> </w:t>
      </w:r>
      <w:r>
        <w:rPr>
          <w:spacing w:val="-53"/>
        </w:rPr>
      </w:r>
      <w:r>
        <w:rPr/>
        <w:t>账面价值的差额计入当期损益。</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2"/>
        </w:rPr>
        <w:t>非交易性权益工具投资指定为以公允价值计量且其变动计入其他综合收益的金融资</w:t>
      </w:r>
      <w:r>
        <w:rPr>
          <w:w w:val="100"/>
        </w:rPr>
        <w:t> </w:t>
      </w:r>
      <w:r>
        <w:rPr>
          <w:spacing w:val="-4"/>
        </w:rPr>
        <w:t>产终止确认时，其账面价值与收到的对价以及原直接计入其他综合收益的公允价值变动累</w:t>
      </w:r>
      <w:r>
        <w:rPr>
          <w:spacing w:val="-51"/>
        </w:rPr>
        <w:t> </w:t>
      </w:r>
      <w:r>
        <w:rPr>
          <w:spacing w:val="-51"/>
        </w:rPr>
      </w:r>
      <w:r>
        <w:rPr/>
        <w:t>计额之和的差额，计入留存收益。</w:t>
      </w:r>
    </w:p>
    <w:p>
      <w:pPr>
        <w:spacing w:line="240" w:lineRule="auto" w:before="8"/>
        <w:rPr>
          <w:rFonts w:ascii="宋体" w:hAnsi="宋体" w:cs="宋体" w:eastAsia="宋体" w:hint="default"/>
          <w:sz w:val="19"/>
          <w:szCs w:val="19"/>
        </w:rPr>
      </w:pPr>
    </w:p>
    <w:p>
      <w:pPr>
        <w:pStyle w:val="BodyText"/>
        <w:spacing w:line="240" w:lineRule="auto" w:before="0"/>
        <w:ind w:left="540" w:right="1634"/>
        <w:jc w:val="left"/>
      </w:pPr>
      <w:r>
        <w:rPr/>
        <w:t>（2）</w:t>
      </w:r>
      <w:r>
        <w:rPr>
          <w:spacing w:val="56"/>
        </w:rPr>
        <w:t> </w:t>
      </w:r>
      <w:bookmarkStart w:name="（2）金融负债" w:id="189"/>
      <w:bookmarkEnd w:id="189"/>
      <w:r>
        <w:rPr/>
        <w:t>金</w:t>
      </w:r>
      <w:r>
        <w:rPr/>
        <w:t>融负债</w:t>
      </w:r>
    </w:p>
    <w:p>
      <w:pPr>
        <w:pStyle w:val="BodyText"/>
        <w:spacing w:line="600" w:lineRule="atLeast" w:before="0"/>
        <w:ind w:left="540" w:right="1634" w:firstLine="127"/>
        <w:jc w:val="left"/>
      </w:pPr>
      <w:r>
        <w:rPr/>
        <w:t>1）</w:t>
      </w:r>
      <w:r>
        <w:rPr>
          <w:spacing w:val="-18"/>
        </w:rPr>
        <w:t> </w:t>
      </w:r>
      <w:r>
        <w:rPr/>
        <w:t>金融负债分类、确认依据和计量方法</w:t>
      </w:r>
      <w:r>
        <w:rPr>
          <w:w w:val="100"/>
        </w:rPr>
        <w:t> </w:t>
      </w:r>
      <w:r>
        <w:rPr>
          <w:spacing w:val="2"/>
        </w:rPr>
        <w:t>本集团的金融负债于初始确认时分类为以公允价值计量且其变动计入当期损益的金</w:t>
      </w:r>
    </w:p>
    <w:p>
      <w:pPr>
        <w:pStyle w:val="BodyText"/>
        <w:spacing w:line="499" w:lineRule="auto" w:before="72"/>
        <w:ind w:left="540" w:right="1634" w:hanging="440"/>
        <w:jc w:val="left"/>
      </w:pPr>
      <w:r>
        <w:rPr/>
        <w:t>融负债和其他金融负债。</w:t>
      </w:r>
      <w:r>
        <w:rPr>
          <w:w w:val="100"/>
        </w:rPr>
        <w:t> </w:t>
      </w:r>
      <w:r>
        <w:rPr>
          <w:spacing w:val="-4"/>
        </w:rPr>
        <w:t>以公允价值计量且其变动计入当期损益的金融负债，包括交易性金融负债和初始确认</w:t>
      </w:r>
    </w:p>
    <w:p>
      <w:pPr>
        <w:spacing w:after="0" w:line="499" w:lineRule="auto"/>
        <w:jc w:val="left"/>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300" w:lineRule="auto"/>
        <w:ind w:right="1697"/>
        <w:jc w:val="both"/>
      </w:pPr>
      <w:r>
        <w:rPr>
          <w:spacing w:val="-4"/>
        </w:rPr>
        <w:t>时指定为以公允价值计量且其变动计入当期损益的金融负债，相关分类依据参照金融资产</w:t>
      </w:r>
      <w:r>
        <w:rPr>
          <w:spacing w:val="-53"/>
        </w:rPr>
        <w:t> </w:t>
      </w:r>
      <w:r>
        <w:rPr>
          <w:spacing w:val="-53"/>
        </w:rPr>
      </w:r>
      <w:r>
        <w:rPr>
          <w:spacing w:val="-4"/>
        </w:rPr>
        <w:t>分类依据进行披露。按照公允价值进行后续计量，公允价值变动形成的利得或损失以及与</w:t>
      </w:r>
      <w:r>
        <w:rPr>
          <w:spacing w:val="-50"/>
        </w:rPr>
        <w:t> </w:t>
      </w:r>
      <w:r>
        <w:rPr>
          <w:spacing w:val="-50"/>
        </w:rPr>
      </w:r>
      <w:r>
        <w:rPr/>
        <w:t>该金融负债相关的股利和利息支出计入当期损益。</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其他金融负债采用实际利率法，按照摊余成本进行后续计量。除下列各项外，本集团</w:t>
      </w:r>
      <w:r>
        <w:rPr>
          <w:w w:val="100"/>
        </w:rPr>
        <w:t> </w:t>
      </w:r>
      <w:r>
        <w:rPr>
          <w:spacing w:val="-4"/>
        </w:rPr>
        <w:t>将金融负债分类为以摊余成本计量的金融负债：①以公允价值计量且其变动计入当期损益</w:t>
      </w:r>
      <w:r>
        <w:rPr>
          <w:spacing w:val="-51"/>
        </w:rPr>
        <w:t> </w:t>
      </w:r>
      <w:r>
        <w:rPr>
          <w:spacing w:val="-51"/>
        </w:rPr>
      </w:r>
      <w:r>
        <w:rPr>
          <w:spacing w:val="-4"/>
        </w:rPr>
        <w:t>的金融负债，包括交易性金融负债（含属于金融负债的衍生工具）和指定为以公允价值计</w:t>
      </w:r>
      <w:r>
        <w:rPr>
          <w:spacing w:val="-51"/>
        </w:rPr>
        <w:t> </w:t>
      </w:r>
      <w:r>
        <w:rPr>
          <w:spacing w:val="-51"/>
        </w:rPr>
      </w:r>
      <w:r>
        <w:rPr>
          <w:spacing w:val="-4"/>
        </w:rPr>
        <w:t>量且其变动计入当期损益的金融负债。②不符合终止确认条件的金融资产转移或继续涉入</w:t>
      </w:r>
      <w:r>
        <w:rPr>
          <w:spacing w:val="-53"/>
        </w:rPr>
        <w:t> </w:t>
      </w:r>
      <w:r>
        <w:rPr>
          <w:spacing w:val="-53"/>
        </w:rPr>
      </w:r>
      <w:r>
        <w:rPr>
          <w:spacing w:val="-4"/>
        </w:rPr>
        <w:t>被转移金融资产所形成的金融负债。③不属于以上①或②情形的财务担保合同，以及不属</w:t>
      </w:r>
      <w:r>
        <w:rPr>
          <w:spacing w:val="-51"/>
        </w:rPr>
        <w:t> </w:t>
      </w:r>
      <w:r>
        <w:rPr>
          <w:spacing w:val="-51"/>
        </w:rPr>
      </w:r>
      <w:r>
        <w:rPr/>
        <w:t>于以上①情形的以低于市场利率贷款的贷款承诺。</w:t>
      </w:r>
    </w:p>
    <w:p>
      <w:pPr>
        <w:spacing w:line="240" w:lineRule="auto" w:before="8"/>
        <w:rPr>
          <w:rFonts w:ascii="宋体" w:hAnsi="宋体" w:cs="宋体" w:eastAsia="宋体" w:hint="default"/>
          <w:sz w:val="19"/>
          <w:szCs w:val="19"/>
        </w:rPr>
      </w:pPr>
    </w:p>
    <w:p>
      <w:pPr>
        <w:pStyle w:val="BodyText"/>
        <w:spacing w:line="300" w:lineRule="auto" w:before="0"/>
        <w:ind w:right="1625" w:firstLine="439"/>
        <w:jc w:val="both"/>
      </w:pPr>
      <w:r>
        <w:rPr>
          <w:spacing w:val="-2"/>
        </w:rPr>
        <w:t>本集团将在非同一控制下的企业合并中作为购买方确认的或有对价形成金融负债的，</w:t>
      </w:r>
      <w:r>
        <w:rPr>
          <w:w w:val="100"/>
        </w:rPr>
        <w:t> </w:t>
      </w:r>
      <w:r>
        <w:rPr/>
        <w:t>按照以公允价值计量且其变动计入当期损益进行会计处理。</w:t>
      </w:r>
    </w:p>
    <w:p>
      <w:pPr>
        <w:pStyle w:val="BodyText"/>
        <w:spacing w:line="600" w:lineRule="exact" w:before="34"/>
        <w:ind w:left="540" w:right="1634" w:firstLine="127"/>
        <w:jc w:val="left"/>
      </w:pPr>
      <w:r>
        <w:rPr/>
        <w:t>2）</w:t>
      </w:r>
      <w:r>
        <w:rPr>
          <w:spacing w:val="-18"/>
        </w:rPr>
        <w:t> </w:t>
      </w:r>
      <w:r>
        <w:rPr/>
        <w:t>金融负债终止确认条件</w:t>
      </w:r>
      <w:r>
        <w:rPr>
          <w:w w:val="100"/>
        </w:rPr>
        <w:t> </w:t>
      </w:r>
      <w:r>
        <w:rPr>
          <w:spacing w:val="-4"/>
        </w:rPr>
        <w:t>当金融负债的现时义务全部或部分已经解除时，终止确认该金融负债或义务已解除的</w:t>
      </w:r>
    </w:p>
    <w:p>
      <w:pPr>
        <w:pStyle w:val="BodyText"/>
        <w:spacing w:line="271" w:lineRule="exact" w:before="0"/>
        <w:ind w:right="0"/>
        <w:jc w:val="both"/>
      </w:pPr>
      <w:r>
        <w:rPr>
          <w:spacing w:val="-4"/>
        </w:rPr>
        <w:t>部分。本集团与债权人之间签订协议，以承担新金融负债方式替换现存金融负债，且新金</w:t>
      </w:r>
    </w:p>
    <w:p>
      <w:pPr>
        <w:pStyle w:val="BodyText"/>
        <w:spacing w:line="300" w:lineRule="auto" w:before="72"/>
        <w:ind w:right="1697"/>
        <w:jc w:val="both"/>
      </w:pPr>
      <w:r>
        <w:rPr>
          <w:spacing w:val="-4"/>
        </w:rPr>
        <w:t>融负债与现存金融负债的合同条款实质上不同的，终止确认现存金融负债，并同时确认新</w:t>
      </w:r>
      <w:r>
        <w:rPr>
          <w:spacing w:val="-53"/>
        </w:rPr>
        <w:t> </w:t>
      </w:r>
      <w:r>
        <w:rPr>
          <w:spacing w:val="-53"/>
        </w:rPr>
      </w:r>
      <w:r>
        <w:rPr>
          <w:spacing w:val="-4"/>
        </w:rPr>
        <w:t>金融负债。本集团对现存金融负债全部或部分的合同条款作出实质性修改的，终止确认现</w:t>
      </w:r>
      <w:r>
        <w:rPr>
          <w:spacing w:val="-51"/>
        </w:rPr>
        <w:t> </w:t>
      </w:r>
      <w:r>
        <w:rPr>
          <w:spacing w:val="-51"/>
        </w:rPr>
      </w:r>
      <w:r>
        <w:rPr>
          <w:spacing w:val="-4"/>
        </w:rPr>
        <w:t>存金融负债或其一部分，同时将修改条款后的金融负债确认为一项新金融负债。终止确认</w:t>
      </w:r>
      <w:r>
        <w:rPr>
          <w:spacing w:val="-51"/>
        </w:rPr>
        <w:t> </w:t>
      </w:r>
      <w:r>
        <w:rPr>
          <w:spacing w:val="-51"/>
        </w:rPr>
      </w:r>
      <w:r>
        <w:rPr/>
        <w:t>部分的账面价值与支付的对价之间的差额，计入当期损益。</w:t>
      </w:r>
    </w:p>
    <w:p>
      <w:pPr>
        <w:pStyle w:val="BodyText"/>
        <w:spacing w:line="600" w:lineRule="exact" w:before="34"/>
        <w:ind w:left="540" w:right="1634"/>
        <w:jc w:val="left"/>
      </w:pPr>
      <w:r>
        <w:rPr/>
        <w:t>（3）</w:t>
      </w:r>
      <w:r>
        <w:rPr>
          <w:spacing w:val="56"/>
        </w:rPr>
        <w:t> </w:t>
      </w:r>
      <w:bookmarkStart w:name="（3）金融资产和金融负债的公允价值确定方法" w:id="190"/>
      <w:bookmarkEnd w:id="190"/>
      <w:r>
        <w:rPr/>
        <w:t>金</w:t>
      </w:r>
      <w:r>
        <w:rPr/>
        <w:t>融资产和金融负债的公允价值确定方法</w:t>
      </w:r>
      <w:r>
        <w:rPr>
          <w:w w:val="100"/>
        </w:rPr>
        <w:t> </w:t>
      </w:r>
      <w:r>
        <w:rPr>
          <w:spacing w:val="-2"/>
        </w:rPr>
        <w:t>本集团以主要市场的价格计量金融资产和金融负债的公允价值，不存在主要市场的，</w:t>
      </w:r>
    </w:p>
    <w:p>
      <w:pPr>
        <w:pStyle w:val="BodyText"/>
        <w:spacing w:line="271" w:lineRule="exact" w:before="0"/>
        <w:ind w:right="0"/>
        <w:jc w:val="both"/>
      </w:pPr>
      <w:r>
        <w:rPr>
          <w:spacing w:val="-4"/>
        </w:rPr>
        <w:t>以最有利市场的价格计量金融资产和金融负债的公允价值，并且采用当时适用并且有足够</w:t>
      </w:r>
    </w:p>
    <w:p>
      <w:pPr>
        <w:pStyle w:val="BodyText"/>
        <w:spacing w:line="300" w:lineRule="auto" w:before="72"/>
        <w:ind w:right="1697"/>
        <w:jc w:val="both"/>
      </w:pPr>
      <w:r>
        <w:rPr>
          <w:spacing w:val="-4"/>
        </w:rPr>
        <w:t>可利用数据和其他信息支持的估值技术。公允价值计量所使用的输入值分为三个层次，即</w:t>
      </w:r>
      <w:r>
        <w:rPr>
          <w:spacing w:val="-51"/>
        </w:rPr>
        <w:t> </w:t>
      </w:r>
      <w:r>
        <w:rPr>
          <w:spacing w:val="-51"/>
        </w:rPr>
      </w:r>
      <w:r>
        <w:rPr>
          <w:spacing w:val="-4"/>
        </w:rPr>
        <w:t>第一层次输入值是计量日能够取得的相同资产或负债在活跃市场上未经调整的报价；第二</w:t>
      </w:r>
      <w:r>
        <w:rPr>
          <w:spacing w:val="-51"/>
        </w:rPr>
        <w:t> </w:t>
      </w:r>
      <w:r>
        <w:rPr>
          <w:spacing w:val="-51"/>
        </w:rPr>
      </w:r>
      <w:r>
        <w:rPr>
          <w:spacing w:val="-4"/>
        </w:rPr>
        <w:t>层次输入值是除第一层次输入值外相关资产或负债直接或间接可观察的输入值；第三层次</w:t>
      </w:r>
      <w:r>
        <w:rPr>
          <w:spacing w:val="-51"/>
        </w:rPr>
        <w:t> </w:t>
      </w:r>
      <w:r>
        <w:rPr>
          <w:spacing w:val="-51"/>
        </w:rPr>
      </w:r>
      <w:r>
        <w:rPr>
          <w:spacing w:val="-4"/>
        </w:rPr>
        <w:t>输入值是相关资产或负债的不可观察输入值。本集团优先使用第一层次输入值，最后再使</w:t>
      </w:r>
      <w:r>
        <w:rPr>
          <w:spacing w:val="-51"/>
        </w:rPr>
        <w:t> </w:t>
      </w:r>
      <w:r>
        <w:rPr>
          <w:spacing w:val="-51"/>
        </w:rPr>
      </w:r>
      <w:r>
        <w:rPr>
          <w:spacing w:val="-4"/>
        </w:rPr>
        <w:t>用第三层次输入值，公允价值计量结果所属的层次，由对公允价值计量整体而言具有重大</w:t>
      </w:r>
      <w:r>
        <w:rPr>
          <w:spacing w:val="-51"/>
        </w:rPr>
        <w:t> </w:t>
      </w:r>
      <w:r>
        <w:rPr>
          <w:spacing w:val="-51"/>
        </w:rPr>
      </w:r>
      <w:r>
        <w:rPr/>
        <w:t>意义的输入值所属的最低层次决定。</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本集团对权益工具的投资以公允价值计量。但在有限情况下，如果用以确定公允价值</w:t>
      </w:r>
      <w:r>
        <w:rPr>
          <w:w w:val="100"/>
        </w:rPr>
        <w:t> </w:t>
      </w:r>
      <w:r>
        <w:rPr>
          <w:spacing w:val="-4"/>
        </w:rPr>
        <w:t>的近期信息不足，或者公允价值的可能估计金额分布范围很广，而成本代表了该范围内对</w:t>
      </w:r>
      <w:r>
        <w:rPr>
          <w:spacing w:val="-51"/>
        </w:rPr>
        <w:t> </w:t>
      </w:r>
      <w:r>
        <w:rPr>
          <w:spacing w:val="-51"/>
        </w:rPr>
      </w:r>
      <w:r>
        <w:rPr/>
        <w:t>公允价值的最佳估计的，该成本可代表其在该分布范围内对公允价值的恰当估计。</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240" w:lineRule="auto"/>
        <w:ind w:left="540" w:right="1634"/>
        <w:jc w:val="left"/>
      </w:pPr>
      <w:r>
        <w:rPr/>
        <w:t>（4）</w:t>
      </w:r>
      <w:r>
        <w:rPr>
          <w:spacing w:val="50"/>
        </w:rPr>
        <w:t> </w:t>
      </w:r>
      <w:bookmarkStart w:name="（4）金融资产和金融负债的抵销" w:id="191"/>
      <w:bookmarkEnd w:id="191"/>
      <w:r>
        <w:rPr/>
        <w:t>金</w:t>
      </w:r>
      <w:r>
        <w:rPr/>
        <w:t>融资产和金融负债的抵销</w:t>
      </w:r>
    </w:p>
    <w:p>
      <w:pPr>
        <w:spacing w:line="240" w:lineRule="auto" w:before="11"/>
        <w:rPr>
          <w:rFonts w:ascii="宋体" w:hAnsi="宋体" w:cs="宋体" w:eastAsia="宋体" w:hint="default"/>
          <w:sz w:val="23"/>
          <w:szCs w:val="23"/>
        </w:rPr>
      </w:pPr>
    </w:p>
    <w:p>
      <w:pPr>
        <w:pStyle w:val="BodyText"/>
        <w:spacing w:line="300" w:lineRule="auto" w:before="0"/>
        <w:ind w:right="1697" w:firstLine="439"/>
        <w:jc w:val="both"/>
      </w:pPr>
      <w:r>
        <w:rPr>
          <w:spacing w:val="-4"/>
        </w:rPr>
        <w:t>本集团的金融资产和金融负债在资产负债表内分别列示，不相互抵销。但同时满足下</w:t>
      </w:r>
      <w:r>
        <w:rPr>
          <w:w w:val="100"/>
        </w:rPr>
        <w:t> </w:t>
      </w:r>
      <w:r>
        <w:rPr>
          <w:spacing w:val="-1"/>
        </w:rPr>
        <w:t>列条件时，以相互抵销后的净额在资产负债表内列示：（1）本集团具有抵销已确认金额</w:t>
      </w:r>
      <w:r>
        <w:rPr>
          <w:spacing w:val="-61"/>
        </w:rPr>
        <w:t> </w:t>
      </w:r>
      <w:r>
        <w:rPr>
          <w:spacing w:val="-61"/>
        </w:rPr>
      </w:r>
      <w:r>
        <w:rPr>
          <w:spacing w:val="-1"/>
        </w:rPr>
        <w:t>的法定权利，且该种法定权利是当前可执行的；（2）本集团计划以净额结算，或同时变</w:t>
      </w:r>
      <w:r>
        <w:rPr>
          <w:spacing w:val="-64"/>
        </w:rPr>
        <w:t> </w:t>
      </w:r>
      <w:r>
        <w:rPr>
          <w:spacing w:val="-64"/>
        </w:rPr>
      </w:r>
      <w:r>
        <w:rPr/>
        <w:t>现该金融资产和清偿该金融负债。</w:t>
      </w:r>
    </w:p>
    <w:p>
      <w:pPr>
        <w:pStyle w:val="BodyText"/>
        <w:spacing w:line="600" w:lineRule="exact" w:before="34"/>
        <w:ind w:left="540" w:right="1634"/>
        <w:jc w:val="left"/>
      </w:pPr>
      <w:r>
        <w:rPr/>
        <w:t>（5）</w:t>
      </w:r>
      <w:r>
        <w:rPr>
          <w:spacing w:val="56"/>
        </w:rPr>
        <w:t> </w:t>
      </w:r>
      <w:bookmarkStart w:name="（5）金融负债与权益工具的区分及相关处理方法" w:id="192"/>
      <w:bookmarkEnd w:id="192"/>
      <w:r>
        <w:rPr/>
        <w:t>金</w:t>
      </w:r>
      <w:r>
        <w:rPr/>
        <w:t>融负债与权益工具的区分及相关处理方法</w:t>
      </w:r>
      <w:r>
        <w:rPr>
          <w:w w:val="100"/>
        </w:rPr>
        <w:t> </w:t>
      </w:r>
      <w:r>
        <w:rPr>
          <w:spacing w:val="-1"/>
        </w:rPr>
        <w:t>本集团按照以下原则区分金融负债与权益工具：（1）如果本集团不能无条件地避免</w:t>
      </w:r>
    </w:p>
    <w:p>
      <w:pPr>
        <w:pStyle w:val="BodyText"/>
        <w:spacing w:line="271" w:lineRule="exact" w:before="0"/>
        <w:ind w:right="0"/>
        <w:jc w:val="both"/>
      </w:pPr>
      <w:r>
        <w:rPr>
          <w:spacing w:val="-4"/>
        </w:rPr>
        <w:t>以交付现金或其他金融资产来履行一项合同义务，则该合同义务符合金融负债的定义。有</w:t>
      </w:r>
    </w:p>
    <w:p>
      <w:pPr>
        <w:pStyle w:val="BodyText"/>
        <w:spacing w:line="300" w:lineRule="auto" w:before="72"/>
        <w:ind w:right="1697"/>
        <w:jc w:val="both"/>
      </w:pPr>
      <w:r>
        <w:rPr>
          <w:spacing w:val="-4"/>
        </w:rPr>
        <w:t>些金融工具虽然没有明确地包含交付现金或其他金融资产义务的条款和条件，但有可能通</w:t>
      </w:r>
      <w:r>
        <w:rPr>
          <w:spacing w:val="-51"/>
        </w:rPr>
        <w:t> </w:t>
      </w:r>
      <w:r>
        <w:rPr>
          <w:spacing w:val="-51"/>
        </w:rPr>
      </w:r>
      <w:r>
        <w:rPr>
          <w:spacing w:val="-1"/>
        </w:rPr>
        <w:t>过其他条款和条件间接地形成合同义务。（2）如果一项金融工具须用或可用本集团自身</w:t>
      </w:r>
      <w:r>
        <w:rPr>
          <w:spacing w:val="-65"/>
        </w:rPr>
        <w:t> </w:t>
      </w:r>
      <w:r>
        <w:rPr>
          <w:spacing w:val="-65"/>
        </w:rPr>
      </w:r>
      <w:r>
        <w:rPr>
          <w:spacing w:val="-4"/>
        </w:rPr>
        <w:t>权益工具进行结算，需要考虑用于结算该工具的本集团自身权益工具，是作为现金或其他</w:t>
      </w:r>
      <w:r>
        <w:rPr>
          <w:spacing w:val="-51"/>
        </w:rPr>
        <w:t> </w:t>
      </w:r>
      <w:r>
        <w:rPr>
          <w:spacing w:val="-51"/>
        </w:rPr>
      </w:r>
      <w:r>
        <w:rPr>
          <w:spacing w:val="-4"/>
        </w:rPr>
        <w:t>金融资产的替代品，还是为了使该工具持有方享有在发行方扣除所有负债后的资产中的剩</w:t>
      </w:r>
      <w:r>
        <w:rPr>
          <w:spacing w:val="-53"/>
        </w:rPr>
        <w:t> </w:t>
      </w:r>
      <w:r>
        <w:rPr>
          <w:spacing w:val="-53"/>
        </w:rPr>
      </w:r>
      <w:r>
        <w:rPr>
          <w:spacing w:val="-4"/>
        </w:rPr>
        <w:t>余权益。如果是前者，该工具是发行方的金融负债；如果是后者，该工具是发行方的权益</w:t>
      </w:r>
      <w:r>
        <w:rPr>
          <w:spacing w:val="-51"/>
        </w:rPr>
        <w:t> </w:t>
      </w:r>
      <w:r>
        <w:rPr>
          <w:spacing w:val="-51"/>
        </w:rPr>
      </w:r>
      <w:r>
        <w:rPr>
          <w:spacing w:val="-4"/>
        </w:rPr>
        <w:t>工具。在某些情况下，一项金融工具合同规定本集团须用或可用自身权益工具结算该金融</w:t>
      </w:r>
      <w:r>
        <w:rPr>
          <w:spacing w:val="-51"/>
        </w:rPr>
        <w:t> </w:t>
      </w:r>
      <w:r>
        <w:rPr>
          <w:spacing w:val="-51"/>
        </w:rPr>
      </w:r>
      <w:r>
        <w:rPr>
          <w:spacing w:val="-4"/>
        </w:rPr>
        <w:t>工具，其中合同权利或合同义务的金额等于可获取或需交付的自身权益工具的数量乘以其</w:t>
      </w:r>
      <w:r>
        <w:rPr>
          <w:spacing w:val="-53"/>
        </w:rPr>
        <w:t> </w:t>
      </w:r>
      <w:r>
        <w:rPr>
          <w:spacing w:val="-53"/>
        </w:rPr>
      </w:r>
      <w:r>
        <w:rPr>
          <w:spacing w:val="-4"/>
        </w:rPr>
        <w:t>结算时的公允价值，则无论该合同权利或义务的金额是固定的，还是完全或部分地基于除</w:t>
      </w:r>
      <w:r>
        <w:rPr>
          <w:spacing w:val="-51"/>
        </w:rPr>
        <w:t> </w:t>
      </w:r>
      <w:r>
        <w:rPr>
          <w:spacing w:val="-51"/>
        </w:rPr>
      </w:r>
      <w:r>
        <w:rPr/>
        <w:t>本集团自身权益工具的市场价格以外的变量的变动而变动，该合同分类为金融负债。</w:t>
      </w:r>
    </w:p>
    <w:p>
      <w:pPr>
        <w:spacing w:line="240" w:lineRule="auto" w:before="8"/>
        <w:rPr>
          <w:rFonts w:ascii="宋体" w:hAnsi="宋体" w:cs="宋体" w:eastAsia="宋体" w:hint="default"/>
          <w:sz w:val="19"/>
          <w:szCs w:val="19"/>
        </w:rPr>
      </w:pPr>
    </w:p>
    <w:p>
      <w:pPr>
        <w:pStyle w:val="BodyText"/>
        <w:spacing w:line="300" w:lineRule="auto" w:before="0"/>
        <w:ind w:right="1694" w:firstLine="439"/>
        <w:jc w:val="both"/>
      </w:pPr>
      <w:r>
        <w:rPr>
          <w:spacing w:val="-4"/>
        </w:rPr>
        <w:t>本集团在合并报表中对金融工具（或其组成部分）进行分类时，考虑了集团成员和金</w:t>
      </w:r>
      <w:r>
        <w:rPr>
          <w:w w:val="100"/>
        </w:rPr>
        <w:t> </w:t>
      </w:r>
      <w:r>
        <w:rPr>
          <w:spacing w:val="-4"/>
        </w:rPr>
        <w:t>融工具持有方之间达成的所有条款和条件。如果集团作为一个整体由于该工具而承担了交</w:t>
      </w:r>
      <w:r>
        <w:rPr>
          <w:spacing w:val="-51"/>
        </w:rPr>
        <w:t> </w:t>
      </w:r>
      <w:r>
        <w:rPr>
          <w:spacing w:val="-51"/>
        </w:rPr>
      </w:r>
      <w:r>
        <w:rPr>
          <w:spacing w:val="-4"/>
        </w:rPr>
        <w:t>付现金、其他金融资产或者以其他导致该工具成为金融负债的方式进行结算的义务，则该</w:t>
      </w:r>
      <w:r>
        <w:rPr>
          <w:spacing w:val="-51"/>
        </w:rPr>
        <w:t> </w:t>
      </w:r>
      <w:r>
        <w:rPr>
          <w:spacing w:val="-51"/>
        </w:rPr>
      </w:r>
      <w:r>
        <w:rPr/>
        <w:t>工具应当分类为金融负债。</w:t>
      </w:r>
    </w:p>
    <w:p>
      <w:pPr>
        <w:spacing w:line="240" w:lineRule="auto" w:before="8"/>
        <w:rPr>
          <w:rFonts w:ascii="宋体" w:hAnsi="宋体" w:cs="宋体" w:eastAsia="宋体" w:hint="default"/>
          <w:sz w:val="19"/>
          <w:szCs w:val="19"/>
        </w:rPr>
      </w:pPr>
    </w:p>
    <w:p>
      <w:pPr>
        <w:pStyle w:val="BodyText"/>
        <w:spacing w:line="300" w:lineRule="auto" w:before="0"/>
        <w:ind w:right="1625" w:firstLine="439"/>
        <w:jc w:val="both"/>
      </w:pPr>
      <w:r>
        <w:rPr>
          <w:spacing w:val="-2"/>
        </w:rPr>
        <w:t>金融工具或其组成部分属于金融负债的，相关利息、股利（或股息）、利得或损失，</w:t>
      </w:r>
      <w:r>
        <w:rPr>
          <w:w w:val="100"/>
        </w:rPr>
        <w:t> </w:t>
      </w:r>
      <w:r>
        <w:rPr/>
        <w:t>以及赎回或再融资产生的利得或损失等，本集团计入当期损益。</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7"/>
        </w:rPr>
        <w:t>金融工具或其组成部分属于权益工具的，其发行（含再融资）、回购、出售或注销时，</w:t>
      </w:r>
      <w:r>
        <w:rPr>
          <w:w w:val="100"/>
        </w:rPr>
        <w:t> </w:t>
      </w:r>
      <w:r>
        <w:rPr/>
        <w:t>本集团作为权益的变动处理，不确认权益工具的公允价值变动。</w:t>
      </w:r>
    </w:p>
    <w:p>
      <w:pPr>
        <w:spacing w:line="240" w:lineRule="auto" w:before="8"/>
        <w:rPr>
          <w:rFonts w:ascii="宋体" w:hAnsi="宋体" w:cs="宋体" w:eastAsia="宋体" w:hint="default"/>
          <w:sz w:val="19"/>
          <w:szCs w:val="19"/>
        </w:rPr>
      </w:pPr>
    </w:p>
    <w:p>
      <w:pPr>
        <w:pStyle w:val="BodyText"/>
        <w:spacing w:line="499" w:lineRule="auto" w:before="0"/>
        <w:ind w:left="564" w:right="6684" w:hanging="24"/>
        <w:jc w:val="left"/>
      </w:pPr>
      <w:r>
        <w:rPr/>
        <w:t>（6）</w:t>
      </w:r>
      <w:r>
        <w:rPr>
          <w:spacing w:val="56"/>
        </w:rPr>
        <w:t> </w:t>
      </w:r>
      <w:bookmarkStart w:name="（6）金融资产减值" w:id="193"/>
      <w:bookmarkEnd w:id="193"/>
      <w:r>
        <w:rPr/>
        <w:t>金</w:t>
      </w:r>
      <w:r>
        <w:rPr/>
        <w:t>融资产减值</w:t>
      </w:r>
      <w:r>
        <w:rPr>
          <w:w w:val="100"/>
        </w:rPr>
        <w:t> </w:t>
      </w:r>
      <w:r>
        <w:rPr>
          <w:spacing w:val="-2"/>
        </w:rPr>
        <w:t>1）金融资产减值的确认方法</w:t>
      </w:r>
    </w:p>
    <w:p>
      <w:pPr>
        <w:pStyle w:val="BodyText"/>
        <w:spacing w:line="300" w:lineRule="auto" w:before="74"/>
        <w:ind w:right="1699" w:firstLine="439"/>
        <w:jc w:val="both"/>
      </w:pPr>
      <w:r>
        <w:rPr>
          <w:spacing w:val="-4"/>
        </w:rPr>
        <w:t>本集团以预期信用损失为基础，对以摊余成本计量的金融资产、以公允价值计量且其</w:t>
      </w:r>
      <w:r>
        <w:rPr>
          <w:w w:val="100"/>
        </w:rPr>
        <w:t> </w:t>
      </w:r>
      <w:r>
        <w:rPr>
          <w:spacing w:val="-4"/>
        </w:rPr>
        <w:t>变动计入其他综合收益的债务工具投资、财务担保合同等计提减值准备并确认信用减值损</w:t>
      </w:r>
      <w:r>
        <w:rPr>
          <w:spacing w:val="-53"/>
        </w:rPr>
        <w:t> </w:t>
      </w:r>
      <w:r>
        <w:rPr>
          <w:spacing w:val="-53"/>
        </w:rPr>
      </w:r>
      <w:r>
        <w:rPr/>
        <w:t>失。</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300" w:lineRule="auto"/>
        <w:ind w:right="1697" w:firstLine="439"/>
        <w:jc w:val="both"/>
      </w:pPr>
      <w:r>
        <w:rPr>
          <w:spacing w:val="-4"/>
        </w:rPr>
        <w:t>预期信用损失，是指以发生违约的风险为权重的金融工具信用损失的加权平均值。信</w:t>
      </w:r>
      <w:r>
        <w:rPr>
          <w:w w:val="100"/>
        </w:rPr>
        <w:t> </w:t>
      </w:r>
      <w:r>
        <w:rPr>
          <w:spacing w:val="-4"/>
        </w:rPr>
        <w:t>用损失，是指企业按照原实际利率折现的、根据合同应收的所有合同现金流量与预期收入</w:t>
      </w:r>
      <w:r>
        <w:rPr>
          <w:spacing w:val="-51"/>
        </w:rPr>
        <w:t> </w:t>
      </w:r>
      <w:r>
        <w:rPr>
          <w:spacing w:val="-51"/>
        </w:rPr>
      </w:r>
      <w:r>
        <w:rPr/>
        <w:t>的所有现金流量之间的差额，即全部现金短缺的现值。</w:t>
      </w:r>
    </w:p>
    <w:p>
      <w:pPr>
        <w:spacing w:line="240" w:lineRule="auto" w:before="8"/>
        <w:rPr>
          <w:rFonts w:ascii="宋体" w:hAnsi="宋体" w:cs="宋体" w:eastAsia="宋体" w:hint="default"/>
          <w:sz w:val="19"/>
          <w:szCs w:val="19"/>
        </w:rPr>
      </w:pPr>
    </w:p>
    <w:p>
      <w:pPr>
        <w:pStyle w:val="BodyText"/>
        <w:spacing w:line="300" w:lineRule="auto" w:before="0"/>
        <w:ind w:right="1699" w:firstLine="439"/>
        <w:jc w:val="both"/>
      </w:pPr>
      <w:r>
        <w:rPr>
          <w:spacing w:val="-4"/>
        </w:rPr>
        <w:t>本集团对于不含重大融资成分的应收票据、应收账款及其他应收款等，均简化按照整</w:t>
      </w:r>
      <w:r>
        <w:rPr>
          <w:w w:val="100"/>
        </w:rPr>
        <w:t> </w:t>
      </w:r>
      <w:r>
        <w:rPr/>
        <w:t>个存续期的预期信用损失计量损失准备。</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对于购买或源生的已发生信用减值的金融资产，在资产负债表日仅将自初始确认后整</w:t>
      </w:r>
      <w:r>
        <w:rPr>
          <w:w w:val="100"/>
        </w:rPr>
        <w:t> </w:t>
      </w:r>
      <w:r>
        <w:rPr>
          <w:spacing w:val="-4"/>
        </w:rPr>
        <w:t>个存续期内预期信用损失的累计变动确认为损失准备。在每个资产负债表日，将整个存续</w:t>
      </w:r>
      <w:r>
        <w:rPr>
          <w:spacing w:val="-51"/>
        </w:rPr>
        <w:t> </w:t>
      </w:r>
      <w:r>
        <w:rPr>
          <w:spacing w:val="-51"/>
        </w:rPr>
      </w:r>
      <w:r>
        <w:rPr>
          <w:spacing w:val="-4"/>
        </w:rPr>
        <w:t>期内预期信用损失的变动金额作为减值损失或利得计入当期损益。即使该资产负债表日确</w:t>
      </w:r>
      <w:r>
        <w:rPr>
          <w:spacing w:val="-51"/>
        </w:rPr>
        <w:t> </w:t>
      </w:r>
      <w:r>
        <w:rPr>
          <w:spacing w:val="-51"/>
        </w:rPr>
      </w:r>
      <w:r>
        <w:rPr>
          <w:spacing w:val="2"/>
        </w:rPr>
        <w:t>定的整个存续期内预期损益损失小于初始确认时估计现金流量所反映的预期信用损失的</w:t>
      </w:r>
      <w:r>
        <w:rPr>
          <w:spacing w:val="-51"/>
        </w:rPr>
        <w:t> </w:t>
      </w:r>
      <w:r>
        <w:rPr>
          <w:spacing w:val="-51"/>
        </w:rPr>
      </w:r>
      <w:r>
        <w:rPr/>
        <w:t>金额，也将预期信用损失的有利变动确认为减值利得。</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除上述采用简化计量方法和购买或源生的已发生信用减值意外的其他金融资产，本集</w:t>
      </w:r>
      <w:r>
        <w:rPr>
          <w:w w:val="100"/>
        </w:rPr>
        <w:t> </w:t>
      </w:r>
      <w:r>
        <w:rPr>
          <w:spacing w:val="-4"/>
        </w:rPr>
        <w:t>团在每个资产负债表日评估相关金融工具的信用风险自初始确认后是否已显著增加，并按</w:t>
      </w:r>
      <w:r>
        <w:rPr>
          <w:spacing w:val="-51"/>
        </w:rPr>
        <w:t> </w:t>
      </w:r>
      <w:r>
        <w:rPr>
          <w:spacing w:val="-51"/>
        </w:rPr>
      </w:r>
      <w:r>
        <w:rPr/>
        <w:t>照下列情形分别计量其损失准备、预计预期信用损失及其变动：</w:t>
      </w:r>
    </w:p>
    <w:p>
      <w:pPr>
        <w:spacing w:line="240" w:lineRule="auto" w:before="8"/>
        <w:rPr>
          <w:rFonts w:ascii="宋体" w:hAnsi="宋体" w:cs="宋体" w:eastAsia="宋体" w:hint="default"/>
          <w:sz w:val="19"/>
          <w:szCs w:val="19"/>
        </w:rPr>
      </w:pPr>
    </w:p>
    <w:p>
      <w:pPr>
        <w:pStyle w:val="BodyText"/>
        <w:spacing w:line="300" w:lineRule="auto" w:before="0"/>
        <w:ind w:right="1699" w:firstLine="439"/>
        <w:jc w:val="both"/>
      </w:pPr>
      <w:r>
        <w:rPr/>
        <w:t>①</w:t>
      </w:r>
      <w:r>
        <w:rPr>
          <w:spacing w:val="8"/>
        </w:rPr>
        <w:t> </w:t>
      </w:r>
      <w:r>
        <w:rPr/>
        <w:t>如果该金融工具的信用风险自初始确认后未显著增加，处于第一阶段，按照相当</w:t>
      </w:r>
      <w:r>
        <w:rPr>
          <w:w w:val="100"/>
        </w:rPr>
        <w:t> </w:t>
      </w:r>
      <w:r>
        <w:rPr/>
        <w:t>于该金融工具未来</w:t>
      </w:r>
      <w:r>
        <w:rPr>
          <w:spacing w:val="-54"/>
        </w:rPr>
        <w:t> </w:t>
      </w:r>
      <w:r>
        <w:rPr/>
        <w:t>12</w:t>
      </w:r>
      <w:r>
        <w:rPr>
          <w:spacing w:val="-51"/>
        </w:rPr>
        <w:t> </w:t>
      </w:r>
      <w:r>
        <w:rPr/>
        <w:t>个月内预期信用损失的金额计量损失准备，并按照账面余额和实际</w:t>
      </w:r>
      <w:r>
        <w:rPr>
          <w:spacing w:val="-108"/>
        </w:rPr>
        <w:t> </w:t>
      </w:r>
      <w:r>
        <w:rPr>
          <w:spacing w:val="-108"/>
        </w:rPr>
      </w:r>
      <w:r>
        <w:rPr/>
        <w:t>利率利息收入。</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t>②</w:t>
      </w:r>
      <w:r>
        <w:rPr>
          <w:spacing w:val="8"/>
        </w:rPr>
        <w:t> </w:t>
      </w:r>
      <w:r>
        <w:rPr/>
        <w:t>如果该金融工具的信用风险自初始确认后已显著增加但尚未发生信用减值的，处</w:t>
      </w:r>
      <w:r>
        <w:rPr>
          <w:w w:val="100"/>
        </w:rPr>
        <w:t> </w:t>
      </w:r>
      <w:r>
        <w:rPr>
          <w:spacing w:val="-4"/>
        </w:rPr>
        <w:t>于第二阶段，按照相当于该金融工具整个存续期内预期信用损失的金额计量损失准备，并</w:t>
      </w:r>
      <w:r>
        <w:rPr>
          <w:spacing w:val="-51"/>
        </w:rPr>
        <w:t> </w:t>
      </w:r>
      <w:r>
        <w:rPr>
          <w:spacing w:val="-51"/>
        </w:rPr>
      </w:r>
      <w:r>
        <w:rPr/>
        <w:t>按照账面余额和实际利率利息收入。</w:t>
      </w:r>
    </w:p>
    <w:p>
      <w:pPr>
        <w:spacing w:line="240" w:lineRule="auto" w:before="8"/>
        <w:rPr>
          <w:rFonts w:ascii="宋体" w:hAnsi="宋体" w:cs="宋体" w:eastAsia="宋体" w:hint="default"/>
          <w:sz w:val="19"/>
          <w:szCs w:val="19"/>
        </w:rPr>
      </w:pPr>
    </w:p>
    <w:p>
      <w:pPr>
        <w:pStyle w:val="BodyText"/>
        <w:spacing w:line="300" w:lineRule="auto" w:before="0"/>
        <w:ind w:right="1699" w:firstLine="439"/>
        <w:jc w:val="both"/>
      </w:pPr>
      <w:r>
        <w:rPr/>
        <w:t>③</w:t>
      </w:r>
      <w:r>
        <w:rPr>
          <w:spacing w:val="8"/>
        </w:rPr>
        <w:t> </w:t>
      </w:r>
      <w:r>
        <w:rPr/>
        <w:t>如果该金融工具自初始确认后已经发生信用减值的，处于第三阶段，按照相当于</w:t>
      </w:r>
      <w:r>
        <w:rPr>
          <w:w w:val="100"/>
        </w:rPr>
        <w:t> </w:t>
      </w:r>
      <w:r>
        <w:rPr>
          <w:spacing w:val="-4"/>
        </w:rPr>
        <w:t>该金融工具整个存续期内预期信用损失的金额计量损失准备，并按照摊余成本和实际利率</w:t>
      </w:r>
      <w:r>
        <w:rPr>
          <w:spacing w:val="-53"/>
        </w:rPr>
        <w:t> </w:t>
      </w:r>
      <w:r>
        <w:rPr>
          <w:spacing w:val="-53"/>
        </w:rPr>
      </w:r>
      <w:r>
        <w:rPr/>
        <w:t>利息收入</w:t>
      </w:r>
    </w:p>
    <w:p>
      <w:pPr>
        <w:pStyle w:val="BodyText"/>
        <w:spacing w:line="600" w:lineRule="exact" w:before="34"/>
        <w:ind w:left="540" w:right="1634"/>
        <w:jc w:val="left"/>
      </w:pPr>
      <w:r>
        <w:rPr/>
        <w:t>信用风险自初始确认后是否显著增加的判断：</w:t>
      </w:r>
      <w:r>
        <w:rPr>
          <w:w w:val="100"/>
        </w:rPr>
        <w:t> </w:t>
      </w:r>
      <w:r>
        <w:rPr>
          <w:spacing w:val="2"/>
        </w:rPr>
        <w:t>如果某项金融工具在资产负债表日确定的预计存续期内的违约概率显著高于在初始</w:t>
      </w:r>
    </w:p>
    <w:p>
      <w:pPr>
        <w:pStyle w:val="BodyText"/>
        <w:spacing w:line="271" w:lineRule="exact" w:before="0"/>
        <w:ind w:right="0"/>
        <w:jc w:val="both"/>
      </w:pPr>
      <w:r>
        <w:rPr>
          <w:spacing w:val="-4"/>
        </w:rPr>
        <w:t>确认时确定的预计存续内的违约概率，则表明该金融工具的信用风险显著增加。但是，如</w:t>
      </w:r>
    </w:p>
    <w:p>
      <w:pPr>
        <w:pStyle w:val="BodyText"/>
        <w:spacing w:line="300" w:lineRule="auto" w:before="72"/>
        <w:ind w:right="1697"/>
        <w:jc w:val="both"/>
      </w:pPr>
      <w:r>
        <w:rPr>
          <w:spacing w:val="-4"/>
        </w:rPr>
        <w:t>果本集团确定金融工具在资产负债表日只具有较低的信用风险，可以假设该金融工具的信</w:t>
      </w:r>
      <w:r>
        <w:rPr>
          <w:spacing w:val="-51"/>
        </w:rPr>
        <w:t> </w:t>
      </w:r>
      <w:r>
        <w:rPr>
          <w:spacing w:val="-51"/>
        </w:rPr>
      </w:r>
      <w:r>
        <w:rPr/>
        <w:t>用风险自初始确认后并未显著增加。通常情况下，如果逾期超过</w:t>
      </w:r>
      <w:r>
        <w:rPr>
          <w:spacing w:val="-51"/>
        </w:rPr>
        <w:t> </w:t>
      </w:r>
      <w:r>
        <w:rPr/>
        <w:t>30</w:t>
      </w:r>
      <w:r>
        <w:rPr>
          <w:spacing w:val="-51"/>
        </w:rPr>
        <w:t> </w:t>
      </w:r>
      <w:r>
        <w:rPr/>
        <w:t>日，则表明金融工具</w:t>
      </w:r>
      <w:r>
        <w:rPr>
          <w:spacing w:val="-108"/>
        </w:rPr>
        <w:t> </w:t>
      </w:r>
      <w:r>
        <w:rPr>
          <w:spacing w:val="-108"/>
        </w:rPr>
      </w:r>
      <w:r>
        <w:rPr>
          <w:spacing w:val="-4"/>
        </w:rPr>
        <w:t>的信用风险已经显著增加。除非本集团在无须付出不必要的额外成本或努力的情况下即可</w:t>
      </w:r>
      <w:r>
        <w:rPr>
          <w:spacing w:val="-53"/>
        </w:rPr>
        <w:t> </w:t>
      </w:r>
      <w:r>
        <w:rPr>
          <w:spacing w:val="-53"/>
        </w:rPr>
      </w:r>
      <w:r>
        <w:rPr/>
        <w:t>获得合理且有依据的信息，证明即使逾期超过</w:t>
      </w:r>
      <w:r>
        <w:rPr>
          <w:spacing w:val="-54"/>
        </w:rPr>
        <w:t> </w:t>
      </w:r>
      <w:r>
        <w:rPr/>
        <w:t>30</w:t>
      </w:r>
      <w:r>
        <w:rPr>
          <w:spacing w:val="-51"/>
        </w:rPr>
        <w:t> </w:t>
      </w:r>
      <w:r>
        <w:rPr/>
        <w:t>日，信用风险自初始确认后仍未显著增</w:t>
      </w:r>
      <w:r>
        <w:rPr>
          <w:spacing w:val="-108"/>
        </w:rPr>
        <w:t> </w:t>
      </w:r>
      <w:r>
        <w:rPr>
          <w:spacing w:val="-108"/>
        </w:rPr>
      </w:r>
      <w:r>
        <w:rPr>
          <w:spacing w:val="-4"/>
        </w:rPr>
        <w:t>加。在确定信用风险自初始确认后是否显著增加时，本集团考虑无须付出不必要的额外成</w:t>
      </w:r>
      <w:r>
        <w:rPr>
          <w:spacing w:val="-51"/>
        </w:rPr>
        <w:t> </w:t>
      </w:r>
      <w:r>
        <w:rPr>
          <w:spacing w:val="-51"/>
        </w:rPr>
      </w:r>
      <w:r>
        <w:rPr/>
        <w:t>本或努力即可获得的合理且有依据的信息，包括前瞻性信息。</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300" w:lineRule="auto"/>
        <w:ind w:left="241" w:right="1445" w:firstLine="439"/>
        <w:jc w:val="left"/>
      </w:pPr>
      <w:r>
        <w:rPr>
          <w:spacing w:val="-4"/>
        </w:rPr>
        <w:t>除了单项评估风险的金融资产外，本集团基于共同风险特征将金融资产划分为不同的</w:t>
      </w:r>
      <w:r>
        <w:rPr>
          <w:w w:val="100"/>
        </w:rPr>
        <w:t> </w:t>
      </w:r>
      <w:r>
        <w:rPr/>
        <w:t>组合，在组合的基础上评估信用风险。</w:t>
      </w:r>
    </w:p>
    <w:p>
      <w:pPr>
        <w:pStyle w:val="BodyText"/>
        <w:spacing w:line="600" w:lineRule="exact" w:before="34"/>
        <w:ind w:left="680" w:right="1445"/>
        <w:jc w:val="left"/>
      </w:pPr>
      <w:r>
        <w:rPr/>
        <w:t>2）</w:t>
      </w:r>
      <w:r>
        <w:rPr>
          <w:spacing w:val="-4"/>
        </w:rPr>
        <w:t> </w:t>
      </w:r>
      <w:r>
        <w:rPr/>
        <w:t>金融资产减值的会计处理</w:t>
      </w:r>
      <w:r>
        <w:rPr>
          <w:w w:val="100"/>
        </w:rPr>
        <w:t> </w:t>
      </w:r>
      <w:r>
        <w:rPr>
          <w:spacing w:val="-4"/>
        </w:rPr>
        <w:t>资产负债表日，公司计算各类金融资产的预期信用损失。如果该预计信用损失大于其</w:t>
      </w:r>
    </w:p>
    <w:p>
      <w:pPr>
        <w:pStyle w:val="BodyText"/>
        <w:spacing w:line="271" w:lineRule="exact" w:before="0"/>
        <w:ind w:left="241" w:right="1445"/>
        <w:jc w:val="left"/>
      </w:pPr>
      <w:r>
        <w:rPr>
          <w:spacing w:val="-1"/>
          <w:w w:val="100"/>
        </w:rPr>
        <w:t>当</w:t>
      </w:r>
      <w:r>
        <w:rPr>
          <w:spacing w:val="-3"/>
          <w:w w:val="100"/>
        </w:rPr>
        <w:t>前</w:t>
      </w:r>
      <w:r>
        <w:rPr>
          <w:spacing w:val="-1"/>
          <w:w w:val="100"/>
        </w:rPr>
        <w:t>减值</w:t>
      </w:r>
      <w:r>
        <w:rPr>
          <w:spacing w:val="-3"/>
          <w:w w:val="100"/>
        </w:rPr>
        <w:t>准</w:t>
      </w:r>
      <w:r>
        <w:rPr>
          <w:spacing w:val="-1"/>
          <w:w w:val="100"/>
        </w:rPr>
        <w:t>备的</w:t>
      </w:r>
      <w:r>
        <w:rPr>
          <w:spacing w:val="-3"/>
          <w:w w:val="100"/>
        </w:rPr>
        <w:t>账</w:t>
      </w:r>
      <w:r>
        <w:rPr>
          <w:spacing w:val="-1"/>
          <w:w w:val="100"/>
        </w:rPr>
        <w:t>面金</w:t>
      </w:r>
      <w:r>
        <w:rPr>
          <w:spacing w:val="-3"/>
          <w:w w:val="100"/>
        </w:rPr>
        <w:t>额</w:t>
      </w:r>
      <w:r>
        <w:rPr>
          <w:spacing w:val="-94"/>
          <w:w w:val="100"/>
        </w:rPr>
        <w:t>，</w:t>
      </w:r>
      <w:r>
        <w:rPr>
          <w:spacing w:val="-1"/>
          <w:w w:val="100"/>
        </w:rPr>
        <w:t>将</w:t>
      </w:r>
      <w:r>
        <w:rPr>
          <w:spacing w:val="-3"/>
          <w:w w:val="100"/>
        </w:rPr>
        <w:t>其</w:t>
      </w:r>
      <w:r>
        <w:rPr>
          <w:spacing w:val="-1"/>
          <w:w w:val="100"/>
        </w:rPr>
        <w:t>差额</w:t>
      </w:r>
      <w:r>
        <w:rPr>
          <w:spacing w:val="-3"/>
          <w:w w:val="100"/>
        </w:rPr>
        <w:t>确</w:t>
      </w:r>
      <w:r>
        <w:rPr>
          <w:spacing w:val="-1"/>
          <w:w w:val="100"/>
        </w:rPr>
        <w:t>认为</w:t>
      </w:r>
      <w:r>
        <w:rPr>
          <w:spacing w:val="-3"/>
          <w:w w:val="100"/>
        </w:rPr>
        <w:t>减</w:t>
      </w:r>
      <w:r>
        <w:rPr>
          <w:spacing w:val="-1"/>
          <w:w w:val="100"/>
        </w:rPr>
        <w:t>值损失</w:t>
      </w:r>
      <w:r>
        <w:rPr>
          <w:spacing w:val="-94"/>
          <w:w w:val="100"/>
        </w:rPr>
        <w:t>；</w:t>
      </w:r>
      <w:r>
        <w:rPr>
          <w:spacing w:val="-1"/>
          <w:w w:val="100"/>
        </w:rPr>
        <w:t>如</w:t>
      </w:r>
      <w:r>
        <w:rPr>
          <w:spacing w:val="-3"/>
          <w:w w:val="100"/>
        </w:rPr>
        <w:t>果</w:t>
      </w:r>
      <w:r>
        <w:rPr>
          <w:spacing w:val="-1"/>
          <w:w w:val="100"/>
        </w:rPr>
        <w:t>小于</w:t>
      </w:r>
      <w:r>
        <w:rPr>
          <w:spacing w:val="-3"/>
          <w:w w:val="100"/>
        </w:rPr>
        <w:t>当</w:t>
      </w:r>
      <w:r>
        <w:rPr>
          <w:spacing w:val="-1"/>
          <w:w w:val="100"/>
        </w:rPr>
        <w:t>期减</w:t>
      </w:r>
      <w:r>
        <w:rPr>
          <w:spacing w:val="-3"/>
          <w:w w:val="100"/>
        </w:rPr>
        <w:t>值</w:t>
      </w:r>
      <w:r>
        <w:rPr>
          <w:spacing w:val="-1"/>
          <w:w w:val="100"/>
        </w:rPr>
        <w:t>准备</w:t>
      </w:r>
      <w:r>
        <w:rPr>
          <w:spacing w:val="-3"/>
          <w:w w:val="100"/>
        </w:rPr>
        <w:t>的</w:t>
      </w:r>
      <w:r>
        <w:rPr>
          <w:spacing w:val="-1"/>
          <w:w w:val="100"/>
        </w:rPr>
        <w:t>账面</w:t>
      </w:r>
      <w:r>
        <w:rPr>
          <w:spacing w:val="-3"/>
          <w:w w:val="100"/>
        </w:rPr>
        <w:t>金</w:t>
      </w:r>
      <w:r>
        <w:rPr>
          <w:spacing w:val="-1"/>
          <w:w w:val="100"/>
        </w:rPr>
        <w:t>额</w:t>
      </w:r>
      <w:r>
        <w:rPr>
          <w:w w:val="100"/>
        </w:rPr>
        <w:t>，</w:t>
      </w:r>
    </w:p>
    <w:p>
      <w:pPr>
        <w:pStyle w:val="BodyText"/>
        <w:spacing w:line="499" w:lineRule="auto" w:before="72"/>
        <w:ind w:left="666" w:right="7282" w:hanging="425"/>
        <w:jc w:val="left"/>
      </w:pPr>
      <w:r>
        <w:rPr>
          <w:spacing w:val="-2"/>
        </w:rPr>
        <w:t>将其差额确认为减值利得。</w:t>
      </w:r>
      <w:r>
        <w:rPr>
          <w:spacing w:val="-93"/>
        </w:rPr>
        <w:t> </w:t>
      </w:r>
      <w:r>
        <w:rPr>
          <w:spacing w:val="-93"/>
        </w:rPr>
      </w:r>
      <w:r>
        <w:rPr/>
        <w:t>11.</w:t>
      </w:r>
      <w:r>
        <w:rPr>
          <w:spacing w:val="-2"/>
        </w:rPr>
        <w:t> </w:t>
      </w:r>
      <w:bookmarkStart w:name="11.应收票据" w:id="194"/>
      <w:bookmarkEnd w:id="194"/>
      <w:r>
        <w:rPr/>
        <w:t>应</w:t>
      </w:r>
      <w:r>
        <w:rPr/>
        <w:t>收票据</w:t>
      </w:r>
    </w:p>
    <w:p>
      <w:pPr>
        <w:pStyle w:val="BodyText"/>
        <w:spacing w:line="240" w:lineRule="auto" w:before="74"/>
        <w:ind w:left="680" w:right="1445"/>
        <w:jc w:val="left"/>
      </w:pPr>
      <w:r>
        <w:rPr/>
        <w:t>本集团对应收票据减值的确定原则参见“六、10.（6）金融资产减值”。</w:t>
      </w:r>
    </w:p>
    <w:p>
      <w:pPr>
        <w:spacing w:line="240" w:lineRule="auto" w:before="11"/>
        <w:rPr>
          <w:rFonts w:ascii="宋体" w:hAnsi="宋体" w:cs="宋体" w:eastAsia="宋体" w:hint="default"/>
          <w:sz w:val="23"/>
          <w:szCs w:val="23"/>
        </w:rPr>
      </w:pPr>
    </w:p>
    <w:p>
      <w:pPr>
        <w:pStyle w:val="BodyText"/>
        <w:spacing w:line="300" w:lineRule="auto" w:before="0"/>
        <w:ind w:left="241" w:right="1445" w:firstLine="439"/>
        <w:jc w:val="left"/>
      </w:pPr>
      <w:r>
        <w:rPr>
          <w:spacing w:val="-4"/>
        </w:rPr>
        <w:t>本集团对不含重大融资成分的应收票据，按照整个存续期的预期信用损失计量损失准</w:t>
      </w:r>
      <w:r>
        <w:rPr>
          <w:w w:val="100"/>
        </w:rPr>
        <w:t> </w:t>
      </w:r>
      <w:r>
        <w:rPr/>
        <w:t>备。</w:t>
      </w:r>
    </w:p>
    <w:p>
      <w:pPr>
        <w:spacing w:line="240" w:lineRule="auto" w:before="8"/>
        <w:rPr>
          <w:rFonts w:ascii="宋体" w:hAnsi="宋体" w:cs="宋体" w:eastAsia="宋体" w:hint="default"/>
          <w:sz w:val="19"/>
          <w:szCs w:val="19"/>
        </w:rPr>
      </w:pPr>
    </w:p>
    <w:p>
      <w:pPr>
        <w:pStyle w:val="BodyText"/>
        <w:spacing w:line="300" w:lineRule="auto" w:before="0"/>
        <w:ind w:left="241" w:right="1445" w:firstLine="441"/>
        <w:jc w:val="left"/>
      </w:pPr>
      <w:r>
        <w:rPr>
          <w:spacing w:val="-4"/>
        </w:rPr>
        <w:t>应收票据的预期信用损失的确定方法及会计处理方法：基于应收票据的承兑人信用风</w:t>
      </w:r>
      <w:r>
        <w:rPr>
          <w:w w:val="100"/>
        </w:rPr>
        <w:t> </w:t>
      </w:r>
      <w:r>
        <w:rPr/>
        <w:t>险作为共同风险特征，将其划分为不同组合，并确定预期信用损失会计估计政策：</w:t>
      </w:r>
    </w:p>
    <w:p>
      <w:pPr>
        <w:spacing w:line="240" w:lineRule="auto" w:before="12"/>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2027"/>
        <w:gridCol w:w="6696"/>
      </w:tblGrid>
      <w:tr>
        <w:trPr>
          <w:trHeight w:val="417" w:hRule="exact"/>
        </w:trPr>
        <w:tc>
          <w:tcPr>
            <w:tcW w:w="202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组合名称</w:t>
            </w:r>
            <w:r>
              <w:rPr>
                <w:rFonts w:ascii="宋体" w:hAnsi="宋体" w:cs="宋体" w:eastAsia="宋体" w:hint="default"/>
                <w:sz w:val="18"/>
                <w:szCs w:val="18"/>
              </w:rPr>
            </w:r>
          </w:p>
        </w:tc>
        <w:tc>
          <w:tcPr>
            <w:tcW w:w="669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b/>
                <w:bCs/>
                <w:sz w:val="18"/>
                <w:szCs w:val="18"/>
              </w:rPr>
              <w:t>预期信用损失会计估计政策</w:t>
            </w:r>
            <w:r>
              <w:rPr>
                <w:rFonts w:ascii="宋体" w:hAnsi="宋体" w:cs="宋体" w:eastAsia="宋体" w:hint="default"/>
                <w:sz w:val="18"/>
                <w:szCs w:val="18"/>
              </w:rPr>
            </w:r>
          </w:p>
        </w:tc>
      </w:tr>
      <w:tr>
        <w:trPr>
          <w:trHeight w:val="557" w:hRule="exact"/>
        </w:trPr>
        <w:tc>
          <w:tcPr>
            <w:tcW w:w="2027"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银行承兑汇票组合</w:t>
            </w:r>
          </w:p>
        </w:tc>
        <w:tc>
          <w:tcPr>
            <w:tcW w:w="6696" w:type="dxa"/>
            <w:tcBorders>
              <w:top w:val="single" w:sz="4" w:space="0" w:color="000000"/>
              <w:left w:val="single" w:sz="4" w:space="0" w:color="000000"/>
              <w:bottom w:val="single" w:sz="4" w:space="0" w:color="000000"/>
              <w:right w:val="nil" w:sz="6" w:space="0" w:color="auto"/>
            </w:tcBorders>
          </w:tcPr>
          <w:p>
            <w:pPr>
              <w:pStyle w:val="TableParagraph"/>
              <w:spacing w:line="232" w:lineRule="exact" w:before="37"/>
              <w:ind w:left="102" w:right="106"/>
              <w:jc w:val="left"/>
              <w:rPr>
                <w:rFonts w:ascii="宋体" w:hAnsi="宋体" w:cs="宋体" w:eastAsia="宋体" w:hint="default"/>
                <w:sz w:val="18"/>
                <w:szCs w:val="18"/>
              </w:rPr>
            </w:pPr>
            <w:r>
              <w:rPr>
                <w:rFonts w:ascii="宋体" w:hAnsi="宋体" w:cs="宋体" w:eastAsia="宋体" w:hint="default"/>
                <w:sz w:val="18"/>
                <w:szCs w:val="18"/>
              </w:rPr>
              <w:t>信用级别较高的银行承兑汇票，管理层评价该所持有的银行承兑汇票不存在重大的 信用风险，不会因银行违约而产生重大损失，因此无需计提坏账准备。</w:t>
            </w:r>
          </w:p>
        </w:tc>
      </w:tr>
      <w:tr>
        <w:trPr>
          <w:trHeight w:val="557" w:hRule="exact"/>
        </w:trPr>
        <w:tc>
          <w:tcPr>
            <w:tcW w:w="2027" w:type="dxa"/>
            <w:vMerge/>
            <w:tcBorders>
              <w:left w:val="nil" w:sz="6" w:space="0" w:color="auto"/>
              <w:bottom w:val="single" w:sz="4" w:space="0" w:color="000000"/>
              <w:right w:val="single" w:sz="4" w:space="0" w:color="000000"/>
            </w:tcBorders>
          </w:tcPr>
          <w:p>
            <w:pPr/>
          </w:p>
        </w:tc>
        <w:tc>
          <w:tcPr>
            <w:tcW w:w="6696" w:type="dxa"/>
            <w:tcBorders>
              <w:top w:val="single" w:sz="4" w:space="0" w:color="000000"/>
              <w:left w:val="single" w:sz="4" w:space="0" w:color="000000"/>
              <w:bottom w:val="single" w:sz="4" w:space="0" w:color="000000"/>
              <w:right w:val="nil" w:sz="6" w:space="0" w:color="auto"/>
            </w:tcBorders>
          </w:tcPr>
          <w:p>
            <w:pPr>
              <w:pStyle w:val="TableParagraph"/>
              <w:spacing w:line="232" w:lineRule="exact" w:before="34"/>
              <w:ind w:left="102" w:right="106"/>
              <w:jc w:val="left"/>
              <w:rPr>
                <w:rFonts w:ascii="宋体" w:hAnsi="宋体" w:cs="宋体" w:eastAsia="宋体" w:hint="default"/>
                <w:sz w:val="18"/>
                <w:szCs w:val="18"/>
              </w:rPr>
            </w:pPr>
            <w:r>
              <w:rPr>
                <w:rFonts w:ascii="宋体" w:hAnsi="宋体" w:cs="宋体" w:eastAsia="宋体" w:hint="default"/>
                <w:sz w:val="18"/>
                <w:szCs w:val="18"/>
              </w:rPr>
              <w:t>信用级别一般的银行承兑汇票，按照预期信用损失计提坏账准备，与应收账款的组 合划分相同。</w:t>
            </w:r>
          </w:p>
        </w:tc>
      </w:tr>
      <w:tr>
        <w:trPr>
          <w:trHeight w:val="417" w:hRule="exact"/>
        </w:trPr>
        <w:tc>
          <w:tcPr>
            <w:tcW w:w="202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商业承兑汇票组合</w:t>
            </w:r>
          </w:p>
        </w:tc>
        <w:tc>
          <w:tcPr>
            <w:tcW w:w="669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按照预期信用损失计提坏账准备，与应收账款的组合划分相同。</w:t>
            </w:r>
          </w:p>
        </w:tc>
      </w:tr>
    </w:tbl>
    <w:p>
      <w:pPr>
        <w:spacing w:line="240" w:lineRule="auto" w:before="3"/>
        <w:rPr>
          <w:rFonts w:ascii="宋体" w:hAnsi="宋体" w:cs="宋体" w:eastAsia="宋体" w:hint="default"/>
          <w:sz w:val="18"/>
          <w:szCs w:val="18"/>
        </w:rPr>
      </w:pPr>
    </w:p>
    <w:p>
      <w:pPr>
        <w:pStyle w:val="BodyText"/>
        <w:spacing w:line="499" w:lineRule="auto"/>
        <w:ind w:left="680" w:right="1445"/>
        <w:jc w:val="left"/>
      </w:pPr>
      <w:r>
        <w:rPr/>
        <w:t>12.</w:t>
      </w:r>
      <w:r>
        <w:rPr>
          <w:spacing w:val="-16"/>
        </w:rPr>
        <w:t> </w:t>
      </w:r>
      <w:bookmarkStart w:name="12.应收账款" w:id="195"/>
      <w:bookmarkEnd w:id="195"/>
      <w:r>
        <w:rPr/>
        <w:t>应</w:t>
      </w:r>
      <w:r>
        <w:rPr/>
        <w:t>收账款</w:t>
      </w:r>
      <w:r>
        <w:rPr>
          <w:w w:val="100"/>
        </w:rPr>
        <w:t> </w:t>
      </w:r>
      <w:r>
        <w:rPr/>
        <w:t>本集团对应收账款减值的确定原则参见“六、10.（6）金融资产减值”。</w:t>
      </w:r>
    </w:p>
    <w:p>
      <w:pPr>
        <w:pStyle w:val="BodyText"/>
        <w:spacing w:line="300" w:lineRule="auto" w:before="74"/>
        <w:ind w:left="241" w:right="1445" w:firstLine="439"/>
        <w:jc w:val="left"/>
      </w:pPr>
      <w:r>
        <w:rPr>
          <w:spacing w:val="-5"/>
        </w:rPr>
        <w:t>本集团对于《企业会计准则第 </w:t>
      </w:r>
      <w:r>
        <w:rPr/>
        <w:t>14</w:t>
      </w:r>
      <w:r>
        <w:rPr>
          <w:spacing w:val="-57"/>
        </w:rPr>
        <w:t> </w:t>
      </w:r>
      <w:r>
        <w:rPr>
          <w:spacing w:val="-4"/>
        </w:rPr>
        <w:t>号-收入准则》规范的交易形成且不含重大融资成分</w:t>
      </w:r>
      <w:r>
        <w:rPr>
          <w:w w:val="100"/>
        </w:rPr>
        <w:t> </w:t>
      </w:r>
      <w:r>
        <w:rPr/>
        <w:t>的应收账款，始终按照相当于整个存续期内预期信用损失的金额计量其损失准备。</w:t>
      </w:r>
    </w:p>
    <w:p>
      <w:pPr>
        <w:pStyle w:val="BodyText"/>
        <w:spacing w:line="300" w:lineRule="auto" w:before="65"/>
        <w:ind w:left="241" w:right="1445" w:firstLine="439"/>
        <w:jc w:val="left"/>
      </w:pPr>
      <w:r>
        <w:rPr>
          <w:spacing w:val="-4"/>
        </w:rPr>
        <w:t>应收账款的预期信用损失的确定方法及会计处理方法：本集团对信用风险显著不同的</w:t>
      </w:r>
      <w:r>
        <w:rPr>
          <w:w w:val="100"/>
        </w:rPr>
        <w:t> </w:t>
      </w:r>
      <w:r>
        <w:rPr>
          <w:spacing w:val="-4"/>
        </w:rPr>
        <w:t>应收账款单项评估信用风险，如：与对方存在争议或涉及诉讼、仲裁的应收账款；已有明</w:t>
      </w:r>
      <w:r>
        <w:rPr>
          <w:spacing w:val="-51"/>
        </w:rPr>
        <w:t> </w:t>
      </w:r>
      <w:r>
        <w:rPr>
          <w:spacing w:val="-51"/>
        </w:rPr>
      </w:r>
      <w:r>
        <w:rPr>
          <w:spacing w:val="-4"/>
        </w:rPr>
        <w:t>显迹象表明债务人很可能无法履行还款义务的应收账款等。除单项评估信用风险的应收账</w:t>
      </w:r>
      <w:r>
        <w:rPr>
          <w:spacing w:val="-51"/>
        </w:rPr>
        <w:t> </w:t>
      </w:r>
      <w:r>
        <w:rPr>
          <w:spacing w:val="-51"/>
        </w:rPr>
      </w:r>
      <w:r>
        <w:rPr>
          <w:spacing w:val="-7"/>
          <w:w w:val="100"/>
        </w:rPr>
        <w:t>款外，本集团基于应收账款交易对象、账龄等共同风险特征将应收账款划分为不同的组合，</w:t>
      </w:r>
      <w:r>
        <w:rPr>
          <w:spacing w:val="-80"/>
          <w:w w:val="100"/>
        </w:rPr>
        <w:t> </w:t>
      </w:r>
      <w:r>
        <w:rPr>
          <w:spacing w:val="-80"/>
          <w:w w:val="100"/>
        </w:rPr>
      </w:r>
      <w:r>
        <w:rPr/>
        <w:t>并确定预期信用损失会计估计政策：</w:t>
      </w:r>
    </w:p>
    <w:p>
      <w:pPr>
        <w:spacing w:line="240" w:lineRule="auto" w:before="2"/>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1950"/>
        <w:gridCol w:w="6773"/>
      </w:tblGrid>
      <w:tr>
        <w:trPr>
          <w:trHeight w:val="425" w:hRule="exact"/>
        </w:trPr>
        <w:tc>
          <w:tcPr>
            <w:tcW w:w="1950"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组合名称</w:t>
            </w:r>
            <w:r>
              <w:rPr>
                <w:rFonts w:ascii="宋体" w:hAnsi="宋体" w:cs="宋体" w:eastAsia="宋体" w:hint="default"/>
                <w:sz w:val="18"/>
                <w:szCs w:val="18"/>
              </w:rPr>
            </w:r>
          </w:p>
        </w:tc>
        <w:tc>
          <w:tcPr>
            <w:tcW w:w="6773"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b/>
                <w:bCs/>
                <w:sz w:val="18"/>
                <w:szCs w:val="18"/>
              </w:rPr>
              <w:t>预期信用损失会计估计政策</w:t>
            </w:r>
            <w:r>
              <w:rPr>
                <w:rFonts w:ascii="宋体" w:hAnsi="宋体" w:cs="宋体" w:eastAsia="宋体" w:hint="default"/>
                <w:sz w:val="18"/>
                <w:szCs w:val="18"/>
              </w:rPr>
            </w:r>
          </w:p>
        </w:tc>
      </w:tr>
      <w:tr>
        <w:trPr>
          <w:trHeight w:val="788" w:hRule="exact"/>
        </w:trPr>
        <w:tc>
          <w:tcPr>
            <w:tcW w:w="1950"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51"/>
              <w:ind w:left="108" w:right="101"/>
              <w:jc w:val="left"/>
              <w:rPr>
                <w:rFonts w:ascii="宋体" w:hAnsi="宋体" w:cs="宋体" w:eastAsia="宋体" w:hint="default"/>
                <w:sz w:val="18"/>
                <w:szCs w:val="18"/>
              </w:rPr>
            </w:pPr>
            <w:r>
              <w:rPr>
                <w:rFonts w:ascii="宋体" w:hAnsi="宋体" w:cs="宋体" w:eastAsia="宋体" w:hint="default"/>
                <w:spacing w:val="-7"/>
                <w:sz w:val="18"/>
                <w:szCs w:val="18"/>
              </w:rPr>
              <w:t>单项认定组合（单项评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估信用风险）</w:t>
            </w:r>
          </w:p>
        </w:tc>
        <w:tc>
          <w:tcPr>
            <w:tcW w:w="6773" w:type="dxa"/>
            <w:tcBorders>
              <w:top w:val="single" w:sz="4" w:space="0" w:color="000000"/>
              <w:left w:val="single" w:sz="4" w:space="0" w:color="000000"/>
              <w:bottom w:val="single" w:sz="4" w:space="0" w:color="000000"/>
              <w:right w:val="nil" w:sz="6" w:space="0" w:color="auto"/>
            </w:tcBorders>
          </w:tcPr>
          <w:p>
            <w:pPr>
              <w:pStyle w:val="TableParagraph"/>
              <w:spacing w:line="232" w:lineRule="exact" w:before="36"/>
              <w:ind w:left="102" w:right="107"/>
              <w:jc w:val="both"/>
              <w:rPr>
                <w:rFonts w:ascii="宋体" w:hAnsi="宋体" w:cs="宋体" w:eastAsia="宋体" w:hint="default"/>
                <w:sz w:val="18"/>
                <w:szCs w:val="18"/>
              </w:rPr>
            </w:pPr>
            <w:r>
              <w:rPr>
                <w:rFonts w:ascii="宋体" w:hAnsi="宋体" w:cs="宋体" w:eastAsia="宋体" w:hint="default"/>
                <w:sz w:val="18"/>
                <w:szCs w:val="18"/>
              </w:rPr>
              <w:t>如有客观证据表明其已发生减值，按预计未来现金流量现值低于其账面价值的差额</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z w:val="18"/>
                <w:szCs w:val="18"/>
              </w:rPr>
              <w:t>计提坏账准备，计入当期损益。单独测试未发生减值的应收款项，将其归入账龄组</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z w:val="18"/>
                <w:szCs w:val="18"/>
              </w:rPr>
              <w:t>合计提损失准备。</w:t>
            </w:r>
          </w:p>
        </w:tc>
      </w:tr>
    </w:tbl>
    <w:p>
      <w:pPr>
        <w:spacing w:after="0" w:line="232" w:lineRule="exact"/>
        <w:jc w:val="both"/>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1950"/>
        <w:gridCol w:w="6773"/>
      </w:tblGrid>
      <w:tr>
        <w:trPr>
          <w:trHeight w:val="425" w:hRule="exact"/>
        </w:trPr>
        <w:tc>
          <w:tcPr>
            <w:tcW w:w="1950"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组合名称</w:t>
            </w:r>
            <w:r>
              <w:rPr>
                <w:rFonts w:ascii="宋体" w:hAnsi="宋体" w:cs="宋体" w:eastAsia="宋体" w:hint="default"/>
                <w:sz w:val="18"/>
                <w:szCs w:val="18"/>
              </w:rPr>
            </w:r>
          </w:p>
        </w:tc>
        <w:tc>
          <w:tcPr>
            <w:tcW w:w="6773"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b/>
                <w:bCs/>
                <w:sz w:val="18"/>
                <w:szCs w:val="18"/>
              </w:rPr>
              <w:t>预期信用损失会计估计政策</w:t>
            </w:r>
            <w:r>
              <w:rPr>
                <w:rFonts w:ascii="宋体" w:hAnsi="宋体" w:cs="宋体" w:eastAsia="宋体" w:hint="default"/>
                <w:sz w:val="18"/>
                <w:szCs w:val="18"/>
              </w:rPr>
            </w:r>
          </w:p>
        </w:tc>
      </w:tr>
      <w:tr>
        <w:trPr>
          <w:trHeight w:val="557" w:hRule="exact"/>
        </w:trPr>
        <w:tc>
          <w:tcPr>
            <w:tcW w:w="19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7"/>
              <w:ind w:left="108"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6773" w:type="dxa"/>
            <w:tcBorders>
              <w:top w:val="single" w:sz="4" w:space="0" w:color="000000"/>
              <w:left w:val="single" w:sz="4" w:space="0" w:color="000000"/>
              <w:bottom w:val="single" w:sz="4" w:space="0" w:color="000000"/>
              <w:right w:val="nil" w:sz="6" w:space="0" w:color="auto"/>
            </w:tcBorders>
          </w:tcPr>
          <w:p>
            <w:pPr>
              <w:pStyle w:val="TableParagraph"/>
              <w:spacing w:line="232" w:lineRule="exact" w:before="36"/>
              <w:ind w:left="102" w:right="107"/>
              <w:jc w:val="left"/>
              <w:rPr>
                <w:rFonts w:ascii="宋体" w:hAnsi="宋体" w:cs="宋体" w:eastAsia="宋体" w:hint="default"/>
                <w:sz w:val="18"/>
                <w:szCs w:val="18"/>
              </w:rPr>
            </w:pPr>
            <w:r>
              <w:rPr>
                <w:rFonts w:ascii="宋体" w:hAnsi="宋体" w:cs="宋体" w:eastAsia="宋体" w:hint="default"/>
                <w:sz w:val="18"/>
                <w:szCs w:val="18"/>
              </w:rPr>
              <w:t>考虑关联方公司的实际履约能力、历史回款情况，未曾发生坏账损失，管理层评价</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z w:val="18"/>
                <w:szCs w:val="18"/>
              </w:rPr>
              <w:t>该类款项具有较低的信用风险，因此无需计提坏账准备。</w:t>
            </w:r>
          </w:p>
        </w:tc>
      </w:tr>
      <w:tr>
        <w:trPr>
          <w:trHeight w:val="1041" w:hRule="exact"/>
        </w:trPr>
        <w:tc>
          <w:tcPr>
            <w:tcW w:w="1950" w:type="dxa"/>
            <w:tcBorders>
              <w:top w:val="single" w:sz="4" w:space="0" w:color="000000"/>
              <w:left w:val="nil" w:sz="6" w:space="0" w:color="auto"/>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08"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6773" w:type="dxa"/>
            <w:tcBorders>
              <w:top w:val="single" w:sz="4" w:space="0" w:color="000000"/>
              <w:left w:val="single" w:sz="4" w:space="0" w:color="000000"/>
              <w:bottom w:val="single" w:sz="17" w:space="0" w:color="000000"/>
              <w:right w:val="nil" w:sz="6" w:space="0" w:color="auto"/>
            </w:tcBorders>
          </w:tcPr>
          <w:p>
            <w:pPr>
              <w:pStyle w:val="TableParagraph"/>
              <w:spacing w:line="232" w:lineRule="exact" w:before="36"/>
              <w:ind w:left="102" w:right="15"/>
              <w:jc w:val="left"/>
              <w:rPr>
                <w:rFonts w:ascii="宋体" w:hAnsi="宋体" w:cs="宋体" w:eastAsia="宋体" w:hint="default"/>
                <w:sz w:val="18"/>
                <w:szCs w:val="18"/>
              </w:rPr>
            </w:pPr>
            <w:r>
              <w:rPr>
                <w:rFonts w:ascii="宋体" w:hAnsi="宋体" w:cs="宋体" w:eastAsia="宋体" w:hint="default"/>
                <w:sz w:val="18"/>
                <w:szCs w:val="18"/>
              </w:rPr>
              <w:t>以应收账款的账龄为基础评估预期信用损失，并基于所有合理且有依据的信息，包</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z w:val="18"/>
                <w:szCs w:val="18"/>
              </w:rPr>
              <w:t>括信用风险评级、债务人所处行业及前瞻性等信息，运用以账龄表为基础的减值计</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spacing w:val="-1"/>
                <w:sz w:val="18"/>
                <w:szCs w:val="18"/>
              </w:rPr>
              <w:t>算模型，以预计存续期的历史违约损失率为基础，根据前瞻性资料估计并予以调整，</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计算出预期损失率，作为组合应收账款损失准备的计提比例。</w:t>
            </w:r>
          </w:p>
        </w:tc>
      </w:tr>
    </w:tbl>
    <w:p>
      <w:pPr>
        <w:spacing w:line="240" w:lineRule="auto" w:before="5"/>
        <w:rPr>
          <w:rFonts w:ascii="宋体" w:hAnsi="宋体" w:cs="宋体" w:eastAsia="宋体" w:hint="default"/>
          <w:sz w:val="18"/>
          <w:szCs w:val="18"/>
        </w:rPr>
      </w:pPr>
    </w:p>
    <w:p>
      <w:pPr>
        <w:pStyle w:val="BodyText"/>
        <w:spacing w:line="240" w:lineRule="auto"/>
        <w:ind w:left="666" w:right="1445"/>
        <w:jc w:val="left"/>
      </w:pPr>
      <w:r>
        <w:rPr/>
        <w:t>13.</w:t>
      </w:r>
      <w:r>
        <w:rPr>
          <w:spacing w:val="-4"/>
        </w:rPr>
        <w:t> </w:t>
      </w:r>
      <w:bookmarkStart w:name="13.应收款项融资" w:id="196"/>
      <w:bookmarkEnd w:id="196"/>
      <w:r>
        <w:rPr/>
        <w:t>应</w:t>
      </w:r>
      <w:r>
        <w:rPr/>
        <w:t>收款项融资</w:t>
      </w:r>
    </w:p>
    <w:p>
      <w:pPr>
        <w:spacing w:line="240" w:lineRule="auto" w:before="11"/>
        <w:rPr>
          <w:rFonts w:ascii="宋体" w:hAnsi="宋体" w:cs="宋体" w:eastAsia="宋体" w:hint="default"/>
          <w:sz w:val="23"/>
          <w:szCs w:val="23"/>
        </w:rPr>
      </w:pPr>
    </w:p>
    <w:p>
      <w:pPr>
        <w:pStyle w:val="BodyText"/>
        <w:spacing w:line="300" w:lineRule="auto" w:before="0"/>
        <w:ind w:left="241" w:right="1445" w:firstLine="439"/>
        <w:jc w:val="left"/>
      </w:pPr>
      <w:r>
        <w:rPr>
          <w:spacing w:val="-4"/>
        </w:rPr>
        <w:t>对于合同现金流量特征与基本借贷安排相一致，且公司管理此类金融资产的业务模式</w:t>
      </w:r>
      <w:r>
        <w:rPr>
          <w:w w:val="100"/>
        </w:rPr>
        <w:t> </w:t>
      </w:r>
      <w:r>
        <w:rPr>
          <w:spacing w:val="-4"/>
        </w:rPr>
        <w:t>为既以收取合同现金流量为目标又以出售为目标的应收票据及应收账款，本公司将其分类</w:t>
      </w:r>
      <w:r>
        <w:rPr>
          <w:spacing w:val="-51"/>
        </w:rPr>
        <w:t> </w:t>
      </w:r>
      <w:r>
        <w:rPr>
          <w:spacing w:val="-51"/>
        </w:rPr>
      </w:r>
      <w:r>
        <w:rPr>
          <w:spacing w:val="-4"/>
        </w:rPr>
        <w:t>为应收款项融资，以公允价值计量且其变动计入其他综合收益。应收款项融资采用实际利</w:t>
      </w:r>
      <w:r>
        <w:rPr>
          <w:spacing w:val="-51"/>
        </w:rPr>
        <w:t> </w:t>
      </w:r>
      <w:r>
        <w:rPr>
          <w:spacing w:val="-51"/>
        </w:rPr>
      </w:r>
      <w:r>
        <w:rPr>
          <w:spacing w:val="-4"/>
        </w:rPr>
        <w:t>率法确认的利息收入、减值损失及汇兑差额确认为当期损益，其余公允价值变动计入其他</w:t>
      </w:r>
      <w:r>
        <w:rPr>
          <w:spacing w:val="-53"/>
        </w:rPr>
        <w:t> </w:t>
      </w:r>
      <w:r>
        <w:rPr>
          <w:spacing w:val="-53"/>
        </w:rPr>
      </w:r>
      <w:r>
        <w:rPr>
          <w:spacing w:val="-2"/>
        </w:rPr>
        <w:t>综合收益。终止确认时，之前计入其他综合收益的累计利得或损失从其他综合收益转出，</w:t>
      </w:r>
      <w:r>
        <w:rPr>
          <w:spacing w:val="-57"/>
        </w:rPr>
        <w:t> </w:t>
      </w:r>
      <w:r>
        <w:rPr>
          <w:spacing w:val="-57"/>
        </w:rPr>
      </w:r>
      <w:r>
        <w:rPr/>
        <w:t>计入当期损益。</w:t>
      </w:r>
    </w:p>
    <w:p>
      <w:pPr>
        <w:spacing w:line="240" w:lineRule="auto" w:before="8"/>
        <w:rPr>
          <w:rFonts w:ascii="宋体" w:hAnsi="宋体" w:cs="宋体" w:eastAsia="宋体" w:hint="default"/>
          <w:sz w:val="19"/>
          <w:szCs w:val="19"/>
        </w:rPr>
      </w:pPr>
    </w:p>
    <w:p>
      <w:pPr>
        <w:pStyle w:val="BodyText"/>
        <w:spacing w:line="300" w:lineRule="auto" w:before="0"/>
        <w:ind w:left="241" w:right="1445" w:firstLine="439"/>
        <w:jc w:val="left"/>
      </w:pPr>
      <w:r>
        <w:rPr>
          <w:spacing w:val="-4"/>
        </w:rPr>
        <w:t>应收款项融资的预期信用损失的确定方法及会计处理方法参见“六、10.（6）金融资</w:t>
      </w:r>
      <w:r>
        <w:rPr>
          <w:w w:val="100"/>
        </w:rPr>
        <w:t> </w:t>
      </w:r>
      <w:r>
        <w:rPr/>
        <w:t>产减值”。</w:t>
      </w:r>
    </w:p>
    <w:p>
      <w:pPr>
        <w:pStyle w:val="BodyText"/>
        <w:spacing w:line="600" w:lineRule="exact" w:before="34"/>
        <w:ind w:left="680" w:right="1445" w:hanging="15"/>
        <w:jc w:val="left"/>
      </w:pPr>
      <w:r>
        <w:rPr/>
        <w:t>14.</w:t>
      </w:r>
      <w:r>
        <w:rPr>
          <w:spacing w:val="-1"/>
        </w:rPr>
        <w:t> </w:t>
      </w:r>
      <w:bookmarkStart w:name="14.其他应收款" w:id="197"/>
      <w:bookmarkEnd w:id="197"/>
      <w:r>
        <w:rPr/>
        <w:t>其</w:t>
      </w:r>
      <w:r>
        <w:rPr/>
        <w:t>他应收款</w:t>
      </w:r>
      <w:r>
        <w:rPr>
          <w:w w:val="100"/>
        </w:rPr>
        <w:t> </w:t>
      </w:r>
      <w:r>
        <w:rPr/>
        <w:t>本集团对其他应收款减值的确定原则参见“六、10.（6）金融资产减值”。</w:t>
      </w:r>
      <w:r>
        <w:rPr>
          <w:w w:val="100"/>
        </w:rPr>
        <w:t> </w:t>
      </w:r>
      <w:r>
        <w:rPr>
          <w:spacing w:val="2"/>
        </w:rPr>
        <w:t>本集团对于其他应收款始终按照相当于整个存续期内预期信用损失的金额计量其损</w:t>
      </w:r>
    </w:p>
    <w:p>
      <w:pPr>
        <w:pStyle w:val="BodyText"/>
        <w:spacing w:line="271" w:lineRule="exact" w:before="0"/>
        <w:ind w:left="241" w:right="1445"/>
        <w:jc w:val="left"/>
      </w:pPr>
      <w:r>
        <w:rPr/>
        <w:t>失准备。</w:t>
      </w:r>
    </w:p>
    <w:p>
      <w:pPr>
        <w:spacing w:line="240" w:lineRule="auto" w:before="11"/>
        <w:rPr>
          <w:rFonts w:ascii="宋体" w:hAnsi="宋体" w:cs="宋体" w:eastAsia="宋体" w:hint="default"/>
          <w:sz w:val="23"/>
          <w:szCs w:val="23"/>
        </w:rPr>
      </w:pPr>
    </w:p>
    <w:p>
      <w:pPr>
        <w:pStyle w:val="BodyText"/>
        <w:spacing w:line="300" w:lineRule="auto" w:before="0"/>
        <w:ind w:left="241" w:right="1697" w:firstLine="439"/>
        <w:jc w:val="both"/>
      </w:pPr>
      <w:r>
        <w:rPr>
          <w:spacing w:val="-4"/>
        </w:rPr>
        <w:t>本集团对信用风险显著不同的金融资产单项评价信用风险，如：与对方存在争议或涉</w:t>
      </w:r>
      <w:r>
        <w:rPr>
          <w:w w:val="100"/>
        </w:rPr>
        <w:t> </w:t>
      </w:r>
      <w:r>
        <w:rPr>
          <w:spacing w:val="-4"/>
        </w:rPr>
        <w:t>及诉讼、仲裁的应收款项；已有明显迹象表明债务人很可能无法履行还款义务的应收款项</w:t>
      </w:r>
      <w:r>
        <w:rPr>
          <w:spacing w:val="-51"/>
        </w:rPr>
        <w:t> </w:t>
      </w:r>
      <w:r>
        <w:rPr>
          <w:spacing w:val="-51"/>
        </w:rPr>
      </w:r>
      <w:r>
        <w:rPr>
          <w:spacing w:val="-4"/>
        </w:rPr>
        <w:t>等。除单项评估信用风险的金融资产外，本集团基于其他应收款交易对象关系、款项性质</w:t>
      </w:r>
      <w:r>
        <w:rPr>
          <w:spacing w:val="-51"/>
        </w:rPr>
        <w:t> </w:t>
      </w:r>
      <w:r>
        <w:rPr>
          <w:spacing w:val="-51"/>
        </w:rPr>
      </w:r>
      <w:r>
        <w:rPr/>
        <w:t>等共同风险特征将其他应收款划分为不同的组合，并确定预期信用损失会计估计政策：</w:t>
      </w:r>
    </w:p>
    <w:p>
      <w:pPr>
        <w:spacing w:line="240" w:lineRule="auto" w:before="1"/>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2085"/>
        <w:gridCol w:w="6638"/>
      </w:tblGrid>
      <w:tr>
        <w:trPr>
          <w:trHeight w:val="425" w:hRule="exact"/>
        </w:trPr>
        <w:tc>
          <w:tcPr>
            <w:tcW w:w="2085"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组合名称</w:t>
            </w:r>
            <w:r>
              <w:rPr>
                <w:rFonts w:ascii="宋体" w:hAnsi="宋体" w:cs="宋体" w:eastAsia="宋体" w:hint="default"/>
                <w:sz w:val="18"/>
                <w:szCs w:val="18"/>
              </w:rPr>
            </w:r>
          </w:p>
        </w:tc>
        <w:tc>
          <w:tcPr>
            <w:tcW w:w="6638"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b/>
                <w:bCs/>
                <w:sz w:val="18"/>
                <w:szCs w:val="18"/>
              </w:rPr>
              <w:t>预期信用损失会计估计政策</w:t>
            </w:r>
            <w:r>
              <w:rPr>
                <w:rFonts w:ascii="宋体" w:hAnsi="宋体" w:cs="宋体" w:eastAsia="宋体" w:hint="default"/>
                <w:sz w:val="18"/>
                <w:szCs w:val="18"/>
              </w:rPr>
            </w:r>
          </w:p>
        </w:tc>
      </w:tr>
      <w:tr>
        <w:trPr>
          <w:trHeight w:val="790" w:hRule="exact"/>
        </w:trPr>
        <w:tc>
          <w:tcPr>
            <w:tcW w:w="2085"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53"/>
              <w:ind w:left="108" w:right="100"/>
              <w:jc w:val="left"/>
              <w:rPr>
                <w:rFonts w:ascii="宋体" w:hAnsi="宋体" w:cs="宋体" w:eastAsia="宋体" w:hint="default"/>
                <w:sz w:val="18"/>
                <w:szCs w:val="18"/>
              </w:rPr>
            </w:pPr>
            <w:r>
              <w:rPr>
                <w:rFonts w:ascii="宋体" w:hAnsi="宋体" w:cs="宋体" w:eastAsia="宋体" w:hint="default"/>
                <w:spacing w:val="6"/>
                <w:sz w:val="18"/>
                <w:szCs w:val="18"/>
              </w:rPr>
              <w:t>单项认定组合（单项评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估信用风险）</w:t>
            </w:r>
          </w:p>
        </w:tc>
        <w:tc>
          <w:tcPr>
            <w:tcW w:w="6638" w:type="dxa"/>
            <w:tcBorders>
              <w:top w:val="single" w:sz="4" w:space="0" w:color="000000"/>
              <w:left w:val="single" w:sz="4" w:space="0" w:color="000000"/>
              <w:bottom w:val="single" w:sz="4" w:space="0" w:color="000000"/>
              <w:right w:val="nil" w:sz="6" w:space="0" w:color="auto"/>
            </w:tcBorders>
          </w:tcPr>
          <w:p>
            <w:pPr>
              <w:pStyle w:val="TableParagraph"/>
              <w:spacing w:line="232" w:lineRule="exact" w:before="35"/>
              <w:ind w:left="101" w:right="104"/>
              <w:jc w:val="both"/>
              <w:rPr>
                <w:rFonts w:ascii="宋体" w:hAnsi="宋体" w:cs="宋体" w:eastAsia="宋体" w:hint="default"/>
                <w:sz w:val="18"/>
                <w:szCs w:val="18"/>
              </w:rPr>
            </w:pPr>
            <w:r>
              <w:rPr>
                <w:rFonts w:ascii="宋体" w:hAnsi="宋体" w:cs="宋体" w:eastAsia="宋体" w:hint="default"/>
                <w:spacing w:val="-2"/>
                <w:sz w:val="18"/>
                <w:szCs w:val="18"/>
              </w:rPr>
              <w:t>如有客观证据表明其已发生减值，按预计未来现金流量现值低于其账面价值的差额</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2"/>
                <w:sz w:val="18"/>
                <w:szCs w:val="18"/>
              </w:rPr>
              <w:t>计提坏账准备，计入当期损益。单独测试未发生减值的应收款项，将其归入账龄组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合计提损失准备。</w:t>
            </w:r>
          </w:p>
        </w:tc>
      </w:tr>
      <w:tr>
        <w:trPr>
          <w:trHeight w:val="557" w:hRule="exact"/>
        </w:trPr>
        <w:tc>
          <w:tcPr>
            <w:tcW w:w="20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7"/>
              <w:ind w:left="108"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6638" w:type="dxa"/>
            <w:tcBorders>
              <w:top w:val="single" w:sz="4" w:space="0" w:color="000000"/>
              <w:left w:val="single" w:sz="4" w:space="0" w:color="000000"/>
              <w:bottom w:val="single" w:sz="4" w:space="0" w:color="000000"/>
              <w:right w:val="nil" w:sz="6" w:space="0" w:color="auto"/>
            </w:tcBorders>
          </w:tcPr>
          <w:p>
            <w:pPr>
              <w:pStyle w:val="TableParagraph"/>
              <w:spacing w:line="232" w:lineRule="exact" w:before="35"/>
              <w:ind w:left="101" w:right="104"/>
              <w:jc w:val="left"/>
              <w:rPr>
                <w:rFonts w:ascii="宋体" w:hAnsi="宋体" w:cs="宋体" w:eastAsia="宋体" w:hint="default"/>
                <w:sz w:val="18"/>
                <w:szCs w:val="18"/>
              </w:rPr>
            </w:pPr>
            <w:r>
              <w:rPr>
                <w:rFonts w:ascii="宋体" w:hAnsi="宋体" w:cs="宋体" w:eastAsia="宋体" w:hint="default"/>
                <w:spacing w:val="-2"/>
                <w:sz w:val="18"/>
                <w:szCs w:val="18"/>
              </w:rPr>
              <w:t>考虑关联方公司的实际履约能力、历史回款情况，未曾发生坏账损失，管理层评价</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该类款项具有较低的信用风险，因此无需计提坏账准备。</w:t>
            </w:r>
          </w:p>
        </w:tc>
      </w:tr>
      <w:tr>
        <w:trPr>
          <w:trHeight w:val="1041" w:hRule="exact"/>
        </w:trPr>
        <w:tc>
          <w:tcPr>
            <w:tcW w:w="2085" w:type="dxa"/>
            <w:tcBorders>
              <w:top w:val="single" w:sz="4" w:space="0" w:color="000000"/>
              <w:left w:val="nil" w:sz="6" w:space="0" w:color="auto"/>
              <w:bottom w:val="single" w:sz="17"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08"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6638" w:type="dxa"/>
            <w:tcBorders>
              <w:top w:val="single" w:sz="4" w:space="0" w:color="000000"/>
              <w:left w:val="single" w:sz="4" w:space="0" w:color="000000"/>
              <w:bottom w:val="single" w:sz="17" w:space="0" w:color="000000"/>
              <w:right w:val="nil" w:sz="6" w:space="0" w:color="auto"/>
            </w:tcBorders>
          </w:tcPr>
          <w:p>
            <w:pPr>
              <w:pStyle w:val="TableParagraph"/>
              <w:spacing w:line="237" w:lineRule="auto" w:before="12"/>
              <w:ind w:left="101" w:right="49"/>
              <w:jc w:val="both"/>
              <w:rPr>
                <w:rFonts w:ascii="宋体" w:hAnsi="宋体" w:cs="宋体" w:eastAsia="宋体" w:hint="default"/>
                <w:sz w:val="18"/>
                <w:szCs w:val="18"/>
              </w:rPr>
            </w:pPr>
            <w:r>
              <w:rPr>
                <w:rFonts w:ascii="宋体" w:hAnsi="宋体" w:cs="宋体" w:eastAsia="宋体" w:hint="default"/>
                <w:sz w:val="18"/>
                <w:szCs w:val="18"/>
              </w:rPr>
              <w:t>以其他应收款的账龄为基础评估预期信用损失，并基于所有合理且有依据的信息， </w:t>
            </w:r>
            <w:r>
              <w:rPr>
                <w:rFonts w:ascii="宋体" w:hAnsi="宋体" w:cs="宋体" w:eastAsia="宋体" w:hint="default"/>
                <w:spacing w:val="-2"/>
                <w:sz w:val="18"/>
                <w:szCs w:val="18"/>
              </w:rPr>
              <w:t>包括信用风险评级、债务人所处行业及前瞻性等信息，运用以账龄表为基础的减值</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2"/>
                <w:sz w:val="18"/>
                <w:szCs w:val="18"/>
              </w:rPr>
              <w:t>计算模型，以预计存续期的历史违约损失率为基础，根据前瞻性资料估计并予以调</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整，计算出预期损失率，作为组合其他应收款损失准备的计提比例。</w:t>
            </w:r>
          </w:p>
        </w:tc>
      </w:tr>
    </w:tbl>
    <w:p>
      <w:pPr>
        <w:spacing w:after="0" w:line="237" w:lineRule="auto"/>
        <w:jc w:val="both"/>
        <w:rPr>
          <w:rFonts w:ascii="宋体" w:hAnsi="宋体" w:cs="宋体" w:eastAsia="宋体" w:hint="default"/>
          <w:sz w:val="18"/>
          <w:szCs w:val="18"/>
        </w:rPr>
        <w:sectPr>
          <w:footerReference w:type="default" r:id="rId43"/>
          <w:pgSz w:w="11910" w:h="16840"/>
          <w:pgMar w:footer="883" w:header="939" w:top="1940" w:bottom="1080" w:left="1460" w:right="0"/>
          <w:pgNumType w:start="100"/>
        </w:sectPr>
      </w:pPr>
    </w:p>
    <w:p>
      <w:pPr>
        <w:spacing w:line="240" w:lineRule="auto" w:before="11"/>
        <w:rPr>
          <w:rFonts w:ascii="宋体" w:hAnsi="宋体" w:cs="宋体" w:eastAsia="宋体" w:hint="default"/>
          <w:sz w:val="11"/>
          <w:szCs w:val="11"/>
        </w:rPr>
      </w:pPr>
    </w:p>
    <w:p>
      <w:pPr>
        <w:pStyle w:val="BodyText"/>
        <w:spacing w:line="499" w:lineRule="auto"/>
        <w:ind w:left="540" w:right="3576" w:hanging="15"/>
        <w:jc w:val="left"/>
      </w:pPr>
      <w:r>
        <w:rPr/>
        <w:t>15. </w:t>
      </w:r>
      <w:bookmarkStart w:name="15.存货" w:id="198"/>
      <w:bookmarkEnd w:id="198"/>
      <w:r>
        <w:rPr/>
        <w:t>存</w:t>
      </w:r>
      <w:r>
        <w:rPr/>
        <w:t>货</w:t>
      </w:r>
      <w:r>
        <w:rPr>
          <w:w w:val="100"/>
        </w:rPr>
        <w:t> </w:t>
      </w:r>
      <w:r>
        <w:rPr>
          <w:spacing w:val="-2"/>
        </w:rPr>
        <w:t>本集团存货主要包括原材料、周转材料、在产品、库存商品。</w:t>
      </w:r>
    </w:p>
    <w:p>
      <w:pPr>
        <w:pStyle w:val="BodyText"/>
        <w:spacing w:line="300" w:lineRule="auto" w:before="74"/>
        <w:ind w:right="1697" w:firstLine="439"/>
        <w:jc w:val="both"/>
      </w:pPr>
      <w:r>
        <w:rPr>
          <w:spacing w:val="-4"/>
        </w:rPr>
        <w:t>存货实行永续盘存制，存货在取得时按实际成本计价；领用或发出存货，采用加权平</w:t>
      </w:r>
      <w:r>
        <w:rPr>
          <w:w w:val="100"/>
        </w:rPr>
        <w:t> </w:t>
      </w:r>
      <w:r>
        <w:rPr>
          <w:spacing w:val="-4"/>
        </w:rPr>
        <w:t>均法确定其实际成本。周转材料中铁质电缆盘采用分次摊销法，其他周转材料领用时一次</w:t>
      </w:r>
      <w:r>
        <w:rPr>
          <w:spacing w:val="-51"/>
        </w:rPr>
        <w:t> </w:t>
      </w:r>
      <w:r>
        <w:rPr>
          <w:spacing w:val="-51"/>
        </w:rPr>
      </w:r>
      <w:r>
        <w:rPr/>
        <w:t>摊销入成本。</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库存商品、在产品和用于出售的材料等直接用于出售的商品存货，其可变现净值按该</w:t>
      </w:r>
      <w:r>
        <w:rPr>
          <w:w w:val="100"/>
        </w:rPr>
        <w:t> </w:t>
      </w:r>
      <w:r>
        <w:rPr>
          <w:spacing w:val="-4"/>
        </w:rPr>
        <w:t>存货的估计售价减去估计的销售费用和相关税费后的金额确定；用于生产而持有的材料存</w:t>
      </w:r>
      <w:r>
        <w:rPr>
          <w:spacing w:val="-51"/>
        </w:rPr>
        <w:t> </w:t>
      </w:r>
      <w:r>
        <w:rPr>
          <w:spacing w:val="-51"/>
        </w:rPr>
      </w:r>
      <w:r>
        <w:rPr>
          <w:spacing w:val="-4"/>
        </w:rPr>
        <w:t>货，其可变现净值按所生产的产成品的估计售价减去至完工时估计将要发生的成本、估计</w:t>
      </w:r>
      <w:r>
        <w:rPr>
          <w:spacing w:val="-51"/>
        </w:rPr>
        <w:t> </w:t>
      </w:r>
      <w:r>
        <w:rPr>
          <w:spacing w:val="-51"/>
        </w:rPr>
      </w:r>
      <w:r>
        <w:rPr/>
        <w:t>的销售费用和相关税费后的金额确定。</w:t>
      </w:r>
    </w:p>
    <w:p>
      <w:pPr>
        <w:pStyle w:val="BodyText"/>
        <w:spacing w:line="600" w:lineRule="exact" w:before="34"/>
        <w:ind w:left="540" w:right="1634" w:hanging="15"/>
        <w:jc w:val="left"/>
      </w:pPr>
      <w:r>
        <w:rPr/>
        <w:t>16.</w:t>
      </w:r>
      <w:r>
        <w:rPr>
          <w:spacing w:val="-1"/>
        </w:rPr>
        <w:t> </w:t>
      </w:r>
      <w:bookmarkStart w:name="16.长期股权投资" w:id="199"/>
      <w:bookmarkEnd w:id="199"/>
      <w:r>
        <w:rPr/>
        <w:t>长</w:t>
      </w:r>
      <w:r>
        <w:rPr/>
        <w:t>期股权投资</w:t>
      </w:r>
      <w:r>
        <w:rPr>
          <w:w w:val="100"/>
        </w:rPr>
        <w:t> </w:t>
      </w:r>
      <w:r>
        <w:rPr>
          <w:spacing w:val="2"/>
        </w:rPr>
        <w:t>本集团长期股权投资主要是对子公司的投资、对联营企业的投资和对合营企业的投</w:t>
      </w:r>
    </w:p>
    <w:p>
      <w:pPr>
        <w:pStyle w:val="BodyText"/>
        <w:spacing w:line="271" w:lineRule="exact" w:before="0"/>
        <w:ind w:right="0"/>
        <w:jc w:val="both"/>
      </w:pPr>
      <w:r>
        <w:rPr/>
        <w:t>资。</w:t>
      </w:r>
    </w:p>
    <w:p>
      <w:pPr>
        <w:spacing w:line="240" w:lineRule="auto" w:before="11"/>
        <w:rPr>
          <w:rFonts w:ascii="宋体" w:hAnsi="宋体" w:cs="宋体" w:eastAsia="宋体" w:hint="default"/>
          <w:sz w:val="23"/>
          <w:szCs w:val="23"/>
        </w:rPr>
      </w:pPr>
    </w:p>
    <w:p>
      <w:pPr>
        <w:pStyle w:val="BodyText"/>
        <w:spacing w:line="300" w:lineRule="auto" w:before="0"/>
        <w:ind w:right="1697" w:firstLine="439"/>
        <w:jc w:val="both"/>
      </w:pPr>
      <w:r>
        <w:rPr>
          <w:spacing w:val="-4"/>
        </w:rPr>
        <w:t>本集团对共同控制的判断依据是所有参与方或参与方组合集体控制该安排，并且该安</w:t>
      </w:r>
      <w:r>
        <w:rPr>
          <w:w w:val="100"/>
        </w:rPr>
        <w:t> </w:t>
      </w:r>
      <w:r>
        <w:rPr/>
        <w:t>排相关活动的政策必须经过这些集体控制该安排的参与方一致同意。</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t>本集团直接或通过子公司间接拥有被投资单位</w:t>
      </w:r>
      <w:r>
        <w:rPr>
          <w:spacing w:val="-52"/>
        </w:rPr>
        <w:t> </w:t>
      </w:r>
      <w:r>
        <w:rPr/>
        <w:t>20％（含）以上但低于</w:t>
      </w:r>
      <w:r>
        <w:rPr>
          <w:spacing w:val="-52"/>
        </w:rPr>
        <w:t> </w:t>
      </w:r>
      <w:r>
        <w:rPr/>
        <w:t>50％的表决权</w:t>
      </w:r>
      <w:r>
        <w:rPr>
          <w:w w:val="100"/>
        </w:rPr>
        <w:t> </w:t>
      </w:r>
      <w:r>
        <w:rPr>
          <w:spacing w:val="-3"/>
        </w:rPr>
        <w:t>时，通常认为对被投资单位具有重大影响。持有被投资单位</w:t>
      </w:r>
      <w:r>
        <w:rPr>
          <w:spacing w:val="-30"/>
        </w:rPr>
        <w:t> </w:t>
      </w:r>
      <w:r>
        <w:rPr/>
        <w:t>20%以下表决权的，还需要综</w:t>
      </w:r>
      <w:r>
        <w:rPr>
          <w:spacing w:val="-98"/>
        </w:rPr>
        <w:t> </w:t>
      </w:r>
      <w:r>
        <w:rPr>
          <w:spacing w:val="-98"/>
        </w:rPr>
      </w:r>
      <w:r>
        <w:rPr>
          <w:spacing w:val="-4"/>
        </w:rPr>
        <w:t>合考虑在被投资单位的董事会或类似权力机构中派有代表、或参与被投资单位财务和经营</w:t>
      </w:r>
      <w:r>
        <w:rPr>
          <w:spacing w:val="-51"/>
        </w:rPr>
        <w:t> </w:t>
      </w:r>
      <w:r>
        <w:rPr>
          <w:spacing w:val="-51"/>
        </w:rPr>
      </w:r>
      <w:r>
        <w:rPr>
          <w:spacing w:val="-4"/>
        </w:rPr>
        <w:t>政策制定过程、或与被投资单位之间发生重要交易、或向被投资单位派出管理人员、或向</w:t>
      </w:r>
      <w:r>
        <w:rPr>
          <w:spacing w:val="-51"/>
        </w:rPr>
        <w:t> </w:t>
      </w:r>
      <w:r>
        <w:rPr>
          <w:spacing w:val="-51"/>
        </w:rPr>
      </w:r>
      <w:r>
        <w:rPr/>
        <w:t>被投资单位提供关键技术资料等事实和情况判断对被投资单位具有重大影响。</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对被投资单位形成控制的，为本集团的子公司。通过同一控制下的企业合并取得的长</w:t>
      </w:r>
      <w:r>
        <w:rPr>
          <w:w w:val="100"/>
        </w:rPr>
        <w:t> </w:t>
      </w:r>
      <w:r>
        <w:rPr>
          <w:spacing w:val="-4"/>
        </w:rPr>
        <w:t>期股权投资，在合并日按照取得被合并方在最终控制方合并报表中净资产的账面价值的份</w:t>
      </w:r>
      <w:r>
        <w:rPr>
          <w:spacing w:val="-53"/>
        </w:rPr>
        <w:t> </w:t>
      </w:r>
      <w:r>
        <w:rPr>
          <w:spacing w:val="-53"/>
        </w:rPr>
      </w:r>
      <w:r>
        <w:rPr>
          <w:spacing w:val="-4"/>
        </w:rPr>
        <w:t>额作为长期股权投资的初始投资成本。被合并方在合并日的净资产账面价值为负数的，长</w:t>
      </w:r>
      <w:r>
        <w:rPr>
          <w:spacing w:val="-51"/>
        </w:rPr>
        <w:t> </w:t>
      </w:r>
      <w:r>
        <w:rPr>
          <w:spacing w:val="-51"/>
        </w:rPr>
      </w:r>
      <w:r>
        <w:rPr/>
        <w:t>期股权投资成本按零确定。</w:t>
      </w:r>
    </w:p>
    <w:p>
      <w:pPr>
        <w:pStyle w:val="BodyText"/>
        <w:spacing w:line="600" w:lineRule="exact" w:before="34"/>
        <w:ind w:left="540" w:right="1634"/>
        <w:jc w:val="left"/>
      </w:pPr>
      <w:r>
        <w:rPr>
          <w:spacing w:val="-2"/>
        </w:rPr>
        <w:t>通过非同一控制下的企业合并取得的长期股权投资，以合并成本作为初始投资成本。</w:t>
      </w:r>
      <w:r>
        <w:rPr>
          <w:spacing w:val="-59"/>
        </w:rPr>
        <w:t> </w:t>
      </w:r>
      <w:r>
        <w:rPr>
          <w:spacing w:val="-59"/>
        </w:rPr>
      </w:r>
      <w:r>
        <w:rPr>
          <w:spacing w:val="-4"/>
        </w:rPr>
        <w:t>除上述通过企业合并取得的长期股权投资外，以支付现金取得的长期股权投资，按照</w:t>
      </w:r>
    </w:p>
    <w:p>
      <w:pPr>
        <w:pStyle w:val="BodyText"/>
        <w:spacing w:line="271" w:lineRule="exact" w:before="0"/>
        <w:ind w:right="0"/>
        <w:jc w:val="both"/>
      </w:pPr>
      <w:r>
        <w:rPr>
          <w:spacing w:val="-4"/>
        </w:rPr>
        <w:t>实际支付的购买价款作为投资成本；以发行权益性证券取得的长期股权投资，按照发行权</w:t>
      </w:r>
    </w:p>
    <w:p>
      <w:pPr>
        <w:pStyle w:val="BodyText"/>
        <w:spacing w:line="300" w:lineRule="auto" w:before="72"/>
        <w:ind w:right="1697"/>
        <w:jc w:val="both"/>
      </w:pPr>
      <w:r>
        <w:rPr>
          <w:spacing w:val="-4"/>
        </w:rPr>
        <w:t>益性证券的公允价值作为投资成本；投资者投入的长期股权投资，按照投资合同或协议约</w:t>
      </w:r>
      <w:r>
        <w:rPr>
          <w:spacing w:val="-51"/>
        </w:rPr>
        <w:t> </w:t>
      </w:r>
      <w:r>
        <w:rPr>
          <w:spacing w:val="-51"/>
        </w:rPr>
      </w:r>
      <w:r>
        <w:rPr>
          <w:spacing w:val="-4"/>
        </w:rPr>
        <w:t>定的价值作为投资成本；以债务重组、非货币性资产交换等方式取得的长期股权投资，根</w:t>
      </w:r>
      <w:r>
        <w:rPr>
          <w:spacing w:val="-51"/>
        </w:rPr>
        <w:t> </w:t>
      </w:r>
      <w:r>
        <w:rPr>
          <w:spacing w:val="-51"/>
        </w:rPr>
      </w:r>
      <w:r>
        <w:rPr/>
        <w:t>据相关企业会计准则的规定并结合公司的实际情况确定投资成本的方法。</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240" w:lineRule="auto"/>
        <w:ind w:left="680" w:right="1445"/>
        <w:jc w:val="left"/>
      </w:pPr>
      <w:r>
        <w:rPr/>
        <w:t>本集团对子公司投资采用成本法核算，对合营企业及联营企业投资采用权益法核算。</w:t>
      </w:r>
    </w:p>
    <w:p>
      <w:pPr>
        <w:spacing w:line="240" w:lineRule="auto" w:before="11"/>
        <w:rPr>
          <w:rFonts w:ascii="宋体" w:hAnsi="宋体" w:cs="宋体" w:eastAsia="宋体" w:hint="default"/>
          <w:sz w:val="23"/>
          <w:szCs w:val="23"/>
        </w:rPr>
      </w:pPr>
    </w:p>
    <w:p>
      <w:pPr>
        <w:pStyle w:val="BodyText"/>
        <w:spacing w:line="300" w:lineRule="auto" w:before="0"/>
        <w:ind w:left="241" w:right="1697" w:firstLine="439"/>
        <w:jc w:val="both"/>
      </w:pPr>
      <w:r>
        <w:rPr>
          <w:spacing w:val="-4"/>
        </w:rPr>
        <w:t>后续计量采用成本法核算的长期股权投资，在追加投资时，按照追加投资支付的成本</w:t>
      </w:r>
      <w:r>
        <w:rPr>
          <w:w w:val="100"/>
        </w:rPr>
        <w:t> </w:t>
      </w:r>
      <w:r>
        <w:rPr>
          <w:spacing w:val="-4"/>
        </w:rPr>
        <w:t>额公允价值及发生的相关交易费用增加长期股权投资成本的账面价值。被投资单位宣告分</w:t>
      </w:r>
      <w:r>
        <w:rPr>
          <w:spacing w:val="-51"/>
        </w:rPr>
        <w:t> </w:t>
      </w:r>
      <w:r>
        <w:rPr>
          <w:spacing w:val="-51"/>
        </w:rPr>
      </w:r>
      <w:r>
        <w:rPr/>
        <w:t>派的现金股利或利润，按照应享有的金额确认为当期投资收益。</w:t>
      </w:r>
    </w:p>
    <w:p>
      <w:pPr>
        <w:spacing w:line="240" w:lineRule="auto" w:before="8"/>
        <w:rPr>
          <w:rFonts w:ascii="宋体" w:hAnsi="宋体" w:cs="宋体" w:eastAsia="宋体" w:hint="default"/>
          <w:sz w:val="19"/>
          <w:szCs w:val="19"/>
        </w:rPr>
      </w:pPr>
    </w:p>
    <w:p>
      <w:pPr>
        <w:pStyle w:val="BodyText"/>
        <w:spacing w:line="300" w:lineRule="auto" w:before="0"/>
        <w:ind w:left="241" w:right="1697" w:firstLine="439"/>
        <w:jc w:val="both"/>
      </w:pPr>
      <w:r>
        <w:rPr>
          <w:spacing w:val="-4"/>
        </w:rPr>
        <w:t>后续计量采用权益法核算的长期股权投资，随着被他投资单位所有者权益的变动相应</w:t>
      </w:r>
      <w:r>
        <w:rPr>
          <w:w w:val="100"/>
        </w:rPr>
        <w:t> </w:t>
      </w:r>
      <w:r>
        <w:rPr>
          <w:spacing w:val="2"/>
        </w:rPr>
        <w:t>调整增加或减少长期股权投资的账面价值。其中在确认应享有被投资单位净损益的份额</w:t>
      </w:r>
      <w:r>
        <w:rPr>
          <w:spacing w:val="-51"/>
        </w:rPr>
        <w:t> </w:t>
      </w:r>
      <w:r>
        <w:rPr>
          <w:spacing w:val="-51"/>
        </w:rPr>
      </w:r>
      <w:r>
        <w:rPr>
          <w:spacing w:val="-4"/>
        </w:rPr>
        <w:t>时，以取得投资时被投资单位各项可辨认资产等的公允价值为基础，按照本集团的会计政</w:t>
      </w:r>
      <w:r>
        <w:rPr>
          <w:spacing w:val="-53"/>
        </w:rPr>
        <w:t> </w:t>
      </w:r>
      <w:r>
        <w:rPr>
          <w:spacing w:val="-53"/>
        </w:rPr>
      </w:r>
      <w:r>
        <w:rPr>
          <w:spacing w:val="-4"/>
        </w:rPr>
        <w:t>策及会计期间，并抵销与联营企业及合营企业之间发生的内部交易损益按照持股比例计算</w:t>
      </w:r>
      <w:r>
        <w:rPr>
          <w:spacing w:val="-51"/>
        </w:rPr>
        <w:t> </w:t>
      </w:r>
      <w:r>
        <w:rPr>
          <w:spacing w:val="-51"/>
        </w:rPr>
      </w:r>
      <w:r>
        <w:rPr/>
        <w:t>归属于投资企业的部分，对被投资单位的净利润进行调整后确认。</w:t>
      </w:r>
    </w:p>
    <w:p>
      <w:pPr>
        <w:spacing w:line="240" w:lineRule="auto" w:before="8"/>
        <w:rPr>
          <w:rFonts w:ascii="宋体" w:hAnsi="宋体" w:cs="宋体" w:eastAsia="宋体" w:hint="default"/>
          <w:sz w:val="19"/>
          <w:szCs w:val="19"/>
        </w:rPr>
      </w:pPr>
    </w:p>
    <w:p>
      <w:pPr>
        <w:pStyle w:val="BodyText"/>
        <w:spacing w:line="300" w:lineRule="auto" w:before="0"/>
        <w:ind w:left="241" w:right="1697" w:firstLine="439"/>
        <w:jc w:val="both"/>
      </w:pPr>
      <w:r>
        <w:rPr>
          <w:spacing w:val="-4"/>
        </w:rPr>
        <w:t>处置长期股权投资，其账面价值与实际取得价款的差额，计入当期投资收益。采用权</w:t>
      </w:r>
      <w:r>
        <w:rPr>
          <w:w w:val="100"/>
        </w:rPr>
        <w:t> </w:t>
      </w:r>
      <w:r>
        <w:rPr>
          <w:spacing w:val="-4"/>
        </w:rPr>
        <w:t>益法核算的长期股权投资，因被投资单位除净损益以外所有者权益的其他变动而计入所有</w:t>
      </w:r>
      <w:r>
        <w:rPr>
          <w:spacing w:val="-53"/>
        </w:rPr>
        <w:t> </w:t>
      </w:r>
      <w:r>
        <w:rPr>
          <w:spacing w:val="-53"/>
        </w:rPr>
      </w:r>
      <w:r>
        <w:rPr/>
        <w:t>者权益的，处置该项投资时将原计入所有者权益的部分按相应比例转入当期投资损益。</w:t>
      </w:r>
    </w:p>
    <w:p>
      <w:pPr>
        <w:spacing w:line="240" w:lineRule="auto" w:before="8"/>
        <w:rPr>
          <w:rFonts w:ascii="宋体" w:hAnsi="宋体" w:cs="宋体" w:eastAsia="宋体" w:hint="default"/>
          <w:sz w:val="19"/>
          <w:szCs w:val="19"/>
        </w:rPr>
      </w:pPr>
    </w:p>
    <w:p>
      <w:pPr>
        <w:pStyle w:val="BodyText"/>
        <w:spacing w:line="300" w:lineRule="auto" w:before="0"/>
        <w:ind w:left="241" w:right="1697" w:firstLine="439"/>
        <w:jc w:val="both"/>
      </w:pPr>
      <w:r>
        <w:rPr>
          <w:spacing w:val="-4"/>
        </w:rPr>
        <w:t>因处置部分股权投资等原因丧失了对被投资单位的共同控制或重大影响的，处置后的</w:t>
      </w:r>
      <w:r>
        <w:rPr>
          <w:w w:val="100"/>
        </w:rPr>
        <w:t> </w:t>
      </w:r>
      <w:r>
        <w:rPr>
          <w:spacing w:val="-4"/>
        </w:rPr>
        <w:t>剩余股权改按可供出售金融资产核算，剩余股权在丧失共同控制或重大影响之日的公允价</w:t>
      </w:r>
      <w:r>
        <w:rPr>
          <w:spacing w:val="-51"/>
        </w:rPr>
        <w:t> </w:t>
      </w:r>
      <w:r>
        <w:rPr>
          <w:spacing w:val="-51"/>
        </w:rPr>
      </w:r>
      <w:r>
        <w:rPr>
          <w:spacing w:val="-4"/>
        </w:rPr>
        <w:t>值与账面价值之间的差额计入当期损益。原股权投资因采用权益法核算而确认的其他综合</w:t>
      </w:r>
      <w:r>
        <w:rPr>
          <w:spacing w:val="-53"/>
        </w:rPr>
        <w:t> </w:t>
      </w:r>
      <w:r>
        <w:rPr>
          <w:spacing w:val="-53"/>
        </w:rPr>
      </w:r>
      <w:r>
        <w:rPr>
          <w:spacing w:val="-4"/>
        </w:rPr>
        <w:t>收益，在终止采用权益法核算时采用与被投资单位直接处置相关资产或负债相同的基础进</w:t>
      </w:r>
      <w:r>
        <w:rPr>
          <w:spacing w:val="-53"/>
        </w:rPr>
        <w:t> </w:t>
      </w:r>
      <w:r>
        <w:rPr>
          <w:spacing w:val="-53"/>
        </w:rPr>
      </w:r>
      <w:r>
        <w:rPr/>
        <w:t>行会计处理。</w:t>
      </w:r>
    </w:p>
    <w:p>
      <w:pPr>
        <w:spacing w:line="240" w:lineRule="auto" w:before="8"/>
        <w:rPr>
          <w:rFonts w:ascii="宋体" w:hAnsi="宋体" w:cs="宋体" w:eastAsia="宋体" w:hint="default"/>
          <w:sz w:val="19"/>
          <w:szCs w:val="19"/>
        </w:rPr>
      </w:pPr>
    </w:p>
    <w:p>
      <w:pPr>
        <w:pStyle w:val="BodyText"/>
        <w:spacing w:line="300" w:lineRule="auto" w:before="0"/>
        <w:ind w:left="241" w:right="1697" w:firstLine="439"/>
        <w:jc w:val="both"/>
      </w:pPr>
      <w:r>
        <w:rPr>
          <w:spacing w:val="-4"/>
        </w:rPr>
        <w:t>因处置部分长期股权投资丧失了对被投资单位控制的，处置后的剩余股权能够对被投</w:t>
      </w:r>
      <w:r>
        <w:rPr>
          <w:w w:val="100"/>
        </w:rPr>
        <w:t> </w:t>
      </w:r>
      <w:r>
        <w:rPr>
          <w:spacing w:val="-4"/>
        </w:rPr>
        <w:t>资单位实施共同控制或施加重大影响的，改按权益法核算，处置股权账面价值和处置对价</w:t>
      </w:r>
      <w:r>
        <w:rPr>
          <w:spacing w:val="-51"/>
        </w:rPr>
        <w:t> </w:t>
      </w:r>
      <w:r>
        <w:rPr>
          <w:spacing w:val="-51"/>
        </w:rPr>
      </w:r>
      <w:r>
        <w:rPr>
          <w:spacing w:val="-4"/>
        </w:rPr>
        <w:t>的差额计入投资收益，并对该剩余股权视同自取得时即采用权益法核算进行调整；处置后</w:t>
      </w:r>
      <w:r>
        <w:rPr>
          <w:spacing w:val="-53"/>
        </w:rPr>
        <w:t> </w:t>
      </w:r>
      <w:r>
        <w:rPr>
          <w:spacing w:val="-53"/>
        </w:rPr>
      </w:r>
      <w:r>
        <w:rPr>
          <w:spacing w:val="-4"/>
        </w:rPr>
        <w:t>的剩余股权不能对被投资单位实施共同控制或施加重大影响的，改按可供出售金融资产的</w:t>
      </w:r>
      <w:r>
        <w:rPr>
          <w:spacing w:val="-51"/>
        </w:rPr>
        <w:t> </w:t>
      </w:r>
      <w:r>
        <w:rPr>
          <w:spacing w:val="-51"/>
        </w:rPr>
      </w:r>
      <w:r>
        <w:rPr>
          <w:spacing w:val="-4"/>
        </w:rPr>
        <w:t>有关规定进行会计处理，处置股权账面价值和处置对价的差额计入投资收益，剩余股权在</w:t>
      </w:r>
      <w:r>
        <w:rPr>
          <w:spacing w:val="-51"/>
        </w:rPr>
        <w:t> </w:t>
      </w:r>
      <w:r>
        <w:rPr>
          <w:spacing w:val="-51"/>
        </w:rPr>
      </w:r>
      <w:r>
        <w:rPr/>
        <w:t>丧失控制之日的公允价值与账面价值间的差额计入当期投资损益。</w:t>
      </w:r>
    </w:p>
    <w:p>
      <w:pPr>
        <w:pStyle w:val="BodyText"/>
        <w:spacing w:line="600" w:lineRule="exact" w:before="34"/>
        <w:ind w:left="680" w:right="1445" w:hanging="15"/>
        <w:jc w:val="left"/>
      </w:pPr>
      <w:r>
        <w:rPr/>
        <w:t>17.</w:t>
      </w:r>
      <w:r>
        <w:rPr>
          <w:spacing w:val="-1"/>
        </w:rPr>
        <w:t> </w:t>
      </w:r>
      <w:bookmarkStart w:name="17.投资性房地产" w:id="200"/>
      <w:bookmarkEnd w:id="200"/>
      <w:r>
        <w:rPr/>
        <w:t>投</w:t>
      </w:r>
      <w:r>
        <w:rPr/>
        <w:t>资性房地产</w:t>
      </w:r>
      <w:r>
        <w:rPr>
          <w:w w:val="100"/>
        </w:rPr>
        <w:t> </w:t>
      </w:r>
      <w:r>
        <w:rPr/>
        <w:t>本集团投资性房地产包括土地使用权、房屋建筑物。采用成本模式计量。</w:t>
      </w:r>
      <w:r>
        <w:rPr>
          <w:w w:val="100"/>
        </w:rPr>
        <w:t> </w:t>
      </w:r>
      <w:r>
        <w:rPr>
          <w:spacing w:val="-4"/>
        </w:rPr>
        <w:t>本集团投资性房地产采用平均年限方法计提折旧或摊销。各类投资性房地产的预计使</w:t>
      </w:r>
    </w:p>
    <w:p>
      <w:pPr>
        <w:pStyle w:val="BodyText"/>
        <w:spacing w:line="271" w:lineRule="exact" w:before="0"/>
        <w:ind w:left="241" w:right="1445"/>
        <w:jc w:val="left"/>
      </w:pPr>
      <w:r>
        <w:rPr/>
        <w:t>用寿命、净残值率及年折旧(摊销)率如下：</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2546"/>
        <w:gridCol w:w="2060"/>
        <w:gridCol w:w="2303"/>
        <w:gridCol w:w="1814"/>
      </w:tblGrid>
      <w:tr>
        <w:trPr>
          <w:trHeight w:val="415" w:hRule="exact"/>
        </w:trPr>
        <w:tc>
          <w:tcPr>
            <w:tcW w:w="254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204"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206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99" w:right="0"/>
              <w:jc w:val="center"/>
              <w:rPr>
                <w:rFonts w:ascii="宋体" w:hAnsi="宋体" w:cs="宋体" w:eastAsia="宋体" w:hint="default"/>
                <w:sz w:val="18"/>
                <w:szCs w:val="18"/>
              </w:rPr>
            </w:pPr>
            <w:r>
              <w:rPr>
                <w:rFonts w:ascii="宋体" w:hAnsi="宋体" w:cs="宋体" w:eastAsia="宋体" w:hint="default"/>
                <w:b/>
                <w:bCs/>
                <w:sz w:val="18"/>
                <w:szCs w:val="18"/>
              </w:rPr>
              <w:t>折旧年限（年）</w:t>
            </w:r>
            <w:r>
              <w:rPr>
                <w:rFonts w:ascii="宋体" w:hAnsi="宋体" w:cs="宋体" w:eastAsia="宋体" w:hint="default"/>
                <w:sz w:val="18"/>
                <w:szCs w:val="18"/>
              </w:rPr>
            </w:r>
          </w:p>
        </w:tc>
        <w:tc>
          <w:tcPr>
            <w:tcW w:w="230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23" w:right="0"/>
              <w:jc w:val="left"/>
              <w:rPr>
                <w:rFonts w:ascii="宋体" w:hAnsi="宋体" w:cs="宋体" w:eastAsia="宋体" w:hint="default"/>
                <w:sz w:val="18"/>
                <w:szCs w:val="18"/>
              </w:rPr>
            </w:pPr>
            <w:r>
              <w:rPr>
                <w:rFonts w:ascii="宋体" w:hAnsi="宋体" w:cs="宋体" w:eastAsia="宋体" w:hint="default"/>
                <w:b/>
                <w:bCs/>
                <w:sz w:val="18"/>
                <w:szCs w:val="18"/>
              </w:rPr>
              <w:t>预计残值率（%）</w:t>
            </w:r>
            <w:r>
              <w:rPr>
                <w:rFonts w:ascii="宋体" w:hAnsi="宋体" w:cs="宋体" w:eastAsia="宋体" w:hint="default"/>
                <w:sz w:val="18"/>
                <w:szCs w:val="18"/>
              </w:rPr>
            </w:r>
          </w:p>
        </w:tc>
        <w:tc>
          <w:tcPr>
            <w:tcW w:w="1814"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98" w:right="0"/>
              <w:jc w:val="center"/>
              <w:rPr>
                <w:rFonts w:ascii="宋体" w:hAnsi="宋体" w:cs="宋体" w:eastAsia="宋体" w:hint="default"/>
                <w:sz w:val="18"/>
                <w:szCs w:val="18"/>
              </w:rPr>
            </w:pPr>
            <w:r>
              <w:rPr>
                <w:rFonts w:ascii="宋体" w:hAnsi="宋体" w:cs="宋体" w:eastAsia="宋体" w:hint="default"/>
                <w:b/>
                <w:bCs/>
                <w:sz w:val="18"/>
                <w:szCs w:val="18"/>
              </w:rPr>
              <w:t>年折旧率（%）</w:t>
            </w:r>
            <w:r>
              <w:rPr>
                <w:rFonts w:ascii="宋体" w:hAnsi="宋体" w:cs="宋体" w:eastAsia="宋体" w:hint="default"/>
                <w:sz w:val="18"/>
                <w:szCs w:val="18"/>
              </w:rPr>
            </w:r>
          </w:p>
        </w:tc>
      </w:tr>
      <w:tr>
        <w:trPr>
          <w:trHeight w:val="402" w:hRule="exact"/>
        </w:trPr>
        <w:tc>
          <w:tcPr>
            <w:tcW w:w="254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20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0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50</w:t>
            </w:r>
          </w:p>
        </w:tc>
        <w:tc>
          <w:tcPr>
            <w:tcW w:w="23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0</w:t>
            </w:r>
          </w:p>
        </w:tc>
        <w:tc>
          <w:tcPr>
            <w:tcW w:w="181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2.00</w:t>
            </w:r>
          </w:p>
        </w:tc>
      </w:tr>
      <w:tr>
        <w:trPr>
          <w:trHeight w:val="414" w:hRule="exact"/>
        </w:trPr>
        <w:tc>
          <w:tcPr>
            <w:tcW w:w="254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20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6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20</w:t>
            </w:r>
          </w:p>
        </w:tc>
        <w:tc>
          <w:tcPr>
            <w:tcW w:w="230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5</w:t>
            </w:r>
          </w:p>
        </w:tc>
        <w:tc>
          <w:tcPr>
            <w:tcW w:w="1814"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4.97</w:t>
            </w:r>
          </w:p>
        </w:tc>
      </w:tr>
    </w:tbl>
    <w:p>
      <w:pPr>
        <w:spacing w:after="0" w:line="240" w:lineRule="auto"/>
        <w:jc w:val="center"/>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p>
      <w:pPr>
        <w:pStyle w:val="BodyText"/>
        <w:spacing w:line="240" w:lineRule="auto"/>
        <w:ind w:left="546" w:right="493"/>
        <w:jc w:val="left"/>
      </w:pPr>
      <w:r>
        <w:rPr/>
        <w:t>18.</w:t>
      </w:r>
      <w:r>
        <w:rPr>
          <w:spacing w:val="-2"/>
        </w:rPr>
        <w:t> </w:t>
      </w:r>
      <w:bookmarkStart w:name="18.固定资产" w:id="201"/>
      <w:bookmarkEnd w:id="201"/>
      <w:r>
        <w:rPr/>
        <w:t>固</w:t>
      </w:r>
      <w:r>
        <w:rPr/>
        <w:t>定资产</w:t>
      </w:r>
    </w:p>
    <w:p>
      <w:pPr>
        <w:pStyle w:val="BodyText"/>
        <w:spacing w:line="600" w:lineRule="atLeast" w:before="0"/>
        <w:ind w:left="560" w:right="493"/>
        <w:jc w:val="left"/>
      </w:pPr>
      <w:r>
        <w:rPr/>
        <w:t>（1）确认条件</w:t>
      </w:r>
      <w:r>
        <w:rPr>
          <w:w w:val="100"/>
        </w:rPr>
        <w:t> </w:t>
      </w:r>
      <w:r>
        <w:rPr>
          <w:spacing w:val="-4"/>
        </w:rPr>
        <w:t>本集团固定资产是指同时具有以下特征，即为生产商品、提供劳务、出租或经营管理</w:t>
      </w:r>
    </w:p>
    <w:p>
      <w:pPr>
        <w:pStyle w:val="BodyText"/>
        <w:spacing w:line="240" w:lineRule="auto" w:before="72"/>
        <w:ind w:left="121" w:right="493"/>
        <w:jc w:val="left"/>
      </w:pPr>
      <w:r>
        <w:rPr/>
        <w:t>而持有的，使用年限超过一年的有形资产。</w:t>
      </w:r>
    </w:p>
    <w:p>
      <w:pPr>
        <w:spacing w:line="240" w:lineRule="auto" w:before="11"/>
        <w:rPr>
          <w:rFonts w:ascii="宋体" w:hAnsi="宋体" w:cs="宋体" w:eastAsia="宋体" w:hint="default"/>
          <w:sz w:val="23"/>
          <w:szCs w:val="23"/>
        </w:rPr>
      </w:pPr>
    </w:p>
    <w:p>
      <w:pPr>
        <w:pStyle w:val="BodyText"/>
        <w:spacing w:line="300" w:lineRule="auto" w:before="0"/>
        <w:ind w:left="121" w:right="493" w:firstLine="439"/>
        <w:jc w:val="left"/>
      </w:pPr>
      <w:r>
        <w:rPr>
          <w:spacing w:val="-4"/>
        </w:rPr>
        <w:t>固定资产在与其有关的经济利益很可能流入本集团、且其成本能够可靠计量时予以确</w:t>
      </w:r>
      <w:r>
        <w:rPr>
          <w:w w:val="100"/>
        </w:rPr>
        <w:t> </w:t>
      </w:r>
      <w:r>
        <w:rPr/>
        <w:t>认。本集团固定资产包括房屋及建筑物、机器设备、运输设备、办公及其他设备。</w:t>
      </w:r>
    </w:p>
    <w:p>
      <w:pPr>
        <w:pStyle w:val="BodyText"/>
        <w:spacing w:line="600" w:lineRule="exact" w:before="34"/>
        <w:ind w:left="560" w:right="493"/>
        <w:jc w:val="left"/>
      </w:pPr>
      <w:r>
        <w:rPr/>
        <w:t>（2）折旧方法</w:t>
      </w:r>
      <w:r>
        <w:rPr>
          <w:w w:val="100"/>
        </w:rPr>
        <w:t> </w:t>
      </w:r>
      <w:r>
        <w:rPr>
          <w:spacing w:val="-4"/>
        </w:rPr>
        <w:t>除已提足折旧仍继续使用的固定资产和单独计价入账的土地外，本集团对所有固定资</w:t>
      </w:r>
    </w:p>
    <w:p>
      <w:pPr>
        <w:pStyle w:val="BodyText"/>
        <w:spacing w:line="271" w:lineRule="exact" w:before="0"/>
        <w:ind w:left="121" w:right="493"/>
        <w:jc w:val="left"/>
      </w:pPr>
      <w:r>
        <w:rPr>
          <w:spacing w:val="-4"/>
        </w:rPr>
        <w:t>产计提折旧。计提折旧时采用平均年限法。本集团固定资产的分类折旧年限、预计净残值</w:t>
      </w:r>
    </w:p>
    <w:p>
      <w:pPr>
        <w:pStyle w:val="BodyText"/>
        <w:spacing w:line="240" w:lineRule="auto" w:before="72"/>
        <w:ind w:left="121" w:right="493"/>
        <w:jc w:val="left"/>
      </w:pPr>
      <w:r>
        <w:rPr/>
        <w:t>率、折旧率如下：</w:t>
      </w:r>
    </w:p>
    <w:p>
      <w:pPr>
        <w:spacing w:line="240" w:lineRule="auto" w:before="2"/>
        <w:rPr>
          <w:rFonts w:ascii="宋体" w:hAnsi="宋体" w:cs="宋体" w:eastAsia="宋体"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1080"/>
        <w:gridCol w:w="1917"/>
        <w:gridCol w:w="1917"/>
        <w:gridCol w:w="1917"/>
        <w:gridCol w:w="1676"/>
      </w:tblGrid>
      <w:tr>
        <w:trPr>
          <w:trHeight w:val="415" w:hRule="exact"/>
        </w:trPr>
        <w:tc>
          <w:tcPr>
            <w:tcW w:w="108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96"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9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95"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9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00" w:right="0"/>
              <w:jc w:val="center"/>
              <w:rPr>
                <w:rFonts w:ascii="宋体" w:hAnsi="宋体" w:cs="宋体" w:eastAsia="宋体" w:hint="default"/>
                <w:sz w:val="18"/>
                <w:szCs w:val="18"/>
              </w:rPr>
            </w:pPr>
            <w:r>
              <w:rPr>
                <w:rFonts w:ascii="宋体" w:hAnsi="宋体" w:cs="宋体" w:eastAsia="宋体" w:hint="default"/>
                <w:b/>
                <w:bCs/>
                <w:sz w:val="18"/>
                <w:szCs w:val="18"/>
              </w:rPr>
              <w:t>折旧年限(年)</w:t>
            </w:r>
            <w:r>
              <w:rPr>
                <w:rFonts w:ascii="宋体" w:hAnsi="宋体" w:cs="宋体" w:eastAsia="宋体" w:hint="default"/>
                <w:sz w:val="18"/>
                <w:szCs w:val="18"/>
              </w:rPr>
            </w:r>
          </w:p>
        </w:tc>
        <w:tc>
          <w:tcPr>
            <w:tcW w:w="19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01" w:right="0"/>
              <w:jc w:val="center"/>
              <w:rPr>
                <w:rFonts w:ascii="宋体" w:hAnsi="宋体" w:cs="宋体" w:eastAsia="宋体" w:hint="default"/>
                <w:sz w:val="18"/>
                <w:szCs w:val="18"/>
              </w:rPr>
            </w:pPr>
            <w:r>
              <w:rPr>
                <w:rFonts w:ascii="宋体" w:hAnsi="宋体" w:cs="宋体" w:eastAsia="宋体" w:hint="default"/>
                <w:b/>
                <w:bCs/>
                <w:sz w:val="18"/>
                <w:szCs w:val="18"/>
              </w:rPr>
              <w:t>预计残值率(%)</w:t>
            </w:r>
            <w:r>
              <w:rPr>
                <w:rFonts w:ascii="宋体" w:hAnsi="宋体" w:cs="宋体" w:eastAsia="宋体" w:hint="default"/>
                <w:sz w:val="18"/>
                <w:szCs w:val="18"/>
              </w:rPr>
            </w:r>
          </w:p>
        </w:tc>
        <w:tc>
          <w:tcPr>
            <w:tcW w:w="167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288"/>
              <w:jc w:val="right"/>
              <w:rPr>
                <w:rFonts w:ascii="宋体" w:hAnsi="宋体" w:cs="宋体" w:eastAsia="宋体" w:hint="default"/>
                <w:sz w:val="18"/>
                <w:szCs w:val="18"/>
              </w:rPr>
            </w:pPr>
            <w:r>
              <w:rPr>
                <w:rFonts w:ascii="宋体" w:hAnsi="宋体" w:cs="宋体" w:eastAsia="宋体" w:hint="default"/>
                <w:b/>
                <w:bCs/>
                <w:w w:val="95"/>
                <w:sz w:val="18"/>
                <w:szCs w:val="18"/>
              </w:rPr>
              <w:t>年折旧率(%)</w:t>
            </w:r>
            <w:r>
              <w:rPr>
                <w:rFonts w:ascii="宋体" w:hAnsi="宋体" w:cs="宋体" w:eastAsia="宋体" w:hint="default"/>
                <w:sz w:val="18"/>
                <w:szCs w:val="18"/>
              </w:rPr>
            </w:r>
          </w:p>
        </w:tc>
      </w:tr>
      <w:tr>
        <w:trPr>
          <w:trHeight w:val="402" w:hRule="exact"/>
        </w:trPr>
        <w:tc>
          <w:tcPr>
            <w:tcW w:w="10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right="490"/>
              <w:jc w:val="right"/>
              <w:rPr>
                <w:rFonts w:ascii="宋体" w:hAnsi="宋体" w:cs="宋体" w:eastAsia="宋体" w:hint="default"/>
                <w:sz w:val="18"/>
                <w:szCs w:val="18"/>
              </w:rPr>
            </w:pPr>
            <w:r>
              <w:rPr>
                <w:rFonts w:ascii="宋体"/>
                <w:sz w:val="18"/>
              </w:rPr>
              <w:t>1</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96"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sz w:val="18"/>
              </w:rPr>
              <w:t>8-20</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5</w:t>
            </w:r>
          </w:p>
        </w:tc>
        <w:tc>
          <w:tcPr>
            <w:tcW w:w="1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292"/>
              <w:jc w:val="right"/>
              <w:rPr>
                <w:rFonts w:ascii="宋体" w:hAnsi="宋体" w:cs="宋体" w:eastAsia="宋体" w:hint="default"/>
                <w:sz w:val="18"/>
                <w:szCs w:val="18"/>
              </w:rPr>
            </w:pPr>
            <w:r>
              <w:rPr>
                <w:rFonts w:ascii="宋体" w:hAnsi="宋体" w:cs="宋体" w:eastAsia="宋体" w:hint="default"/>
                <w:spacing w:val="-1"/>
                <w:sz w:val="18"/>
                <w:szCs w:val="18"/>
              </w:rPr>
              <w:t>4.75－11.875</w:t>
            </w:r>
          </w:p>
        </w:tc>
      </w:tr>
      <w:tr>
        <w:trPr>
          <w:trHeight w:val="402" w:hRule="exact"/>
        </w:trPr>
        <w:tc>
          <w:tcPr>
            <w:tcW w:w="10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right="490"/>
              <w:jc w:val="right"/>
              <w:rPr>
                <w:rFonts w:ascii="宋体" w:hAnsi="宋体" w:cs="宋体" w:eastAsia="宋体" w:hint="default"/>
                <w:sz w:val="18"/>
                <w:szCs w:val="18"/>
              </w:rPr>
            </w:pPr>
            <w:r>
              <w:rPr>
                <w:rFonts w:ascii="宋体"/>
                <w:sz w:val="18"/>
              </w:rPr>
              <w:t>2</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9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sz w:val="18"/>
              </w:rPr>
              <w:t>5-10</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3-5</w:t>
            </w:r>
          </w:p>
        </w:tc>
        <w:tc>
          <w:tcPr>
            <w:tcW w:w="1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384"/>
              <w:jc w:val="right"/>
              <w:rPr>
                <w:rFonts w:ascii="宋体" w:hAnsi="宋体" w:cs="宋体" w:eastAsia="宋体" w:hint="default"/>
                <w:sz w:val="18"/>
                <w:szCs w:val="18"/>
              </w:rPr>
            </w:pPr>
            <w:r>
              <w:rPr>
                <w:rFonts w:ascii="宋体"/>
                <w:spacing w:val="-1"/>
                <w:sz w:val="18"/>
              </w:rPr>
              <w:t>9.50-19.40</w:t>
            </w:r>
          </w:p>
        </w:tc>
      </w:tr>
      <w:tr>
        <w:trPr>
          <w:trHeight w:val="402" w:hRule="exact"/>
        </w:trPr>
        <w:tc>
          <w:tcPr>
            <w:tcW w:w="10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right="490"/>
              <w:jc w:val="right"/>
              <w:rPr>
                <w:rFonts w:ascii="宋体" w:hAnsi="宋体" w:cs="宋体" w:eastAsia="宋体" w:hint="default"/>
                <w:sz w:val="18"/>
                <w:szCs w:val="18"/>
              </w:rPr>
            </w:pPr>
            <w:r>
              <w:rPr>
                <w:rFonts w:ascii="宋体"/>
                <w:sz w:val="18"/>
              </w:rPr>
              <w:t>3</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96"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5</w:t>
            </w:r>
          </w:p>
        </w:tc>
        <w:tc>
          <w:tcPr>
            <w:tcW w:w="19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3-5</w:t>
            </w:r>
          </w:p>
        </w:tc>
        <w:tc>
          <w:tcPr>
            <w:tcW w:w="1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340"/>
              <w:jc w:val="right"/>
              <w:rPr>
                <w:rFonts w:ascii="宋体" w:hAnsi="宋体" w:cs="宋体" w:eastAsia="宋体" w:hint="default"/>
                <w:sz w:val="18"/>
                <w:szCs w:val="18"/>
              </w:rPr>
            </w:pPr>
            <w:r>
              <w:rPr>
                <w:rFonts w:ascii="宋体"/>
                <w:spacing w:val="-1"/>
                <w:sz w:val="18"/>
              </w:rPr>
              <w:t>19.00-19.40</w:t>
            </w:r>
          </w:p>
        </w:tc>
      </w:tr>
      <w:tr>
        <w:trPr>
          <w:trHeight w:val="414" w:hRule="exact"/>
        </w:trPr>
        <w:tc>
          <w:tcPr>
            <w:tcW w:w="108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right="490"/>
              <w:jc w:val="right"/>
              <w:rPr>
                <w:rFonts w:ascii="宋体" w:hAnsi="宋体" w:cs="宋体" w:eastAsia="宋体" w:hint="default"/>
                <w:sz w:val="18"/>
                <w:szCs w:val="18"/>
              </w:rPr>
            </w:pPr>
            <w:r>
              <w:rPr>
                <w:rFonts w:ascii="宋体"/>
                <w:sz w:val="18"/>
              </w:rPr>
              <w:t>4</w:t>
            </w:r>
          </w:p>
        </w:tc>
        <w:tc>
          <w:tcPr>
            <w:tcW w:w="19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96" w:right="0"/>
              <w:jc w:val="left"/>
              <w:rPr>
                <w:rFonts w:ascii="宋体" w:hAnsi="宋体" w:cs="宋体" w:eastAsia="宋体" w:hint="default"/>
                <w:sz w:val="18"/>
                <w:szCs w:val="18"/>
              </w:rPr>
            </w:pPr>
            <w:r>
              <w:rPr>
                <w:rFonts w:ascii="宋体" w:hAnsi="宋体" w:cs="宋体" w:eastAsia="宋体" w:hint="default"/>
                <w:sz w:val="18"/>
                <w:szCs w:val="18"/>
              </w:rPr>
              <w:t>办公及其他设备</w:t>
            </w:r>
          </w:p>
        </w:tc>
        <w:tc>
          <w:tcPr>
            <w:tcW w:w="19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5</w:t>
            </w:r>
          </w:p>
        </w:tc>
        <w:tc>
          <w:tcPr>
            <w:tcW w:w="19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3-5</w:t>
            </w:r>
          </w:p>
        </w:tc>
        <w:tc>
          <w:tcPr>
            <w:tcW w:w="167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340"/>
              <w:jc w:val="right"/>
              <w:rPr>
                <w:rFonts w:ascii="宋体" w:hAnsi="宋体" w:cs="宋体" w:eastAsia="宋体" w:hint="default"/>
                <w:sz w:val="18"/>
                <w:szCs w:val="18"/>
              </w:rPr>
            </w:pPr>
            <w:r>
              <w:rPr>
                <w:rFonts w:ascii="宋体"/>
                <w:spacing w:val="-1"/>
                <w:sz w:val="18"/>
              </w:rPr>
              <w:t>19.00-19.40</w:t>
            </w:r>
          </w:p>
        </w:tc>
      </w:tr>
    </w:tbl>
    <w:p>
      <w:pPr>
        <w:spacing w:line="240" w:lineRule="auto" w:before="5"/>
        <w:rPr>
          <w:rFonts w:ascii="宋体" w:hAnsi="宋体" w:cs="宋体" w:eastAsia="宋体" w:hint="default"/>
          <w:sz w:val="18"/>
          <w:szCs w:val="18"/>
        </w:rPr>
      </w:pPr>
    </w:p>
    <w:p>
      <w:pPr>
        <w:pStyle w:val="BodyText"/>
        <w:spacing w:line="300" w:lineRule="auto"/>
        <w:ind w:left="121" w:right="493" w:firstLine="439"/>
        <w:jc w:val="left"/>
      </w:pPr>
      <w:r>
        <w:rPr>
          <w:spacing w:val="-4"/>
        </w:rPr>
        <w:t>本集团于每年年度终了，对固定资产的预计使用寿命、预计净残值和折旧方法进行复</w:t>
      </w:r>
      <w:r>
        <w:rPr>
          <w:w w:val="100"/>
        </w:rPr>
        <w:t> </w:t>
      </w:r>
      <w:r>
        <w:rPr/>
        <w:t>核，如发生改变，则作为会计估计变更处理。</w:t>
      </w:r>
    </w:p>
    <w:p>
      <w:pPr>
        <w:pStyle w:val="BodyText"/>
        <w:spacing w:line="600" w:lineRule="exact" w:before="34"/>
        <w:ind w:left="560" w:right="493" w:hanging="15"/>
        <w:jc w:val="left"/>
      </w:pPr>
      <w:r>
        <w:rPr/>
        <w:t>19.</w:t>
      </w:r>
      <w:r>
        <w:rPr>
          <w:spacing w:val="-1"/>
        </w:rPr>
        <w:t> </w:t>
      </w:r>
      <w:bookmarkStart w:name="19.在建工程" w:id="202"/>
      <w:bookmarkEnd w:id="202"/>
      <w:r>
        <w:rPr/>
        <w:t>在</w:t>
      </w:r>
      <w:r>
        <w:rPr/>
        <w:t>建工程</w:t>
      </w:r>
      <w:r>
        <w:rPr>
          <w:w w:val="100"/>
        </w:rPr>
        <w:t> </w:t>
      </w:r>
      <w:r>
        <w:rPr>
          <w:spacing w:val="-4"/>
        </w:rPr>
        <w:t>在建工程在达到预定可使用状态之日起，根据工程预算、造价或工程实际成本等，按</w:t>
      </w:r>
    </w:p>
    <w:p>
      <w:pPr>
        <w:pStyle w:val="BodyText"/>
        <w:spacing w:line="271" w:lineRule="exact" w:before="0"/>
        <w:ind w:left="121" w:right="493"/>
        <w:jc w:val="left"/>
      </w:pPr>
      <w:r>
        <w:rPr>
          <w:spacing w:val="-4"/>
        </w:rPr>
        <w:t>估计的价值结转固定资产，次月起开始计提折旧，待办理了竣工决算手续后再对固定资产</w:t>
      </w:r>
    </w:p>
    <w:p>
      <w:pPr>
        <w:pStyle w:val="BodyText"/>
        <w:spacing w:line="499" w:lineRule="auto" w:before="72"/>
        <w:ind w:left="546" w:right="7936" w:hanging="425"/>
        <w:jc w:val="left"/>
      </w:pPr>
      <w:r>
        <w:rPr>
          <w:spacing w:val="-2"/>
        </w:rPr>
        <w:t>原值差异进行调整。</w:t>
      </w:r>
      <w:r>
        <w:rPr>
          <w:spacing w:val="-97"/>
        </w:rPr>
        <w:t> </w:t>
      </w:r>
      <w:r>
        <w:rPr>
          <w:spacing w:val="-97"/>
        </w:rPr>
      </w:r>
      <w:r>
        <w:rPr/>
        <w:t>20.</w:t>
      </w:r>
      <w:r>
        <w:rPr>
          <w:spacing w:val="-2"/>
        </w:rPr>
        <w:t> </w:t>
      </w:r>
      <w:bookmarkStart w:name="20.无形资产" w:id="203"/>
      <w:bookmarkEnd w:id="203"/>
      <w:r>
        <w:rPr/>
        <w:t>无</w:t>
      </w:r>
      <w:r>
        <w:rPr/>
        <w:t>形资产</w:t>
      </w:r>
    </w:p>
    <w:p>
      <w:pPr>
        <w:pStyle w:val="BodyText"/>
        <w:spacing w:line="240" w:lineRule="auto" w:before="74"/>
        <w:ind w:left="560" w:right="493"/>
        <w:jc w:val="left"/>
      </w:pPr>
      <w:r>
        <w:rPr/>
        <w:t>（1）计价方法、使用寿命、减值测试</w:t>
      </w:r>
    </w:p>
    <w:p>
      <w:pPr>
        <w:spacing w:line="240" w:lineRule="auto" w:before="11"/>
        <w:rPr>
          <w:rFonts w:ascii="宋体" w:hAnsi="宋体" w:cs="宋体" w:eastAsia="宋体" w:hint="default"/>
          <w:sz w:val="23"/>
          <w:szCs w:val="23"/>
        </w:rPr>
      </w:pPr>
    </w:p>
    <w:p>
      <w:pPr>
        <w:pStyle w:val="BodyText"/>
        <w:spacing w:line="300" w:lineRule="auto" w:before="0"/>
        <w:ind w:left="121" w:right="493" w:firstLine="439"/>
        <w:jc w:val="left"/>
      </w:pPr>
      <w:r>
        <w:rPr>
          <w:spacing w:val="-7"/>
        </w:rPr>
        <w:t>本集团无形资产包括土地使用权、专利技术、办公软件等，按取得时的实际成本计量，</w:t>
      </w:r>
      <w:r>
        <w:rPr>
          <w:w w:val="100"/>
        </w:rPr>
        <w:t> </w:t>
      </w:r>
      <w:r>
        <w:rPr>
          <w:spacing w:val="-4"/>
        </w:rPr>
        <w:t>其中，购入的无形资产，按实际支付的价款和相关的其他支出作为实际成本；投资者投入</w:t>
      </w:r>
      <w:r>
        <w:rPr>
          <w:spacing w:val="-51"/>
        </w:rPr>
        <w:t> </w:t>
      </w:r>
      <w:r>
        <w:rPr>
          <w:spacing w:val="-51"/>
        </w:rPr>
      </w:r>
      <w:r>
        <w:rPr>
          <w:spacing w:val="-4"/>
        </w:rPr>
        <w:t>的无形资产，按投资合同或协议约定的价值确定实际成本，但合同或协议约定价值不公允</w:t>
      </w:r>
      <w:r>
        <w:rPr>
          <w:spacing w:val="-51"/>
        </w:rPr>
        <w:t> </w:t>
      </w:r>
      <w:r>
        <w:rPr>
          <w:spacing w:val="-51"/>
        </w:rPr>
      </w:r>
      <w:r>
        <w:rPr/>
        <w:t>的，按公允价值确定实际成本。</w:t>
      </w:r>
    </w:p>
    <w:p>
      <w:pPr>
        <w:spacing w:after="0" w:line="300" w:lineRule="auto"/>
        <w:jc w:val="left"/>
        <w:sectPr>
          <w:pgSz w:w="11910" w:h="16840"/>
          <w:pgMar w:header="939" w:footer="883" w:top="1940" w:bottom="1080" w:left="1580" w:right="0"/>
        </w:sectPr>
      </w:pPr>
    </w:p>
    <w:p>
      <w:pPr>
        <w:spacing w:line="240" w:lineRule="auto" w:before="11"/>
        <w:rPr>
          <w:rFonts w:ascii="宋体" w:hAnsi="宋体" w:cs="宋体" w:eastAsia="宋体" w:hint="default"/>
          <w:sz w:val="11"/>
          <w:szCs w:val="11"/>
        </w:rPr>
      </w:pPr>
    </w:p>
    <w:p>
      <w:pPr>
        <w:pStyle w:val="BodyText"/>
        <w:spacing w:line="300" w:lineRule="auto"/>
        <w:ind w:right="1090" w:firstLine="439"/>
        <w:jc w:val="left"/>
      </w:pPr>
      <w:r>
        <w:rPr>
          <w:spacing w:val="-3"/>
        </w:rPr>
        <w:t>土地使用权从出让起始日起，按其出让年限平均摊销；xx</w:t>
      </w:r>
      <w:r>
        <w:rPr>
          <w:spacing w:val="-33"/>
        </w:rPr>
        <w:t> </w:t>
      </w:r>
      <w:r>
        <w:rPr/>
        <w:t>无形资产按预计使用年限、</w:t>
      </w:r>
      <w:r>
        <w:rPr>
          <w:w w:val="100"/>
        </w:rPr>
        <w:t> </w:t>
      </w:r>
      <w:r>
        <w:rPr>
          <w:spacing w:val="-4"/>
        </w:rPr>
        <w:t>合同规定的受益年限和法律规定的有效年限三者中最短者分期平均摊销。摊销金额按其受</w:t>
      </w:r>
      <w:r>
        <w:rPr>
          <w:spacing w:val="-51"/>
        </w:rPr>
        <w:t> </w:t>
      </w:r>
      <w:r>
        <w:rPr>
          <w:spacing w:val="-51"/>
        </w:rPr>
      </w:r>
      <w:r>
        <w:rPr>
          <w:spacing w:val="-4"/>
        </w:rPr>
        <w:t>益对象计入相关资产成本和当期损益。对使用寿命有限的无形资产的预计使用寿命及摊销</w:t>
      </w:r>
      <w:r>
        <w:rPr>
          <w:spacing w:val="-51"/>
        </w:rPr>
        <w:t> </w:t>
      </w:r>
      <w:r>
        <w:rPr>
          <w:spacing w:val="-51"/>
        </w:rPr>
      </w:r>
      <w:r>
        <w:rPr/>
        <w:t>方法于每年年度终了进行复核，如发生改变，则作为会计估计变更处理。</w:t>
      </w:r>
    </w:p>
    <w:p>
      <w:pPr>
        <w:pStyle w:val="BodyText"/>
        <w:spacing w:line="600" w:lineRule="exact" w:before="34"/>
        <w:ind w:left="540" w:right="1634"/>
        <w:jc w:val="left"/>
      </w:pPr>
      <w:r>
        <w:rPr/>
        <w:t>（2）内部研究开发支出会计政策</w:t>
      </w:r>
      <w:r>
        <w:rPr>
          <w:w w:val="100"/>
        </w:rPr>
        <w:t> </w:t>
      </w:r>
      <w:r>
        <w:rPr>
          <w:spacing w:val="2"/>
        </w:rPr>
        <w:t>本集团的研究开发支出根据其性质以及研发活动最终形成无形资产是否具有较大不</w:t>
      </w:r>
    </w:p>
    <w:p>
      <w:pPr>
        <w:pStyle w:val="BodyText"/>
        <w:spacing w:line="271" w:lineRule="exact" w:before="0"/>
        <w:ind w:right="1090"/>
        <w:jc w:val="left"/>
      </w:pPr>
      <w:r>
        <w:rPr/>
        <w:t>确定性，分为研究阶段支出和开发阶段支出。研究阶段的支出，于发生时计入当期损益；</w:t>
      </w:r>
    </w:p>
    <w:p>
      <w:pPr>
        <w:pStyle w:val="BodyText"/>
        <w:spacing w:line="240" w:lineRule="auto" w:before="72"/>
        <w:ind w:right="1634"/>
        <w:jc w:val="left"/>
      </w:pPr>
      <w:r>
        <w:rPr/>
        <w:t>开发阶段的支出，同时满足下列条件的，确认为无形资产：</w:t>
      </w:r>
    </w:p>
    <w:p>
      <w:pPr>
        <w:spacing w:line="240" w:lineRule="auto" w:before="11"/>
        <w:rPr>
          <w:rFonts w:ascii="宋体" w:hAnsi="宋体" w:cs="宋体" w:eastAsia="宋体" w:hint="default"/>
          <w:sz w:val="23"/>
          <w:szCs w:val="23"/>
        </w:rPr>
      </w:pPr>
    </w:p>
    <w:p>
      <w:pPr>
        <w:pStyle w:val="BodyText"/>
        <w:spacing w:line="240" w:lineRule="auto" w:before="0"/>
        <w:ind w:left="540" w:right="1634"/>
        <w:jc w:val="left"/>
      </w:pPr>
      <w:r>
        <w:rPr>
          <w:rFonts w:ascii="Calibri" w:hAnsi="Calibri" w:cs="Calibri" w:eastAsia="Calibri" w:hint="default"/>
        </w:rPr>
        <w:t>①</w:t>
      </w:r>
      <w:r>
        <w:rPr/>
        <w:t>完成该无形资产以使其能够使用或出售在技术上具有可行性；</w:t>
      </w:r>
    </w:p>
    <w:p>
      <w:pPr>
        <w:spacing w:line="240" w:lineRule="auto" w:before="9"/>
        <w:rPr>
          <w:rFonts w:ascii="宋体" w:hAnsi="宋体" w:cs="宋体" w:eastAsia="宋体" w:hint="default"/>
          <w:sz w:val="21"/>
          <w:szCs w:val="21"/>
        </w:rPr>
      </w:pPr>
    </w:p>
    <w:p>
      <w:pPr>
        <w:pStyle w:val="BodyText"/>
        <w:spacing w:line="240" w:lineRule="auto" w:before="0"/>
        <w:ind w:left="540" w:right="1634"/>
        <w:jc w:val="left"/>
      </w:pPr>
      <w:r>
        <w:rPr>
          <w:rFonts w:ascii="Calibri" w:hAnsi="Calibri" w:cs="Calibri" w:eastAsia="Calibri" w:hint="default"/>
        </w:rPr>
        <w:t>②</w:t>
      </w:r>
      <w:r>
        <w:rPr/>
        <w:t>具有完成该无形资产并使用或出售的意图；</w:t>
      </w:r>
    </w:p>
    <w:p>
      <w:pPr>
        <w:spacing w:line="240" w:lineRule="auto" w:before="9"/>
        <w:rPr>
          <w:rFonts w:ascii="宋体" w:hAnsi="宋体" w:cs="宋体" w:eastAsia="宋体" w:hint="default"/>
          <w:sz w:val="21"/>
          <w:szCs w:val="21"/>
        </w:rPr>
      </w:pPr>
    </w:p>
    <w:p>
      <w:pPr>
        <w:pStyle w:val="BodyText"/>
        <w:spacing w:line="240" w:lineRule="auto" w:before="0"/>
        <w:ind w:left="540" w:right="1634"/>
        <w:jc w:val="left"/>
      </w:pPr>
      <w:r>
        <w:rPr>
          <w:rFonts w:ascii="Calibri" w:hAnsi="Calibri" w:cs="Calibri" w:eastAsia="Calibri" w:hint="default"/>
        </w:rPr>
        <w:t>③</w:t>
      </w:r>
      <w:r>
        <w:rPr/>
        <w:t>运用该无形资产生产的产品存在市场或无形资产自身存在市场；</w:t>
      </w:r>
    </w:p>
    <w:p>
      <w:pPr>
        <w:spacing w:line="240" w:lineRule="auto" w:before="9"/>
        <w:rPr>
          <w:rFonts w:ascii="宋体" w:hAnsi="宋体" w:cs="宋体" w:eastAsia="宋体" w:hint="default"/>
          <w:sz w:val="21"/>
          <w:szCs w:val="21"/>
        </w:rPr>
      </w:pPr>
    </w:p>
    <w:p>
      <w:pPr>
        <w:pStyle w:val="BodyText"/>
        <w:spacing w:line="273" w:lineRule="auto" w:before="0"/>
        <w:ind w:right="1634" w:firstLine="439"/>
        <w:jc w:val="left"/>
      </w:pPr>
      <w:r>
        <w:rPr>
          <w:rFonts w:ascii="Calibri" w:hAnsi="Calibri" w:cs="Calibri" w:eastAsia="Calibri" w:hint="default"/>
        </w:rPr>
        <w:t>④</w:t>
      </w:r>
      <w:r>
        <w:rPr/>
        <w:t>有足够的技术、财务资源和其他资源支持，以完成该无形资产的开发，并有能力</w:t>
      </w:r>
      <w:r>
        <w:rPr>
          <w:w w:val="100"/>
        </w:rPr>
        <w:t> </w:t>
      </w:r>
      <w:r>
        <w:rPr/>
        <w:t>使用或出售该无形资产；</w:t>
      </w:r>
    </w:p>
    <w:p>
      <w:pPr>
        <w:pStyle w:val="BodyText"/>
        <w:spacing w:line="570" w:lineRule="atLeast" w:before="27"/>
        <w:ind w:left="540" w:right="1634"/>
        <w:jc w:val="left"/>
      </w:pPr>
      <w:r>
        <w:rPr>
          <w:rFonts w:ascii="Calibri" w:hAnsi="Calibri" w:cs="Calibri" w:eastAsia="Calibri" w:hint="default"/>
        </w:rPr>
        <w:t>⑤</w:t>
      </w:r>
      <w:r>
        <w:rPr/>
        <w:t>归属于该无形资产开发阶段的支出能够可靠地计量。</w:t>
      </w:r>
      <w:r>
        <w:rPr>
          <w:w w:val="100"/>
        </w:rPr>
        <w:t> </w:t>
      </w:r>
      <w:r>
        <w:rPr>
          <w:spacing w:val="-4"/>
        </w:rPr>
        <w:t>不满足上述条件的开发阶段的支出，于发生时计入当期损益。前期已计入损益的开发</w:t>
      </w:r>
    </w:p>
    <w:p>
      <w:pPr>
        <w:pStyle w:val="BodyText"/>
        <w:spacing w:line="300" w:lineRule="auto" w:before="72"/>
        <w:ind w:right="1634"/>
        <w:jc w:val="left"/>
      </w:pPr>
      <w:r>
        <w:rPr>
          <w:spacing w:val="-4"/>
        </w:rPr>
        <w:t>支出在以后期间不再确认为资产。已资本化的开发阶段的支出在资产负债表上列示为开发</w:t>
      </w:r>
      <w:r>
        <w:rPr>
          <w:spacing w:val="-53"/>
        </w:rPr>
        <w:t> </w:t>
      </w:r>
      <w:r>
        <w:rPr>
          <w:spacing w:val="-53"/>
        </w:rPr>
      </w:r>
      <w:r>
        <w:rPr/>
        <w:t>支出，自该项目达到预定可使用状态之日起转为无形资产列报。</w:t>
      </w:r>
    </w:p>
    <w:p>
      <w:pPr>
        <w:spacing w:line="240" w:lineRule="auto" w:before="8"/>
        <w:rPr>
          <w:rFonts w:ascii="宋体" w:hAnsi="宋体" w:cs="宋体" w:eastAsia="宋体" w:hint="default"/>
          <w:sz w:val="19"/>
          <w:szCs w:val="19"/>
        </w:rPr>
      </w:pPr>
    </w:p>
    <w:p>
      <w:pPr>
        <w:pStyle w:val="BodyText"/>
        <w:spacing w:line="240" w:lineRule="auto" w:before="0"/>
        <w:ind w:left="526" w:right="1634"/>
        <w:jc w:val="left"/>
      </w:pPr>
      <w:r>
        <w:rPr/>
        <w:t>21.</w:t>
      </w:r>
      <w:r>
        <w:rPr>
          <w:spacing w:val="-2"/>
        </w:rPr>
        <w:t> </w:t>
      </w:r>
      <w:bookmarkStart w:name="21.借款费用" w:id="204"/>
      <w:bookmarkEnd w:id="204"/>
      <w:r>
        <w:rPr/>
        <w:t>借</w:t>
      </w:r>
      <w:r>
        <w:rPr/>
        <w:t>款费用</w:t>
      </w:r>
    </w:p>
    <w:p>
      <w:pPr>
        <w:spacing w:line="240" w:lineRule="auto" w:before="11"/>
        <w:rPr>
          <w:rFonts w:ascii="宋体" w:hAnsi="宋体" w:cs="宋体" w:eastAsia="宋体" w:hint="default"/>
          <w:sz w:val="23"/>
          <w:szCs w:val="23"/>
        </w:rPr>
      </w:pPr>
    </w:p>
    <w:p>
      <w:pPr>
        <w:pStyle w:val="BodyText"/>
        <w:spacing w:line="300" w:lineRule="auto" w:before="0"/>
        <w:ind w:right="1694" w:firstLine="439"/>
        <w:jc w:val="both"/>
      </w:pPr>
      <w:r>
        <w:rPr>
          <w:spacing w:val="2"/>
        </w:rPr>
        <w:t>发生的可直接归属于需要经过 </w:t>
      </w:r>
      <w:r>
        <w:rPr/>
        <w:t>1</w:t>
      </w:r>
      <w:r>
        <w:rPr>
          <w:spacing w:val="-56"/>
        </w:rPr>
        <w:t> </w:t>
      </w:r>
      <w:r>
        <w:rPr>
          <w:spacing w:val="2"/>
        </w:rPr>
        <w:t>年以上的购建或者生产活动才能达到预定可使用或</w:t>
      </w:r>
      <w:r>
        <w:rPr>
          <w:w w:val="100"/>
        </w:rPr>
        <w:t> </w:t>
      </w:r>
      <w:r>
        <w:rPr>
          <w:spacing w:val="-4"/>
        </w:rPr>
        <w:t>者可销售状态的固定资产的借款费用，在资产支出已经发生、借款费用已经发生、为使资</w:t>
      </w:r>
      <w:r>
        <w:rPr>
          <w:spacing w:val="-51"/>
        </w:rPr>
        <w:t> </w:t>
      </w:r>
      <w:r>
        <w:rPr>
          <w:spacing w:val="-51"/>
        </w:rPr>
      </w:r>
      <w:r>
        <w:rPr>
          <w:spacing w:val="-4"/>
        </w:rPr>
        <w:t>产达到预定可使用或可销售状态所必要的购建或生产活动已经开始时，开始资本化；当购</w:t>
      </w:r>
      <w:r>
        <w:rPr>
          <w:spacing w:val="-51"/>
        </w:rPr>
        <w:t> </w:t>
      </w:r>
      <w:r>
        <w:rPr>
          <w:spacing w:val="-51"/>
        </w:rPr>
      </w:r>
      <w:r>
        <w:rPr>
          <w:spacing w:val="-4"/>
        </w:rPr>
        <w:t>建或生产符合资本化条件的资产达到预定可使用或可销售状态时，停止资本化，其后发生</w:t>
      </w:r>
      <w:r>
        <w:rPr>
          <w:spacing w:val="-51"/>
        </w:rPr>
        <w:t> </w:t>
      </w:r>
      <w:r>
        <w:rPr>
          <w:spacing w:val="-51"/>
        </w:rPr>
      </w:r>
      <w:r>
        <w:rPr>
          <w:spacing w:val="-4"/>
        </w:rPr>
        <w:t>的借款费用计入当期损益。如果符合资本化条件的资产在购建或者生产过程中发生非正常</w:t>
      </w:r>
      <w:r>
        <w:rPr>
          <w:spacing w:val="-53"/>
        </w:rPr>
        <w:t> </w:t>
      </w:r>
      <w:r>
        <w:rPr>
          <w:spacing w:val="-53"/>
        </w:rPr>
      </w:r>
      <w:r>
        <w:rPr>
          <w:spacing w:val="-4"/>
        </w:rPr>
        <w:t>中断、且中断时间连续超过</w:t>
      </w:r>
      <w:r>
        <w:rPr>
          <w:spacing w:val="-31"/>
        </w:rPr>
        <w:t> </w:t>
      </w:r>
      <w:r>
        <w:rPr/>
        <w:t>3</w:t>
      </w:r>
      <w:r>
        <w:rPr>
          <w:spacing w:val="-35"/>
        </w:rPr>
        <w:t> </w:t>
      </w:r>
      <w:r>
        <w:rPr>
          <w:spacing w:val="-4"/>
        </w:rPr>
        <w:t>个月，暂停借款费用的资本化，直至资产的购建或生产活动</w:t>
      </w:r>
      <w:r>
        <w:rPr>
          <w:spacing w:val="-97"/>
        </w:rPr>
        <w:t> </w:t>
      </w:r>
      <w:r>
        <w:rPr>
          <w:spacing w:val="-97"/>
        </w:rPr>
      </w:r>
      <w:r>
        <w:rPr/>
        <w:t>重新开始。</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专门借款当期实际发生的利息费用，扣除尚未动用的借款资金存入银行取得的利息收</w:t>
      </w:r>
      <w:r>
        <w:rPr>
          <w:w w:val="100"/>
        </w:rPr>
        <w:t> </w:t>
      </w:r>
      <w:r>
        <w:rPr>
          <w:spacing w:val="-4"/>
        </w:rPr>
        <w:t>入或进行暂时性投资取得的投资收益后的金额予以资本化；一般借款根据累计资产支出超</w:t>
      </w:r>
      <w:r>
        <w:rPr>
          <w:spacing w:val="-51"/>
        </w:rPr>
        <w:t> </w:t>
      </w:r>
      <w:r>
        <w:rPr>
          <w:spacing w:val="-51"/>
        </w:rPr>
      </w:r>
      <w:r>
        <w:rPr>
          <w:spacing w:val="2"/>
        </w:rPr>
        <w:t>过专门借款部分的资产支出加权平均数乘以所占用一般借款的资本化率，确定资本化金</w:t>
      </w:r>
      <w:r>
        <w:rPr>
          <w:spacing w:val="-51"/>
        </w:rPr>
        <w:t> </w:t>
      </w:r>
      <w:r>
        <w:rPr>
          <w:spacing w:val="-51"/>
        </w:rPr>
      </w:r>
      <w:r>
        <w:rPr/>
        <w:t>额。资本化率根据一般借款加权平均利率计算确定。</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240" w:lineRule="auto"/>
        <w:ind w:left="526" w:right="1634"/>
        <w:jc w:val="left"/>
      </w:pPr>
      <w:r>
        <w:rPr/>
        <w:t>22.</w:t>
      </w:r>
      <w:r>
        <w:rPr>
          <w:spacing w:val="-4"/>
        </w:rPr>
        <w:t> </w:t>
      </w:r>
      <w:bookmarkStart w:name="22.长期资产减值" w:id="205"/>
      <w:bookmarkEnd w:id="205"/>
      <w:r>
        <w:rPr/>
        <w:t>长</w:t>
      </w:r>
      <w:r>
        <w:rPr/>
        <w:t>期资产减值</w:t>
      </w:r>
    </w:p>
    <w:p>
      <w:pPr>
        <w:spacing w:line="240" w:lineRule="auto" w:before="11"/>
        <w:rPr>
          <w:rFonts w:ascii="宋体" w:hAnsi="宋体" w:cs="宋体" w:eastAsia="宋体" w:hint="default"/>
          <w:sz w:val="23"/>
          <w:szCs w:val="23"/>
        </w:rPr>
      </w:pPr>
    </w:p>
    <w:p>
      <w:pPr>
        <w:pStyle w:val="BodyText"/>
        <w:spacing w:line="300" w:lineRule="auto" w:before="0"/>
        <w:ind w:right="1694" w:firstLine="439"/>
        <w:jc w:val="both"/>
      </w:pPr>
      <w:r>
        <w:rPr>
          <w:spacing w:val="-4"/>
        </w:rPr>
        <w:t>本集团于每一资产负债表日对长期股权投资、采用成本模式计量的投资性房地产、固</w:t>
      </w:r>
      <w:r>
        <w:rPr>
          <w:w w:val="100"/>
        </w:rPr>
        <w:t> </w:t>
      </w:r>
      <w:r>
        <w:rPr>
          <w:spacing w:val="-4"/>
        </w:rPr>
        <w:t>定资产、在建工程、使用寿命有限的无形资产等项目进行检查，当存在减值迹象时，本集</w:t>
      </w:r>
      <w:r>
        <w:rPr>
          <w:spacing w:val="-49"/>
        </w:rPr>
        <w:t> </w:t>
      </w:r>
      <w:r>
        <w:rPr>
          <w:spacing w:val="-49"/>
        </w:rPr>
      </w:r>
      <w:r>
        <w:rPr>
          <w:spacing w:val="-4"/>
        </w:rPr>
        <w:t>团进行减值测试。对商誉和使用寿命不确定的无形资产，无论是否存在减值迹象，每年末</w:t>
      </w:r>
      <w:r>
        <w:rPr>
          <w:spacing w:val="-51"/>
        </w:rPr>
        <w:t> </w:t>
      </w:r>
      <w:r>
        <w:rPr>
          <w:spacing w:val="-51"/>
        </w:rPr>
      </w:r>
      <w:r>
        <w:rPr/>
        <w:t>均进行减值测试。</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2"/>
        </w:rPr>
        <w:t>资产的可收回金额是指资产的公允价值减去处置费用后的净额与资产预计未来现金</w:t>
      </w:r>
      <w:r>
        <w:rPr>
          <w:w w:val="100"/>
        </w:rPr>
        <w:t> </w:t>
      </w:r>
      <w:r>
        <w:rPr/>
        <w:t>流量的现值两者之间的较高者。</w:t>
      </w:r>
    </w:p>
    <w:p>
      <w:pPr>
        <w:spacing w:line="240" w:lineRule="auto" w:before="8"/>
        <w:rPr>
          <w:rFonts w:ascii="宋体" w:hAnsi="宋体" w:cs="宋体" w:eastAsia="宋体" w:hint="default"/>
          <w:sz w:val="19"/>
          <w:szCs w:val="19"/>
        </w:rPr>
      </w:pPr>
    </w:p>
    <w:p>
      <w:pPr>
        <w:pStyle w:val="BodyText"/>
        <w:spacing w:line="240" w:lineRule="auto" w:before="0"/>
        <w:ind w:left="540" w:right="1634"/>
        <w:jc w:val="left"/>
      </w:pPr>
      <w:r>
        <w:rPr/>
        <w:t>出现减值的迹象如下：</w:t>
      </w:r>
    </w:p>
    <w:p>
      <w:pPr>
        <w:spacing w:line="240" w:lineRule="auto" w:before="11"/>
        <w:rPr>
          <w:rFonts w:ascii="宋体" w:hAnsi="宋体" w:cs="宋体" w:eastAsia="宋体" w:hint="default"/>
          <w:sz w:val="23"/>
          <w:szCs w:val="23"/>
        </w:rPr>
      </w:pPr>
    </w:p>
    <w:p>
      <w:pPr>
        <w:pStyle w:val="BodyText"/>
        <w:spacing w:line="300" w:lineRule="auto" w:before="0"/>
        <w:ind w:right="1634" w:firstLine="439"/>
        <w:jc w:val="left"/>
      </w:pPr>
      <w:r>
        <w:rPr>
          <w:spacing w:val="-1"/>
        </w:rPr>
        <w:t>（1）资产的市价当期大幅度下跌，其跌幅明显高于因时间的推移或者正常使用而预</w:t>
      </w:r>
      <w:r>
        <w:rPr>
          <w:w w:val="100"/>
        </w:rPr>
        <w:t> </w:t>
      </w:r>
      <w:r>
        <w:rPr/>
        <w:t>计的下跌；</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1"/>
        </w:rPr>
        <w:t>（2）企业经营所处的经济、技术或者法律等环境以及资产所处的市场在当期或者将</w:t>
      </w:r>
      <w:r>
        <w:rPr>
          <w:w w:val="100"/>
        </w:rPr>
        <w:t> </w:t>
      </w:r>
      <w:r>
        <w:rPr/>
        <w:t>在近期发生重大变化，从而对企业产生不利影响；</w:t>
      </w:r>
    </w:p>
    <w:p>
      <w:pPr>
        <w:spacing w:line="240" w:lineRule="auto" w:before="8"/>
        <w:rPr>
          <w:rFonts w:ascii="宋体" w:hAnsi="宋体" w:cs="宋体" w:eastAsia="宋体" w:hint="default"/>
          <w:sz w:val="19"/>
          <w:szCs w:val="19"/>
        </w:rPr>
      </w:pPr>
    </w:p>
    <w:p>
      <w:pPr>
        <w:pStyle w:val="BodyText"/>
        <w:spacing w:line="300" w:lineRule="auto" w:before="0"/>
        <w:ind w:right="1634" w:firstLine="439"/>
        <w:jc w:val="left"/>
      </w:pPr>
      <w:r>
        <w:rPr>
          <w:spacing w:val="-1"/>
        </w:rPr>
        <w:t>（3）市场利率或者其他市场投资报酬率在当期已经提高，从而影响企业计算资产预</w:t>
      </w:r>
      <w:r>
        <w:rPr>
          <w:w w:val="100"/>
        </w:rPr>
        <w:t> </w:t>
      </w:r>
      <w:r>
        <w:rPr/>
        <w:t>计未来现金流量现值的折现率，导致资产可收回金额大幅度降低；</w:t>
      </w:r>
    </w:p>
    <w:p>
      <w:pPr>
        <w:spacing w:line="240" w:lineRule="auto" w:before="8"/>
        <w:rPr>
          <w:rFonts w:ascii="宋体" w:hAnsi="宋体" w:cs="宋体" w:eastAsia="宋体" w:hint="default"/>
          <w:sz w:val="19"/>
          <w:szCs w:val="19"/>
        </w:rPr>
      </w:pPr>
    </w:p>
    <w:p>
      <w:pPr>
        <w:pStyle w:val="BodyText"/>
        <w:spacing w:line="240" w:lineRule="auto" w:before="0"/>
        <w:ind w:left="540" w:right="1634"/>
        <w:jc w:val="left"/>
      </w:pPr>
      <w:r>
        <w:rPr/>
        <w:t>（4）有证据表明资产已经陈旧过时或者其实体已经损坏；</w:t>
      </w:r>
    </w:p>
    <w:p>
      <w:pPr>
        <w:spacing w:line="240" w:lineRule="auto" w:before="11"/>
        <w:rPr>
          <w:rFonts w:ascii="宋体" w:hAnsi="宋体" w:cs="宋体" w:eastAsia="宋体" w:hint="default"/>
          <w:sz w:val="23"/>
          <w:szCs w:val="23"/>
        </w:rPr>
      </w:pPr>
    </w:p>
    <w:p>
      <w:pPr>
        <w:pStyle w:val="BodyText"/>
        <w:spacing w:line="240" w:lineRule="auto" w:before="0"/>
        <w:ind w:left="540" w:right="1634"/>
        <w:jc w:val="left"/>
      </w:pPr>
      <w:r>
        <w:rPr/>
        <w:t>（5）资产已经或者将被闲置、终止使用或者计划提前处置；</w:t>
      </w:r>
    </w:p>
    <w:p>
      <w:pPr>
        <w:spacing w:line="240" w:lineRule="auto" w:before="11"/>
        <w:rPr>
          <w:rFonts w:ascii="宋体" w:hAnsi="宋体" w:cs="宋体" w:eastAsia="宋体" w:hint="default"/>
          <w:sz w:val="23"/>
          <w:szCs w:val="23"/>
        </w:rPr>
      </w:pPr>
    </w:p>
    <w:p>
      <w:pPr>
        <w:pStyle w:val="BodyText"/>
        <w:spacing w:line="300" w:lineRule="auto" w:before="0"/>
        <w:ind w:right="1634" w:firstLine="439"/>
        <w:jc w:val="left"/>
      </w:pPr>
      <w:r>
        <w:rPr/>
        <w:t>（6）企业内部报告的证据表明资产的经济绩效已经低于或者将低于预期，如资产所</w:t>
      </w:r>
      <w:r>
        <w:rPr>
          <w:w w:val="100"/>
        </w:rPr>
        <w:t> </w:t>
      </w:r>
      <w:r>
        <w:rPr>
          <w:spacing w:val="-2"/>
        </w:rPr>
        <w:t>创造的净现金流量或者实现的营业利润（或者亏损）远远低于（或者高于）预计金额等；</w:t>
      </w:r>
    </w:p>
    <w:p>
      <w:pPr>
        <w:pStyle w:val="BodyText"/>
        <w:spacing w:line="600" w:lineRule="exact" w:before="34"/>
        <w:ind w:left="540" w:right="1634"/>
        <w:jc w:val="left"/>
      </w:pPr>
      <w:r>
        <w:rPr/>
        <w:t>（7）其他表明资产可能已经发生减值的迹象。</w:t>
      </w:r>
      <w:r>
        <w:rPr>
          <w:w w:val="100"/>
        </w:rPr>
        <w:t> </w:t>
      </w:r>
      <w:r>
        <w:rPr>
          <w:spacing w:val="-4"/>
        </w:rPr>
        <w:t>减值测试后，若该资产的账面价值超过其可收回金额，其差额确认为减值损失，上述</w:t>
      </w:r>
    </w:p>
    <w:p>
      <w:pPr>
        <w:pStyle w:val="BodyText"/>
        <w:spacing w:line="271" w:lineRule="exact" w:before="0"/>
        <w:ind w:right="1634"/>
        <w:jc w:val="left"/>
      </w:pPr>
      <w:r>
        <w:rPr/>
        <w:t>资产的减值损失一经确认，在以后会计期间不予转回。</w:t>
      </w:r>
    </w:p>
    <w:p>
      <w:pPr>
        <w:pStyle w:val="BodyText"/>
        <w:spacing w:line="600" w:lineRule="atLeast" w:before="0"/>
        <w:ind w:left="540" w:right="1634" w:hanging="15"/>
        <w:jc w:val="left"/>
      </w:pPr>
      <w:r>
        <w:rPr/>
        <w:t>23.</w:t>
      </w:r>
      <w:r>
        <w:rPr>
          <w:spacing w:val="-1"/>
        </w:rPr>
        <w:t> </w:t>
      </w:r>
      <w:bookmarkStart w:name="23.长期待摊费用" w:id="206"/>
      <w:bookmarkEnd w:id="206"/>
      <w:r>
        <w:rPr/>
        <w:t>长</w:t>
      </w:r>
      <w:r>
        <w:rPr/>
        <w:t>期待摊费用</w:t>
      </w:r>
      <w:r>
        <w:rPr>
          <w:w w:val="100"/>
        </w:rPr>
        <w:t> </w:t>
      </w:r>
      <w:r>
        <w:rPr>
          <w:spacing w:val="-4"/>
        </w:rPr>
        <w:t>本集团的长期待摊费用在受益期内平均摊销，如果长期待摊费用项目不能使以后会计</w:t>
      </w:r>
    </w:p>
    <w:p>
      <w:pPr>
        <w:pStyle w:val="BodyText"/>
        <w:spacing w:line="499" w:lineRule="auto" w:before="72"/>
        <w:ind w:left="526" w:right="3576" w:hanging="425"/>
        <w:jc w:val="left"/>
      </w:pPr>
      <w:r>
        <w:rPr>
          <w:spacing w:val="-2"/>
        </w:rPr>
        <w:t>期间受益，则将尚未摊销的该项目的摊余价值全部转入当期损益。</w:t>
      </w:r>
      <w:r>
        <w:rPr>
          <w:spacing w:val="-69"/>
        </w:rPr>
        <w:t> </w:t>
      </w:r>
      <w:r>
        <w:rPr>
          <w:spacing w:val="-69"/>
        </w:rPr>
      </w:r>
      <w:r>
        <w:rPr/>
        <w:t>24.</w:t>
      </w:r>
      <w:r>
        <w:rPr>
          <w:spacing w:val="-1"/>
        </w:rPr>
        <w:t> </w:t>
      </w:r>
      <w:bookmarkStart w:name="24.职工薪酬" w:id="207"/>
      <w:bookmarkEnd w:id="207"/>
      <w:r>
        <w:rPr/>
        <w:t>职</w:t>
      </w:r>
      <w:r>
        <w:rPr/>
        <w:t>工薪酬</w:t>
      </w:r>
      <w:r>
        <w:rPr>
          <w:w w:val="100"/>
        </w:rPr>
        <w:t> </w:t>
      </w:r>
      <w:r>
        <w:rPr/>
        <w:t>本集团职工薪酬包括短期薪酬、离职后福利和辞退福利。</w:t>
      </w:r>
    </w:p>
    <w:p>
      <w:pPr>
        <w:spacing w:after="0" w:line="499" w:lineRule="auto"/>
        <w:jc w:val="left"/>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240" w:lineRule="auto"/>
        <w:ind w:left="540" w:right="1634"/>
        <w:jc w:val="left"/>
      </w:pPr>
      <w:r>
        <w:rPr/>
        <w:t>（1）短期薪酬的会计处理方法</w:t>
      </w:r>
    </w:p>
    <w:p>
      <w:pPr>
        <w:spacing w:line="240" w:lineRule="auto" w:before="11"/>
        <w:rPr>
          <w:rFonts w:ascii="宋体" w:hAnsi="宋体" w:cs="宋体" w:eastAsia="宋体" w:hint="default"/>
          <w:sz w:val="23"/>
          <w:szCs w:val="23"/>
        </w:rPr>
      </w:pPr>
    </w:p>
    <w:p>
      <w:pPr>
        <w:pStyle w:val="BodyText"/>
        <w:spacing w:line="300" w:lineRule="auto" w:before="0"/>
        <w:ind w:right="1694" w:firstLine="439"/>
        <w:jc w:val="both"/>
      </w:pPr>
      <w:r>
        <w:rPr>
          <w:spacing w:val="-4"/>
        </w:rPr>
        <w:t>短期薪酬主要包括职工工资、奖金、津贴和补贴、职工福利费、社会保险费及住房公</w:t>
      </w:r>
      <w:r>
        <w:rPr>
          <w:w w:val="100"/>
        </w:rPr>
        <w:t> </w:t>
      </w:r>
      <w:r>
        <w:rPr>
          <w:spacing w:val="-4"/>
        </w:rPr>
        <w:t>积金、工会经费和职工教育经费等，在职工提供服务的会计期间，将实际发生的短期薪酬</w:t>
      </w:r>
      <w:r>
        <w:rPr>
          <w:spacing w:val="-51"/>
        </w:rPr>
        <w:t> </w:t>
      </w:r>
      <w:r>
        <w:rPr>
          <w:spacing w:val="-51"/>
        </w:rPr>
      </w:r>
      <w:r>
        <w:rPr/>
        <w:t>确认为负债，并按照受益对象计入当期损益或相关资产成本。</w:t>
      </w:r>
    </w:p>
    <w:p>
      <w:pPr>
        <w:pStyle w:val="BodyText"/>
        <w:spacing w:line="600" w:lineRule="exact" w:before="34"/>
        <w:ind w:left="540" w:right="1634"/>
        <w:jc w:val="left"/>
      </w:pPr>
      <w:r>
        <w:rPr/>
        <w:t>（2）离职后福利的会计处理方法</w:t>
      </w:r>
      <w:r>
        <w:rPr>
          <w:w w:val="100"/>
        </w:rPr>
        <w:t> </w:t>
      </w:r>
      <w:r>
        <w:rPr>
          <w:spacing w:val="-2"/>
        </w:rPr>
        <w:t>离职后福利主要包括基本养老保险费、失业保险费等，按照公司承担的风险和义务，</w:t>
      </w:r>
    </w:p>
    <w:p>
      <w:pPr>
        <w:pStyle w:val="BodyText"/>
        <w:spacing w:line="271" w:lineRule="exact" w:before="0"/>
        <w:ind w:right="1634"/>
        <w:jc w:val="left"/>
      </w:pPr>
      <w:r>
        <w:rPr>
          <w:spacing w:val="-4"/>
        </w:rPr>
        <w:t>分类为设定提存计划、设定受益计划。对于设定提存计划在根据在资产负债表日为换取职</w:t>
      </w:r>
    </w:p>
    <w:p>
      <w:pPr>
        <w:pStyle w:val="BodyText"/>
        <w:spacing w:line="300" w:lineRule="auto" w:before="72"/>
        <w:ind w:right="1634"/>
        <w:jc w:val="left"/>
      </w:pPr>
      <w:r>
        <w:rPr>
          <w:spacing w:val="-4"/>
        </w:rPr>
        <w:t>工在会计期间提供的服务而向单独主体缴存的提存金确认为负债，并按照受益对象计入当</w:t>
      </w:r>
      <w:r>
        <w:rPr>
          <w:spacing w:val="-51"/>
        </w:rPr>
        <w:t> </w:t>
      </w:r>
      <w:r>
        <w:rPr>
          <w:spacing w:val="-51"/>
        </w:rPr>
      </w:r>
      <w:r>
        <w:rPr/>
        <w:t>期损益或相关资产成本。目前公司不存在设定受益计划。</w:t>
      </w:r>
    </w:p>
    <w:p>
      <w:pPr>
        <w:spacing w:line="240" w:lineRule="auto" w:before="8"/>
        <w:rPr>
          <w:rFonts w:ascii="宋体" w:hAnsi="宋体" w:cs="宋体" w:eastAsia="宋体" w:hint="default"/>
          <w:sz w:val="19"/>
          <w:szCs w:val="19"/>
        </w:rPr>
      </w:pPr>
    </w:p>
    <w:p>
      <w:pPr>
        <w:pStyle w:val="BodyText"/>
        <w:spacing w:line="240" w:lineRule="auto" w:before="0"/>
        <w:ind w:left="526" w:right="1634"/>
        <w:jc w:val="left"/>
      </w:pPr>
      <w:r>
        <w:rPr/>
        <w:t>25.</w:t>
      </w:r>
      <w:r>
        <w:rPr>
          <w:spacing w:val="-6"/>
        </w:rPr>
        <w:t> </w:t>
      </w:r>
      <w:bookmarkStart w:name="25.收入确认原则和计量方法" w:id="208"/>
      <w:bookmarkEnd w:id="208"/>
      <w:r>
        <w:rPr/>
        <w:t>收</w:t>
      </w:r>
      <w:r>
        <w:rPr/>
        <w:t>入确认原则和计量方法</w:t>
      </w:r>
    </w:p>
    <w:p>
      <w:pPr>
        <w:spacing w:line="240" w:lineRule="auto" w:before="9"/>
        <w:rPr>
          <w:rFonts w:ascii="宋体" w:hAnsi="宋体" w:cs="宋体" w:eastAsia="宋体" w:hint="default"/>
          <w:sz w:val="24"/>
          <w:szCs w:val="24"/>
        </w:rPr>
      </w:pPr>
    </w:p>
    <w:p>
      <w:pPr>
        <w:spacing w:before="0"/>
        <w:ind w:left="101" w:right="1634"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38"/>
        <w:ind w:left="101" w:right="1634"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11"/>
        <w:rPr>
          <w:rFonts w:ascii="宋体" w:hAnsi="宋体" w:cs="宋体" w:eastAsia="宋体" w:hint="default"/>
          <w:sz w:val="22"/>
          <w:szCs w:val="22"/>
        </w:rPr>
      </w:pPr>
    </w:p>
    <w:p>
      <w:pPr>
        <w:pStyle w:val="BodyText"/>
        <w:spacing w:line="300" w:lineRule="auto" w:before="0"/>
        <w:ind w:right="1694" w:firstLine="439"/>
        <w:jc w:val="both"/>
      </w:pPr>
      <w:r>
        <w:rPr>
          <w:spacing w:val="-4"/>
        </w:rPr>
        <w:t>本集团的营业收入主要包括电缆线、高分子材料销售收入。销售收入的确认原则：本</w:t>
      </w:r>
      <w:r>
        <w:rPr>
          <w:w w:val="100"/>
        </w:rPr>
        <w:t> </w:t>
      </w:r>
      <w:r>
        <w:rPr>
          <w:spacing w:val="-4"/>
        </w:rPr>
        <w:t>公司已将电缆线、高分子材料所有权上的主要风险和报酬转移给购货方；本公司既没有保</w:t>
      </w:r>
      <w:r>
        <w:rPr>
          <w:spacing w:val="-51"/>
        </w:rPr>
        <w:t> </w:t>
      </w:r>
      <w:r>
        <w:rPr>
          <w:spacing w:val="-51"/>
        </w:rPr>
      </w:r>
      <w:r>
        <w:rPr>
          <w:spacing w:val="-4"/>
        </w:rPr>
        <w:t>留通常与所有权相联系的继续管理权，也没有对已售出的电缆线、高分子材料实施有效控</w:t>
      </w:r>
      <w:r>
        <w:rPr>
          <w:spacing w:val="-51"/>
        </w:rPr>
        <w:t> </w:t>
      </w:r>
      <w:r>
        <w:rPr>
          <w:spacing w:val="-51"/>
        </w:rPr>
      </w:r>
      <w:r>
        <w:rPr>
          <w:spacing w:val="-4"/>
        </w:rPr>
        <w:t>制；收入的金额能够可靠地计量；相关的经济利益很可能流入企业；相关的已发生或将发</w:t>
      </w:r>
      <w:r>
        <w:rPr>
          <w:spacing w:val="-49"/>
        </w:rPr>
        <w:t> </w:t>
      </w:r>
      <w:r>
        <w:rPr>
          <w:spacing w:val="-49"/>
        </w:rPr>
      </w:r>
      <w:r>
        <w:rPr/>
        <w:t>生的成本能够可靠的计量。</w:t>
      </w:r>
    </w:p>
    <w:p>
      <w:pPr>
        <w:spacing w:line="240" w:lineRule="auto" w:before="8"/>
        <w:rPr>
          <w:rFonts w:ascii="宋体" w:hAnsi="宋体" w:cs="宋体" w:eastAsia="宋体" w:hint="default"/>
          <w:sz w:val="19"/>
          <w:szCs w:val="19"/>
        </w:rPr>
      </w:pPr>
    </w:p>
    <w:p>
      <w:pPr>
        <w:pStyle w:val="BodyText"/>
        <w:spacing w:line="240" w:lineRule="auto" w:before="0"/>
        <w:ind w:left="540" w:right="1634"/>
        <w:jc w:val="left"/>
      </w:pPr>
      <w:r>
        <w:rPr/>
        <w:t>公司对国内销售和出口销售收入确认的原则分别如下：</w:t>
      </w:r>
    </w:p>
    <w:p>
      <w:pPr>
        <w:pStyle w:val="BodyText"/>
        <w:spacing w:line="600" w:lineRule="atLeast" w:before="0"/>
        <w:ind w:left="540" w:right="1634"/>
        <w:jc w:val="left"/>
      </w:pPr>
      <w:r>
        <w:rPr/>
        <w:t>（1）</w:t>
      </w:r>
      <w:r>
        <w:rPr>
          <w:spacing w:val="30"/>
        </w:rPr>
        <w:t> </w:t>
      </w:r>
      <w:r>
        <w:rPr/>
        <w:t>国内销售收入确认方法</w:t>
      </w:r>
      <w:r>
        <w:rPr>
          <w:w w:val="100"/>
        </w:rPr>
        <w:t> </w:t>
      </w:r>
      <w:r>
        <w:rPr>
          <w:spacing w:val="-4"/>
        </w:rPr>
        <w:t>同时满足下列条件：按购货方要求将电缆线、高分子材料产品交付购货方，同时经与</w:t>
      </w:r>
    </w:p>
    <w:p>
      <w:pPr>
        <w:pStyle w:val="BodyText"/>
        <w:spacing w:line="300" w:lineRule="auto" w:before="72"/>
        <w:ind w:right="1634"/>
        <w:jc w:val="left"/>
      </w:pPr>
      <w:r>
        <w:rPr>
          <w:spacing w:val="-4"/>
        </w:rPr>
        <w:t>购货方对电缆线、高分子材料产品数量及外包装无异议进行确认，并取得销售回执；销售</w:t>
      </w:r>
      <w:r>
        <w:rPr>
          <w:spacing w:val="-51"/>
        </w:rPr>
        <w:t> </w:t>
      </w:r>
      <w:r>
        <w:rPr>
          <w:spacing w:val="-51"/>
        </w:rPr>
      </w:r>
      <w:r>
        <w:rPr>
          <w:spacing w:val="-2"/>
        </w:rPr>
        <w:t>收入金额已确定，并已收讫货款或预计可以收回货款；销售商品的成本能够可靠地计量。</w:t>
      </w:r>
    </w:p>
    <w:p>
      <w:pPr>
        <w:pStyle w:val="BodyText"/>
        <w:spacing w:line="600" w:lineRule="exact" w:before="34"/>
        <w:ind w:left="540" w:right="1634"/>
        <w:jc w:val="left"/>
      </w:pPr>
      <w:r>
        <w:rPr/>
        <w:t>（2）</w:t>
      </w:r>
      <w:r>
        <w:rPr>
          <w:spacing w:val="30"/>
        </w:rPr>
        <w:t> </w:t>
      </w:r>
      <w:r>
        <w:rPr/>
        <w:t>出口销售收入确认方法</w:t>
      </w:r>
      <w:r>
        <w:rPr>
          <w:w w:val="100"/>
        </w:rPr>
        <w:t> </w:t>
      </w:r>
      <w:r>
        <w:rPr>
          <w:spacing w:val="-4"/>
        </w:rPr>
        <w:t>同时满足下列条件：根据与购货方达成出口销售合同规定的要求生产电缆线、高分子</w:t>
      </w:r>
    </w:p>
    <w:p>
      <w:pPr>
        <w:pStyle w:val="BodyText"/>
        <w:spacing w:line="271" w:lineRule="exact" w:before="0"/>
        <w:ind w:right="1090"/>
        <w:jc w:val="left"/>
      </w:pPr>
      <w:r>
        <w:rPr/>
        <w:t>材料，经检验合格后货物送达指定港口，并办完报关出口手续；销售收入金额已经确定，</w:t>
      </w:r>
    </w:p>
    <w:p>
      <w:pPr>
        <w:pStyle w:val="BodyText"/>
        <w:spacing w:line="499" w:lineRule="auto" w:before="72"/>
        <w:ind w:left="526" w:right="3140" w:hanging="425"/>
        <w:jc w:val="left"/>
      </w:pPr>
      <w:r>
        <w:rPr>
          <w:spacing w:val="-2"/>
        </w:rPr>
        <w:t>并已收讫货款或预计可以收回货款；销售商品的成本能够可靠地计量。</w:t>
      </w:r>
      <w:r>
        <w:rPr>
          <w:spacing w:val="-67"/>
        </w:rPr>
        <w:t> </w:t>
      </w:r>
      <w:r>
        <w:rPr>
          <w:spacing w:val="-67"/>
        </w:rPr>
      </w:r>
      <w:r>
        <w:rPr/>
        <w:t>26.</w:t>
      </w:r>
      <w:r>
        <w:rPr>
          <w:spacing w:val="-2"/>
        </w:rPr>
        <w:t> </w:t>
      </w:r>
      <w:bookmarkStart w:name="26.政府补助" w:id="209"/>
      <w:bookmarkEnd w:id="209"/>
      <w:r>
        <w:rPr/>
        <w:t>政</w:t>
      </w:r>
      <w:r>
        <w:rPr/>
        <w:t>府补助</w:t>
      </w:r>
    </w:p>
    <w:p>
      <w:pPr>
        <w:pStyle w:val="BodyText"/>
        <w:spacing w:line="240" w:lineRule="auto" w:before="74"/>
        <w:ind w:left="540" w:right="1634"/>
        <w:jc w:val="left"/>
      </w:pPr>
      <w:r>
        <w:rPr>
          <w:spacing w:val="-4"/>
        </w:rPr>
        <w:t>本集团的政府补助包括与资产相关的政府补助、与收益相关的政府补助。其中，与资</w:t>
      </w:r>
    </w:p>
    <w:p>
      <w:pPr>
        <w:spacing w:after="0" w:line="240" w:lineRule="auto"/>
        <w:jc w:val="left"/>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300" w:lineRule="auto"/>
        <w:ind w:right="1090"/>
        <w:jc w:val="left"/>
      </w:pPr>
      <w:r>
        <w:rPr>
          <w:spacing w:val="-7"/>
          <w:w w:val="100"/>
        </w:rPr>
        <w:t>产相关的政府补助，是指本集团取得的、用于购建或以其他方式形成长期资产的政府补助；</w:t>
      </w:r>
      <w:r>
        <w:rPr>
          <w:spacing w:val="-80"/>
          <w:w w:val="100"/>
        </w:rPr>
        <w:t> </w:t>
      </w:r>
      <w:r>
        <w:rPr>
          <w:spacing w:val="-80"/>
          <w:w w:val="100"/>
        </w:rPr>
      </w:r>
      <w:r>
        <w:rPr>
          <w:spacing w:val="-4"/>
        </w:rPr>
        <w:t>与收益相关的政府补助，是指除与资产相关的政府补助之外的政府补助。如果政府文件中</w:t>
      </w:r>
      <w:r>
        <w:rPr>
          <w:spacing w:val="-51"/>
        </w:rPr>
        <w:t> </w:t>
      </w:r>
      <w:r>
        <w:rPr>
          <w:spacing w:val="-51"/>
        </w:rPr>
      </w:r>
      <w:r>
        <w:rPr>
          <w:spacing w:val="-4"/>
        </w:rPr>
        <w:t>未明确规定补助对象，本集团按照上述区分原则进行判断，难以区分的，整体归类为与收</w:t>
      </w:r>
      <w:r>
        <w:rPr>
          <w:spacing w:val="-51"/>
        </w:rPr>
        <w:t> </w:t>
      </w:r>
      <w:r>
        <w:rPr>
          <w:spacing w:val="-51"/>
        </w:rPr>
      </w:r>
      <w:r>
        <w:rPr/>
        <w:t>益相关的政府补助。</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政府补助为货币性资产的，按照实际收到的金额计量，对于按照固定的定额标准拨付</w:t>
      </w:r>
      <w:r>
        <w:rPr>
          <w:w w:val="100"/>
        </w:rPr>
        <w:t> </w:t>
      </w:r>
      <w:r>
        <w:rPr>
          <w:spacing w:val="-4"/>
        </w:rPr>
        <w:t>的补助，或对年末有确凿证据表明能够符合财政扶持政策规定的相关条件且预计能够收到</w:t>
      </w:r>
      <w:r>
        <w:rPr>
          <w:spacing w:val="-51"/>
        </w:rPr>
        <w:t> </w:t>
      </w:r>
      <w:r>
        <w:rPr>
          <w:spacing w:val="-51"/>
        </w:rPr>
      </w:r>
      <w:r>
        <w:rPr/>
        <w:t>财政扶持资金时</w:t>
      </w:r>
      <w:r>
        <w:rPr>
          <w:spacing w:val="6"/>
        </w:rPr>
        <w:t> </w:t>
      </w:r>
      <w:r>
        <w:rPr/>
        <w:t>，按照应收的金额计量；政府补助为非货币性资产的，按照公允价值计</w:t>
      </w:r>
      <w:r>
        <w:rPr>
          <w:w w:val="100"/>
        </w:rPr>
        <w:t> </w:t>
      </w:r>
      <w:r>
        <w:rPr>
          <w:spacing w:val="-2"/>
        </w:rPr>
        <w:t>量，公允价值不能可靠取得的，按照名义金额(1</w:t>
      </w:r>
      <w:r>
        <w:rPr>
          <w:spacing w:val="-19"/>
        </w:rPr>
        <w:t> </w:t>
      </w:r>
      <w:r>
        <w:rPr>
          <w:spacing w:val="-2"/>
        </w:rPr>
        <w:t>元)计量。</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1"/>
        </w:rPr>
        <w:t>与资产相关的政府补助确认为递延收益,在相关资产使用寿命内按照平均年限方法分</w:t>
      </w:r>
      <w:r>
        <w:rPr>
          <w:w w:val="100"/>
        </w:rPr>
        <w:t> </w:t>
      </w:r>
      <w:r>
        <w:rPr>
          <w:spacing w:val="-4"/>
        </w:rPr>
        <w:t>期计入当期损益。相关资产在使用寿命结束前被出售、转让、报废或发生毁损的，将尚未</w:t>
      </w:r>
      <w:r>
        <w:rPr>
          <w:spacing w:val="-49"/>
        </w:rPr>
        <w:t> </w:t>
      </w:r>
      <w:r>
        <w:rPr>
          <w:spacing w:val="-49"/>
        </w:rPr>
      </w:r>
      <w:r>
        <w:rPr/>
        <w:t>分配的相关递延收益余额转入资产处置当期的损益。</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spacing w:val="-4"/>
        </w:rPr>
        <w:t>与收益相关的政府补助，用于补偿以后期间的相关成本费用或损失的，确认为递延收</w:t>
      </w:r>
      <w:r>
        <w:rPr>
          <w:w w:val="100"/>
        </w:rPr>
        <w:t> </w:t>
      </w:r>
      <w:r>
        <w:rPr>
          <w:spacing w:val="-4"/>
        </w:rPr>
        <w:t>益，并在确认相关成本费用或损失的期间计入当期损益。与日常活动相关的政府补助，按</w:t>
      </w:r>
      <w:r>
        <w:rPr>
          <w:spacing w:val="-51"/>
        </w:rPr>
        <w:t> </w:t>
      </w:r>
      <w:r>
        <w:rPr>
          <w:spacing w:val="-51"/>
        </w:rPr>
      </w:r>
      <w:r>
        <w:rPr>
          <w:spacing w:val="-4"/>
        </w:rPr>
        <w:t>照经济业务实质，计入其他收益或冲减相关成本费用。与日常活动无关的政府补助，计入</w:t>
      </w:r>
      <w:r>
        <w:rPr>
          <w:spacing w:val="-51"/>
        </w:rPr>
        <w:t> </w:t>
      </w:r>
      <w:r>
        <w:rPr>
          <w:spacing w:val="-51"/>
        </w:rPr>
      </w:r>
      <w:r>
        <w:rPr/>
        <w:t>营业外收支。</w:t>
      </w:r>
    </w:p>
    <w:p>
      <w:pPr>
        <w:pStyle w:val="BodyText"/>
        <w:spacing w:line="600" w:lineRule="exact" w:before="34"/>
        <w:ind w:left="540" w:right="1634" w:hanging="15"/>
        <w:jc w:val="left"/>
      </w:pPr>
      <w:r>
        <w:rPr/>
        <w:t>27.</w:t>
      </w:r>
      <w:r>
        <w:rPr>
          <w:spacing w:val="-1"/>
        </w:rPr>
        <w:t> </w:t>
      </w:r>
      <w:bookmarkStart w:name="27.递延所得税资产和递延所得税负债" w:id="210"/>
      <w:bookmarkEnd w:id="210"/>
      <w:r>
        <w:rPr/>
        <w:t>递</w:t>
      </w:r>
      <w:r>
        <w:rPr/>
        <w:t>延所得税资产和递延所得税负债</w:t>
      </w:r>
      <w:r>
        <w:rPr>
          <w:w w:val="100"/>
        </w:rPr>
        <w:t> </w:t>
      </w:r>
      <w:r>
        <w:rPr>
          <w:spacing w:val="2"/>
        </w:rPr>
        <w:t>本集团递延所得税资产和递延所得税负债根据资产和负债的计税基础与其账面价值</w:t>
      </w:r>
    </w:p>
    <w:p>
      <w:pPr>
        <w:pStyle w:val="BodyText"/>
        <w:spacing w:line="271" w:lineRule="exact" w:before="0"/>
        <w:ind w:right="1634"/>
        <w:jc w:val="left"/>
      </w:pPr>
      <w:r>
        <w:rPr>
          <w:spacing w:val="-4"/>
        </w:rPr>
        <w:t>的差额(暂时性差异)计算确认。对于按照税法规定能够于以后年度抵减应纳税所得额的可</w:t>
      </w:r>
    </w:p>
    <w:p>
      <w:pPr>
        <w:pStyle w:val="BodyText"/>
        <w:spacing w:line="300" w:lineRule="auto" w:before="72"/>
        <w:ind w:right="1634"/>
        <w:jc w:val="left"/>
      </w:pPr>
      <w:r>
        <w:rPr>
          <w:spacing w:val="-4"/>
        </w:rPr>
        <w:t>抵扣亏损，确认相应的递延所得税资产。对于商誉的初始确认产生的暂时性差异，不确认</w:t>
      </w:r>
      <w:r>
        <w:rPr>
          <w:spacing w:val="-51"/>
        </w:rPr>
        <w:t> </w:t>
      </w:r>
      <w:r>
        <w:rPr>
          <w:spacing w:val="-51"/>
        </w:rPr>
      </w:r>
      <w:r>
        <w:rPr>
          <w:spacing w:val="2"/>
        </w:rPr>
        <w:t>相应的递延所得税负债。对于既不影响会计利润也不影响应纳税所得额(或可抵扣亏损)</w:t>
      </w:r>
      <w:r>
        <w:rPr>
          <w:spacing w:val="-55"/>
        </w:rPr>
        <w:t> </w:t>
      </w:r>
      <w:r>
        <w:rPr>
          <w:spacing w:val="-55"/>
        </w:rPr>
      </w:r>
      <w:r>
        <w:rPr>
          <w:spacing w:val="-4"/>
        </w:rPr>
        <w:t>的非企业合并的交易中产生的资产或负债的初始确认形成的暂时性差异，不确认相应的递</w:t>
      </w:r>
      <w:r>
        <w:rPr>
          <w:spacing w:val="-51"/>
        </w:rPr>
        <w:t> </w:t>
      </w:r>
      <w:r>
        <w:rPr>
          <w:spacing w:val="-51"/>
        </w:rPr>
      </w:r>
      <w:r>
        <w:rPr>
          <w:spacing w:val="-2"/>
        </w:rPr>
        <w:t>延所得税资产和递延所得税负债。于资产负债表日，递延所得税资产和递延所得税负债，</w:t>
      </w:r>
      <w:r>
        <w:rPr>
          <w:spacing w:val="-57"/>
        </w:rPr>
        <w:t> </w:t>
      </w:r>
      <w:r>
        <w:rPr>
          <w:spacing w:val="-57"/>
        </w:rPr>
      </w:r>
      <w:r>
        <w:rPr/>
        <w:t>按照预期收回该资产或清偿该负债期间的适用税率计量。</w:t>
      </w:r>
    </w:p>
    <w:p>
      <w:pPr>
        <w:spacing w:line="240" w:lineRule="auto" w:before="8"/>
        <w:rPr>
          <w:rFonts w:ascii="宋体" w:hAnsi="宋体" w:cs="宋体" w:eastAsia="宋体" w:hint="default"/>
          <w:sz w:val="19"/>
          <w:szCs w:val="19"/>
        </w:rPr>
      </w:pPr>
    </w:p>
    <w:p>
      <w:pPr>
        <w:pStyle w:val="BodyText"/>
        <w:spacing w:line="300" w:lineRule="auto" w:before="0"/>
        <w:ind w:right="1699" w:firstLine="439"/>
        <w:jc w:val="both"/>
      </w:pPr>
      <w:r>
        <w:rPr>
          <w:spacing w:val="-4"/>
        </w:rPr>
        <w:t>本集团以很可能取得用来抵扣可抵扣暂时性差异、可抵扣亏损和税款抵减的未来应纳</w:t>
      </w:r>
      <w:r>
        <w:rPr>
          <w:w w:val="100"/>
        </w:rPr>
        <w:t> </w:t>
      </w:r>
      <w:r>
        <w:rPr/>
        <w:t>税所得额为限，确认递延所得税资产。</w:t>
      </w:r>
    </w:p>
    <w:p>
      <w:pPr>
        <w:spacing w:line="240" w:lineRule="auto" w:before="8"/>
        <w:rPr>
          <w:rFonts w:ascii="宋体" w:hAnsi="宋体" w:cs="宋体" w:eastAsia="宋体" w:hint="default"/>
          <w:sz w:val="19"/>
          <w:szCs w:val="19"/>
        </w:rPr>
      </w:pPr>
    </w:p>
    <w:p>
      <w:pPr>
        <w:pStyle w:val="BodyText"/>
        <w:spacing w:line="499" w:lineRule="auto" w:before="0"/>
        <w:ind w:left="581" w:right="5872" w:hanging="56"/>
        <w:jc w:val="left"/>
      </w:pPr>
      <w:r>
        <w:rPr/>
        <w:t>28. </w:t>
      </w:r>
      <w:bookmarkStart w:name="28.租赁" w:id="211"/>
      <w:bookmarkEnd w:id="211"/>
      <w:r>
        <w:rPr/>
        <w:t>租</w:t>
      </w:r>
      <w:r>
        <w:rPr/>
        <w:t>赁</w:t>
      </w:r>
      <w:r>
        <w:rPr>
          <w:w w:val="100"/>
        </w:rPr>
        <w:t> </w:t>
      </w:r>
      <w:r>
        <w:rPr>
          <w:spacing w:val="-2"/>
        </w:rPr>
        <w:t>本集团的租赁业务为经营租赁。</w:t>
      </w:r>
    </w:p>
    <w:p>
      <w:pPr>
        <w:pStyle w:val="BodyText"/>
        <w:spacing w:line="300" w:lineRule="auto" w:before="74"/>
        <w:ind w:right="1697" w:firstLine="439"/>
        <w:jc w:val="both"/>
      </w:pPr>
      <w:r>
        <w:rPr>
          <w:spacing w:val="2"/>
        </w:rPr>
        <w:t>本集团作为经营租赁承租方的租金在租赁期内的各个期间按直线法计入相关资产成</w:t>
      </w:r>
      <w:r>
        <w:rPr>
          <w:w w:val="100"/>
        </w:rPr>
        <w:t> </w:t>
      </w:r>
      <w:r>
        <w:rPr/>
        <w:t>本或当期损益。</w:t>
      </w:r>
    </w:p>
    <w:p>
      <w:pPr>
        <w:spacing w:after="0" w:line="300" w:lineRule="auto"/>
        <w:jc w:val="both"/>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240" w:lineRule="auto"/>
        <w:ind w:left="526" w:right="1634"/>
        <w:jc w:val="left"/>
      </w:pPr>
      <w:r>
        <w:rPr/>
        <w:t>29.</w:t>
      </w:r>
      <w:r>
        <w:rPr>
          <w:spacing w:val="-2"/>
        </w:rPr>
        <w:t> </w:t>
      </w:r>
      <w:bookmarkStart w:name="29.终止经营" w:id="212"/>
      <w:bookmarkEnd w:id="212"/>
      <w:r>
        <w:rPr/>
        <w:t>终</w:t>
      </w:r>
      <w:r>
        <w:rPr/>
        <w:t>止经营</w:t>
      </w:r>
    </w:p>
    <w:p>
      <w:pPr>
        <w:spacing w:line="240" w:lineRule="auto" w:before="11"/>
        <w:rPr>
          <w:rFonts w:ascii="宋体" w:hAnsi="宋体" w:cs="宋体" w:eastAsia="宋体" w:hint="default"/>
          <w:sz w:val="23"/>
          <w:szCs w:val="23"/>
        </w:rPr>
      </w:pPr>
    </w:p>
    <w:p>
      <w:pPr>
        <w:pStyle w:val="BodyText"/>
        <w:spacing w:line="300" w:lineRule="auto" w:before="0"/>
        <w:ind w:right="1589" w:firstLine="439"/>
        <w:jc w:val="both"/>
      </w:pPr>
      <w:r>
        <w:rPr>
          <w:spacing w:val="-4"/>
        </w:rPr>
        <w:t>终止经营，是指本集团满足下列条件之一的、能够单独区分的组成部分，且该组成部</w:t>
      </w:r>
      <w:r>
        <w:rPr>
          <w:w w:val="100"/>
        </w:rPr>
        <w:t> </w:t>
      </w:r>
      <w:r>
        <w:rPr/>
        <w:t>分已经处置或划分为持有待售类别：（1）该组成部分代表一项独立的主要业务或一个单</w:t>
      </w:r>
      <w:r>
        <w:rPr>
          <w:spacing w:val="-104"/>
        </w:rPr>
        <w:t> </w:t>
      </w:r>
      <w:r>
        <w:rPr>
          <w:spacing w:val="-104"/>
        </w:rPr>
      </w:r>
      <w:r>
        <w:rPr/>
        <w:t>独的主要经营地区；（2）该组成部分是拟对一项独立的主要业务或一个单独的主要经营</w:t>
      </w:r>
      <w:r>
        <w:rPr>
          <w:spacing w:val="-103"/>
        </w:rPr>
        <w:t> </w:t>
      </w:r>
      <w:r>
        <w:rPr>
          <w:spacing w:val="-103"/>
        </w:rPr>
      </w:r>
      <w:r>
        <w:rPr>
          <w:spacing w:val="-4"/>
        </w:rPr>
        <w:t>地区进行处置的一项相关联计划的一部分；（3）该组成部分是专为转售而取得的子公司。</w:t>
      </w:r>
    </w:p>
    <w:p>
      <w:pPr>
        <w:spacing w:line="240" w:lineRule="auto" w:before="8"/>
        <w:rPr>
          <w:rFonts w:ascii="宋体" w:hAnsi="宋体" w:cs="宋体" w:eastAsia="宋体" w:hint="default"/>
          <w:sz w:val="19"/>
          <w:szCs w:val="19"/>
        </w:rPr>
      </w:pPr>
    </w:p>
    <w:p>
      <w:pPr>
        <w:pStyle w:val="BodyText"/>
        <w:spacing w:line="499" w:lineRule="auto" w:before="0"/>
        <w:ind w:left="540" w:right="4483" w:hanging="15"/>
        <w:jc w:val="left"/>
      </w:pPr>
      <w:r>
        <w:rPr/>
        <w:t>30.</w:t>
      </w:r>
      <w:r>
        <w:rPr>
          <w:spacing w:val="-3"/>
        </w:rPr>
        <w:t> </w:t>
      </w:r>
      <w:bookmarkStart w:name="30.其他重要的会计政策和会计估计" w:id="213"/>
      <w:bookmarkEnd w:id="213"/>
      <w:r>
        <w:rPr/>
        <w:t>其</w:t>
      </w:r>
      <w:r>
        <w:rPr/>
        <w:t>他重要的会计政策和会计估计</w:t>
      </w:r>
      <w:r>
        <w:rPr>
          <w:w w:val="100"/>
        </w:rPr>
        <w:t> </w:t>
      </w:r>
      <w:r>
        <w:rPr>
          <w:spacing w:val="-2"/>
        </w:rPr>
        <w:t>采用套期会计的依据、会计处理方法：</w:t>
      </w:r>
    </w:p>
    <w:p>
      <w:pPr>
        <w:pStyle w:val="BodyText"/>
        <w:spacing w:line="300" w:lineRule="auto" w:before="74"/>
        <w:ind w:right="1697" w:firstLine="439"/>
        <w:jc w:val="both"/>
      </w:pPr>
      <w:r>
        <w:rPr>
          <w:spacing w:val="-1"/>
          <w:w w:val="100"/>
        </w:rPr>
        <w:t>（1）</w:t>
      </w:r>
      <w:r>
        <w:rPr>
          <w:spacing w:val="39"/>
          <w:w w:val="100"/>
        </w:rPr>
        <w:t> </w:t>
      </w:r>
      <w:r>
        <w:rPr>
          <w:spacing w:val="-5"/>
          <w:w w:val="100"/>
        </w:rPr>
        <w:t>本集团商品期货套期为现金流量套期，是指对被套期项目现金流量变动风险进</w:t>
      </w:r>
      <w:r>
        <w:rPr>
          <w:w w:val="100"/>
        </w:rPr>
        <w:t> </w:t>
      </w:r>
      <w:r>
        <w:rPr>
          <w:spacing w:val="-4"/>
        </w:rPr>
        <w:t>行的套期。以很可能发生的预期交易为基础的被套期项目，应当指定在现金流量套期关系</w:t>
      </w:r>
      <w:r>
        <w:rPr>
          <w:spacing w:val="-51"/>
        </w:rPr>
        <w:t> </w:t>
      </w:r>
      <w:r>
        <w:rPr>
          <w:spacing w:val="-51"/>
        </w:rPr>
      </w:r>
      <w:r>
        <w:rPr/>
        <w:t>中。</w:t>
      </w:r>
    </w:p>
    <w:p>
      <w:pPr>
        <w:spacing w:line="240" w:lineRule="auto" w:before="8"/>
        <w:rPr>
          <w:rFonts w:ascii="宋体" w:hAnsi="宋体" w:cs="宋体" w:eastAsia="宋体" w:hint="default"/>
          <w:sz w:val="19"/>
          <w:szCs w:val="19"/>
        </w:rPr>
      </w:pPr>
    </w:p>
    <w:p>
      <w:pPr>
        <w:pStyle w:val="BodyText"/>
        <w:spacing w:line="300" w:lineRule="auto" w:before="0"/>
        <w:ind w:right="1694" w:firstLine="439"/>
        <w:jc w:val="both"/>
      </w:pPr>
      <w:r>
        <w:rPr/>
        <w:t>（2）</w:t>
      </w:r>
      <w:r>
        <w:rPr>
          <w:spacing w:val="67"/>
        </w:rPr>
        <w:t> </w:t>
      </w:r>
      <w:r>
        <w:rPr>
          <w:spacing w:val="-8"/>
        </w:rPr>
        <w:t>套期关系的指定及套期有效性的认定：1）在套期开始时，公司对套期关系（即</w:t>
      </w:r>
      <w:r>
        <w:rPr>
          <w:w w:val="100"/>
        </w:rPr>
        <w:t> </w:t>
      </w:r>
      <w:r>
        <w:rPr>
          <w:spacing w:val="-4"/>
        </w:rPr>
        <w:t>套期工具和被套期项目之间的关系）有正式指定，并准备关于套期关系、风险管理目标和</w:t>
      </w:r>
      <w:r>
        <w:rPr>
          <w:spacing w:val="-51"/>
        </w:rPr>
        <w:t> </w:t>
      </w:r>
      <w:r>
        <w:rPr>
          <w:spacing w:val="-51"/>
        </w:rPr>
      </w:r>
      <w:r>
        <w:rPr>
          <w:spacing w:val="-1"/>
        </w:rPr>
        <w:t>套期策略的正式书面文件；2）该套期预期高度有效，且符合公司最初为该套期关系所确</w:t>
      </w:r>
      <w:r>
        <w:rPr>
          <w:spacing w:val="-61"/>
        </w:rPr>
        <w:t> </w:t>
      </w:r>
      <w:r>
        <w:rPr>
          <w:spacing w:val="-61"/>
        </w:rPr>
      </w:r>
      <w:r>
        <w:rPr>
          <w:spacing w:val="-1"/>
        </w:rPr>
        <w:t>定的风险管理策略；3）对预期交易的现金流量套期，预期交易应当很可能发生，且必须</w:t>
      </w:r>
      <w:r>
        <w:rPr>
          <w:spacing w:val="-64"/>
        </w:rPr>
        <w:t> </w:t>
      </w:r>
      <w:r>
        <w:rPr>
          <w:spacing w:val="-64"/>
        </w:rPr>
      </w:r>
      <w:r>
        <w:rPr>
          <w:spacing w:val="-4"/>
        </w:rPr>
        <w:t>使企业面临最终将影响损益的现金流量变动风险；4）套期有效性能够可靠地计量；5）持</w:t>
      </w:r>
      <w:r>
        <w:rPr>
          <w:spacing w:val="-46"/>
        </w:rPr>
        <w:t> </w:t>
      </w:r>
      <w:r>
        <w:rPr>
          <w:spacing w:val="-46"/>
        </w:rPr>
      </w:r>
      <w:r>
        <w:rPr/>
        <w:t>续地对套期有效性进行评价，并确保该套期在套期关系被指定的会计期间内高度有效。</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t>（3）</w:t>
      </w:r>
      <w:r>
        <w:rPr>
          <w:spacing w:val="15"/>
        </w:rPr>
        <w:t> </w:t>
      </w:r>
      <w:r>
        <w:rPr/>
        <w:t>套期有效性要求：1）被套期项目与套期工具之间存在经济关系，使套期工具</w:t>
      </w:r>
      <w:r>
        <w:rPr>
          <w:w w:val="100"/>
        </w:rPr>
        <w:t> </w:t>
      </w:r>
      <w:r>
        <w:rPr>
          <w:spacing w:val="2"/>
        </w:rPr>
        <w:t>和被套期项目因被套期风险而产生的公允价值或现金流量预期随着相同基础变量或经济</w:t>
      </w:r>
      <w:r>
        <w:rPr>
          <w:spacing w:val="-51"/>
        </w:rPr>
        <w:t> </w:t>
      </w:r>
      <w:r>
        <w:rPr>
          <w:spacing w:val="-51"/>
        </w:rPr>
      </w:r>
      <w:r>
        <w:rPr>
          <w:spacing w:val="-1"/>
        </w:rPr>
        <w:t>上相关的类似基础变量变动发生方向相反的变动；2）套期关系的套期比率，应当等于被</w:t>
      </w:r>
      <w:r>
        <w:rPr>
          <w:spacing w:val="-64"/>
        </w:rPr>
        <w:t> </w:t>
      </w:r>
      <w:r>
        <w:rPr>
          <w:spacing w:val="-64"/>
        </w:rPr>
      </w:r>
      <w:r>
        <w:rPr>
          <w:spacing w:val="2"/>
        </w:rPr>
        <w:t>套期项目的实际数量与用于对这些数量的被套期项目进行套期的套期工具的实际数量之</w:t>
      </w:r>
      <w:r>
        <w:rPr>
          <w:spacing w:val="-51"/>
        </w:rPr>
        <w:t> </w:t>
      </w:r>
      <w:r>
        <w:rPr>
          <w:spacing w:val="-51"/>
        </w:rPr>
      </w:r>
      <w:r>
        <w:rPr>
          <w:spacing w:val="-4"/>
        </w:rPr>
        <w:t>比，不应当反映被套期项目与套期工具所含风险的失衡，这种失衡会产生套期无效（无论</w:t>
      </w:r>
      <w:r>
        <w:rPr>
          <w:spacing w:val="-51"/>
        </w:rPr>
        <w:t> </w:t>
      </w:r>
      <w:r>
        <w:rPr>
          <w:spacing w:val="-51"/>
        </w:rPr>
      </w:r>
      <w:r>
        <w:rPr>
          <w:spacing w:val="-1"/>
        </w:rPr>
        <w:t>确认与否），并可能产生与套期会计目标不一致的会计结果；3）经济关系产生的价值变</w:t>
      </w:r>
      <w:r>
        <w:rPr>
          <w:spacing w:val="-62"/>
        </w:rPr>
        <w:t> </w:t>
      </w:r>
      <w:r>
        <w:rPr>
          <w:spacing w:val="-62"/>
        </w:rPr>
      </w:r>
      <w:r>
        <w:rPr/>
        <w:t>动中，信用风险的影响不占主导地位。</w:t>
      </w:r>
    </w:p>
    <w:p>
      <w:pPr>
        <w:spacing w:line="240" w:lineRule="auto" w:before="8"/>
        <w:rPr>
          <w:rFonts w:ascii="宋体" w:hAnsi="宋体" w:cs="宋体" w:eastAsia="宋体" w:hint="default"/>
          <w:sz w:val="19"/>
          <w:szCs w:val="19"/>
        </w:rPr>
      </w:pPr>
    </w:p>
    <w:p>
      <w:pPr>
        <w:pStyle w:val="BodyText"/>
        <w:spacing w:line="300" w:lineRule="auto" w:before="0"/>
        <w:ind w:right="1697" w:firstLine="439"/>
        <w:jc w:val="both"/>
      </w:pPr>
      <w:r>
        <w:rPr/>
        <w:t>（4）</w:t>
      </w:r>
      <w:r>
        <w:rPr>
          <w:spacing w:val="67"/>
        </w:rPr>
        <w:t> </w:t>
      </w:r>
      <w:r>
        <w:rPr>
          <w:spacing w:val="-5"/>
        </w:rPr>
        <w:t>套期工具：套期工具是指企业为进行套期而指定的、其公允价值或现金流量变</w:t>
      </w:r>
      <w:r>
        <w:rPr>
          <w:w w:val="100"/>
        </w:rPr>
        <w:t> </w:t>
      </w:r>
      <w:r>
        <w:rPr/>
        <w:t>动预期可抵销被套期项目的公允价值或现金流量变动的衍生工具。</w:t>
      </w:r>
    </w:p>
    <w:p>
      <w:pPr>
        <w:spacing w:line="240" w:lineRule="auto" w:before="8"/>
        <w:rPr>
          <w:rFonts w:ascii="宋体" w:hAnsi="宋体" w:cs="宋体" w:eastAsia="宋体" w:hint="default"/>
          <w:sz w:val="19"/>
          <w:szCs w:val="19"/>
        </w:rPr>
      </w:pPr>
    </w:p>
    <w:p>
      <w:pPr>
        <w:pStyle w:val="BodyText"/>
        <w:spacing w:line="240" w:lineRule="auto" w:before="0"/>
        <w:ind w:left="540" w:right="1634"/>
        <w:jc w:val="left"/>
      </w:pPr>
      <w:r>
        <w:rPr/>
        <w:t>本集团将购入的期铜合约作为套期工具。</w:t>
      </w:r>
    </w:p>
    <w:p>
      <w:pPr>
        <w:spacing w:line="240" w:lineRule="auto" w:before="11"/>
        <w:rPr>
          <w:rFonts w:ascii="宋体" w:hAnsi="宋体" w:cs="宋体" w:eastAsia="宋体" w:hint="default"/>
          <w:sz w:val="23"/>
          <w:szCs w:val="23"/>
        </w:rPr>
      </w:pPr>
    </w:p>
    <w:p>
      <w:pPr>
        <w:pStyle w:val="BodyText"/>
        <w:spacing w:line="300" w:lineRule="auto" w:before="0"/>
        <w:ind w:right="1699" w:firstLine="439"/>
        <w:jc w:val="both"/>
      </w:pPr>
      <w:r>
        <w:rPr/>
        <w:t>（5）</w:t>
      </w:r>
      <w:r>
        <w:rPr>
          <w:spacing w:val="65"/>
        </w:rPr>
        <w:t> </w:t>
      </w:r>
      <w:r>
        <w:rPr>
          <w:spacing w:val="-5"/>
        </w:rPr>
        <w:t>被套期项目：被套期项目可以是一项或一组存货、尚未确认的确定承诺以及很</w:t>
      </w:r>
      <w:r>
        <w:rPr>
          <w:w w:val="100"/>
        </w:rPr>
        <w:t> </w:t>
      </w:r>
      <w:r>
        <w:rPr/>
        <w:t>可能发生的预期交易，也可以是上述项目的组成部分。被套期项目应当能够可靠计量。</w:t>
      </w:r>
    </w:p>
    <w:p>
      <w:pPr>
        <w:spacing w:line="240" w:lineRule="auto" w:before="8"/>
        <w:rPr>
          <w:rFonts w:ascii="宋体" w:hAnsi="宋体" w:cs="宋体" w:eastAsia="宋体" w:hint="default"/>
          <w:sz w:val="19"/>
          <w:szCs w:val="19"/>
        </w:rPr>
      </w:pPr>
    </w:p>
    <w:p>
      <w:pPr>
        <w:pStyle w:val="BodyText"/>
        <w:spacing w:line="240" w:lineRule="auto" w:before="0"/>
        <w:ind w:left="540" w:right="1634"/>
        <w:jc w:val="left"/>
      </w:pPr>
      <w:r>
        <w:rPr/>
        <w:t>本集团将很可能发生的预期交易（铜的采购）作为被套期项目。</w:t>
      </w:r>
    </w:p>
    <w:p>
      <w:pPr>
        <w:spacing w:after="0" w:line="240" w:lineRule="auto"/>
        <w:jc w:val="left"/>
        <w:sectPr>
          <w:pgSz w:w="11910" w:h="16840"/>
          <w:pgMar w:header="939" w:footer="883" w:top="1940" w:bottom="1080" w:left="1600" w:right="0"/>
        </w:sectPr>
      </w:pPr>
    </w:p>
    <w:p>
      <w:pPr>
        <w:spacing w:line="240" w:lineRule="auto" w:before="11"/>
        <w:rPr>
          <w:rFonts w:ascii="宋体" w:hAnsi="宋体" w:cs="宋体" w:eastAsia="宋体" w:hint="default"/>
          <w:sz w:val="11"/>
          <w:szCs w:val="11"/>
        </w:rPr>
      </w:pPr>
    </w:p>
    <w:p>
      <w:pPr>
        <w:pStyle w:val="BodyText"/>
        <w:spacing w:line="240" w:lineRule="auto"/>
        <w:ind w:left="680" w:right="1445"/>
        <w:jc w:val="left"/>
      </w:pPr>
      <w:r>
        <w:rPr/>
        <w:t>（6）</w:t>
      </w:r>
      <w:r>
        <w:rPr>
          <w:spacing w:val="24"/>
        </w:rPr>
        <w:t> </w:t>
      </w:r>
      <w:r>
        <w:rPr/>
        <w:t>现金流量套期会计处理原则</w:t>
      </w:r>
    </w:p>
    <w:p>
      <w:pPr>
        <w:spacing w:line="240" w:lineRule="auto" w:before="11"/>
        <w:rPr>
          <w:rFonts w:ascii="宋体" w:hAnsi="宋体" w:cs="宋体" w:eastAsia="宋体" w:hint="default"/>
          <w:sz w:val="23"/>
          <w:szCs w:val="23"/>
        </w:rPr>
      </w:pPr>
    </w:p>
    <w:p>
      <w:pPr>
        <w:pStyle w:val="BodyText"/>
        <w:spacing w:line="300" w:lineRule="auto" w:before="0"/>
        <w:ind w:left="241" w:right="1697" w:firstLine="439"/>
        <w:jc w:val="both"/>
      </w:pPr>
      <w:r>
        <w:rPr>
          <w:spacing w:val="-4"/>
        </w:rPr>
        <w:t>对于现金流量套期，在套期关系存续期间，应当将套期工具累计利得或损失中不超过</w:t>
      </w:r>
      <w:r>
        <w:rPr>
          <w:w w:val="100"/>
        </w:rPr>
        <w:t> </w:t>
      </w:r>
      <w:r>
        <w:rPr>
          <w:spacing w:val="-4"/>
        </w:rPr>
        <w:t>被套期项目累计预计现金流量现值变动的部分作为有效套期部分（以下称为套期储备）计</w:t>
      </w:r>
      <w:r>
        <w:rPr>
          <w:spacing w:val="-51"/>
        </w:rPr>
        <w:t> </w:t>
      </w:r>
      <w:r>
        <w:rPr>
          <w:spacing w:val="-51"/>
        </w:rPr>
      </w:r>
      <w:r>
        <w:rPr/>
        <w:t>入其他综合收益，超过部分作为无效套期部分计入当期损益。</w:t>
      </w:r>
    </w:p>
    <w:p>
      <w:pPr>
        <w:spacing w:line="240" w:lineRule="auto" w:before="8"/>
        <w:rPr>
          <w:rFonts w:ascii="宋体" w:hAnsi="宋体" w:cs="宋体" w:eastAsia="宋体" w:hint="default"/>
          <w:sz w:val="19"/>
          <w:szCs w:val="19"/>
        </w:rPr>
      </w:pPr>
    </w:p>
    <w:p>
      <w:pPr>
        <w:pStyle w:val="BodyText"/>
        <w:spacing w:line="300" w:lineRule="auto" w:before="0"/>
        <w:ind w:left="241" w:right="1694" w:firstLine="439"/>
        <w:jc w:val="both"/>
      </w:pPr>
      <w:r>
        <w:rPr>
          <w:spacing w:val="-4"/>
        </w:rPr>
        <w:t>被套期项目为预期商品采购的，应当在确认相关存货时，将其套期储备转出并计入存</w:t>
      </w:r>
      <w:r>
        <w:rPr>
          <w:w w:val="100"/>
        </w:rPr>
        <w:t> </w:t>
      </w:r>
      <w:r>
        <w:rPr>
          <w:spacing w:val="-4"/>
        </w:rPr>
        <w:t>货初始成本；被套期项目为预期商品销售的，应当在该销售实现时，将其套期储备转出并</w:t>
      </w:r>
      <w:r>
        <w:rPr>
          <w:spacing w:val="-49"/>
        </w:rPr>
        <w:t> </w:t>
      </w:r>
      <w:r>
        <w:rPr>
          <w:spacing w:val="-49"/>
        </w:rPr>
      </w:r>
      <w:r>
        <w:rPr>
          <w:spacing w:val="-4"/>
        </w:rPr>
        <w:t>计入销售收入；如果预期交易随后成为一项确定承诺，且公司将该确定承诺指定为公允价</w:t>
      </w:r>
      <w:r>
        <w:rPr>
          <w:spacing w:val="-53"/>
        </w:rPr>
        <w:t> </w:t>
      </w:r>
      <w:r>
        <w:rPr>
          <w:spacing w:val="-53"/>
        </w:rPr>
      </w:r>
      <w:r>
        <w:rPr>
          <w:spacing w:val="-4"/>
        </w:rPr>
        <w:t>值套期中的被套期项目，应当在指定时，将其套期储备转出并计入该确定承诺的初始账面</w:t>
      </w:r>
      <w:r>
        <w:rPr>
          <w:spacing w:val="-51"/>
        </w:rPr>
        <w:t> </w:t>
      </w:r>
      <w:r>
        <w:rPr>
          <w:spacing w:val="-51"/>
        </w:rPr>
      </w:r>
      <w:r>
        <w:rPr>
          <w:spacing w:val="-4"/>
        </w:rPr>
        <w:t>价值；预期交易预期不再发生时，应当将其套期储备重分类至当期损益；如果现金流量套</w:t>
      </w:r>
      <w:r>
        <w:rPr>
          <w:spacing w:val="-51"/>
        </w:rPr>
        <w:t> </w:t>
      </w:r>
      <w:r>
        <w:rPr>
          <w:spacing w:val="-51"/>
        </w:rPr>
      </w:r>
      <w:r>
        <w:rPr>
          <w:spacing w:val="2"/>
        </w:rPr>
        <w:t>期储备累计金额是一项损失且公司预计在未来一个或多个会计期间将无法弥补全部或部</w:t>
      </w:r>
      <w:r>
        <w:rPr>
          <w:spacing w:val="-51"/>
        </w:rPr>
        <w:t> </w:t>
      </w:r>
      <w:r>
        <w:rPr>
          <w:spacing w:val="-51"/>
        </w:rPr>
      </w:r>
      <w:r>
        <w:rPr/>
        <w:t>分损失，则应当立即将预计无法弥补的损失金额重分类计入当期损益。</w:t>
      </w:r>
    </w:p>
    <w:p>
      <w:pPr>
        <w:spacing w:line="240" w:lineRule="auto" w:before="8"/>
        <w:rPr>
          <w:rFonts w:ascii="宋体" w:hAnsi="宋体" w:cs="宋体" w:eastAsia="宋体" w:hint="default"/>
          <w:sz w:val="19"/>
          <w:szCs w:val="19"/>
        </w:rPr>
      </w:pPr>
    </w:p>
    <w:p>
      <w:pPr>
        <w:pStyle w:val="BodyText"/>
        <w:spacing w:line="300" w:lineRule="auto" w:before="0"/>
        <w:ind w:left="241" w:right="1697" w:firstLine="439"/>
        <w:jc w:val="both"/>
      </w:pPr>
      <w:r>
        <w:rPr>
          <w:spacing w:val="-1"/>
        </w:rPr>
        <w:t>发生下列情况之一时，套期关系终止：1）因风险管理目标的变化，公司不能再指定</w:t>
      </w:r>
      <w:r>
        <w:rPr>
          <w:w w:val="100"/>
        </w:rPr>
        <w:t> </w:t>
      </w:r>
      <w:r>
        <w:rPr>
          <w:spacing w:val="-1"/>
        </w:rPr>
        <w:t>既定的套期关系；2）套期工具被平仓或到期交割；3）被套期项目风险敞口消失；4）套</w:t>
      </w:r>
      <w:r>
        <w:rPr>
          <w:spacing w:val="-62"/>
        </w:rPr>
        <w:t> </w:t>
      </w:r>
      <w:r>
        <w:rPr>
          <w:spacing w:val="-62"/>
        </w:rPr>
      </w:r>
      <w:r>
        <w:rPr/>
        <w:t>期关系不再满足商品期货套期业务会计处理暂行规定有关套期会计的应用条件。</w:t>
      </w:r>
    </w:p>
    <w:p>
      <w:pPr>
        <w:spacing w:line="240" w:lineRule="auto" w:before="8"/>
        <w:rPr>
          <w:rFonts w:ascii="宋体" w:hAnsi="宋体" w:cs="宋体" w:eastAsia="宋体" w:hint="default"/>
          <w:sz w:val="19"/>
          <w:szCs w:val="19"/>
        </w:rPr>
      </w:pPr>
    </w:p>
    <w:p>
      <w:pPr>
        <w:pStyle w:val="BodyText"/>
        <w:spacing w:line="240" w:lineRule="auto" w:before="0"/>
        <w:ind w:left="666" w:right="1445"/>
        <w:jc w:val="left"/>
      </w:pPr>
      <w:r>
        <w:rPr/>
        <w:t>31.</w:t>
      </w:r>
      <w:r>
        <w:rPr>
          <w:spacing w:val="-8"/>
        </w:rPr>
        <w:t> </w:t>
      </w:r>
      <w:bookmarkStart w:name="31.重要会计政策和会计估计变更" w:id="214"/>
      <w:bookmarkEnd w:id="214"/>
      <w:r>
        <w:rPr/>
        <w:t>重</w:t>
      </w:r>
      <w:r>
        <w:rPr/>
        <w:t>要会计政策和会计估计变更</w:t>
      </w:r>
    </w:p>
    <w:p>
      <w:pPr>
        <w:spacing w:line="240" w:lineRule="auto" w:before="11"/>
        <w:rPr>
          <w:rFonts w:ascii="宋体" w:hAnsi="宋体" w:cs="宋体" w:eastAsia="宋体" w:hint="default"/>
          <w:sz w:val="23"/>
          <w:szCs w:val="23"/>
        </w:rPr>
      </w:pPr>
    </w:p>
    <w:p>
      <w:pPr>
        <w:pStyle w:val="BodyText"/>
        <w:spacing w:line="240" w:lineRule="auto" w:before="0"/>
        <w:ind w:left="666" w:right="1445"/>
        <w:jc w:val="left"/>
      </w:pPr>
      <w:r>
        <w:rPr/>
        <w:t>（</w:t>
      </w:r>
      <w:r>
        <w:rPr>
          <w:rFonts w:ascii="Times New Roman" w:hAnsi="Times New Roman" w:cs="Times New Roman" w:eastAsia="Times New Roman" w:hint="default"/>
        </w:rPr>
        <w:t>1</w:t>
      </w:r>
      <w:r>
        <w:rPr/>
        <w:t>）</w:t>
      </w:r>
      <w:bookmarkStart w:name="（1）重要会计政策变更" w:id="215"/>
      <w:bookmarkEnd w:id="215"/>
      <w:r>
        <w:rPr/>
        <w:t>重</w:t>
      </w:r>
      <w:r>
        <w:rPr/>
        <w:t>要会计政策变更</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5405"/>
        <w:gridCol w:w="2502"/>
        <w:gridCol w:w="816"/>
      </w:tblGrid>
      <w:tr>
        <w:trPr>
          <w:trHeight w:val="389" w:hRule="exact"/>
        </w:trPr>
        <w:tc>
          <w:tcPr>
            <w:tcW w:w="540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9"/>
              <w:ind w:left="108" w:right="0"/>
              <w:jc w:val="left"/>
              <w:rPr>
                <w:rFonts w:ascii="宋体" w:hAnsi="宋体" w:cs="宋体" w:eastAsia="宋体" w:hint="default"/>
                <w:sz w:val="18"/>
                <w:szCs w:val="18"/>
              </w:rPr>
            </w:pPr>
            <w:bookmarkStart w:name="会计政策变更的内容和原因" w:id="216"/>
            <w:bookmarkEnd w:id="216"/>
            <w:r>
              <w:rPr/>
            </w:r>
            <w:r>
              <w:rPr>
                <w:rFonts w:ascii="宋体" w:hAnsi="宋体" w:cs="宋体" w:eastAsia="宋体" w:hint="default"/>
                <w:b/>
                <w:bCs/>
                <w:sz w:val="18"/>
                <w:szCs w:val="18"/>
              </w:rPr>
              <w:t>会计政策变更的内容和原因</w:t>
            </w:r>
            <w:r>
              <w:rPr>
                <w:rFonts w:ascii="宋体" w:hAnsi="宋体" w:cs="宋体" w:eastAsia="宋体" w:hint="default"/>
                <w:sz w:val="18"/>
                <w:szCs w:val="18"/>
              </w:rPr>
            </w:r>
          </w:p>
        </w:tc>
        <w:tc>
          <w:tcPr>
            <w:tcW w:w="250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bookmarkStart w:name="审批程序" w:id="217"/>
            <w:bookmarkEnd w:id="217"/>
            <w:r>
              <w:rPr/>
            </w:r>
            <w:r>
              <w:rPr>
                <w:rFonts w:ascii="宋体" w:hAnsi="宋体" w:cs="宋体" w:eastAsia="宋体" w:hint="default"/>
                <w:b/>
                <w:bCs/>
                <w:sz w:val="18"/>
                <w:szCs w:val="18"/>
              </w:rPr>
              <w:t>审批程序</w:t>
            </w:r>
            <w:r>
              <w:rPr>
                <w:rFonts w:ascii="宋体" w:hAnsi="宋体" w:cs="宋体" w:eastAsia="宋体" w:hint="default"/>
                <w:sz w:val="18"/>
                <w:szCs w:val="18"/>
              </w:rPr>
            </w:r>
          </w:p>
        </w:tc>
        <w:tc>
          <w:tcPr>
            <w:tcW w:w="81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9"/>
              <w:ind w:right="4"/>
              <w:jc w:val="center"/>
              <w:rPr>
                <w:rFonts w:ascii="宋体" w:hAnsi="宋体" w:cs="宋体" w:eastAsia="宋体" w:hint="default"/>
                <w:sz w:val="18"/>
                <w:szCs w:val="18"/>
              </w:rPr>
            </w:pPr>
            <w:bookmarkStart w:name="备注" w:id="218"/>
            <w:bookmarkEnd w:id="218"/>
            <w:r>
              <w:rPr/>
            </w: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790" w:hRule="exact"/>
        </w:trPr>
        <w:tc>
          <w:tcPr>
            <w:tcW w:w="5405" w:type="dxa"/>
            <w:tcBorders>
              <w:top w:val="single" w:sz="4" w:space="0" w:color="000000"/>
              <w:left w:val="nil" w:sz="6" w:space="0" w:color="auto"/>
              <w:bottom w:val="single" w:sz="4" w:space="0" w:color="000000"/>
              <w:right w:val="single" w:sz="4" w:space="0" w:color="000000"/>
            </w:tcBorders>
          </w:tcPr>
          <w:p>
            <w:pPr>
              <w:pStyle w:val="TableParagraph"/>
              <w:spacing w:line="234" w:lineRule="exact" w:before="12"/>
              <w:ind w:left="108"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2"/>
                <w:sz w:val="18"/>
                <w:szCs w:val="18"/>
              </w:rPr>
              <w:t> </w:t>
            </w:r>
            <w:r>
              <w:rPr>
                <w:rFonts w:ascii="宋体" w:hAnsi="宋体" w:cs="宋体" w:eastAsia="宋体" w:hint="default"/>
                <w:sz w:val="18"/>
                <w:szCs w:val="18"/>
              </w:rPr>
              <w:t>2019</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4</w:t>
            </w:r>
            <w:r>
              <w:rPr>
                <w:rFonts w:ascii="宋体" w:hAnsi="宋体" w:cs="宋体" w:eastAsia="宋体" w:hint="default"/>
                <w:spacing w:val="-40"/>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宋体" w:hAnsi="宋体" w:cs="宋体" w:eastAsia="宋体" w:hint="default"/>
                <w:sz w:val="18"/>
                <w:szCs w:val="18"/>
              </w:rPr>
              <w:t>30</w:t>
            </w:r>
            <w:r>
              <w:rPr>
                <w:rFonts w:ascii="宋体" w:hAnsi="宋体" w:cs="宋体" w:eastAsia="宋体" w:hint="default"/>
                <w:spacing w:val="-40"/>
                <w:sz w:val="18"/>
                <w:szCs w:val="18"/>
              </w:rPr>
              <w:t> </w:t>
            </w:r>
            <w:r>
              <w:rPr>
                <w:rFonts w:ascii="宋体" w:hAnsi="宋体" w:cs="宋体" w:eastAsia="宋体" w:hint="default"/>
                <w:sz w:val="18"/>
                <w:szCs w:val="18"/>
              </w:rPr>
              <w:t>日颁布《关于修订印发</w:t>
            </w:r>
            <w:r>
              <w:rPr>
                <w:rFonts w:ascii="宋体" w:hAnsi="宋体" w:cs="宋体" w:eastAsia="宋体" w:hint="default"/>
                <w:spacing w:val="-38"/>
                <w:sz w:val="18"/>
                <w:szCs w:val="18"/>
              </w:rPr>
              <w:t> </w:t>
            </w:r>
            <w:r>
              <w:rPr>
                <w:rFonts w:ascii="宋体" w:hAnsi="宋体" w:cs="宋体" w:eastAsia="宋体" w:hint="default"/>
                <w:sz w:val="18"/>
                <w:szCs w:val="18"/>
              </w:rPr>
              <w:t>2019</w:t>
            </w:r>
            <w:r>
              <w:rPr>
                <w:rFonts w:ascii="宋体" w:hAnsi="宋体" w:cs="宋体" w:eastAsia="宋体" w:hint="default"/>
                <w:spacing w:val="-40"/>
                <w:sz w:val="18"/>
                <w:szCs w:val="18"/>
              </w:rPr>
              <w:t> </w:t>
            </w:r>
            <w:r>
              <w:rPr>
                <w:rFonts w:ascii="宋体" w:hAnsi="宋体" w:cs="宋体" w:eastAsia="宋体" w:hint="default"/>
                <w:sz w:val="18"/>
                <w:szCs w:val="18"/>
              </w:rPr>
              <w:t>年度一般企</w:t>
            </w:r>
          </w:p>
          <w:p>
            <w:pPr>
              <w:pStyle w:val="TableParagraph"/>
              <w:spacing w:line="232" w:lineRule="exact" w:before="23"/>
              <w:ind w:left="108" w:right="100"/>
              <w:jc w:val="left"/>
              <w:rPr>
                <w:rFonts w:ascii="宋体" w:hAnsi="宋体" w:cs="宋体" w:eastAsia="宋体" w:hint="default"/>
                <w:sz w:val="18"/>
                <w:szCs w:val="18"/>
              </w:rPr>
            </w:pPr>
            <w:r>
              <w:rPr>
                <w:rFonts w:ascii="宋体" w:hAnsi="宋体" w:cs="宋体" w:eastAsia="宋体" w:hint="default"/>
                <w:sz w:val="18"/>
                <w:szCs w:val="18"/>
              </w:rPr>
              <w:t>业财务报表格式的通知》（财会[2019]</w:t>
            </w:r>
            <w:r>
              <w:rPr>
                <w:rFonts w:ascii="宋体" w:hAnsi="宋体" w:cs="宋体" w:eastAsia="宋体" w:hint="default"/>
                <w:spacing w:val="-61"/>
                <w:sz w:val="18"/>
                <w:szCs w:val="18"/>
              </w:rPr>
              <w:t> </w:t>
            </w:r>
            <w:r>
              <w:rPr>
                <w:rFonts w:ascii="宋体" w:hAnsi="宋体" w:cs="宋体" w:eastAsia="宋体" w:hint="default"/>
                <w:sz w:val="18"/>
                <w:szCs w:val="18"/>
              </w:rPr>
              <w:t>6</w:t>
            </w:r>
            <w:r>
              <w:rPr>
                <w:rFonts w:ascii="宋体" w:hAnsi="宋体" w:cs="宋体" w:eastAsia="宋体" w:hint="default"/>
                <w:spacing w:val="-61"/>
                <w:sz w:val="18"/>
                <w:szCs w:val="18"/>
              </w:rPr>
              <w:t> </w:t>
            </w:r>
            <w:r>
              <w:rPr>
                <w:rFonts w:ascii="宋体" w:hAnsi="宋体" w:cs="宋体" w:eastAsia="宋体" w:hint="default"/>
                <w:sz w:val="18"/>
                <w:szCs w:val="18"/>
              </w:rPr>
              <w:t>号），对部分财务报表项</w:t>
            </w:r>
            <w:r>
              <w:rPr>
                <w:rFonts w:ascii="宋体" w:hAnsi="宋体" w:cs="宋体" w:eastAsia="宋体" w:hint="default"/>
                <w:sz w:val="18"/>
                <w:szCs w:val="18"/>
              </w:rPr>
              <w:t> 目列报进行调整。</w:t>
            </w:r>
          </w:p>
        </w:tc>
        <w:tc>
          <w:tcPr>
            <w:tcW w:w="250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6"/>
              <w:ind w:left="103" w:right="102"/>
              <w:jc w:val="both"/>
              <w:rPr>
                <w:rFonts w:ascii="宋体" w:hAnsi="宋体" w:cs="宋体" w:eastAsia="宋体" w:hint="default"/>
                <w:sz w:val="18"/>
                <w:szCs w:val="18"/>
              </w:rPr>
            </w:pPr>
            <w:bookmarkStart w:name="相关会计政策变更已经本公司第四届董事会第三十二次会议审议通过" w:id="219"/>
            <w:bookmarkEnd w:id="219"/>
            <w:r>
              <w:rPr/>
            </w:r>
            <w:r>
              <w:rPr>
                <w:rFonts w:ascii="宋体" w:hAnsi="宋体" w:cs="宋体" w:eastAsia="宋体" w:hint="default"/>
                <w:spacing w:val="10"/>
                <w:sz w:val="18"/>
                <w:szCs w:val="18"/>
              </w:rPr>
              <w:t>相关会计政策变更已经本公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0"/>
                <w:sz w:val="18"/>
                <w:szCs w:val="18"/>
              </w:rPr>
              <w:t>司第四届董事会第三十二次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会议审议通过</w:t>
            </w:r>
          </w:p>
        </w:tc>
        <w:tc>
          <w:tcPr>
            <w:tcW w:w="8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18"/>
                <w:szCs w:val="18"/>
              </w:rPr>
            </w:pPr>
            <w:bookmarkStart w:name="注1" w:id="220"/>
            <w:bookmarkEnd w:id="220"/>
            <w:r>
              <w:rPr/>
            </w: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宋体" w:hAnsi="宋体" w:cs="宋体" w:eastAsia="宋体" w:hint="default"/>
                <w:sz w:val="18"/>
                <w:szCs w:val="18"/>
              </w:rPr>
              <w:t>1</w:t>
            </w:r>
          </w:p>
        </w:tc>
      </w:tr>
      <w:tr>
        <w:trPr>
          <w:trHeight w:val="278" w:hRule="exact"/>
        </w:trPr>
        <w:tc>
          <w:tcPr>
            <w:tcW w:w="5405"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7"/>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pacing w:val="-3"/>
                <w:sz w:val="18"/>
                <w:szCs w:val="18"/>
              </w:rPr>
              <w:t>年修订《企业会计准则第</w:t>
            </w:r>
            <w:r>
              <w:rPr>
                <w:rFonts w:ascii="宋体" w:hAnsi="宋体" w:cs="宋体" w:eastAsia="宋体" w:hint="default"/>
                <w:spacing w:val="-45"/>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号——金融工具确认和</w:t>
            </w:r>
          </w:p>
        </w:tc>
        <w:tc>
          <w:tcPr>
            <w:tcW w:w="2502" w:type="dxa"/>
            <w:tcBorders>
              <w:top w:val="single" w:sz="4" w:space="0" w:color="000000"/>
              <w:left w:val="single" w:sz="4" w:space="0" w:color="000000"/>
              <w:bottom w:val="nil" w:sz="6" w:space="0" w:color="auto"/>
              <w:right w:val="single" w:sz="4" w:space="0" w:color="000000"/>
            </w:tcBorders>
          </w:tcPr>
          <w:p>
            <w:pPr/>
          </w:p>
        </w:tc>
        <w:tc>
          <w:tcPr>
            <w:tcW w:w="816" w:type="dxa"/>
            <w:tcBorders>
              <w:top w:val="single" w:sz="4" w:space="0" w:color="000000"/>
              <w:left w:val="single" w:sz="4" w:space="0" w:color="000000"/>
              <w:bottom w:val="nil" w:sz="6" w:space="0" w:color="auto"/>
              <w:right w:val="nil" w:sz="6" w:space="0" w:color="auto"/>
            </w:tcBorders>
          </w:tcPr>
          <w:p>
            <w:pPr/>
          </w:p>
        </w:tc>
      </w:tr>
      <w:tr>
        <w:trPr>
          <w:trHeight w:val="934" w:hRule="exact"/>
        </w:trPr>
        <w:tc>
          <w:tcPr>
            <w:tcW w:w="5405" w:type="dxa"/>
            <w:tcBorders>
              <w:top w:val="nil" w:sz="6" w:space="0" w:color="auto"/>
              <w:left w:val="nil" w:sz="6" w:space="0" w:color="auto"/>
              <w:bottom w:val="nil" w:sz="6" w:space="0" w:color="auto"/>
              <w:right w:val="single" w:sz="4" w:space="0" w:color="000000"/>
            </w:tcBorders>
          </w:tcPr>
          <w:p>
            <w:pPr>
              <w:pStyle w:val="TableParagraph"/>
              <w:spacing w:line="205" w:lineRule="exact"/>
              <w:ind w:left="108" w:right="0"/>
              <w:jc w:val="both"/>
              <w:rPr>
                <w:rFonts w:ascii="宋体" w:hAnsi="宋体" w:cs="宋体" w:eastAsia="宋体" w:hint="default"/>
                <w:sz w:val="18"/>
                <w:szCs w:val="18"/>
              </w:rPr>
            </w:pPr>
            <w:r>
              <w:rPr>
                <w:rFonts w:ascii="宋体" w:hAnsi="宋体" w:cs="宋体" w:eastAsia="宋体" w:hint="default"/>
                <w:sz w:val="18"/>
                <w:szCs w:val="18"/>
              </w:rPr>
              <w:t>计量》（财会[2017]7 号）、《企业会计准则第 23</w:t>
            </w:r>
            <w:r>
              <w:rPr>
                <w:rFonts w:ascii="宋体" w:hAnsi="宋体" w:cs="宋体" w:eastAsia="宋体" w:hint="default"/>
                <w:spacing w:val="-57"/>
                <w:sz w:val="18"/>
                <w:szCs w:val="18"/>
              </w:rPr>
              <w:t> </w:t>
            </w:r>
            <w:r>
              <w:rPr>
                <w:rFonts w:ascii="宋体" w:hAnsi="宋体" w:cs="宋体" w:eastAsia="宋体" w:hint="default"/>
                <w:spacing w:val="2"/>
                <w:sz w:val="18"/>
                <w:szCs w:val="18"/>
              </w:rPr>
              <w:t>号——金融资</w:t>
            </w:r>
          </w:p>
          <w:p>
            <w:pPr>
              <w:pStyle w:val="TableParagraph"/>
              <w:spacing w:line="237" w:lineRule="auto"/>
              <w:ind w:left="108" w:right="100"/>
              <w:jc w:val="both"/>
              <w:rPr>
                <w:rFonts w:ascii="宋体" w:hAnsi="宋体" w:cs="宋体" w:eastAsia="宋体" w:hint="default"/>
                <w:sz w:val="18"/>
                <w:szCs w:val="18"/>
              </w:rPr>
            </w:pPr>
            <w:r>
              <w:rPr>
                <w:rFonts w:ascii="宋体" w:hAnsi="宋体" w:cs="宋体" w:eastAsia="宋体" w:hint="default"/>
                <w:sz w:val="18"/>
                <w:szCs w:val="18"/>
              </w:rPr>
              <w:t>产转移》（财会[2017]8</w:t>
            </w:r>
            <w:r>
              <w:rPr>
                <w:rFonts w:ascii="宋体" w:hAnsi="宋体" w:cs="宋体" w:eastAsia="宋体" w:hint="default"/>
                <w:spacing w:val="19"/>
                <w:sz w:val="18"/>
                <w:szCs w:val="18"/>
              </w:rPr>
              <w:t> </w:t>
            </w:r>
            <w:r>
              <w:rPr>
                <w:rFonts w:ascii="宋体" w:hAnsi="宋体" w:cs="宋体" w:eastAsia="宋体" w:hint="default"/>
                <w:sz w:val="18"/>
                <w:szCs w:val="18"/>
              </w:rPr>
              <w:t>号）、《企业会计准则第</w:t>
            </w:r>
            <w:r>
              <w:rPr>
                <w:rFonts w:ascii="宋体" w:hAnsi="宋体" w:cs="宋体" w:eastAsia="宋体" w:hint="default"/>
                <w:spacing w:val="-33"/>
                <w:sz w:val="18"/>
                <w:szCs w:val="18"/>
              </w:rPr>
              <w:t> </w:t>
            </w:r>
            <w:r>
              <w:rPr>
                <w:rFonts w:ascii="宋体" w:hAnsi="宋体" w:cs="宋体" w:eastAsia="宋体" w:hint="default"/>
                <w:sz w:val="18"/>
                <w:szCs w:val="18"/>
              </w:rPr>
              <w:t>24</w:t>
            </w:r>
            <w:r>
              <w:rPr>
                <w:rFonts w:ascii="宋体" w:hAnsi="宋体" w:cs="宋体" w:eastAsia="宋体" w:hint="default"/>
                <w:spacing w:val="-36"/>
                <w:sz w:val="18"/>
                <w:szCs w:val="18"/>
              </w:rPr>
              <w:t> </w:t>
            </w:r>
            <w:r>
              <w:rPr>
                <w:rFonts w:ascii="宋体" w:hAnsi="宋体" w:cs="宋体" w:eastAsia="宋体" w:hint="default"/>
                <w:sz w:val="18"/>
                <w:szCs w:val="18"/>
              </w:rPr>
              <w:t>号——套期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会计》财会[2017]9</w:t>
            </w:r>
            <w:r>
              <w:rPr>
                <w:rFonts w:ascii="宋体" w:hAnsi="宋体" w:cs="宋体" w:eastAsia="宋体" w:hint="default"/>
                <w:spacing w:val="-17"/>
                <w:sz w:val="18"/>
                <w:szCs w:val="18"/>
              </w:rPr>
              <w:t> </w:t>
            </w:r>
            <w:r>
              <w:rPr>
                <w:rFonts w:ascii="宋体" w:hAnsi="宋体" w:cs="宋体" w:eastAsia="宋体" w:hint="default"/>
                <w:sz w:val="18"/>
                <w:szCs w:val="18"/>
              </w:rPr>
              <w:t>号)及《企业会计准则第</w:t>
            </w:r>
            <w:r>
              <w:rPr>
                <w:rFonts w:ascii="宋体" w:hAnsi="宋体" w:cs="宋体" w:eastAsia="宋体" w:hint="default"/>
                <w:spacing w:val="-54"/>
                <w:sz w:val="18"/>
                <w:szCs w:val="18"/>
              </w:rPr>
              <w:t> </w:t>
            </w:r>
            <w:r>
              <w:rPr>
                <w:rFonts w:ascii="宋体" w:hAnsi="宋体" w:cs="宋体" w:eastAsia="宋体" w:hint="default"/>
                <w:sz w:val="18"/>
                <w:szCs w:val="18"/>
              </w:rPr>
              <w:t>37</w:t>
            </w:r>
            <w:r>
              <w:rPr>
                <w:rFonts w:ascii="宋体" w:hAnsi="宋体" w:cs="宋体" w:eastAsia="宋体" w:hint="default"/>
                <w:spacing w:val="-54"/>
                <w:sz w:val="18"/>
                <w:szCs w:val="18"/>
              </w:rPr>
              <w:t> </w:t>
            </w:r>
            <w:r>
              <w:rPr>
                <w:rFonts w:ascii="宋体" w:hAnsi="宋体" w:cs="宋体" w:eastAsia="宋体" w:hint="default"/>
                <w:sz w:val="18"/>
                <w:szCs w:val="18"/>
              </w:rPr>
              <w:t>号——金融工具列</w:t>
            </w:r>
            <w:r>
              <w:rPr>
                <w:rFonts w:ascii="宋体" w:hAnsi="宋体" w:cs="宋体" w:eastAsia="宋体" w:hint="default"/>
                <w:sz w:val="18"/>
                <w:szCs w:val="18"/>
              </w:rPr>
              <w:t> 报》（财会[2017]14</w:t>
            </w:r>
            <w:r>
              <w:rPr>
                <w:rFonts w:ascii="宋体" w:hAnsi="宋体" w:cs="宋体" w:eastAsia="宋体" w:hint="default"/>
                <w:spacing w:val="45"/>
                <w:sz w:val="18"/>
                <w:szCs w:val="18"/>
              </w:rPr>
              <w:t> </w:t>
            </w:r>
            <w:r>
              <w:rPr>
                <w:rFonts w:ascii="宋体" w:hAnsi="宋体" w:cs="宋体" w:eastAsia="宋体" w:hint="default"/>
                <w:sz w:val="18"/>
                <w:szCs w:val="18"/>
              </w:rPr>
              <w:t>号）（统称“新金融工具准则”），并要求</w:t>
            </w:r>
          </w:p>
        </w:tc>
        <w:tc>
          <w:tcPr>
            <w:tcW w:w="2502" w:type="dxa"/>
            <w:tcBorders>
              <w:top w:val="nil" w:sz="6" w:space="0" w:color="auto"/>
              <w:left w:val="single" w:sz="4" w:space="0" w:color="000000"/>
              <w:bottom w:val="nil" w:sz="6" w:space="0" w:color="auto"/>
              <w:right w:val="single" w:sz="4" w:space="0" w:color="000000"/>
            </w:tcBorders>
          </w:tcPr>
          <w:p>
            <w:pPr>
              <w:pStyle w:val="TableParagraph"/>
              <w:spacing w:line="232" w:lineRule="exact" w:before="113"/>
              <w:ind w:left="103" w:right="102"/>
              <w:jc w:val="both"/>
              <w:rPr>
                <w:rFonts w:ascii="宋体" w:hAnsi="宋体" w:cs="宋体" w:eastAsia="宋体" w:hint="default"/>
                <w:sz w:val="18"/>
                <w:szCs w:val="18"/>
              </w:rPr>
            </w:pPr>
            <w:bookmarkStart w:name="相关会计政策变更已经本公司第四届董事会第三十二次会议审议通过" w:id="221"/>
            <w:bookmarkEnd w:id="221"/>
            <w:r>
              <w:rPr/>
            </w:r>
            <w:r>
              <w:rPr>
                <w:rFonts w:ascii="宋体" w:hAnsi="宋体" w:cs="宋体" w:eastAsia="宋体" w:hint="default"/>
                <w:spacing w:val="10"/>
                <w:sz w:val="18"/>
                <w:szCs w:val="18"/>
              </w:rPr>
              <w:t>相关会计政策变更已经本公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0"/>
                <w:sz w:val="18"/>
                <w:szCs w:val="18"/>
              </w:rPr>
              <w:t>司第四届董事会第三十二次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会议审议通过</w:t>
            </w:r>
          </w:p>
        </w:tc>
        <w:tc>
          <w:tcPr>
            <w:tcW w:w="816"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5"/>
              <w:jc w:val="center"/>
              <w:rPr>
                <w:rFonts w:ascii="宋体" w:hAnsi="宋体" w:cs="宋体" w:eastAsia="宋体" w:hint="default"/>
                <w:sz w:val="18"/>
                <w:szCs w:val="18"/>
              </w:rPr>
            </w:pPr>
            <w:bookmarkStart w:name="注2" w:id="222"/>
            <w:bookmarkEnd w:id="222"/>
            <w:r>
              <w:rPr/>
            </w: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宋体" w:hAnsi="宋体" w:cs="宋体" w:eastAsia="宋体" w:hint="default"/>
                <w:sz w:val="18"/>
                <w:szCs w:val="18"/>
              </w:rPr>
              <w:t>2</w:t>
            </w:r>
          </w:p>
        </w:tc>
      </w:tr>
      <w:tr>
        <w:trPr>
          <w:trHeight w:val="289" w:hRule="exact"/>
        </w:trPr>
        <w:tc>
          <w:tcPr>
            <w:tcW w:w="5405" w:type="dxa"/>
            <w:tcBorders>
              <w:top w:val="nil" w:sz="6" w:space="0" w:color="auto"/>
              <w:left w:val="nil" w:sz="6" w:space="0" w:color="auto"/>
              <w:bottom w:val="single" w:sz="12" w:space="0" w:color="000000"/>
              <w:right w:val="single" w:sz="4" w:space="0" w:color="000000"/>
            </w:tcBorders>
          </w:tcPr>
          <w:p>
            <w:pPr>
              <w:pStyle w:val="TableParagraph"/>
              <w:spacing w:line="206" w:lineRule="exact"/>
              <w:ind w:left="108" w:right="0"/>
              <w:jc w:val="left"/>
              <w:rPr>
                <w:rFonts w:ascii="宋体" w:hAnsi="宋体" w:cs="宋体" w:eastAsia="宋体" w:hint="default"/>
                <w:sz w:val="18"/>
                <w:szCs w:val="18"/>
              </w:rPr>
            </w:pPr>
            <w:r>
              <w:rPr>
                <w:rFonts w:ascii="宋体" w:hAnsi="宋体" w:cs="宋体" w:eastAsia="宋体" w:hint="default"/>
                <w:sz w:val="18"/>
                <w:szCs w:val="18"/>
              </w:rPr>
              <w:t>境内上市企业自</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日起施行。</w:t>
            </w:r>
          </w:p>
        </w:tc>
        <w:tc>
          <w:tcPr>
            <w:tcW w:w="2502" w:type="dxa"/>
            <w:tcBorders>
              <w:top w:val="nil" w:sz="6" w:space="0" w:color="auto"/>
              <w:left w:val="single" w:sz="4" w:space="0" w:color="000000"/>
              <w:bottom w:val="single" w:sz="12" w:space="0" w:color="000000"/>
              <w:right w:val="single" w:sz="4" w:space="0" w:color="000000"/>
            </w:tcBorders>
          </w:tcPr>
          <w:p>
            <w:pPr/>
          </w:p>
        </w:tc>
        <w:tc>
          <w:tcPr>
            <w:tcW w:w="816" w:type="dxa"/>
            <w:tcBorders>
              <w:top w:val="nil" w:sz="6" w:space="0" w:color="auto"/>
              <w:left w:val="single" w:sz="4" w:space="0" w:color="000000"/>
              <w:bottom w:val="single" w:sz="12" w:space="0" w:color="000000"/>
              <w:right w:val="nil" w:sz="6" w:space="0" w:color="auto"/>
            </w:tcBorders>
          </w:tcPr>
          <w:p>
            <w:pPr/>
          </w:p>
        </w:tc>
      </w:tr>
    </w:tbl>
    <w:p>
      <w:pPr>
        <w:spacing w:line="240" w:lineRule="auto" w:before="3"/>
        <w:rPr>
          <w:rFonts w:ascii="宋体" w:hAnsi="宋体" w:cs="宋体" w:eastAsia="宋体" w:hint="default"/>
          <w:sz w:val="18"/>
          <w:szCs w:val="18"/>
        </w:rPr>
      </w:pPr>
    </w:p>
    <w:p>
      <w:pPr>
        <w:pStyle w:val="BodyText"/>
        <w:spacing w:line="300" w:lineRule="auto"/>
        <w:ind w:left="241" w:right="1445" w:firstLine="439"/>
        <w:jc w:val="left"/>
      </w:pPr>
      <w:r>
        <w:rPr/>
        <w:t>注</w:t>
      </w:r>
      <w:r>
        <w:rPr>
          <w:spacing w:val="-47"/>
        </w:rPr>
        <w:t> </w:t>
      </w:r>
      <w:r>
        <w:rPr/>
        <w:t>1：本集团已按财会[2019]</w:t>
      </w:r>
      <w:r>
        <w:rPr>
          <w:spacing w:val="-51"/>
        </w:rPr>
        <w:t> </w:t>
      </w:r>
      <w:r>
        <w:rPr/>
        <w:t>6</w:t>
      </w:r>
      <w:r>
        <w:rPr>
          <w:spacing w:val="-47"/>
        </w:rPr>
        <w:t> </w:t>
      </w:r>
      <w:r>
        <w:rPr>
          <w:spacing w:val="-3"/>
        </w:rPr>
        <w:t>号要求对比较财务报表格式进行调整，比较财务报表</w:t>
      </w:r>
      <w:r>
        <w:rPr>
          <w:w w:val="100"/>
        </w:rPr>
        <w:t> </w:t>
      </w:r>
      <w:r>
        <w:rPr/>
        <w:t>受重要影响的报表项目和金额如下：</w:t>
      </w:r>
    </w:p>
    <w:p>
      <w:pPr>
        <w:spacing w:line="240" w:lineRule="auto" w:before="2"/>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2226"/>
        <w:gridCol w:w="1977"/>
        <w:gridCol w:w="1734"/>
        <w:gridCol w:w="2786"/>
      </w:tblGrid>
      <w:tr>
        <w:trPr>
          <w:trHeight w:val="425" w:hRule="exact"/>
        </w:trPr>
        <w:tc>
          <w:tcPr>
            <w:tcW w:w="4203" w:type="dxa"/>
            <w:gridSpan w:val="2"/>
            <w:tcBorders>
              <w:top w:val="single" w:sz="17"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原列报报表项目及金额</w:t>
            </w:r>
            <w:r>
              <w:rPr>
                <w:rFonts w:ascii="宋体" w:hAnsi="宋体" w:cs="宋体" w:eastAsia="宋体" w:hint="default"/>
                <w:sz w:val="18"/>
                <w:szCs w:val="18"/>
              </w:rPr>
            </w:r>
          </w:p>
        </w:tc>
        <w:tc>
          <w:tcPr>
            <w:tcW w:w="4520" w:type="dxa"/>
            <w:gridSpan w:val="2"/>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left="1355" w:right="0"/>
              <w:jc w:val="left"/>
              <w:rPr>
                <w:rFonts w:ascii="宋体" w:hAnsi="宋体" w:cs="宋体" w:eastAsia="宋体" w:hint="default"/>
                <w:sz w:val="18"/>
                <w:szCs w:val="18"/>
              </w:rPr>
            </w:pPr>
            <w:r>
              <w:rPr>
                <w:rFonts w:ascii="宋体" w:hAnsi="宋体" w:cs="宋体" w:eastAsia="宋体" w:hint="default"/>
                <w:b/>
                <w:bCs/>
                <w:sz w:val="18"/>
                <w:szCs w:val="18"/>
              </w:rPr>
              <w:t>新列报报表项目及金额</w:t>
            </w:r>
            <w:r>
              <w:rPr>
                <w:rFonts w:ascii="宋体" w:hAnsi="宋体" w:cs="宋体" w:eastAsia="宋体" w:hint="default"/>
                <w:sz w:val="18"/>
                <w:szCs w:val="18"/>
              </w:rPr>
            </w:r>
          </w:p>
        </w:tc>
      </w:tr>
      <w:tr>
        <w:trPr>
          <w:trHeight w:val="407" w:hRule="exact"/>
        </w:trPr>
        <w:tc>
          <w:tcPr>
            <w:tcW w:w="2226" w:type="dxa"/>
            <w:vMerge w:val="restart"/>
            <w:tcBorders>
              <w:top w:val="single" w:sz="4"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197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424" w:right="0"/>
              <w:jc w:val="left"/>
              <w:rPr>
                <w:rFonts w:ascii="宋体" w:hAnsi="宋体" w:cs="宋体" w:eastAsia="宋体" w:hint="default"/>
                <w:sz w:val="18"/>
                <w:szCs w:val="18"/>
              </w:rPr>
            </w:pPr>
            <w:bookmarkStart w:name="3,312,588,942.28" w:id="223"/>
            <w:bookmarkEnd w:id="223"/>
            <w:r>
              <w:rPr/>
            </w:r>
            <w:r>
              <w:rPr>
                <w:rFonts w:ascii="宋体"/>
                <w:sz w:val="18"/>
              </w:rPr>
              <w:t>3,312,588,942.28</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500,952,928.45</w:t>
            </w:r>
          </w:p>
        </w:tc>
      </w:tr>
      <w:tr>
        <w:trPr>
          <w:trHeight w:val="407" w:hRule="exact"/>
        </w:trPr>
        <w:tc>
          <w:tcPr>
            <w:tcW w:w="2226" w:type="dxa"/>
            <w:vMerge/>
            <w:tcBorders>
              <w:left w:val="nil" w:sz="6" w:space="0" w:color="auto"/>
              <w:bottom w:val="single" w:sz="4" w:space="0" w:color="000000"/>
              <w:right w:val="single" w:sz="4" w:space="0" w:color="000000"/>
            </w:tcBorders>
          </w:tcPr>
          <w:p>
            <w:pPr/>
          </w:p>
        </w:tc>
        <w:tc>
          <w:tcPr>
            <w:tcW w:w="1977" w:type="dxa"/>
            <w:vMerge/>
            <w:tcBorders>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2,811,636,013.83</w:t>
            </w:r>
          </w:p>
        </w:tc>
      </w:tr>
      <w:tr>
        <w:trPr>
          <w:trHeight w:val="407" w:hRule="exact"/>
        </w:trPr>
        <w:tc>
          <w:tcPr>
            <w:tcW w:w="2226" w:type="dxa"/>
            <w:vMerge w:val="restart"/>
            <w:tcBorders>
              <w:top w:val="single" w:sz="4"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197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424" w:right="0"/>
              <w:jc w:val="left"/>
              <w:rPr>
                <w:rFonts w:ascii="宋体" w:hAnsi="宋体" w:cs="宋体" w:eastAsia="宋体" w:hint="default"/>
                <w:sz w:val="18"/>
                <w:szCs w:val="18"/>
              </w:rPr>
            </w:pPr>
            <w:bookmarkStart w:name="1,335,366,397.45" w:id="224"/>
            <w:bookmarkEnd w:id="224"/>
            <w:r>
              <w:rPr/>
            </w:r>
            <w:r>
              <w:rPr>
                <w:rFonts w:ascii="宋体"/>
                <w:sz w:val="18"/>
              </w:rPr>
              <w:t>1,335,366,397.45</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687,397,850.80</w:t>
            </w:r>
          </w:p>
        </w:tc>
      </w:tr>
      <w:tr>
        <w:trPr>
          <w:trHeight w:val="405" w:hRule="exact"/>
        </w:trPr>
        <w:tc>
          <w:tcPr>
            <w:tcW w:w="2226" w:type="dxa"/>
            <w:vMerge/>
            <w:tcBorders>
              <w:left w:val="nil" w:sz="6" w:space="0" w:color="auto"/>
              <w:bottom w:val="single" w:sz="4" w:space="0" w:color="000000"/>
              <w:right w:val="single" w:sz="4" w:space="0" w:color="000000"/>
            </w:tcBorders>
          </w:tcPr>
          <w:p>
            <w:pPr/>
          </w:p>
        </w:tc>
        <w:tc>
          <w:tcPr>
            <w:tcW w:w="1977" w:type="dxa"/>
            <w:vMerge/>
            <w:tcBorders>
              <w:left w:val="single" w:sz="4" w:space="0" w:color="000000"/>
              <w:bottom w:val="single" w:sz="4" w:space="0" w:color="000000"/>
              <w:right w:val="single" w:sz="4" w:space="0" w:color="000000"/>
            </w:tcBorders>
          </w:tcPr>
          <w:p>
            <w:pP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647,968,546.65</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226"/>
        <w:gridCol w:w="1977"/>
        <w:gridCol w:w="1734"/>
        <w:gridCol w:w="2786"/>
      </w:tblGrid>
      <w:tr>
        <w:trPr>
          <w:trHeight w:val="424" w:hRule="exact"/>
        </w:trPr>
        <w:tc>
          <w:tcPr>
            <w:tcW w:w="2226"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97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left="693" w:right="0"/>
              <w:jc w:val="left"/>
              <w:rPr>
                <w:rFonts w:ascii="宋体" w:hAnsi="宋体" w:cs="宋体" w:eastAsia="宋体" w:hint="default"/>
                <w:sz w:val="18"/>
                <w:szCs w:val="18"/>
              </w:rPr>
            </w:pPr>
            <w:r>
              <w:rPr>
                <w:rFonts w:ascii="宋体"/>
                <w:sz w:val="18"/>
              </w:rPr>
              <w:t>83,873,721.02</w:t>
            </w:r>
          </w:p>
        </w:tc>
        <w:tc>
          <w:tcPr>
            <w:tcW w:w="173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2786"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3"/>
              <w:ind w:left="1412" w:right="0"/>
              <w:jc w:val="left"/>
              <w:rPr>
                <w:rFonts w:ascii="宋体" w:hAnsi="宋体" w:cs="宋体" w:eastAsia="宋体" w:hint="default"/>
                <w:sz w:val="18"/>
                <w:szCs w:val="18"/>
              </w:rPr>
            </w:pPr>
            <w:r>
              <w:rPr>
                <w:rFonts w:ascii="宋体"/>
                <w:sz w:val="18"/>
              </w:rPr>
              <w:t>-83,873,721.02</w:t>
            </w:r>
          </w:p>
        </w:tc>
      </w:tr>
    </w:tbl>
    <w:p>
      <w:pPr>
        <w:spacing w:line="240" w:lineRule="auto" w:before="6"/>
        <w:rPr>
          <w:rFonts w:ascii="宋体" w:hAnsi="宋体" w:cs="宋体" w:eastAsia="宋体" w:hint="default"/>
          <w:sz w:val="18"/>
          <w:szCs w:val="18"/>
        </w:rPr>
      </w:pPr>
    </w:p>
    <w:p>
      <w:pPr>
        <w:pStyle w:val="BodyText"/>
        <w:spacing w:line="300" w:lineRule="auto"/>
        <w:ind w:left="241" w:right="1445" w:firstLine="439"/>
        <w:jc w:val="left"/>
      </w:pPr>
      <w:r>
        <w:rPr/>
        <w:t>注</w:t>
      </w:r>
      <w:r>
        <w:rPr>
          <w:spacing w:val="-35"/>
        </w:rPr>
        <w:t> </w:t>
      </w:r>
      <w:r>
        <w:rPr>
          <w:spacing w:val="-3"/>
        </w:rPr>
        <w:t>2：根据新金融工具准则的衔接规定，本集团对金融工具按新金融工具准则进行分</w:t>
      </w:r>
      <w:r>
        <w:rPr>
          <w:w w:val="100"/>
        </w:rPr>
        <w:t> </w:t>
      </w:r>
      <w:r>
        <w:rPr>
          <w:spacing w:val="-7"/>
        </w:rPr>
        <w:t>类和计量（含减值），涉及前期财务报表数据与新金融工具准则要求不一致的，无需调整；</w:t>
      </w:r>
      <w:r>
        <w:rPr>
          <w:spacing w:val="-38"/>
        </w:rPr>
        <w:t> </w:t>
      </w:r>
      <w:r>
        <w:rPr>
          <w:spacing w:val="-38"/>
        </w:rPr>
      </w:r>
      <w:r>
        <w:rPr>
          <w:spacing w:val="-4"/>
        </w:rPr>
        <w:t>金融工具原账面价值和在新金融工具准则实施日的新账面价值之间的差额，计入新金融工</w:t>
      </w:r>
      <w:r>
        <w:rPr>
          <w:spacing w:val="-53"/>
        </w:rPr>
        <w:t> </w:t>
      </w:r>
      <w:r>
        <w:rPr>
          <w:spacing w:val="-53"/>
        </w:rPr>
      </w:r>
      <w:r>
        <w:rPr>
          <w:spacing w:val="-4"/>
        </w:rPr>
        <w:t>具准则施行日所在年度报告期间的期初留存收益或其他综合收益，受影响的报表项目和金</w:t>
      </w:r>
      <w:r>
        <w:rPr>
          <w:spacing w:val="-53"/>
        </w:rPr>
        <w:t> </w:t>
      </w:r>
      <w:r>
        <w:rPr>
          <w:spacing w:val="-53"/>
        </w:rPr>
      </w:r>
      <w:r>
        <w:rPr/>
        <w:t>额详见本附注“六、31（3）首次执行新金融工具准则调整首次执行当年年初财务报表相</w:t>
      </w:r>
      <w:r>
        <w:rPr>
          <w:spacing w:val="-105"/>
        </w:rPr>
        <w:t> </w:t>
      </w:r>
      <w:r>
        <w:rPr>
          <w:spacing w:val="-105"/>
        </w:rPr>
      </w:r>
      <w:r>
        <w:rPr/>
        <w:t>关项目情况”。</w:t>
      </w:r>
    </w:p>
    <w:p>
      <w:pPr>
        <w:spacing w:line="240" w:lineRule="auto" w:before="8"/>
        <w:rPr>
          <w:rFonts w:ascii="宋体" w:hAnsi="宋体" w:cs="宋体" w:eastAsia="宋体" w:hint="default"/>
          <w:sz w:val="19"/>
          <w:szCs w:val="19"/>
        </w:rPr>
      </w:pPr>
    </w:p>
    <w:p>
      <w:pPr>
        <w:pStyle w:val="BodyText"/>
        <w:spacing w:line="379" w:lineRule="auto" w:before="0"/>
        <w:ind w:left="680" w:right="7282" w:hanging="15"/>
        <w:jc w:val="left"/>
      </w:pPr>
      <w:r>
        <w:rPr/>
        <w:t>（</w:t>
      </w:r>
      <w:r>
        <w:rPr>
          <w:rFonts w:ascii="Times New Roman" w:hAnsi="Times New Roman" w:cs="Times New Roman" w:eastAsia="Times New Roman" w:hint="default"/>
        </w:rPr>
        <w:t>2</w:t>
      </w:r>
      <w:r>
        <w:rPr/>
        <w:t>）</w:t>
      </w:r>
      <w:bookmarkStart w:name="（2）重要会计估计变更" w:id="225"/>
      <w:bookmarkEnd w:id="225"/>
      <w:r>
        <w:rPr/>
        <w:t>重</w:t>
      </w:r>
      <w:r>
        <w:rPr/>
        <w:t>要会计估计变更</w:t>
      </w:r>
      <w:r>
        <w:rPr>
          <w:spacing w:val="-99"/>
        </w:rPr>
        <w:t> </w:t>
      </w:r>
      <w:r>
        <w:rPr>
          <w:spacing w:val="-99"/>
        </w:rPr>
      </w:r>
      <w:r>
        <w:rPr/>
        <w:t>无</w:t>
      </w:r>
    </w:p>
    <w:p>
      <w:pPr>
        <w:pStyle w:val="BodyText"/>
        <w:spacing w:line="472" w:lineRule="auto" w:before="184"/>
        <w:ind w:left="680" w:right="1445" w:hanging="15"/>
        <w:jc w:val="left"/>
      </w:pPr>
      <w:r>
        <w:rPr/>
        <w:pict>
          <v:shape style="position:absolute;margin-left:79.769997pt;margin-top:61.588661pt;width:436.95pt;height:387.15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06"/>
                    <w:gridCol w:w="1889"/>
                    <w:gridCol w:w="1889"/>
                    <w:gridCol w:w="1790"/>
                  </w:tblGrid>
                  <w:tr>
                    <w:trPr>
                      <w:trHeight w:val="368" w:hRule="exact"/>
                    </w:trPr>
                    <w:tc>
                      <w:tcPr>
                        <w:tcW w:w="3106"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26"/>
                          <w:ind w:left="6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89"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6"/>
                          <w:ind w:left="196"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889"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6"/>
                          <w:ind w:left="287"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50"/>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790"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26"/>
                          <w:ind w:right="2"/>
                          <w:jc w:val="center"/>
                          <w:rPr>
                            <w:rFonts w:ascii="宋体" w:hAnsi="宋体" w:cs="宋体" w:eastAsia="宋体" w:hint="default"/>
                            <w:sz w:val="18"/>
                            <w:szCs w:val="18"/>
                          </w:rPr>
                        </w:pPr>
                        <w:r>
                          <w:rPr>
                            <w:rFonts w:ascii="宋体" w:hAnsi="宋体" w:cs="宋体" w:eastAsia="宋体" w:hint="default"/>
                            <w:b/>
                            <w:bCs/>
                            <w:sz w:val="18"/>
                            <w:szCs w:val="18"/>
                          </w:rPr>
                          <w:t>调整数</w:t>
                        </w:r>
                        <w:r>
                          <w:rPr>
                            <w:rFonts w:ascii="宋体" w:hAnsi="宋体" w:cs="宋体" w:eastAsia="宋体" w:hint="default"/>
                            <w:sz w:val="18"/>
                            <w:szCs w:val="18"/>
                          </w:rPr>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911,828,018.69</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911,828,018.69</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2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84,793,811.08</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7"/>
                          <w:jc w:val="right"/>
                          <w:rPr>
                            <w:rFonts w:ascii="宋体" w:hAnsi="宋体" w:cs="宋体" w:eastAsia="宋体" w:hint="default"/>
                            <w:sz w:val="18"/>
                            <w:szCs w:val="18"/>
                          </w:rPr>
                        </w:pPr>
                        <w:r>
                          <w:rPr>
                            <w:rFonts w:ascii="宋体"/>
                            <w:spacing w:val="-1"/>
                            <w:sz w:val="18"/>
                          </w:rPr>
                          <w:t>84,793,811.08</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500,952,928.45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190,605,669.58</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-310,347,258.87</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2,811,636,013.83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2,817,531,246.14</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5,895,232.31</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310,347,258.87</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310,347,258.87</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80,960,788.12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80,960,788.12</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157,160,615.86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149,917,811.56</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61"/>
                          <w:jc w:val="right"/>
                          <w:rPr>
                            <w:rFonts w:ascii="宋体" w:hAnsi="宋体" w:cs="宋体" w:eastAsia="宋体" w:hint="default"/>
                            <w:sz w:val="18"/>
                            <w:szCs w:val="18"/>
                          </w:rPr>
                        </w:pPr>
                        <w:r>
                          <w:rPr>
                            <w:rFonts w:ascii="宋体"/>
                            <w:spacing w:val="-1"/>
                            <w:sz w:val="18"/>
                          </w:rPr>
                          <w:t>-7,242,804.30</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603"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822,027.24</w:t>
                        </w: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right="61"/>
                          <w:jc w:val="right"/>
                          <w:rPr>
                            <w:rFonts w:ascii="宋体" w:hAnsi="宋体" w:cs="宋体" w:eastAsia="宋体" w:hint="default"/>
                            <w:sz w:val="18"/>
                            <w:szCs w:val="18"/>
                          </w:rPr>
                        </w:pPr>
                        <w:r>
                          <w:rPr>
                            <w:rFonts w:ascii="宋体"/>
                            <w:spacing w:val="-1"/>
                            <w:sz w:val="18"/>
                          </w:rPr>
                          <w:t>-822,027.24</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right="93"/>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872,933,627.56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872,933,627.56</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234,515,371.16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234,515,371.16</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5,654,781,174.75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5,653,433,602.76</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61"/>
                          <w:jc w:val="right"/>
                          <w:rPr>
                            <w:rFonts w:ascii="宋体" w:hAnsi="宋体" w:cs="宋体" w:eastAsia="宋体" w:hint="default"/>
                            <w:sz w:val="18"/>
                            <w:szCs w:val="18"/>
                          </w:rPr>
                        </w:pPr>
                        <w:r>
                          <w:rPr>
                            <w:rFonts w:ascii="宋体"/>
                            <w:spacing w:val="-1"/>
                            <w:sz w:val="18"/>
                          </w:rPr>
                          <w:t>-1,347,571.99</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2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27,039,765.00</w:t>
                        </w: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right="61"/>
                          <w:jc w:val="right"/>
                          <w:rPr>
                            <w:rFonts w:ascii="宋体" w:hAnsi="宋体" w:cs="宋体" w:eastAsia="宋体" w:hint="default"/>
                            <w:sz w:val="18"/>
                            <w:szCs w:val="18"/>
                          </w:rPr>
                        </w:pPr>
                        <w:r>
                          <w:rPr>
                            <w:rFonts w:ascii="宋体"/>
                            <w:spacing w:val="-1"/>
                            <w:sz w:val="18"/>
                          </w:rPr>
                          <w:t>-27,039,765.00</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24,813,537.21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24,813,537.21</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27,039,765.00</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27,039,765.00</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15,934,545.27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15,934,545.27</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953,397,942.10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953,397,942.10</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155,191,685.63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155,191,685.63</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48"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2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160,835,259.61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7"/>
                          <w:jc w:val="right"/>
                          <w:rPr>
                            <w:rFonts w:ascii="宋体" w:hAnsi="宋体" w:cs="宋体" w:eastAsia="宋体" w:hint="default"/>
                            <w:sz w:val="18"/>
                            <w:szCs w:val="18"/>
                          </w:rPr>
                        </w:pPr>
                        <w:r>
                          <w:rPr>
                            <w:rFonts w:ascii="宋体"/>
                            <w:spacing w:val="-1"/>
                            <w:sz w:val="18"/>
                          </w:rPr>
                          <w:t>160,835,259.61</w:t>
                        </w:r>
                      </w:p>
                    </w:tc>
                    <w:tc>
                      <w:tcPr>
                        <w:tcW w:w="1790" w:type="dxa"/>
                        <w:tcBorders>
                          <w:top w:val="single" w:sz="4" w:space="0" w:color="000000"/>
                          <w:left w:val="single" w:sz="4" w:space="0" w:color="000000"/>
                          <w:bottom w:val="single" w:sz="4" w:space="0" w:color="000000"/>
                          <w:right w:val="nil" w:sz="6" w:space="0" w:color="auto"/>
                        </w:tcBorders>
                      </w:tcPr>
                      <w:p>
                        <w:pPr/>
                      </w:p>
                    </w:tc>
                  </w:tr>
                </w:tbl>
                <w:p>
                  <w:pPr/>
                </w:p>
              </w:txbxContent>
            </v:textbox>
            <w10:wrap type="none"/>
          </v:shape>
        </w:pict>
      </w:r>
      <w:r>
        <w:rPr>
          <w:spacing w:val="-2"/>
        </w:rPr>
        <w:t>（</w:t>
      </w:r>
      <w:r>
        <w:rPr>
          <w:rFonts w:ascii="Times New Roman" w:hAnsi="Times New Roman" w:cs="Times New Roman" w:eastAsia="Times New Roman" w:hint="default"/>
          <w:spacing w:val="-2"/>
        </w:rPr>
        <w:t>3</w:t>
      </w:r>
      <w:r>
        <w:rPr>
          <w:spacing w:val="-2"/>
        </w:rPr>
        <w:t>）</w:t>
      </w:r>
      <w:bookmarkStart w:name="（3）首次执行新金融工具准则调整首次执行当年年初财务报表相关项目情况" w:id="226"/>
      <w:bookmarkEnd w:id="226"/>
      <w:r>
        <w:rPr>
          <w:spacing w:val="-2"/>
        </w:rPr>
        <w:t>首</w:t>
      </w:r>
      <w:r>
        <w:rPr>
          <w:spacing w:val="-2"/>
        </w:rPr>
        <w:t>次执行新金融工具准则调整首次执行当年年初财务报表相关项目情况</w:t>
      </w:r>
      <w:r>
        <w:rPr>
          <w:spacing w:val="-47"/>
        </w:rPr>
        <w:t> </w:t>
      </w:r>
      <w:r>
        <w:rPr>
          <w:spacing w:val="-47"/>
        </w:rPr>
      </w:r>
      <w:r>
        <w:rPr/>
        <w:t>1）合并资产负债表（单位：元）</w:t>
      </w:r>
    </w:p>
    <w:p>
      <w:pPr>
        <w:spacing w:after="0" w:line="472" w:lineRule="auto"/>
        <w:jc w:val="left"/>
        <w:sectPr>
          <w:footerReference w:type="default" r:id="rId44"/>
          <w:pgSz w:w="11910" w:h="16840"/>
          <w:pgMar w:footer="883" w:header="939" w:top="1940" w:bottom="1080" w:left="1460" w:right="0"/>
          <w:pgNumType w:start="110"/>
        </w:sectPr>
      </w:pPr>
    </w:p>
    <w:p>
      <w:pPr>
        <w:spacing w:line="240" w:lineRule="auto" w:before="5"/>
        <w:rPr>
          <w:rFonts w:ascii="Times New Roman" w:hAnsi="Times New Roman" w:cs="Times New Roman" w:eastAsia="Times New Roman" w:hint="default"/>
          <w:sz w:val="13"/>
          <w:szCs w:val="13"/>
        </w:rPr>
      </w:pPr>
    </w:p>
    <w:tbl>
      <w:tblPr>
        <w:tblW w:w="0" w:type="auto"/>
        <w:jc w:val="left"/>
        <w:tblInd w:w="115" w:type="dxa"/>
        <w:tblLayout w:type="fixed"/>
        <w:tblCellMar>
          <w:top w:w="0" w:type="dxa"/>
          <w:left w:w="0" w:type="dxa"/>
          <w:bottom w:w="0" w:type="dxa"/>
          <w:right w:w="0" w:type="dxa"/>
        </w:tblCellMar>
        <w:tblLook w:val="01E0"/>
      </w:tblPr>
      <w:tblGrid>
        <w:gridCol w:w="3106"/>
        <w:gridCol w:w="1889"/>
        <w:gridCol w:w="1889"/>
        <w:gridCol w:w="1790"/>
      </w:tblGrid>
      <w:tr>
        <w:trPr>
          <w:trHeight w:val="368" w:hRule="exact"/>
        </w:trPr>
        <w:tc>
          <w:tcPr>
            <w:tcW w:w="3106"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27"/>
              <w:ind w:left="6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89"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7"/>
              <w:ind w:left="196"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889"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7"/>
              <w:ind w:left="287"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50"/>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790"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27"/>
              <w:ind w:right="2"/>
              <w:jc w:val="center"/>
              <w:rPr>
                <w:rFonts w:ascii="宋体" w:hAnsi="宋体" w:cs="宋体" w:eastAsia="宋体" w:hint="default"/>
                <w:sz w:val="18"/>
                <w:szCs w:val="18"/>
              </w:rPr>
            </w:pPr>
            <w:r>
              <w:rPr>
                <w:rFonts w:ascii="宋体" w:hAnsi="宋体" w:cs="宋体" w:eastAsia="宋体" w:hint="default"/>
                <w:b/>
                <w:bCs/>
                <w:sz w:val="18"/>
                <w:szCs w:val="18"/>
              </w:rPr>
              <w:t>调整数</w:t>
            </w:r>
            <w:r>
              <w:rPr>
                <w:rFonts w:ascii="宋体" w:hAnsi="宋体" w:cs="宋体" w:eastAsia="宋体" w:hint="default"/>
                <w:sz w:val="18"/>
                <w:szCs w:val="18"/>
              </w:rPr>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2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15,629,549.65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7"/>
              <w:jc w:val="right"/>
              <w:rPr>
                <w:rFonts w:ascii="宋体" w:hAnsi="宋体" w:cs="宋体" w:eastAsia="宋体" w:hint="default"/>
                <w:sz w:val="18"/>
                <w:szCs w:val="18"/>
              </w:rPr>
            </w:pPr>
            <w:r>
              <w:rPr>
                <w:rFonts w:ascii="宋体"/>
                <w:spacing w:val="-1"/>
                <w:sz w:val="18"/>
              </w:rPr>
              <w:t>15,629,549.65</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274,546,423.46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274,546,423.46</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13,300,132.44</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13,300,132.44</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48,307,401.99</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48,532,089.64</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224,687.65</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1,688,996,242.36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1,689,220,930.01</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61"/>
              <w:jc w:val="right"/>
              <w:rPr>
                <w:rFonts w:ascii="宋体" w:hAnsi="宋体" w:cs="宋体" w:eastAsia="宋体" w:hint="default"/>
                <w:sz w:val="18"/>
                <w:szCs w:val="18"/>
              </w:rPr>
            </w:pPr>
            <w:r>
              <w:rPr>
                <w:rFonts w:ascii="宋体"/>
                <w:spacing w:val="-1"/>
                <w:sz w:val="18"/>
              </w:rPr>
              <w:t>224,687.65</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7,343,777,417.11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7,342,654,532.77</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61"/>
              <w:jc w:val="right"/>
              <w:rPr>
                <w:rFonts w:ascii="宋体" w:hAnsi="宋体" w:cs="宋体" w:eastAsia="宋体" w:hint="default"/>
                <w:sz w:val="18"/>
                <w:szCs w:val="18"/>
              </w:rPr>
            </w:pPr>
            <w:r>
              <w:rPr>
                <w:rFonts w:ascii="宋体"/>
                <w:spacing w:val="-1"/>
                <w:sz w:val="18"/>
              </w:rPr>
              <w:t>-1,122,884.34</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6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1,195,332,476.13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1,197,680,493.08</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2,348,016.95</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855,651.36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855,651.36</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687,397,850.80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687,397,850.80</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647,968,546.65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647,968,546.65</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199,852,640.37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199,852,640.37</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2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70,393,279.10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7"/>
              <w:jc w:val="right"/>
              <w:rPr>
                <w:rFonts w:ascii="宋体" w:hAnsi="宋体" w:cs="宋体" w:eastAsia="宋体" w:hint="default"/>
                <w:sz w:val="18"/>
                <w:szCs w:val="18"/>
              </w:rPr>
            </w:pPr>
            <w:r>
              <w:rPr>
                <w:rFonts w:ascii="宋体"/>
                <w:spacing w:val="-1"/>
                <w:sz w:val="18"/>
              </w:rPr>
              <w:t>70,393,279.10</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19,955,176.92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19,955,176.92</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130,872,014.85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118,937,148.51</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-11,934,866.34</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603"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11,934,866.34</w:t>
            </w: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-11,934,866.34</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right="93"/>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299,853,758.13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309,440,607.52</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61"/>
              <w:jc w:val="right"/>
              <w:rPr>
                <w:rFonts w:ascii="宋体" w:hAnsi="宋体" w:cs="宋体" w:eastAsia="宋体" w:hint="default"/>
                <w:sz w:val="18"/>
                <w:szCs w:val="18"/>
              </w:rPr>
            </w:pPr>
            <w:r>
              <w:rPr>
                <w:rFonts w:ascii="宋体"/>
                <w:spacing w:val="-1"/>
                <w:sz w:val="18"/>
              </w:rPr>
              <w:t>9,586,849.39</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2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24,510,982.45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7"/>
              <w:jc w:val="right"/>
              <w:rPr>
                <w:rFonts w:ascii="宋体" w:hAnsi="宋体" w:cs="宋体" w:eastAsia="宋体" w:hint="default"/>
                <w:sz w:val="18"/>
                <w:szCs w:val="18"/>
              </w:rPr>
            </w:pPr>
            <w:r>
              <w:rPr>
                <w:rFonts w:ascii="宋体"/>
                <w:spacing w:val="-1"/>
                <w:sz w:val="18"/>
              </w:rPr>
              <w:t>24,510,982.45</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6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3,276,992,376.76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3,276,992,376.76</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6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31,074,961.98</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31,074,961.98</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2,322,773.87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2,322,773.87</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33,397,735.85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33,397,735.85</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6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3,310,390,112.61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7"/>
              <w:jc w:val="right"/>
              <w:rPr>
                <w:rFonts w:ascii="宋体" w:hAnsi="宋体" w:cs="宋体" w:eastAsia="宋体" w:hint="default"/>
                <w:sz w:val="18"/>
                <w:szCs w:val="18"/>
              </w:rPr>
            </w:pPr>
            <w:r>
              <w:rPr>
                <w:rFonts w:ascii="宋体"/>
                <w:spacing w:val="-1"/>
                <w:sz w:val="18"/>
              </w:rPr>
              <w:t>3,310,390,112.61</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6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1,035,489,098.00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1,035,489,098.00</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1,555,197,713.12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1,555,197,713.12</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89"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42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-35,709,017.16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-35,709,017.16</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42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6"/>
              <w:jc w:val="right"/>
              <w:rPr>
                <w:rFonts w:ascii="宋体" w:hAnsi="宋体" w:cs="宋体" w:eastAsia="宋体" w:hint="default"/>
                <w:sz w:val="18"/>
                <w:szCs w:val="18"/>
              </w:rPr>
            </w:pPr>
            <w:r>
              <w:rPr>
                <w:rFonts w:ascii="宋体"/>
                <w:spacing w:val="-1"/>
                <w:sz w:val="18"/>
              </w:rPr>
              <w:t>222,369,887.21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57"/>
              <w:jc w:val="right"/>
              <w:rPr>
                <w:rFonts w:ascii="宋体" w:hAnsi="宋体" w:cs="宋体" w:eastAsia="宋体" w:hint="default"/>
                <w:sz w:val="18"/>
                <w:szCs w:val="18"/>
              </w:rPr>
            </w:pPr>
            <w:r>
              <w:rPr>
                <w:rFonts w:ascii="宋体"/>
                <w:spacing w:val="-1"/>
                <w:sz w:val="18"/>
              </w:rPr>
              <w:t>222,369,887.21</w:t>
            </w:r>
          </w:p>
        </w:tc>
        <w:tc>
          <w:tcPr>
            <w:tcW w:w="179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1,238,073,456.06</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1,237,510,327.67</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-563,128.39</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63" w:right="0"/>
              <w:jc w:val="left"/>
              <w:rPr>
                <w:rFonts w:ascii="宋体" w:hAnsi="宋体" w:cs="宋体" w:eastAsia="宋体" w:hint="default"/>
                <w:sz w:val="18"/>
                <w:szCs w:val="18"/>
              </w:rPr>
            </w:pPr>
            <w:r>
              <w:rPr>
                <w:rFonts w:ascii="宋体" w:hAnsi="宋体" w:cs="宋体" w:eastAsia="宋体" w:hint="default"/>
                <w:sz w:val="18"/>
                <w:szCs w:val="18"/>
              </w:rPr>
              <w:t>归属于母公司股东权益合计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4,015,421,137.23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4,014,858,008.84</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-563,128.39</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42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6"/>
              <w:jc w:val="right"/>
              <w:rPr>
                <w:rFonts w:ascii="宋体" w:hAnsi="宋体" w:cs="宋体" w:eastAsia="宋体" w:hint="default"/>
                <w:sz w:val="18"/>
                <w:szCs w:val="18"/>
              </w:rPr>
            </w:pPr>
            <w:r>
              <w:rPr>
                <w:rFonts w:ascii="宋体"/>
                <w:spacing w:val="-1"/>
                <w:sz w:val="18"/>
              </w:rPr>
              <w:t>17,966,167.27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57"/>
              <w:jc w:val="right"/>
              <w:rPr>
                <w:rFonts w:ascii="宋体" w:hAnsi="宋体" w:cs="宋体" w:eastAsia="宋体" w:hint="default"/>
                <w:sz w:val="18"/>
                <w:szCs w:val="18"/>
              </w:rPr>
            </w:pPr>
            <w:r>
              <w:rPr>
                <w:rFonts w:ascii="宋体"/>
                <w:spacing w:val="-1"/>
                <w:sz w:val="18"/>
              </w:rPr>
              <w:t>17,406,411.32</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61"/>
              <w:jc w:val="right"/>
              <w:rPr>
                <w:rFonts w:ascii="宋体" w:hAnsi="宋体" w:cs="宋体" w:eastAsia="宋体" w:hint="default"/>
                <w:sz w:val="18"/>
                <w:szCs w:val="18"/>
              </w:rPr>
            </w:pPr>
            <w:r>
              <w:rPr>
                <w:rFonts w:ascii="宋体"/>
                <w:spacing w:val="-1"/>
                <w:sz w:val="18"/>
              </w:rPr>
              <w:t>-559,755.95</w:t>
            </w:r>
          </w:p>
        </w:tc>
      </w:tr>
      <w:tr>
        <w:trPr>
          <w:trHeight w:val="350" w:hRule="exact"/>
        </w:trPr>
        <w:tc>
          <w:tcPr>
            <w:tcW w:w="31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4,033,387,304.50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4,032,264,420.16</w:t>
            </w:r>
          </w:p>
        </w:tc>
        <w:tc>
          <w:tcPr>
            <w:tcW w:w="17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61"/>
              <w:jc w:val="right"/>
              <w:rPr>
                <w:rFonts w:ascii="宋体" w:hAnsi="宋体" w:cs="宋体" w:eastAsia="宋体" w:hint="default"/>
                <w:sz w:val="18"/>
                <w:szCs w:val="18"/>
              </w:rPr>
            </w:pPr>
            <w:r>
              <w:rPr>
                <w:rFonts w:ascii="宋体"/>
                <w:spacing w:val="-1"/>
                <w:sz w:val="18"/>
              </w:rPr>
              <w:t>-1,122,884.34</w:t>
            </w:r>
          </w:p>
        </w:tc>
      </w:tr>
      <w:tr>
        <w:trPr>
          <w:trHeight w:val="367" w:hRule="exact"/>
        </w:trPr>
        <w:tc>
          <w:tcPr>
            <w:tcW w:w="3106"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25"/>
              <w:ind w:left="63" w:right="0"/>
              <w:jc w:val="left"/>
              <w:rPr>
                <w:rFonts w:ascii="宋体" w:hAnsi="宋体" w:cs="宋体" w:eastAsia="宋体" w:hint="default"/>
                <w:sz w:val="18"/>
                <w:szCs w:val="18"/>
              </w:rPr>
            </w:pPr>
            <w:r>
              <w:rPr>
                <w:rFonts w:ascii="宋体" w:hAnsi="宋体" w:cs="宋体" w:eastAsia="宋体" w:hint="default"/>
                <w:sz w:val="18"/>
                <w:szCs w:val="18"/>
              </w:rPr>
              <w:t>负债和股东权益总计</w:t>
            </w:r>
          </w:p>
        </w:tc>
        <w:tc>
          <w:tcPr>
            <w:tcW w:w="1889"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25"/>
              <w:ind w:right="56"/>
              <w:jc w:val="right"/>
              <w:rPr>
                <w:rFonts w:ascii="宋体" w:hAnsi="宋体" w:cs="宋体" w:eastAsia="宋体" w:hint="default"/>
                <w:sz w:val="18"/>
                <w:szCs w:val="18"/>
              </w:rPr>
            </w:pPr>
            <w:r>
              <w:rPr>
                <w:rFonts w:ascii="宋体"/>
                <w:spacing w:val="-1"/>
                <w:sz w:val="18"/>
              </w:rPr>
              <w:t>7,343,777,417.11</w:t>
            </w:r>
          </w:p>
        </w:tc>
        <w:tc>
          <w:tcPr>
            <w:tcW w:w="1889"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25"/>
              <w:ind w:right="57"/>
              <w:jc w:val="right"/>
              <w:rPr>
                <w:rFonts w:ascii="宋体" w:hAnsi="宋体" w:cs="宋体" w:eastAsia="宋体" w:hint="default"/>
                <w:sz w:val="18"/>
                <w:szCs w:val="18"/>
              </w:rPr>
            </w:pPr>
            <w:r>
              <w:rPr>
                <w:rFonts w:ascii="宋体"/>
                <w:spacing w:val="-1"/>
                <w:sz w:val="18"/>
              </w:rPr>
              <w:t>7,342,654,532.77</w:t>
            </w:r>
          </w:p>
        </w:tc>
        <w:tc>
          <w:tcPr>
            <w:tcW w:w="1790"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25"/>
              <w:ind w:right="61"/>
              <w:jc w:val="right"/>
              <w:rPr>
                <w:rFonts w:ascii="宋体" w:hAnsi="宋体" w:cs="宋体" w:eastAsia="宋体" w:hint="default"/>
                <w:sz w:val="18"/>
                <w:szCs w:val="18"/>
              </w:rPr>
            </w:pPr>
            <w:r>
              <w:rPr>
                <w:rFonts w:ascii="宋体"/>
                <w:spacing w:val="-1"/>
                <w:sz w:val="18"/>
              </w:rPr>
              <w:t>-1,122,884.34</w:t>
            </w:r>
          </w:p>
        </w:tc>
      </w:tr>
    </w:tbl>
    <w:p>
      <w:pPr>
        <w:spacing w:after="0" w:line="240" w:lineRule="auto"/>
        <w:jc w:val="right"/>
        <w:rPr>
          <w:rFonts w:ascii="宋体" w:hAnsi="宋体" w:cs="宋体" w:eastAsia="宋体" w:hint="default"/>
          <w:sz w:val="18"/>
          <w:szCs w:val="18"/>
        </w:rPr>
        <w:sectPr>
          <w:pgSz w:w="11910" w:h="16840"/>
          <w:pgMar w:header="939" w:footer="883" w:top="1940" w:bottom="1080" w:left="1480" w:right="0"/>
        </w:sectPr>
      </w:pPr>
    </w:p>
    <w:p>
      <w:pPr>
        <w:spacing w:line="240" w:lineRule="auto" w:before="5"/>
        <w:rPr>
          <w:rFonts w:ascii="Times New Roman" w:hAnsi="Times New Roman" w:cs="Times New Roman" w:eastAsia="Times New Roman" w:hint="default"/>
          <w:sz w:val="13"/>
          <w:szCs w:val="13"/>
        </w:rPr>
      </w:pPr>
    </w:p>
    <w:p>
      <w:pPr>
        <w:pStyle w:val="BodyText"/>
        <w:spacing w:line="300" w:lineRule="auto"/>
        <w:ind w:left="221" w:right="1694" w:firstLine="439"/>
        <w:jc w:val="both"/>
      </w:pPr>
      <w:r>
        <w:rPr>
          <w:spacing w:val="-4"/>
        </w:rPr>
        <w:t>合并资产负债表调整情况说明：本集团按照新金融工具准则的要求调整列报金融工具</w:t>
      </w:r>
      <w:r>
        <w:rPr>
          <w:w w:val="100"/>
        </w:rPr>
        <w:t> </w:t>
      </w:r>
      <w:r>
        <w:rPr>
          <w:spacing w:val="-4"/>
        </w:rPr>
        <w:t>相关信息，包括变更应收款项等以摊余成本计量的金融资产减值计提规则，应收账款和其</w:t>
      </w:r>
      <w:r>
        <w:rPr>
          <w:spacing w:val="-53"/>
        </w:rPr>
        <w:t> </w:t>
      </w:r>
      <w:r>
        <w:rPr>
          <w:spacing w:val="-53"/>
        </w:rPr>
      </w:r>
      <w:r>
        <w:rPr>
          <w:spacing w:val="-4"/>
        </w:rPr>
        <w:t>他应收款减值计提方法从“已发生损失模型”调整为“预期信用损失模型”，以客户信用</w:t>
      </w:r>
      <w:r>
        <w:rPr>
          <w:spacing w:val="-49"/>
        </w:rPr>
        <w:t> </w:t>
      </w:r>
      <w:r>
        <w:rPr>
          <w:spacing w:val="-49"/>
        </w:rPr>
      </w:r>
      <w:r>
        <w:rPr>
          <w:spacing w:val="-4"/>
        </w:rPr>
        <w:t>风险评估为核心，结合预期回款情况，考量客户的关键财务指标后，细化资产组分类及调</w:t>
      </w:r>
      <w:r>
        <w:rPr>
          <w:spacing w:val="-49"/>
        </w:rPr>
        <w:t> </w:t>
      </w:r>
      <w:r>
        <w:rPr>
          <w:spacing w:val="-49"/>
        </w:rPr>
      </w:r>
      <w:r>
        <w:rPr/>
        <w:t>整资产组计提比例，计提坏账准备。</w:t>
      </w:r>
    </w:p>
    <w:p>
      <w:pPr>
        <w:spacing w:line="240" w:lineRule="auto" w:before="8"/>
        <w:rPr>
          <w:rFonts w:ascii="宋体" w:hAnsi="宋体" w:cs="宋体" w:eastAsia="宋体" w:hint="default"/>
          <w:sz w:val="19"/>
          <w:szCs w:val="19"/>
        </w:rPr>
      </w:pPr>
    </w:p>
    <w:p>
      <w:pPr>
        <w:pStyle w:val="BodyText"/>
        <w:spacing w:line="240" w:lineRule="auto" w:before="0"/>
        <w:ind w:left="660" w:right="0"/>
        <w:jc w:val="left"/>
      </w:pPr>
      <w:r>
        <w:rPr/>
        <w:t>2）母公司资产负债表（单位：元）</w:t>
      </w:r>
    </w:p>
    <w:p>
      <w:pPr>
        <w:spacing w:line="240" w:lineRule="auto" w:before="2"/>
        <w:rPr>
          <w:rFonts w:ascii="宋体" w:hAnsi="宋体" w:cs="宋体" w:eastAsia="宋体" w:hint="default"/>
          <w:sz w:val="12"/>
          <w:szCs w:val="12"/>
        </w:rPr>
      </w:pPr>
    </w:p>
    <w:tbl>
      <w:tblPr>
        <w:tblW w:w="0" w:type="auto"/>
        <w:jc w:val="left"/>
        <w:tblInd w:w="115" w:type="dxa"/>
        <w:tblLayout w:type="fixed"/>
        <w:tblCellMar>
          <w:top w:w="0" w:type="dxa"/>
          <w:left w:w="0" w:type="dxa"/>
          <w:bottom w:w="0" w:type="dxa"/>
          <w:right w:w="0" w:type="dxa"/>
        </w:tblCellMar>
        <w:tblLook w:val="01E0"/>
      </w:tblPr>
      <w:tblGrid>
        <w:gridCol w:w="3148"/>
        <w:gridCol w:w="1984"/>
        <w:gridCol w:w="1842"/>
        <w:gridCol w:w="1700"/>
      </w:tblGrid>
      <w:tr>
        <w:trPr>
          <w:trHeight w:val="368" w:hRule="exact"/>
        </w:trPr>
        <w:tc>
          <w:tcPr>
            <w:tcW w:w="3148"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27"/>
              <w:ind w:left="27"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7"/>
              <w:ind w:left="243"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842"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7"/>
              <w:ind w:left="263"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50"/>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700"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b/>
                <w:bCs/>
                <w:sz w:val="18"/>
                <w:szCs w:val="18"/>
              </w:rPr>
              <w:t>调整数</w:t>
            </w:r>
            <w:r>
              <w:rPr>
                <w:rFonts w:ascii="宋体" w:hAnsi="宋体" w:cs="宋体" w:eastAsia="宋体" w:hint="default"/>
                <w:sz w:val="18"/>
                <w:szCs w:val="18"/>
              </w:rPr>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27"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403,596,290.59</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403,596,290.59</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83,077,426.00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
              <w:jc w:val="right"/>
              <w:rPr>
                <w:rFonts w:ascii="宋体" w:hAnsi="宋体" w:cs="宋体" w:eastAsia="宋体" w:hint="default"/>
                <w:sz w:val="18"/>
                <w:szCs w:val="18"/>
              </w:rPr>
            </w:pPr>
            <w:r>
              <w:rPr>
                <w:rFonts w:ascii="宋体"/>
                <w:spacing w:val="-1"/>
                <w:sz w:val="18"/>
              </w:rPr>
              <w:t>83,077,426.00</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164,690,589.86</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107,390,457.12</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-57,300,132.74</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1,879,068,867.10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1,886,087,991.53</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pacing w:val="-1"/>
                <w:sz w:val="18"/>
              </w:rPr>
              <w:t>7,019,124.43</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2"/>
              <w:jc w:val="right"/>
              <w:rPr>
                <w:rFonts w:ascii="宋体" w:hAnsi="宋体" w:cs="宋体" w:eastAsia="宋体" w:hint="default"/>
                <w:sz w:val="18"/>
                <w:szCs w:val="18"/>
              </w:rPr>
            </w:pPr>
            <w:r>
              <w:rPr>
                <w:rFonts w:ascii="宋体"/>
                <w:spacing w:val="-1"/>
                <w:sz w:val="18"/>
              </w:rPr>
              <w:t>57,300,132.74</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pacing w:val="-1"/>
                <w:sz w:val="18"/>
              </w:rPr>
              <w:t>57,300,132.74</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387"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38,124,995.76</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2"/>
              <w:jc w:val="right"/>
              <w:rPr>
                <w:rFonts w:ascii="宋体" w:hAnsi="宋体" w:cs="宋体" w:eastAsia="宋体" w:hint="default"/>
                <w:sz w:val="18"/>
                <w:szCs w:val="18"/>
              </w:rPr>
            </w:pPr>
            <w:r>
              <w:rPr>
                <w:rFonts w:ascii="宋体"/>
                <w:spacing w:val="-1"/>
                <w:sz w:val="18"/>
              </w:rPr>
              <w:t>38,124,995.76</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373,895,357.92</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369,944,279.90</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-3,951,078.02</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567"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581,641.79</w:t>
            </w: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-581,641.79</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right="207"/>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663,853,974.28</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663,853,974.28</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7,996,437.00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7,996,437.00</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27"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3,614,303,938.51</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18"/>
                <w:szCs w:val="18"/>
              </w:rPr>
            </w:pPr>
            <w:r>
              <w:rPr>
                <w:rFonts w:ascii="宋体"/>
                <w:spacing w:val="-1"/>
                <w:sz w:val="18"/>
              </w:rPr>
              <w:t>3,617,371,984.92</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right="25"/>
              <w:jc w:val="right"/>
              <w:rPr>
                <w:rFonts w:ascii="宋体" w:hAnsi="宋体" w:cs="宋体" w:eastAsia="宋体" w:hint="default"/>
                <w:sz w:val="18"/>
                <w:szCs w:val="18"/>
              </w:rPr>
            </w:pPr>
            <w:r>
              <w:rPr>
                <w:rFonts w:ascii="宋体"/>
                <w:spacing w:val="-1"/>
                <w:sz w:val="18"/>
              </w:rPr>
              <w:t>3,068,046.41</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500,000.00</w:t>
            </w: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-500,000.00</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1,825,747,212.77</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1,825,747,212.77</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500,000.00</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pacing w:val="-1"/>
                <w:sz w:val="18"/>
              </w:rPr>
              <w:t>500,000.00</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332,470,314.15</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332,470,314.15</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38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13,146,225.16</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2"/>
              <w:jc w:val="right"/>
              <w:rPr>
                <w:rFonts w:ascii="宋体" w:hAnsi="宋体" w:cs="宋体" w:eastAsia="宋体" w:hint="default"/>
                <w:sz w:val="18"/>
                <w:szCs w:val="18"/>
              </w:rPr>
            </w:pPr>
            <w:r>
              <w:rPr>
                <w:rFonts w:ascii="宋体"/>
                <w:spacing w:val="-1"/>
                <w:sz w:val="18"/>
              </w:rPr>
              <w:t>13,146,225.16</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73,505,520.73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
              <w:jc w:val="right"/>
              <w:rPr>
                <w:rFonts w:ascii="宋体" w:hAnsi="宋体" w:cs="宋体" w:eastAsia="宋体" w:hint="default"/>
                <w:sz w:val="18"/>
                <w:szCs w:val="18"/>
              </w:rPr>
            </w:pPr>
            <w:r>
              <w:rPr>
                <w:rFonts w:ascii="宋体"/>
                <w:spacing w:val="-1"/>
                <w:sz w:val="18"/>
              </w:rPr>
              <w:t>73,505,520.73</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5,015,289.91</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5,015,289.91</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27,521,761.00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
              <w:jc w:val="right"/>
              <w:rPr>
                <w:rFonts w:ascii="宋体" w:hAnsi="宋体" w:cs="宋体" w:eastAsia="宋体" w:hint="default"/>
                <w:sz w:val="18"/>
                <w:szCs w:val="18"/>
              </w:rPr>
            </w:pPr>
            <w:r>
              <w:rPr>
                <w:rFonts w:ascii="宋体"/>
                <w:spacing w:val="-1"/>
                <w:sz w:val="18"/>
              </w:rPr>
              <w:t>27,061,554.04</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-460,206.96</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27"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2,277,906,323.72</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2,277,446,116.76</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pacing w:val="-1"/>
                <w:sz w:val="18"/>
              </w:rPr>
              <w:t>-460,206.96</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27"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5,892,210,262.23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18"/>
                <w:szCs w:val="18"/>
              </w:rPr>
            </w:pPr>
            <w:r>
              <w:rPr>
                <w:rFonts w:ascii="宋体"/>
                <w:spacing w:val="-1"/>
                <w:sz w:val="18"/>
              </w:rPr>
              <w:t>5,894,818,101.68</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right="25"/>
              <w:jc w:val="right"/>
              <w:rPr>
                <w:rFonts w:ascii="宋体" w:hAnsi="宋体" w:cs="宋体" w:eastAsia="宋体" w:hint="default"/>
                <w:sz w:val="18"/>
                <w:szCs w:val="18"/>
              </w:rPr>
            </w:pPr>
            <w:r>
              <w:rPr>
                <w:rFonts w:ascii="宋体"/>
                <w:spacing w:val="-1"/>
                <w:sz w:val="18"/>
              </w:rPr>
              <w:t>2,607,839.45</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1,018,802,024.73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1,020,893,063.88</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2,091,039.15</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493,047,000.00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493,047,000.00</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48"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321,502,494.41</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321,502,494.41</w:t>
            </w:r>
          </w:p>
        </w:tc>
        <w:tc>
          <w:tcPr>
            <w:tcW w:w="1700" w:type="dxa"/>
            <w:tcBorders>
              <w:top w:val="single" w:sz="4" w:space="0" w:color="000000"/>
              <w:left w:val="single" w:sz="4" w:space="0" w:color="000000"/>
              <w:bottom w:val="single" w:sz="4" w:space="0" w:color="000000"/>
              <w:right w:val="nil" w:sz="6" w:space="0" w:color="auto"/>
            </w:tcBorders>
          </w:tcPr>
          <w:p>
            <w:pPr/>
          </w:p>
        </w:tc>
      </w:tr>
    </w:tbl>
    <w:p>
      <w:pPr>
        <w:spacing w:after="0"/>
        <w:sectPr>
          <w:pgSz w:w="11910" w:h="16840"/>
          <w:pgMar w:header="939" w:footer="883" w:top="1940" w:bottom="1080" w:left="1480" w:right="0"/>
        </w:sectPr>
      </w:pPr>
    </w:p>
    <w:p>
      <w:pPr>
        <w:spacing w:line="240" w:lineRule="auto" w:before="11"/>
        <w:rPr>
          <w:rFonts w:ascii="宋体" w:hAnsi="宋体" w:cs="宋体" w:eastAsia="宋体" w:hint="default"/>
          <w:sz w:val="11"/>
          <w:szCs w:val="11"/>
        </w:rPr>
      </w:pPr>
    </w:p>
    <w:tbl>
      <w:tblPr>
        <w:tblW w:w="0" w:type="auto"/>
        <w:jc w:val="left"/>
        <w:tblInd w:w="135" w:type="dxa"/>
        <w:tblLayout w:type="fixed"/>
        <w:tblCellMar>
          <w:top w:w="0" w:type="dxa"/>
          <w:left w:w="0" w:type="dxa"/>
          <w:bottom w:w="0" w:type="dxa"/>
          <w:right w:w="0" w:type="dxa"/>
        </w:tblCellMar>
        <w:tblLook w:val="01E0"/>
      </w:tblPr>
      <w:tblGrid>
        <w:gridCol w:w="3148"/>
        <w:gridCol w:w="1984"/>
        <w:gridCol w:w="1842"/>
        <w:gridCol w:w="1700"/>
      </w:tblGrid>
      <w:tr>
        <w:trPr>
          <w:trHeight w:val="368" w:hRule="exact"/>
        </w:trPr>
        <w:tc>
          <w:tcPr>
            <w:tcW w:w="3148"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27"/>
              <w:ind w:left="27"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4"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7"/>
              <w:ind w:left="243"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842" w:type="dxa"/>
            <w:tcBorders>
              <w:top w:val="single" w:sz="17" w:space="0" w:color="000000"/>
              <w:left w:val="single" w:sz="4" w:space="0" w:color="000000"/>
              <w:bottom w:val="single" w:sz="4" w:space="0" w:color="000000"/>
              <w:right w:val="single" w:sz="4" w:space="0" w:color="000000"/>
            </w:tcBorders>
          </w:tcPr>
          <w:p>
            <w:pPr>
              <w:pStyle w:val="TableParagraph"/>
              <w:spacing w:line="240" w:lineRule="auto" w:before="27"/>
              <w:ind w:left="263"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50"/>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700"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b/>
                <w:bCs/>
                <w:sz w:val="18"/>
                <w:szCs w:val="18"/>
              </w:rPr>
              <w:t>调整数</w:t>
            </w:r>
            <w:r>
              <w:rPr>
                <w:rFonts w:ascii="宋体" w:hAnsi="宋体" w:cs="宋体" w:eastAsia="宋体" w:hint="default"/>
                <w:sz w:val="18"/>
                <w:szCs w:val="18"/>
              </w:rPr>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387"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165,390,236.58</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18"/>
                <w:szCs w:val="18"/>
              </w:rPr>
            </w:pPr>
            <w:r>
              <w:rPr>
                <w:rFonts w:ascii="宋体"/>
                <w:spacing w:val="-1"/>
                <w:sz w:val="18"/>
              </w:rPr>
              <w:t>165,390,236.58</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17,236,484.71</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
              <w:jc w:val="right"/>
              <w:rPr>
                <w:rFonts w:ascii="宋体" w:hAnsi="宋体" w:cs="宋体" w:eastAsia="宋体" w:hint="default"/>
                <w:sz w:val="18"/>
                <w:szCs w:val="18"/>
              </w:rPr>
            </w:pPr>
            <w:r>
              <w:rPr>
                <w:rFonts w:ascii="宋体"/>
                <w:spacing w:val="-1"/>
                <w:sz w:val="18"/>
              </w:rPr>
              <w:t>17,236,484.71</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7,629,974.75</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7,629,974.75</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63,326,020.43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
              <w:jc w:val="right"/>
              <w:rPr>
                <w:rFonts w:ascii="宋体" w:hAnsi="宋体" w:cs="宋体" w:eastAsia="宋体" w:hint="default"/>
                <w:sz w:val="18"/>
                <w:szCs w:val="18"/>
              </w:rPr>
            </w:pPr>
            <w:r>
              <w:rPr>
                <w:rFonts w:ascii="宋体"/>
                <w:spacing w:val="-1"/>
                <w:sz w:val="18"/>
              </w:rPr>
              <w:t>51,648,131.89</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-11,677,888.54</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567"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11,677,888.54</w:t>
            </w: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right="25"/>
              <w:jc w:val="right"/>
              <w:rPr>
                <w:rFonts w:ascii="宋体" w:hAnsi="宋体" w:cs="宋体" w:eastAsia="宋体" w:hint="default"/>
                <w:sz w:val="18"/>
                <w:szCs w:val="18"/>
              </w:rPr>
            </w:pPr>
            <w:r>
              <w:rPr>
                <w:rFonts w:ascii="宋体"/>
                <w:spacing w:val="-1"/>
                <w:sz w:val="18"/>
              </w:rPr>
              <w:t>-11,677,888.54</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right="207"/>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387"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299,853,758.13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18"/>
                <w:szCs w:val="18"/>
              </w:rPr>
            </w:pPr>
            <w:r>
              <w:rPr>
                <w:rFonts w:ascii="宋体"/>
                <w:spacing w:val="-1"/>
                <w:sz w:val="18"/>
              </w:rPr>
              <w:t>309,440,607.52</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6"/>
              <w:ind w:right="25"/>
              <w:jc w:val="right"/>
              <w:rPr>
                <w:rFonts w:ascii="宋体" w:hAnsi="宋体" w:cs="宋体" w:eastAsia="宋体" w:hint="default"/>
                <w:sz w:val="18"/>
                <w:szCs w:val="18"/>
              </w:rPr>
            </w:pPr>
            <w:r>
              <w:rPr>
                <w:rFonts w:ascii="宋体"/>
                <w:spacing w:val="-1"/>
                <w:sz w:val="18"/>
              </w:rPr>
              <w:t>9,586,849.39</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11,634,144.43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
              <w:jc w:val="right"/>
              <w:rPr>
                <w:rFonts w:ascii="宋体" w:hAnsi="宋体" w:cs="宋体" w:eastAsia="宋体" w:hint="default"/>
                <w:sz w:val="18"/>
                <w:szCs w:val="18"/>
              </w:rPr>
            </w:pPr>
            <w:r>
              <w:rPr>
                <w:rFonts w:ascii="宋体"/>
                <w:spacing w:val="-1"/>
                <w:sz w:val="18"/>
              </w:rPr>
              <w:t>11,634,144.43</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2,398,422,138.17</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2,398,422,138.17</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1,050,000.00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1,050,000.00</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27"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1,050,000.00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1,050,000.00</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27"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2,399,472,138.17</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18"/>
                <w:szCs w:val="18"/>
              </w:rPr>
            </w:pPr>
            <w:r>
              <w:rPr>
                <w:rFonts w:ascii="宋体"/>
                <w:spacing w:val="-1"/>
                <w:sz w:val="18"/>
              </w:rPr>
              <w:t>2,399,472,138.17</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1,035,489,098.00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1,035,489,098.00</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1,717,724,514.22</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1,717,724,514.22</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984"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387"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1"/>
              <w:jc w:val="right"/>
              <w:rPr>
                <w:rFonts w:ascii="宋体" w:hAnsi="宋体" w:cs="宋体" w:eastAsia="宋体" w:hint="default"/>
                <w:sz w:val="18"/>
                <w:szCs w:val="18"/>
              </w:rPr>
            </w:pPr>
            <w:r>
              <w:rPr>
                <w:rFonts w:ascii="宋体"/>
                <w:spacing w:val="-1"/>
                <w:sz w:val="18"/>
              </w:rPr>
              <w:t>-35,695,315.65</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9"/>
              <w:jc w:val="right"/>
              <w:rPr>
                <w:rFonts w:ascii="宋体" w:hAnsi="宋体" w:cs="宋体" w:eastAsia="宋体" w:hint="default"/>
                <w:sz w:val="18"/>
                <w:szCs w:val="18"/>
              </w:rPr>
            </w:pPr>
            <w:r>
              <w:rPr>
                <w:rFonts w:ascii="宋体"/>
                <w:spacing w:val="-1"/>
                <w:sz w:val="18"/>
              </w:rPr>
              <w:t>-35,695,315.65</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38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1"/>
              <w:jc w:val="right"/>
              <w:rPr>
                <w:rFonts w:ascii="宋体" w:hAnsi="宋体" w:cs="宋体" w:eastAsia="宋体" w:hint="default"/>
                <w:sz w:val="18"/>
                <w:szCs w:val="18"/>
              </w:rPr>
            </w:pPr>
            <w:r>
              <w:rPr>
                <w:rFonts w:ascii="宋体"/>
                <w:spacing w:val="-1"/>
                <w:sz w:val="18"/>
              </w:rPr>
              <w:t>120,541,565.87</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18"/>
                <w:szCs w:val="18"/>
              </w:rPr>
            </w:pPr>
            <w:r>
              <w:rPr>
                <w:rFonts w:ascii="宋体"/>
                <w:spacing w:val="-1"/>
                <w:sz w:val="18"/>
              </w:rPr>
              <w:t>120,541,565.87</w:t>
            </w:r>
          </w:p>
        </w:tc>
        <w:tc>
          <w:tcPr>
            <w:tcW w:w="1700" w:type="dxa"/>
            <w:tcBorders>
              <w:top w:val="single" w:sz="4" w:space="0" w:color="000000"/>
              <w:left w:val="single" w:sz="4" w:space="0" w:color="000000"/>
              <w:bottom w:val="single" w:sz="4" w:space="0" w:color="000000"/>
              <w:right w:val="nil" w:sz="6" w:space="0" w:color="auto"/>
            </w:tcBorders>
          </w:tcPr>
          <w:p>
            <w:pP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387"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654,678,261.62</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657,286,101.07</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2,607,839.45</w:t>
            </w:r>
          </w:p>
        </w:tc>
      </w:tr>
      <w:tr>
        <w:trPr>
          <w:trHeight w:val="350" w:hRule="exact"/>
        </w:trPr>
        <w:tc>
          <w:tcPr>
            <w:tcW w:w="3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3,492,738,124.06</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3,495,345,963.51</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2,607,839.45</w:t>
            </w:r>
          </w:p>
        </w:tc>
      </w:tr>
      <w:tr>
        <w:trPr>
          <w:trHeight w:val="367" w:hRule="exact"/>
        </w:trPr>
        <w:tc>
          <w:tcPr>
            <w:tcW w:w="3148"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24"/>
              <w:ind w:left="27" w:right="0"/>
              <w:jc w:val="left"/>
              <w:rPr>
                <w:rFonts w:ascii="宋体" w:hAnsi="宋体" w:cs="宋体" w:eastAsia="宋体" w:hint="default"/>
                <w:sz w:val="18"/>
                <w:szCs w:val="18"/>
              </w:rPr>
            </w:pPr>
            <w:r>
              <w:rPr>
                <w:rFonts w:ascii="宋体" w:hAnsi="宋体" w:cs="宋体" w:eastAsia="宋体" w:hint="default"/>
                <w:sz w:val="18"/>
                <w:szCs w:val="18"/>
              </w:rPr>
              <w:t>负债和股东权益总计</w:t>
            </w:r>
          </w:p>
        </w:tc>
        <w:tc>
          <w:tcPr>
            <w:tcW w:w="198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24"/>
              <w:ind w:right="21"/>
              <w:jc w:val="right"/>
              <w:rPr>
                <w:rFonts w:ascii="宋体" w:hAnsi="宋体" w:cs="宋体" w:eastAsia="宋体" w:hint="default"/>
                <w:sz w:val="18"/>
                <w:szCs w:val="18"/>
              </w:rPr>
            </w:pPr>
            <w:r>
              <w:rPr>
                <w:rFonts w:ascii="宋体"/>
                <w:spacing w:val="-1"/>
                <w:sz w:val="18"/>
              </w:rPr>
              <w:t>5,892,210,262.23</w:t>
            </w:r>
          </w:p>
        </w:tc>
        <w:tc>
          <w:tcPr>
            <w:tcW w:w="1842"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24"/>
              <w:ind w:right="19"/>
              <w:jc w:val="right"/>
              <w:rPr>
                <w:rFonts w:ascii="宋体" w:hAnsi="宋体" w:cs="宋体" w:eastAsia="宋体" w:hint="default"/>
                <w:sz w:val="18"/>
                <w:szCs w:val="18"/>
              </w:rPr>
            </w:pPr>
            <w:r>
              <w:rPr>
                <w:rFonts w:ascii="宋体"/>
                <w:spacing w:val="-1"/>
                <w:sz w:val="18"/>
              </w:rPr>
              <w:t>5,894,818,101.68</w:t>
            </w:r>
          </w:p>
        </w:tc>
        <w:tc>
          <w:tcPr>
            <w:tcW w:w="1700"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24"/>
              <w:ind w:right="25"/>
              <w:jc w:val="right"/>
              <w:rPr>
                <w:rFonts w:ascii="宋体" w:hAnsi="宋体" w:cs="宋体" w:eastAsia="宋体" w:hint="default"/>
                <w:sz w:val="18"/>
                <w:szCs w:val="18"/>
              </w:rPr>
            </w:pPr>
            <w:r>
              <w:rPr>
                <w:rFonts w:ascii="宋体"/>
                <w:spacing w:val="-1"/>
                <w:sz w:val="18"/>
              </w:rPr>
              <w:t>2,607,839.45</w:t>
            </w:r>
          </w:p>
        </w:tc>
      </w:tr>
    </w:tbl>
    <w:p>
      <w:pPr>
        <w:spacing w:line="240" w:lineRule="auto" w:before="5"/>
        <w:rPr>
          <w:rFonts w:ascii="宋体" w:hAnsi="宋体" w:cs="宋体" w:eastAsia="宋体" w:hint="default"/>
          <w:sz w:val="18"/>
          <w:szCs w:val="18"/>
        </w:rPr>
      </w:pPr>
    </w:p>
    <w:p>
      <w:pPr>
        <w:pStyle w:val="BodyText"/>
        <w:spacing w:line="300" w:lineRule="auto"/>
        <w:ind w:left="241" w:right="1697" w:firstLine="439"/>
        <w:jc w:val="both"/>
      </w:pPr>
      <w:r>
        <w:rPr>
          <w:spacing w:val="-4"/>
        </w:rPr>
        <w:t>母公司资产负债表调整情况说明：本公司按照新金融工具准则的要求调整列报金融工</w:t>
      </w:r>
      <w:r>
        <w:rPr>
          <w:w w:val="100"/>
        </w:rPr>
        <w:t> </w:t>
      </w:r>
      <w:r>
        <w:rPr>
          <w:spacing w:val="-4"/>
        </w:rPr>
        <w:t>具相关信息，包括变更应收款项等以摊余成本计量的金融资产减值计提规则，应收账款和</w:t>
      </w:r>
      <w:r>
        <w:rPr>
          <w:spacing w:val="-51"/>
        </w:rPr>
        <w:t> </w:t>
      </w:r>
      <w:r>
        <w:rPr>
          <w:spacing w:val="-51"/>
        </w:rPr>
      </w:r>
      <w:r>
        <w:rPr>
          <w:spacing w:val="-4"/>
        </w:rPr>
        <w:t>其他应收款减值计提方法从“已发生损失模型”调整为“预期信用损失模型”，以客户信</w:t>
      </w:r>
      <w:r>
        <w:rPr>
          <w:spacing w:val="-49"/>
        </w:rPr>
        <w:t> </w:t>
      </w:r>
      <w:r>
        <w:rPr>
          <w:spacing w:val="-49"/>
        </w:rPr>
      </w:r>
      <w:r>
        <w:rPr>
          <w:spacing w:val="-4"/>
        </w:rPr>
        <w:t>用风险评估为核心，结合预期回款情况，考量客户的关键财务指标后，细化资产组分类及</w:t>
      </w:r>
      <w:r>
        <w:rPr>
          <w:spacing w:val="-51"/>
        </w:rPr>
        <w:t> </w:t>
      </w:r>
      <w:r>
        <w:rPr>
          <w:spacing w:val="-51"/>
        </w:rPr>
      </w:r>
      <w:r>
        <w:rPr/>
        <w:t>调整资产组计提比例，计提坏账准备。</w:t>
      </w:r>
    </w:p>
    <w:p>
      <w:pPr>
        <w:spacing w:line="240" w:lineRule="auto" w:before="8"/>
        <w:rPr>
          <w:rFonts w:ascii="宋体" w:hAnsi="宋体" w:cs="宋体" w:eastAsia="宋体" w:hint="default"/>
          <w:sz w:val="19"/>
          <w:szCs w:val="19"/>
        </w:rPr>
      </w:pPr>
    </w:p>
    <w:p>
      <w:pPr>
        <w:pStyle w:val="Heading4"/>
        <w:spacing w:line="240" w:lineRule="auto"/>
        <w:ind w:left="500" w:right="1445"/>
        <w:jc w:val="left"/>
        <w:rPr>
          <w:b w:val="0"/>
          <w:bCs w:val="0"/>
        </w:rPr>
      </w:pPr>
      <w:bookmarkStart w:name="七、税项" w:id="227"/>
      <w:bookmarkEnd w:id="227"/>
      <w:r>
        <w:rPr>
          <w:b w:val="0"/>
          <w:bCs w:val="0"/>
        </w:rPr>
      </w:r>
      <w:r>
        <w:rPr/>
        <w:t>七</w:t>
      </w:r>
      <w:r>
        <w:rPr>
          <w:spacing w:val="-71"/>
        </w:rPr>
        <w:t> </w:t>
      </w:r>
      <w:r>
        <w:rPr/>
        <w:t>、</w:t>
      </w:r>
      <w:r>
        <w:rPr>
          <w:spacing w:val="-73"/>
        </w:rPr>
        <w:t> </w:t>
      </w:r>
      <w:r>
        <w:rPr/>
        <w:t>税</w:t>
      </w:r>
      <w:r>
        <w:rPr>
          <w:spacing w:val="-71"/>
        </w:rPr>
        <w:t> </w:t>
      </w:r>
      <w:r>
        <w:rPr/>
        <w:t>项</w:t>
      </w:r>
      <w:r>
        <w:rPr>
          <w:b w:val="0"/>
          <w:bCs w:val="0"/>
        </w:rPr>
      </w:r>
    </w:p>
    <w:p>
      <w:pPr>
        <w:spacing w:line="240" w:lineRule="auto" w:before="11"/>
        <w:rPr>
          <w:rFonts w:ascii="宋体" w:hAnsi="宋体" w:cs="宋体" w:eastAsia="宋体" w:hint="default"/>
          <w:b/>
          <w:bCs/>
          <w:sz w:val="23"/>
          <w:szCs w:val="23"/>
        </w:rPr>
      </w:pPr>
    </w:p>
    <w:p>
      <w:pPr>
        <w:pStyle w:val="BodyText"/>
        <w:spacing w:line="240" w:lineRule="auto" w:before="0"/>
        <w:ind w:left="644" w:right="1445"/>
        <w:jc w:val="left"/>
      </w:pPr>
      <w:r>
        <w:rPr/>
        <w:t>1.</w:t>
      </w:r>
      <w:r>
        <w:rPr>
          <w:spacing w:val="62"/>
        </w:rPr>
        <w:t> </w:t>
      </w:r>
      <w:bookmarkStart w:name="1.主要税种及税率" w:id="228"/>
      <w:bookmarkEnd w:id="228"/>
      <w:r>
        <w:rPr/>
        <w:t>主</w:t>
      </w:r>
      <w:r>
        <w:rPr/>
        <w:t>要税种及税率</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214"/>
        <w:gridCol w:w="2601"/>
        <w:gridCol w:w="2908"/>
      </w:tblGrid>
      <w:tr>
        <w:trPr>
          <w:trHeight w:val="415" w:hRule="exact"/>
        </w:trPr>
        <w:tc>
          <w:tcPr>
            <w:tcW w:w="321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税种</w:t>
            </w:r>
            <w:r>
              <w:rPr>
                <w:rFonts w:ascii="宋体" w:hAnsi="宋体" w:cs="宋体" w:eastAsia="宋体" w:hint="default"/>
                <w:sz w:val="18"/>
                <w:szCs w:val="18"/>
              </w:rPr>
            </w:r>
          </w:p>
        </w:tc>
        <w:tc>
          <w:tcPr>
            <w:tcW w:w="26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3" w:right="0"/>
              <w:jc w:val="center"/>
              <w:rPr>
                <w:rFonts w:ascii="宋体" w:hAnsi="宋体" w:cs="宋体" w:eastAsia="宋体" w:hint="default"/>
                <w:sz w:val="18"/>
                <w:szCs w:val="18"/>
              </w:rPr>
            </w:pPr>
            <w:r>
              <w:rPr>
                <w:rFonts w:ascii="宋体" w:hAnsi="宋体" w:cs="宋体" w:eastAsia="宋体" w:hint="default"/>
                <w:b/>
                <w:bCs/>
                <w:sz w:val="18"/>
                <w:szCs w:val="18"/>
              </w:rPr>
              <w:t>计税依据</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right="2"/>
              <w:jc w:val="center"/>
              <w:rPr>
                <w:rFonts w:ascii="宋体" w:hAnsi="宋体" w:cs="宋体" w:eastAsia="宋体" w:hint="default"/>
                <w:sz w:val="18"/>
                <w:szCs w:val="18"/>
              </w:rPr>
            </w:pPr>
            <w:r>
              <w:rPr>
                <w:rFonts w:ascii="宋体" w:hAnsi="宋体" w:cs="宋体" w:eastAsia="宋体" w:hint="default"/>
                <w:b/>
                <w:bCs/>
                <w:sz w:val="18"/>
                <w:szCs w:val="18"/>
              </w:rPr>
              <w:t>税率</w:t>
            </w:r>
            <w:r>
              <w:rPr>
                <w:rFonts w:ascii="宋体" w:hAnsi="宋体" w:cs="宋体" w:eastAsia="宋体" w:hint="default"/>
                <w:sz w:val="18"/>
                <w:szCs w:val="18"/>
              </w:rPr>
            </w:r>
          </w:p>
        </w:tc>
      </w:tr>
      <w:tr>
        <w:trPr>
          <w:trHeight w:val="402" w:hRule="exact"/>
        </w:trPr>
        <w:tc>
          <w:tcPr>
            <w:tcW w:w="32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6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16%、13%</w:t>
            </w:r>
          </w:p>
        </w:tc>
      </w:tr>
      <w:tr>
        <w:trPr>
          <w:trHeight w:val="402" w:hRule="exact"/>
        </w:trPr>
        <w:tc>
          <w:tcPr>
            <w:tcW w:w="32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6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应交流转税额</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7%、5%</w:t>
            </w:r>
          </w:p>
        </w:tc>
      </w:tr>
      <w:tr>
        <w:trPr>
          <w:trHeight w:val="400" w:hRule="exact"/>
        </w:trPr>
        <w:tc>
          <w:tcPr>
            <w:tcW w:w="32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6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应交流转税额</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5%</w:t>
            </w:r>
          </w:p>
        </w:tc>
      </w:tr>
    </w:tbl>
    <w:p>
      <w:pPr>
        <w:spacing w:after="0" w:line="240" w:lineRule="auto"/>
        <w:jc w:val="center"/>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3214"/>
        <w:gridCol w:w="2601"/>
        <w:gridCol w:w="2908"/>
      </w:tblGrid>
      <w:tr>
        <w:trPr>
          <w:trHeight w:val="415" w:hRule="exact"/>
        </w:trPr>
        <w:tc>
          <w:tcPr>
            <w:tcW w:w="321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税种</w:t>
            </w:r>
            <w:r>
              <w:rPr>
                <w:rFonts w:ascii="宋体" w:hAnsi="宋体" w:cs="宋体" w:eastAsia="宋体" w:hint="default"/>
                <w:sz w:val="18"/>
                <w:szCs w:val="18"/>
              </w:rPr>
            </w:r>
          </w:p>
        </w:tc>
        <w:tc>
          <w:tcPr>
            <w:tcW w:w="26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计税依据</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b/>
                <w:bCs/>
                <w:sz w:val="18"/>
                <w:szCs w:val="18"/>
              </w:rPr>
              <w:t>税率</w:t>
            </w:r>
            <w:r>
              <w:rPr>
                <w:rFonts w:ascii="宋体" w:hAnsi="宋体" w:cs="宋体" w:eastAsia="宋体" w:hint="default"/>
                <w:sz w:val="18"/>
                <w:szCs w:val="18"/>
              </w:rPr>
            </w:r>
          </w:p>
        </w:tc>
      </w:tr>
      <w:tr>
        <w:trPr>
          <w:trHeight w:val="414" w:hRule="exact"/>
        </w:trPr>
        <w:tc>
          <w:tcPr>
            <w:tcW w:w="321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60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应纳税所得额</w:t>
            </w:r>
          </w:p>
        </w:tc>
        <w:tc>
          <w:tcPr>
            <w:tcW w:w="290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15%、25%</w:t>
            </w:r>
          </w:p>
        </w:tc>
      </w:tr>
    </w:tbl>
    <w:p>
      <w:pPr>
        <w:spacing w:line="240" w:lineRule="auto" w:before="4"/>
        <w:rPr>
          <w:rFonts w:ascii="宋体" w:hAnsi="宋体" w:cs="宋体" w:eastAsia="宋体" w:hint="default"/>
          <w:sz w:val="18"/>
          <w:szCs w:val="18"/>
        </w:rPr>
      </w:pPr>
    </w:p>
    <w:p>
      <w:pPr>
        <w:pStyle w:val="BodyText"/>
        <w:spacing w:line="300" w:lineRule="auto"/>
        <w:ind w:left="241" w:right="1694" w:firstLine="439"/>
        <w:jc w:val="both"/>
      </w:pPr>
      <w:r>
        <w:rPr>
          <w:spacing w:val="-6"/>
        </w:rPr>
        <w:t>注：根据《财政部 </w:t>
      </w:r>
      <w:r>
        <w:rPr/>
        <w:t>税务总局</w:t>
      </w:r>
      <w:r>
        <w:rPr>
          <w:spacing w:val="54"/>
        </w:rPr>
        <w:t> </w:t>
      </w:r>
      <w:r>
        <w:rPr>
          <w:spacing w:val="-4"/>
        </w:rPr>
        <w:t>海关总署关于深化增值税改革有关政策的公告》（财政</w:t>
      </w:r>
      <w:r>
        <w:rPr>
          <w:w w:val="100"/>
        </w:rPr>
        <w:t> </w:t>
      </w:r>
      <w:r>
        <w:rPr/>
        <w:t>部</w:t>
      </w:r>
      <w:r>
        <w:rPr>
          <w:spacing w:val="1"/>
        </w:rPr>
        <w:t> </w:t>
      </w:r>
      <w:r>
        <w:rPr/>
        <w:t>税务总局</w:t>
      </w:r>
      <w:r>
        <w:rPr>
          <w:spacing w:val="3"/>
        </w:rPr>
        <w:t> </w:t>
      </w:r>
      <w:r>
        <w:rPr/>
        <w:t>海关总署公告</w:t>
      </w:r>
      <w:r>
        <w:rPr>
          <w:spacing w:val="-58"/>
        </w:rPr>
        <w:t> </w:t>
      </w:r>
      <w:r>
        <w:rPr/>
        <w:t>2019</w:t>
      </w:r>
      <w:r>
        <w:rPr>
          <w:spacing w:val="-55"/>
        </w:rPr>
        <w:t> </w:t>
      </w:r>
      <w:r>
        <w:rPr/>
        <w:t>年第</w:t>
      </w:r>
      <w:r>
        <w:rPr>
          <w:spacing w:val="-55"/>
        </w:rPr>
        <w:t> </w:t>
      </w:r>
      <w:r>
        <w:rPr/>
        <w:t>39</w:t>
      </w:r>
      <w:r>
        <w:rPr>
          <w:spacing w:val="-55"/>
        </w:rPr>
        <w:t> </w:t>
      </w:r>
      <w:r>
        <w:rPr/>
        <w:t>号），本集团增值税税率自</w:t>
      </w:r>
      <w:r>
        <w:rPr>
          <w:spacing w:val="-55"/>
        </w:rPr>
        <w:t> </w:t>
      </w:r>
      <w:r>
        <w:rPr/>
        <w:t>2019</w:t>
      </w:r>
      <w:r>
        <w:rPr>
          <w:spacing w:val="-55"/>
        </w:rPr>
        <w:t> </w:t>
      </w:r>
      <w:r>
        <w:rPr/>
        <w:t>年</w:t>
      </w:r>
      <w:r>
        <w:rPr>
          <w:spacing w:val="-56"/>
        </w:rPr>
        <w:t> </w:t>
      </w:r>
      <w:r>
        <w:rPr/>
        <w:t>4</w:t>
      </w:r>
      <w:r>
        <w:rPr>
          <w:spacing w:val="-55"/>
        </w:rPr>
        <w:t> </w:t>
      </w:r>
      <w:r>
        <w:rPr/>
        <w:t>月</w:t>
      </w:r>
      <w:r>
        <w:rPr>
          <w:spacing w:val="-55"/>
        </w:rPr>
        <w:t> </w:t>
      </w:r>
      <w:r>
        <w:rPr/>
        <w:t>1</w:t>
      </w:r>
      <w:r>
        <w:rPr>
          <w:spacing w:val="-55"/>
        </w:rPr>
        <w:t> </w:t>
      </w:r>
      <w:r>
        <w:rPr/>
        <w:t>日开</w:t>
      </w:r>
      <w:r>
        <w:rPr>
          <w:w w:val="100"/>
        </w:rPr>
        <w:t> </w:t>
      </w:r>
      <w:r>
        <w:rPr/>
        <w:t>始由</w:t>
      </w:r>
      <w:r>
        <w:rPr>
          <w:spacing w:val="-60"/>
        </w:rPr>
        <w:t> </w:t>
      </w:r>
      <w:r>
        <w:rPr/>
        <w:t>16%调整为</w:t>
      </w:r>
      <w:r>
        <w:rPr>
          <w:spacing w:val="-58"/>
        </w:rPr>
        <w:t> </w:t>
      </w:r>
      <w:r>
        <w:rPr/>
        <w:t>13%。</w:t>
      </w:r>
    </w:p>
    <w:p>
      <w:pPr>
        <w:spacing w:line="240" w:lineRule="auto" w:before="8"/>
        <w:rPr>
          <w:rFonts w:ascii="宋体" w:hAnsi="宋体" w:cs="宋体" w:eastAsia="宋体" w:hint="default"/>
          <w:sz w:val="19"/>
          <w:szCs w:val="19"/>
        </w:rPr>
      </w:pPr>
    </w:p>
    <w:p>
      <w:pPr>
        <w:pStyle w:val="BodyText"/>
        <w:spacing w:line="240" w:lineRule="auto" w:before="0"/>
        <w:ind w:left="644" w:right="1445"/>
        <w:jc w:val="left"/>
      </w:pPr>
      <w:r>
        <w:rPr/>
        <w:t>2.</w:t>
      </w:r>
      <w:r>
        <w:rPr>
          <w:spacing w:val="64"/>
        </w:rPr>
        <w:t> </w:t>
      </w:r>
      <w:bookmarkStart w:name="2.税收优惠" w:id="229"/>
      <w:bookmarkEnd w:id="229"/>
      <w:r>
        <w:rPr/>
        <w:t>税</w:t>
      </w:r>
      <w:r>
        <w:rPr/>
        <w:t>收优惠</w:t>
      </w:r>
    </w:p>
    <w:p>
      <w:pPr>
        <w:spacing w:line="240" w:lineRule="auto" w:before="11"/>
        <w:rPr>
          <w:rFonts w:ascii="宋体" w:hAnsi="宋体" w:cs="宋体" w:eastAsia="宋体" w:hint="default"/>
          <w:sz w:val="23"/>
          <w:szCs w:val="23"/>
        </w:rPr>
      </w:pPr>
    </w:p>
    <w:p>
      <w:pPr>
        <w:pStyle w:val="BodyText"/>
        <w:spacing w:line="499" w:lineRule="auto" w:before="0"/>
        <w:ind w:left="680" w:right="5633"/>
        <w:jc w:val="left"/>
      </w:pPr>
      <w:r>
        <w:rPr/>
        <w:t>（1）企业所得税</w:t>
      </w:r>
      <w:r>
        <w:rPr>
          <w:w w:val="100"/>
        </w:rPr>
        <w:t> </w:t>
      </w:r>
      <w:r>
        <w:rPr>
          <w:spacing w:val="-2"/>
        </w:rPr>
        <w:t>1）高新技术企业税收优惠</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before="44"/>
        <w:ind w:left="0" w:right="1551" w:firstLine="0"/>
        <w:jc w:val="right"/>
        <w:rPr>
          <w:rFonts w:ascii="宋体" w:hAnsi="宋体" w:cs="宋体" w:eastAsia="宋体" w:hint="default"/>
          <w:sz w:val="18"/>
          <w:szCs w:val="18"/>
        </w:rPr>
      </w:pPr>
      <w:r>
        <w:rPr/>
        <w:pict>
          <v:shape style="position:absolute;margin-left:78.930pt;margin-top:-27.478271pt;width:438.35pt;height:168.25pt;mso-position-horizontal-relative:page;mso-position-vertical-relative:paragraph;z-index:13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17"/>
                    <w:gridCol w:w="993"/>
                    <w:gridCol w:w="5213"/>
                  </w:tblGrid>
                  <w:tr>
                    <w:trPr>
                      <w:trHeight w:val="565" w:hRule="exact"/>
                    </w:trPr>
                    <w:tc>
                      <w:tcPr>
                        <w:tcW w:w="251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8"/>
                          <w:ind w:left="53" w:right="0"/>
                          <w:jc w:val="left"/>
                          <w:rPr>
                            <w:rFonts w:ascii="宋体" w:hAnsi="宋体" w:cs="宋体" w:eastAsia="宋体" w:hint="default"/>
                            <w:sz w:val="18"/>
                            <w:szCs w:val="18"/>
                          </w:rPr>
                        </w:pPr>
                        <w:r>
                          <w:rPr>
                            <w:rFonts w:ascii="宋体" w:hAnsi="宋体" w:cs="宋体" w:eastAsia="宋体" w:hint="default"/>
                            <w:b/>
                            <w:bCs/>
                            <w:sz w:val="18"/>
                            <w:szCs w:val="18"/>
                          </w:rPr>
                          <w:t>纳税主体名称</w:t>
                        </w:r>
                        <w:r>
                          <w:rPr>
                            <w:rFonts w:ascii="宋体" w:hAnsi="宋体" w:cs="宋体" w:eastAsia="宋体" w:hint="default"/>
                            <w:sz w:val="18"/>
                            <w:szCs w:val="18"/>
                          </w:rPr>
                        </w:r>
                      </w:p>
                    </w:tc>
                    <w:tc>
                      <w:tcPr>
                        <w:tcW w:w="993"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404" w:right="130" w:hanging="272"/>
                          <w:jc w:val="left"/>
                          <w:rPr>
                            <w:rFonts w:ascii="宋体" w:hAnsi="宋体" w:cs="宋体" w:eastAsia="宋体" w:hint="default"/>
                            <w:sz w:val="18"/>
                            <w:szCs w:val="18"/>
                          </w:rPr>
                        </w:pPr>
                        <w:r>
                          <w:rPr>
                            <w:rFonts w:ascii="宋体" w:hAnsi="宋体" w:cs="宋体" w:eastAsia="宋体" w:hint="default"/>
                            <w:b/>
                            <w:bCs/>
                            <w:sz w:val="18"/>
                            <w:szCs w:val="18"/>
                          </w:rPr>
                          <w:t>所得税税</w:t>
                        </w:r>
                        <w:r>
                          <w:rPr>
                            <w:rFonts w:ascii="宋体" w:hAnsi="宋体" w:cs="宋体" w:eastAsia="宋体" w:hint="default"/>
                            <w:b/>
                            <w:bCs/>
                            <w:w w:val="99"/>
                            <w:sz w:val="18"/>
                            <w:szCs w:val="18"/>
                          </w:rPr>
                          <w:t> </w:t>
                        </w:r>
                        <w:r>
                          <w:rPr>
                            <w:rFonts w:ascii="宋体" w:hAnsi="宋体" w:cs="宋体" w:eastAsia="宋体" w:hint="default"/>
                            <w:b/>
                            <w:bCs/>
                            <w:sz w:val="18"/>
                            <w:szCs w:val="18"/>
                          </w:rPr>
                          <w:t>率</w:t>
                        </w:r>
                        <w:r>
                          <w:rPr>
                            <w:rFonts w:ascii="宋体" w:hAnsi="宋体" w:cs="宋体" w:eastAsia="宋体" w:hint="default"/>
                            <w:sz w:val="18"/>
                            <w:szCs w:val="18"/>
                          </w:rPr>
                        </w:r>
                      </w:p>
                    </w:tc>
                    <w:tc>
                      <w:tcPr>
                        <w:tcW w:w="521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b/>
                            <w:bCs/>
                            <w:sz w:val="18"/>
                            <w:szCs w:val="18"/>
                          </w:rPr>
                          <w:t>税收优惠情况</w:t>
                        </w:r>
                        <w:r>
                          <w:rPr>
                            <w:rFonts w:ascii="宋体" w:hAnsi="宋体" w:cs="宋体" w:eastAsia="宋体" w:hint="default"/>
                            <w:sz w:val="18"/>
                            <w:szCs w:val="18"/>
                          </w:rPr>
                        </w:r>
                      </w:p>
                    </w:tc>
                  </w:tr>
                  <w:tr>
                    <w:trPr>
                      <w:trHeight w:val="552" w:hRule="exact"/>
                    </w:trPr>
                    <w:tc>
                      <w:tcPr>
                        <w:tcW w:w="251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53" w:right="0"/>
                          <w:jc w:val="left"/>
                          <w:rPr>
                            <w:rFonts w:ascii="宋体" w:hAnsi="宋体" w:cs="宋体" w:eastAsia="宋体" w:hint="default"/>
                            <w:sz w:val="18"/>
                            <w:szCs w:val="18"/>
                          </w:rPr>
                        </w:pPr>
                        <w:r>
                          <w:rPr>
                            <w:rFonts w:ascii="宋体" w:hAnsi="宋体" w:cs="宋体" w:eastAsia="宋体" w:hint="default"/>
                            <w:sz w:val="18"/>
                            <w:szCs w:val="18"/>
                          </w:rPr>
                          <w:t>浙江万马股份有限公司</w:t>
                        </w: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sz w:val="18"/>
                          </w:rPr>
                          <w:t>15%</w:t>
                        </w:r>
                      </w:p>
                    </w:tc>
                    <w:tc>
                      <w:tcPr>
                        <w:tcW w:w="5213" w:type="dxa"/>
                        <w:tcBorders>
                          <w:top w:val="single" w:sz="2" w:space="0" w:color="000000"/>
                          <w:left w:val="single" w:sz="2" w:space="0" w:color="000000"/>
                          <w:bottom w:val="single" w:sz="2" w:space="0" w:color="000000"/>
                          <w:right w:val="nil" w:sz="6" w:space="0" w:color="auto"/>
                        </w:tcBorders>
                      </w:tcPr>
                      <w:p>
                        <w:pPr>
                          <w:pStyle w:val="TableParagraph"/>
                          <w:spacing w:line="234" w:lineRule="exact" w:before="11"/>
                          <w:ind w:left="52"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pacing w:val="-2"/>
                            <w:sz w:val="18"/>
                            <w:szCs w:val="18"/>
                          </w:rPr>
                          <w:t>1</w:t>
                        </w:r>
                        <w:r>
                          <w:rPr>
                            <w:rFonts w:ascii="宋体" w:hAnsi="宋体" w:cs="宋体" w:eastAsia="宋体" w:hint="default"/>
                            <w:sz w:val="18"/>
                            <w:szCs w:val="18"/>
                          </w:rPr>
                          <w:t>1</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pacing w:val="1"/>
                            <w:sz w:val="18"/>
                            <w:szCs w:val="18"/>
                          </w:rPr>
                          <w:t>3</w:t>
                        </w:r>
                        <w:r>
                          <w:rPr>
                            <w:rFonts w:ascii="宋体" w:hAnsi="宋体" w:cs="宋体" w:eastAsia="宋体" w:hint="default"/>
                            <w:sz w:val="18"/>
                            <w:szCs w:val="18"/>
                          </w:rPr>
                          <w:t>0</w:t>
                        </w:r>
                        <w:r>
                          <w:rPr>
                            <w:rFonts w:ascii="宋体" w:hAnsi="宋体" w:cs="宋体" w:eastAsia="宋体" w:hint="default"/>
                            <w:spacing w:val="-51"/>
                            <w:sz w:val="18"/>
                            <w:szCs w:val="18"/>
                          </w:rPr>
                          <w:t> </w:t>
                        </w:r>
                        <w:r>
                          <w:rPr>
                            <w:rFonts w:ascii="宋体" w:hAnsi="宋体" w:cs="宋体" w:eastAsia="宋体" w:hint="default"/>
                            <w:sz w:val="18"/>
                            <w:szCs w:val="18"/>
                          </w:rPr>
                          <w:t>日重新认定再</w:t>
                        </w:r>
                        <w:r>
                          <w:rPr>
                            <w:rFonts w:ascii="宋体" w:hAnsi="宋体" w:cs="宋体" w:eastAsia="宋体" w:hint="default"/>
                            <w:spacing w:val="2"/>
                            <w:sz w:val="18"/>
                            <w:szCs w:val="18"/>
                          </w:rPr>
                          <w:t>次</w:t>
                        </w:r>
                        <w:r>
                          <w:rPr>
                            <w:rFonts w:ascii="宋体" w:hAnsi="宋体" w:cs="宋体" w:eastAsia="宋体" w:hint="default"/>
                            <w:sz w:val="18"/>
                            <w:szCs w:val="18"/>
                          </w:rPr>
                          <w:t>取得高新技术企业证书</w:t>
                        </w:r>
                        <w:r>
                          <w:rPr>
                            <w:rFonts w:ascii="宋体" w:hAnsi="宋体" w:cs="宋体" w:eastAsia="宋体" w:hint="default"/>
                            <w:spacing w:val="-89"/>
                            <w:sz w:val="18"/>
                            <w:szCs w:val="18"/>
                          </w:rPr>
                          <w:t>，</w:t>
                        </w: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8</w:t>
                        </w:r>
                        <w:r>
                          <w:rPr>
                            <w:rFonts w:ascii="宋体" w:hAnsi="宋体" w:cs="宋体" w:eastAsia="宋体" w:hint="default"/>
                            <w:spacing w:val="-48"/>
                            <w:sz w:val="18"/>
                            <w:szCs w:val="18"/>
                          </w:rPr>
                          <w:t> </w:t>
                        </w:r>
                        <w:r>
                          <w:rPr>
                            <w:rFonts w:ascii="宋体" w:hAnsi="宋体" w:cs="宋体" w:eastAsia="宋体" w:hint="default"/>
                            <w:sz w:val="18"/>
                            <w:szCs w:val="18"/>
                          </w:rPr>
                          <w:t>年</w:t>
                        </w:r>
                      </w:p>
                      <w:p>
                        <w:pPr>
                          <w:pStyle w:val="TableParagraph"/>
                          <w:spacing w:line="234" w:lineRule="exact"/>
                          <w:ind w:left="5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年适用</w:t>
                        </w:r>
                        <w:r>
                          <w:rPr>
                            <w:rFonts w:ascii="宋体" w:hAnsi="宋体" w:cs="宋体" w:eastAsia="宋体" w:hint="default"/>
                            <w:spacing w:val="-45"/>
                            <w:sz w:val="18"/>
                            <w:szCs w:val="18"/>
                          </w:rPr>
                          <w:t> </w:t>
                        </w:r>
                        <w:r>
                          <w:rPr>
                            <w:rFonts w:ascii="宋体" w:hAnsi="宋体" w:cs="宋体" w:eastAsia="宋体" w:hint="default"/>
                            <w:sz w:val="18"/>
                            <w:szCs w:val="18"/>
                          </w:rPr>
                          <w:t>15%的企业所得税税率。</w:t>
                        </w:r>
                      </w:p>
                    </w:tc>
                  </w:tr>
                  <w:tr>
                    <w:trPr>
                      <w:trHeight w:val="552" w:hRule="exact"/>
                    </w:trPr>
                    <w:tc>
                      <w:tcPr>
                        <w:tcW w:w="251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49"/>
                          <w:jc w:val="left"/>
                          <w:rPr>
                            <w:rFonts w:ascii="宋体" w:hAnsi="宋体" w:cs="宋体" w:eastAsia="宋体" w:hint="default"/>
                            <w:sz w:val="18"/>
                            <w:szCs w:val="18"/>
                          </w:rPr>
                        </w:pPr>
                        <w:r>
                          <w:rPr>
                            <w:rFonts w:ascii="宋体" w:hAnsi="宋体" w:cs="宋体" w:eastAsia="宋体" w:hint="default"/>
                            <w:spacing w:val="4"/>
                            <w:sz w:val="18"/>
                            <w:szCs w:val="18"/>
                          </w:rPr>
                          <w:t>浙江万马高分子材料集团有限</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公司</w:t>
                        </w: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sz w:val="18"/>
                          </w:rPr>
                          <w:t>15%</w:t>
                        </w:r>
                      </w:p>
                    </w:tc>
                    <w:tc>
                      <w:tcPr>
                        <w:tcW w:w="5213" w:type="dxa"/>
                        <w:tcBorders>
                          <w:top w:val="single" w:sz="2" w:space="0" w:color="000000"/>
                          <w:left w:val="single" w:sz="2" w:space="0" w:color="000000"/>
                          <w:bottom w:val="single" w:sz="2" w:space="0" w:color="000000"/>
                          <w:right w:val="nil" w:sz="6" w:space="0" w:color="auto"/>
                        </w:tcBorders>
                      </w:tcPr>
                      <w:p>
                        <w:pPr>
                          <w:pStyle w:val="TableParagraph"/>
                          <w:spacing w:line="234" w:lineRule="exact" w:before="11"/>
                          <w:ind w:left="52"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7</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pacing w:val="-2"/>
                            <w:sz w:val="18"/>
                            <w:szCs w:val="18"/>
                          </w:rPr>
                          <w:t>1</w:t>
                        </w:r>
                        <w:r>
                          <w:rPr>
                            <w:rFonts w:ascii="宋体" w:hAnsi="宋体" w:cs="宋体" w:eastAsia="宋体" w:hint="default"/>
                            <w:sz w:val="18"/>
                            <w:szCs w:val="18"/>
                          </w:rPr>
                          <w:t>1</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pacing w:val="1"/>
                            <w:sz w:val="18"/>
                            <w:szCs w:val="18"/>
                          </w:rPr>
                          <w:t>1</w:t>
                        </w:r>
                        <w:r>
                          <w:rPr>
                            <w:rFonts w:ascii="宋体" w:hAnsi="宋体" w:cs="宋体" w:eastAsia="宋体" w:hint="default"/>
                            <w:sz w:val="18"/>
                            <w:szCs w:val="18"/>
                          </w:rPr>
                          <w:t>3</w:t>
                        </w:r>
                        <w:r>
                          <w:rPr>
                            <w:rFonts w:ascii="宋体" w:hAnsi="宋体" w:cs="宋体" w:eastAsia="宋体" w:hint="default"/>
                            <w:spacing w:val="-51"/>
                            <w:sz w:val="18"/>
                            <w:szCs w:val="18"/>
                          </w:rPr>
                          <w:t> </w:t>
                        </w:r>
                        <w:r>
                          <w:rPr>
                            <w:rFonts w:ascii="宋体" w:hAnsi="宋体" w:cs="宋体" w:eastAsia="宋体" w:hint="default"/>
                            <w:sz w:val="18"/>
                            <w:szCs w:val="18"/>
                          </w:rPr>
                          <w:t>日重新认定再</w:t>
                        </w:r>
                        <w:r>
                          <w:rPr>
                            <w:rFonts w:ascii="宋体" w:hAnsi="宋体" w:cs="宋体" w:eastAsia="宋体" w:hint="default"/>
                            <w:spacing w:val="2"/>
                            <w:sz w:val="18"/>
                            <w:szCs w:val="18"/>
                          </w:rPr>
                          <w:t>次</w:t>
                        </w:r>
                        <w:r>
                          <w:rPr>
                            <w:rFonts w:ascii="宋体" w:hAnsi="宋体" w:cs="宋体" w:eastAsia="宋体" w:hint="default"/>
                            <w:sz w:val="18"/>
                            <w:szCs w:val="18"/>
                          </w:rPr>
                          <w:t>取得高新技术企业证书</w:t>
                        </w:r>
                        <w:r>
                          <w:rPr>
                            <w:rFonts w:ascii="宋体" w:hAnsi="宋体" w:cs="宋体" w:eastAsia="宋体" w:hint="default"/>
                            <w:spacing w:val="-89"/>
                            <w:sz w:val="18"/>
                            <w:szCs w:val="18"/>
                          </w:rPr>
                          <w:t>，</w:t>
                        </w: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8</w:t>
                        </w:r>
                        <w:r>
                          <w:rPr>
                            <w:rFonts w:ascii="宋体" w:hAnsi="宋体" w:cs="宋体" w:eastAsia="宋体" w:hint="default"/>
                            <w:spacing w:val="-48"/>
                            <w:sz w:val="18"/>
                            <w:szCs w:val="18"/>
                          </w:rPr>
                          <w:t> </w:t>
                        </w:r>
                        <w:r>
                          <w:rPr>
                            <w:rFonts w:ascii="宋体" w:hAnsi="宋体" w:cs="宋体" w:eastAsia="宋体" w:hint="default"/>
                            <w:sz w:val="18"/>
                            <w:szCs w:val="18"/>
                          </w:rPr>
                          <w:t>年</w:t>
                        </w:r>
                      </w:p>
                      <w:p>
                        <w:pPr>
                          <w:pStyle w:val="TableParagraph"/>
                          <w:spacing w:line="234" w:lineRule="exact"/>
                          <w:ind w:left="5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年适用</w:t>
                        </w:r>
                        <w:r>
                          <w:rPr>
                            <w:rFonts w:ascii="宋体" w:hAnsi="宋体" w:cs="宋体" w:eastAsia="宋体" w:hint="default"/>
                            <w:spacing w:val="-45"/>
                            <w:sz w:val="18"/>
                            <w:szCs w:val="18"/>
                          </w:rPr>
                          <w:t> </w:t>
                        </w:r>
                        <w:r>
                          <w:rPr>
                            <w:rFonts w:ascii="宋体" w:hAnsi="宋体" w:cs="宋体" w:eastAsia="宋体" w:hint="default"/>
                            <w:sz w:val="18"/>
                            <w:szCs w:val="18"/>
                          </w:rPr>
                          <w:t>15%的企业所得税税率。</w:t>
                        </w:r>
                      </w:p>
                    </w:tc>
                  </w:tr>
                  <w:tr>
                    <w:trPr>
                      <w:trHeight w:val="552" w:hRule="exact"/>
                    </w:trPr>
                    <w:tc>
                      <w:tcPr>
                        <w:tcW w:w="251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49"/>
                          <w:jc w:val="left"/>
                          <w:rPr>
                            <w:rFonts w:ascii="宋体" w:hAnsi="宋体" w:cs="宋体" w:eastAsia="宋体" w:hint="default"/>
                            <w:sz w:val="18"/>
                            <w:szCs w:val="18"/>
                          </w:rPr>
                        </w:pPr>
                        <w:r>
                          <w:rPr>
                            <w:rFonts w:ascii="宋体" w:hAnsi="宋体" w:cs="宋体" w:eastAsia="宋体" w:hint="default"/>
                            <w:spacing w:val="4"/>
                            <w:sz w:val="18"/>
                            <w:szCs w:val="18"/>
                          </w:rPr>
                          <w:t>浙江万马天屹通信线缆有限公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司</w:t>
                        </w: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sz w:val="18"/>
                          </w:rPr>
                          <w:t>15%</w:t>
                        </w:r>
                      </w:p>
                    </w:tc>
                    <w:tc>
                      <w:tcPr>
                        <w:tcW w:w="5213" w:type="dxa"/>
                        <w:tcBorders>
                          <w:top w:val="single" w:sz="2" w:space="0" w:color="000000"/>
                          <w:left w:val="single" w:sz="2" w:space="0" w:color="000000"/>
                          <w:bottom w:val="single" w:sz="2" w:space="0" w:color="000000"/>
                          <w:right w:val="nil" w:sz="6" w:space="0" w:color="auto"/>
                        </w:tcBorders>
                      </w:tcPr>
                      <w:p>
                        <w:pPr>
                          <w:pStyle w:val="TableParagraph"/>
                          <w:spacing w:line="234" w:lineRule="exact" w:before="11"/>
                          <w:ind w:left="52"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pacing w:val="-2"/>
                            <w:sz w:val="18"/>
                            <w:szCs w:val="18"/>
                          </w:rPr>
                          <w:t>1</w:t>
                        </w:r>
                        <w:r>
                          <w:rPr>
                            <w:rFonts w:ascii="宋体" w:hAnsi="宋体" w:cs="宋体" w:eastAsia="宋体" w:hint="default"/>
                            <w:sz w:val="18"/>
                            <w:szCs w:val="18"/>
                          </w:rPr>
                          <w:t>1</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pacing w:val="1"/>
                            <w:sz w:val="18"/>
                            <w:szCs w:val="18"/>
                          </w:rPr>
                          <w:t>3</w:t>
                        </w:r>
                        <w:r>
                          <w:rPr>
                            <w:rFonts w:ascii="宋体" w:hAnsi="宋体" w:cs="宋体" w:eastAsia="宋体" w:hint="default"/>
                            <w:sz w:val="18"/>
                            <w:szCs w:val="18"/>
                          </w:rPr>
                          <w:t>0</w:t>
                        </w:r>
                        <w:r>
                          <w:rPr>
                            <w:rFonts w:ascii="宋体" w:hAnsi="宋体" w:cs="宋体" w:eastAsia="宋体" w:hint="default"/>
                            <w:spacing w:val="-51"/>
                            <w:sz w:val="18"/>
                            <w:szCs w:val="18"/>
                          </w:rPr>
                          <w:t> </w:t>
                        </w:r>
                        <w:r>
                          <w:rPr>
                            <w:rFonts w:ascii="宋体" w:hAnsi="宋体" w:cs="宋体" w:eastAsia="宋体" w:hint="default"/>
                            <w:sz w:val="18"/>
                            <w:szCs w:val="18"/>
                          </w:rPr>
                          <w:t>日重新认定再</w:t>
                        </w:r>
                        <w:r>
                          <w:rPr>
                            <w:rFonts w:ascii="宋体" w:hAnsi="宋体" w:cs="宋体" w:eastAsia="宋体" w:hint="default"/>
                            <w:spacing w:val="2"/>
                            <w:sz w:val="18"/>
                            <w:szCs w:val="18"/>
                          </w:rPr>
                          <w:t>次</w:t>
                        </w:r>
                        <w:r>
                          <w:rPr>
                            <w:rFonts w:ascii="宋体" w:hAnsi="宋体" w:cs="宋体" w:eastAsia="宋体" w:hint="default"/>
                            <w:sz w:val="18"/>
                            <w:szCs w:val="18"/>
                          </w:rPr>
                          <w:t>取得高新技术企业证书</w:t>
                        </w:r>
                        <w:r>
                          <w:rPr>
                            <w:rFonts w:ascii="宋体" w:hAnsi="宋体" w:cs="宋体" w:eastAsia="宋体" w:hint="default"/>
                            <w:spacing w:val="-89"/>
                            <w:sz w:val="18"/>
                            <w:szCs w:val="18"/>
                          </w:rPr>
                          <w:t>，</w:t>
                        </w: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8</w:t>
                        </w:r>
                        <w:r>
                          <w:rPr>
                            <w:rFonts w:ascii="宋体" w:hAnsi="宋体" w:cs="宋体" w:eastAsia="宋体" w:hint="default"/>
                            <w:spacing w:val="-48"/>
                            <w:sz w:val="18"/>
                            <w:szCs w:val="18"/>
                          </w:rPr>
                          <w:t> </w:t>
                        </w:r>
                        <w:r>
                          <w:rPr>
                            <w:rFonts w:ascii="宋体" w:hAnsi="宋体" w:cs="宋体" w:eastAsia="宋体" w:hint="default"/>
                            <w:sz w:val="18"/>
                            <w:szCs w:val="18"/>
                          </w:rPr>
                          <w:t>年</w:t>
                        </w:r>
                      </w:p>
                      <w:p>
                        <w:pPr>
                          <w:pStyle w:val="TableParagraph"/>
                          <w:spacing w:line="234" w:lineRule="exact"/>
                          <w:ind w:left="5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年适用</w:t>
                        </w:r>
                        <w:r>
                          <w:rPr>
                            <w:rFonts w:ascii="宋体" w:hAnsi="宋体" w:cs="宋体" w:eastAsia="宋体" w:hint="default"/>
                            <w:spacing w:val="-45"/>
                            <w:sz w:val="18"/>
                            <w:szCs w:val="18"/>
                          </w:rPr>
                          <w:t> </w:t>
                        </w:r>
                        <w:r>
                          <w:rPr>
                            <w:rFonts w:ascii="宋体" w:hAnsi="宋体" w:cs="宋体" w:eastAsia="宋体" w:hint="default"/>
                            <w:sz w:val="18"/>
                            <w:szCs w:val="18"/>
                          </w:rPr>
                          <w:t>15%的企业所得税税率。</w:t>
                        </w:r>
                      </w:p>
                    </w:tc>
                  </w:tr>
                  <w:tr>
                    <w:trPr>
                      <w:trHeight w:val="551" w:hRule="exact"/>
                    </w:trPr>
                    <w:tc>
                      <w:tcPr>
                        <w:tcW w:w="251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49"/>
                          <w:jc w:val="left"/>
                          <w:rPr>
                            <w:rFonts w:ascii="宋体" w:hAnsi="宋体" w:cs="宋体" w:eastAsia="宋体" w:hint="default"/>
                            <w:sz w:val="18"/>
                            <w:szCs w:val="18"/>
                          </w:rPr>
                        </w:pPr>
                        <w:r>
                          <w:rPr>
                            <w:rFonts w:ascii="宋体" w:hAnsi="宋体" w:cs="宋体" w:eastAsia="宋体" w:hint="default"/>
                            <w:spacing w:val="4"/>
                            <w:sz w:val="18"/>
                            <w:szCs w:val="18"/>
                          </w:rPr>
                          <w:t>浙江万马集团特种电子电缆有</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限公司</w:t>
                        </w: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sz w:val="18"/>
                          </w:rPr>
                          <w:t>15%</w:t>
                        </w:r>
                      </w:p>
                    </w:tc>
                    <w:tc>
                      <w:tcPr>
                        <w:tcW w:w="5213" w:type="dxa"/>
                        <w:tcBorders>
                          <w:top w:val="single" w:sz="2" w:space="0" w:color="000000"/>
                          <w:left w:val="single" w:sz="2" w:space="0" w:color="000000"/>
                          <w:bottom w:val="single" w:sz="2" w:space="0" w:color="000000"/>
                          <w:right w:val="nil" w:sz="6" w:space="0" w:color="auto"/>
                        </w:tcBorders>
                      </w:tcPr>
                      <w:p>
                        <w:pPr>
                          <w:pStyle w:val="TableParagraph"/>
                          <w:spacing w:line="234" w:lineRule="exact" w:before="11"/>
                          <w:ind w:left="52" w:right="0"/>
                          <w:jc w:val="lef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7</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pacing w:val="-2"/>
                            <w:sz w:val="18"/>
                            <w:szCs w:val="18"/>
                          </w:rPr>
                          <w:t>1</w:t>
                        </w:r>
                        <w:r>
                          <w:rPr>
                            <w:rFonts w:ascii="宋体" w:hAnsi="宋体" w:cs="宋体" w:eastAsia="宋体" w:hint="default"/>
                            <w:sz w:val="18"/>
                            <w:szCs w:val="18"/>
                          </w:rPr>
                          <w:t>1</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pacing w:val="1"/>
                            <w:sz w:val="18"/>
                            <w:szCs w:val="18"/>
                          </w:rPr>
                          <w:t>1</w:t>
                        </w:r>
                        <w:r>
                          <w:rPr>
                            <w:rFonts w:ascii="宋体" w:hAnsi="宋体" w:cs="宋体" w:eastAsia="宋体" w:hint="default"/>
                            <w:sz w:val="18"/>
                            <w:szCs w:val="18"/>
                          </w:rPr>
                          <w:t>3</w:t>
                        </w:r>
                        <w:r>
                          <w:rPr>
                            <w:rFonts w:ascii="宋体" w:hAnsi="宋体" w:cs="宋体" w:eastAsia="宋体" w:hint="default"/>
                            <w:spacing w:val="-51"/>
                            <w:sz w:val="18"/>
                            <w:szCs w:val="18"/>
                          </w:rPr>
                          <w:t> </w:t>
                        </w:r>
                        <w:r>
                          <w:rPr>
                            <w:rFonts w:ascii="宋体" w:hAnsi="宋体" w:cs="宋体" w:eastAsia="宋体" w:hint="default"/>
                            <w:sz w:val="18"/>
                            <w:szCs w:val="18"/>
                          </w:rPr>
                          <w:t>日重新认定再</w:t>
                        </w:r>
                        <w:r>
                          <w:rPr>
                            <w:rFonts w:ascii="宋体" w:hAnsi="宋体" w:cs="宋体" w:eastAsia="宋体" w:hint="default"/>
                            <w:spacing w:val="2"/>
                            <w:sz w:val="18"/>
                            <w:szCs w:val="18"/>
                          </w:rPr>
                          <w:t>次</w:t>
                        </w:r>
                        <w:r>
                          <w:rPr>
                            <w:rFonts w:ascii="宋体" w:hAnsi="宋体" w:cs="宋体" w:eastAsia="宋体" w:hint="default"/>
                            <w:sz w:val="18"/>
                            <w:szCs w:val="18"/>
                          </w:rPr>
                          <w:t>取得高新技术企业证书</w:t>
                        </w:r>
                        <w:r>
                          <w:rPr>
                            <w:rFonts w:ascii="宋体" w:hAnsi="宋体" w:cs="宋体" w:eastAsia="宋体" w:hint="default"/>
                            <w:spacing w:val="-89"/>
                            <w:sz w:val="18"/>
                            <w:szCs w:val="18"/>
                          </w:rPr>
                          <w:t>，</w:t>
                        </w:r>
                        <w:r>
                          <w:rPr>
                            <w:rFonts w:ascii="宋体" w:hAnsi="宋体" w:cs="宋体" w:eastAsia="宋体" w:hint="default"/>
                            <w:spacing w:val="1"/>
                            <w:sz w:val="18"/>
                            <w:szCs w:val="18"/>
                          </w:rPr>
                          <w:t>2</w:t>
                        </w:r>
                        <w:r>
                          <w:rPr>
                            <w:rFonts w:ascii="宋体" w:hAnsi="宋体" w:cs="宋体" w:eastAsia="宋体" w:hint="default"/>
                            <w:spacing w:val="-2"/>
                            <w:sz w:val="18"/>
                            <w:szCs w:val="18"/>
                          </w:rPr>
                          <w:t>01</w:t>
                        </w:r>
                        <w:r>
                          <w:rPr>
                            <w:rFonts w:ascii="宋体" w:hAnsi="宋体" w:cs="宋体" w:eastAsia="宋体" w:hint="default"/>
                            <w:sz w:val="18"/>
                            <w:szCs w:val="18"/>
                          </w:rPr>
                          <w:t>8</w:t>
                        </w:r>
                        <w:r>
                          <w:rPr>
                            <w:rFonts w:ascii="宋体" w:hAnsi="宋体" w:cs="宋体" w:eastAsia="宋体" w:hint="default"/>
                            <w:spacing w:val="-48"/>
                            <w:sz w:val="18"/>
                            <w:szCs w:val="18"/>
                          </w:rPr>
                          <w:t> </w:t>
                        </w:r>
                        <w:r>
                          <w:rPr>
                            <w:rFonts w:ascii="宋体" w:hAnsi="宋体" w:cs="宋体" w:eastAsia="宋体" w:hint="default"/>
                            <w:sz w:val="18"/>
                            <w:szCs w:val="18"/>
                          </w:rPr>
                          <w:t>年</w:t>
                        </w:r>
                      </w:p>
                      <w:p>
                        <w:pPr>
                          <w:pStyle w:val="TableParagraph"/>
                          <w:spacing w:line="234" w:lineRule="exact"/>
                          <w:ind w:left="5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年适用</w:t>
                        </w:r>
                        <w:r>
                          <w:rPr>
                            <w:rFonts w:ascii="宋体" w:hAnsi="宋体" w:cs="宋体" w:eastAsia="宋体" w:hint="default"/>
                            <w:spacing w:val="-45"/>
                            <w:sz w:val="18"/>
                            <w:szCs w:val="18"/>
                          </w:rPr>
                          <w:t> </w:t>
                        </w:r>
                        <w:r>
                          <w:rPr>
                            <w:rFonts w:ascii="宋体" w:hAnsi="宋体" w:cs="宋体" w:eastAsia="宋体" w:hint="default"/>
                            <w:sz w:val="18"/>
                            <w:szCs w:val="18"/>
                          </w:rPr>
                          <w:t>15%的企业所得税税率。</w:t>
                        </w:r>
                      </w:p>
                    </w:tc>
                  </w:tr>
                  <w:tr>
                    <w:trPr>
                      <w:trHeight w:val="564" w:hRule="exact"/>
                    </w:trPr>
                    <w:tc>
                      <w:tcPr>
                        <w:tcW w:w="251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128"/>
                          <w:ind w:left="53" w:right="0"/>
                          <w:jc w:val="left"/>
                          <w:rPr>
                            <w:rFonts w:ascii="宋体" w:hAnsi="宋体" w:cs="宋体" w:eastAsia="宋体" w:hint="default"/>
                            <w:sz w:val="18"/>
                            <w:szCs w:val="18"/>
                          </w:rPr>
                        </w:pPr>
                        <w:r>
                          <w:rPr>
                            <w:rFonts w:ascii="宋体" w:hAnsi="宋体" w:cs="宋体" w:eastAsia="宋体" w:hint="default"/>
                            <w:sz w:val="18"/>
                            <w:szCs w:val="18"/>
                          </w:rPr>
                          <w:t>浙江万马新能源有限公司</w:t>
                        </w:r>
                      </w:p>
                    </w:tc>
                    <w:tc>
                      <w:tcPr>
                        <w:tcW w:w="99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15%</w:t>
                        </w:r>
                      </w:p>
                    </w:tc>
                    <w:tc>
                      <w:tcPr>
                        <w:tcW w:w="5213" w:type="dxa"/>
                        <w:tcBorders>
                          <w:top w:val="single" w:sz="2" w:space="0" w:color="000000"/>
                          <w:left w:val="single" w:sz="2" w:space="0" w:color="000000"/>
                          <w:bottom w:val="single" w:sz="12" w:space="0" w:color="000000"/>
                          <w:right w:val="nil" w:sz="6" w:space="0" w:color="auto"/>
                        </w:tcBorders>
                      </w:tcPr>
                      <w:p>
                        <w:pPr>
                          <w:pStyle w:val="TableParagraph"/>
                          <w:spacing w:line="232" w:lineRule="exact" w:before="37"/>
                          <w:ind w:left="52" w:right="52"/>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宋体" w:hAnsi="宋体" w:cs="宋体" w:eastAsia="宋体" w:hint="default"/>
                            <w:sz w:val="18"/>
                            <w:szCs w:val="18"/>
                          </w:rPr>
                          <w:t>12</w:t>
                        </w:r>
                        <w:r>
                          <w:rPr>
                            <w:rFonts w:ascii="宋体" w:hAnsi="宋体" w:cs="宋体" w:eastAsia="宋体" w:hint="default"/>
                            <w:spacing w:val="-43"/>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宋体" w:hAnsi="宋体" w:cs="宋体" w:eastAsia="宋体" w:hint="default"/>
                            <w:sz w:val="18"/>
                            <w:szCs w:val="18"/>
                          </w:rPr>
                          <w:t>04</w:t>
                        </w:r>
                        <w:r>
                          <w:rPr>
                            <w:rFonts w:ascii="宋体" w:hAnsi="宋体" w:cs="宋体" w:eastAsia="宋体" w:hint="default"/>
                            <w:spacing w:val="-40"/>
                            <w:sz w:val="18"/>
                            <w:szCs w:val="18"/>
                          </w:rPr>
                          <w:t> </w:t>
                        </w:r>
                        <w:r>
                          <w:rPr>
                            <w:rFonts w:ascii="宋体" w:hAnsi="宋体" w:cs="宋体" w:eastAsia="宋体" w:hint="default"/>
                            <w:spacing w:val="3"/>
                            <w:sz w:val="18"/>
                            <w:szCs w:val="18"/>
                          </w:rPr>
                          <w:t>日重新认定再次取得高新技术企业证书，</w:t>
                        </w:r>
                        <w:r>
                          <w:rPr>
                            <w:rFonts w:ascii="宋体" w:hAnsi="宋体" w:cs="宋体" w:eastAsia="宋体" w:hint="default"/>
                            <w:spacing w:val="11"/>
                            <w:sz w:val="18"/>
                            <w:szCs w:val="18"/>
                          </w:rPr>
                          <w:t> </w:t>
                        </w:r>
                        <w:r>
                          <w:rPr>
                            <w:rFonts w:ascii="宋体" w:hAnsi="宋体" w:cs="宋体" w:eastAsia="宋体" w:hint="default"/>
                            <w:sz w:val="18"/>
                            <w:szCs w:val="18"/>
                          </w:rPr>
                          <w:t>2018</w:t>
                        </w:r>
                        <w:r>
                          <w:rPr>
                            <w:rFonts w:ascii="宋体" w:hAnsi="宋体" w:cs="宋体" w:eastAsia="宋体" w:hint="default"/>
                            <w:sz w:val="18"/>
                            <w:szCs w:val="18"/>
                          </w:rPr>
                          <w:t> 年、2019</w:t>
                        </w:r>
                        <w:r>
                          <w:rPr>
                            <w:rFonts w:ascii="宋体" w:hAnsi="宋体" w:cs="宋体" w:eastAsia="宋体" w:hint="default"/>
                            <w:spacing w:val="-48"/>
                            <w:sz w:val="18"/>
                            <w:szCs w:val="18"/>
                          </w:rPr>
                          <w:t> </w:t>
                        </w:r>
                        <w:r>
                          <w:rPr>
                            <w:rFonts w:ascii="宋体" w:hAnsi="宋体" w:cs="宋体" w:eastAsia="宋体" w:hint="default"/>
                            <w:sz w:val="18"/>
                            <w:szCs w:val="18"/>
                          </w:rPr>
                          <w:t>年适用</w:t>
                        </w:r>
                        <w:r>
                          <w:rPr>
                            <w:rFonts w:ascii="宋体" w:hAnsi="宋体" w:cs="宋体" w:eastAsia="宋体" w:hint="default"/>
                            <w:spacing w:val="-45"/>
                            <w:sz w:val="18"/>
                            <w:szCs w:val="18"/>
                          </w:rPr>
                          <w:t> </w:t>
                        </w:r>
                        <w:r>
                          <w:rPr>
                            <w:rFonts w:ascii="宋体" w:hAnsi="宋体" w:cs="宋体" w:eastAsia="宋体" w:hint="default"/>
                            <w:sz w:val="18"/>
                            <w:szCs w:val="18"/>
                          </w:rPr>
                          <w:t>15%的企业所得税税率。</w:t>
                        </w:r>
                      </w:p>
                    </w:tc>
                  </w:tr>
                </w:tbl>
                <w:p>
                  <w:pPr/>
                </w:p>
              </w:txbxContent>
            </v:textbox>
            <w10:wrap type="none"/>
          </v:shape>
        </w:pict>
      </w:r>
      <w:r>
        <w:rPr>
          <w:rFonts w:ascii="宋体" w:hAnsi="宋体" w:cs="宋体" w:eastAsia="宋体" w:hint="default"/>
          <w:sz w:val="18"/>
          <w:szCs w:val="18"/>
        </w:rPr>
        <w:t>、</w:t>
      </w:r>
    </w:p>
    <w:p>
      <w:pPr>
        <w:spacing w:line="240" w:lineRule="auto" w:before="10"/>
        <w:rPr>
          <w:rFonts w:ascii="宋体" w:hAnsi="宋体" w:cs="宋体" w:eastAsia="宋体" w:hint="default"/>
          <w:sz w:val="20"/>
          <w:szCs w:val="20"/>
        </w:rPr>
      </w:pPr>
    </w:p>
    <w:p>
      <w:pPr>
        <w:spacing w:before="44"/>
        <w:ind w:left="0" w:right="1551"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10"/>
        <w:rPr>
          <w:rFonts w:ascii="宋体" w:hAnsi="宋体" w:cs="宋体" w:eastAsia="宋体" w:hint="default"/>
          <w:sz w:val="20"/>
          <w:szCs w:val="20"/>
        </w:rPr>
      </w:pPr>
    </w:p>
    <w:p>
      <w:pPr>
        <w:spacing w:before="44"/>
        <w:ind w:left="0" w:right="1551"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10"/>
        <w:rPr>
          <w:rFonts w:ascii="宋体" w:hAnsi="宋体" w:cs="宋体" w:eastAsia="宋体" w:hint="default"/>
          <w:sz w:val="20"/>
          <w:szCs w:val="20"/>
        </w:rPr>
      </w:pPr>
    </w:p>
    <w:p>
      <w:pPr>
        <w:spacing w:before="44"/>
        <w:ind w:left="0" w:right="1551"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pStyle w:val="BodyText"/>
        <w:spacing w:line="300" w:lineRule="auto"/>
        <w:ind w:left="241" w:right="1697" w:firstLine="439"/>
        <w:jc w:val="both"/>
      </w:pPr>
      <w:r>
        <w:rPr>
          <w:spacing w:val="-1"/>
        </w:rPr>
        <w:t>2）本公司、本公司之子公司浙江万马高分子材料集团有限公司、本公司之子公司浙</w:t>
      </w:r>
      <w:r>
        <w:rPr>
          <w:w w:val="100"/>
        </w:rPr>
        <w:t> </w:t>
      </w:r>
      <w:r>
        <w:rPr>
          <w:spacing w:val="-4"/>
        </w:rPr>
        <w:t>江万马天屹通信线缆有限公司为社会福利企业，参照财政部、国家税务总局《关于调整完</w:t>
      </w:r>
      <w:r>
        <w:rPr>
          <w:spacing w:val="-51"/>
        </w:rPr>
        <w:t> </w:t>
      </w:r>
      <w:r>
        <w:rPr>
          <w:spacing w:val="-51"/>
        </w:rPr>
      </w:r>
      <w:r>
        <w:rPr/>
        <w:t>善现行福利企业税收优惠政策试点工作的通知》（财税[2006]111</w:t>
      </w:r>
      <w:r>
        <w:rPr>
          <w:spacing w:val="-65"/>
        </w:rPr>
        <w:t> </w:t>
      </w:r>
      <w:r>
        <w:rPr>
          <w:spacing w:val="-3"/>
        </w:rPr>
        <w:t>号）、《关于进一步做</w:t>
      </w:r>
      <w:r>
        <w:rPr>
          <w:w w:val="100"/>
        </w:rPr>
        <w:t> </w:t>
      </w:r>
      <w:r>
        <w:rPr>
          <w:spacing w:val="-2"/>
        </w:rPr>
        <w:t>好调整现行福利企业税收优惠政策试点工作的通知》（财税[2006]135</w:t>
      </w:r>
      <w:r>
        <w:rPr>
          <w:spacing w:val="-27"/>
        </w:rPr>
        <w:t> </w:t>
      </w:r>
      <w:r>
        <w:rPr>
          <w:spacing w:val="-3"/>
        </w:rPr>
        <w:t>号）的规定，企业</w:t>
      </w:r>
      <w:r>
        <w:rPr>
          <w:spacing w:val="-91"/>
        </w:rPr>
        <w:t> </w:t>
      </w:r>
      <w:r>
        <w:rPr>
          <w:spacing w:val="-91"/>
        </w:rPr>
      </w:r>
      <w:r>
        <w:rPr>
          <w:spacing w:val="-4"/>
        </w:rPr>
        <w:t>所得税实施成本加成加计扣除办法，即可以按照企业支付给残疾职工实际工资的</w:t>
      </w:r>
      <w:r>
        <w:rPr>
          <w:spacing w:val="-38"/>
        </w:rPr>
        <w:t> </w:t>
      </w:r>
      <w:r>
        <w:rPr/>
        <w:t>2</w:t>
      </w:r>
      <w:r>
        <w:rPr>
          <w:spacing w:val="-42"/>
        </w:rPr>
        <w:t> </w:t>
      </w:r>
      <w:r>
        <w:rPr/>
        <w:t>倍在税</w:t>
      </w:r>
      <w:r>
        <w:rPr>
          <w:spacing w:val="-101"/>
        </w:rPr>
        <w:t> </w:t>
      </w:r>
      <w:r>
        <w:rPr>
          <w:spacing w:val="-101"/>
        </w:rPr>
      </w:r>
      <w:r>
        <w:rPr/>
        <w:t>前扣除。</w:t>
      </w:r>
    </w:p>
    <w:p>
      <w:pPr>
        <w:spacing w:line="240" w:lineRule="auto" w:before="8"/>
        <w:rPr>
          <w:rFonts w:ascii="宋体" w:hAnsi="宋体" w:cs="宋体" w:eastAsia="宋体" w:hint="default"/>
          <w:sz w:val="19"/>
          <w:szCs w:val="19"/>
        </w:rPr>
      </w:pPr>
    </w:p>
    <w:p>
      <w:pPr>
        <w:pStyle w:val="BodyText"/>
        <w:spacing w:line="300" w:lineRule="auto" w:before="0"/>
        <w:ind w:left="241" w:right="1699" w:firstLine="439"/>
        <w:jc w:val="both"/>
      </w:pPr>
      <w:r>
        <w:rPr>
          <w:spacing w:val="-1"/>
        </w:rPr>
        <w:t>3）参照财政部、国家税务总局《关于促进残疾人就业税收优惠政策的通知》（财税</w:t>
      </w:r>
      <w:r>
        <w:rPr>
          <w:w w:val="100"/>
        </w:rPr>
        <w:t> </w:t>
      </w:r>
      <w:r>
        <w:rPr>
          <w:spacing w:val="-2"/>
        </w:rPr>
        <w:t>[2007]92 号）的规定，符合规定的社会福利企业取得的增值税退税免征企业所得税。</w:t>
      </w:r>
    </w:p>
    <w:p>
      <w:pPr>
        <w:pStyle w:val="BodyText"/>
        <w:spacing w:line="600" w:lineRule="exact" w:before="34"/>
        <w:ind w:left="680" w:right="1445"/>
        <w:jc w:val="left"/>
      </w:pPr>
      <w:r>
        <w:rPr/>
        <w:t>（2）增值税</w:t>
      </w:r>
      <w:r>
        <w:rPr>
          <w:w w:val="100"/>
        </w:rPr>
        <w:t> </w:t>
      </w:r>
      <w:r>
        <w:rPr>
          <w:spacing w:val="-4"/>
        </w:rPr>
        <w:t>本公司、本公司之子公司浙江万马高分子材料集团有限公司、本公司之子公司浙江万</w:t>
      </w:r>
    </w:p>
    <w:p>
      <w:pPr>
        <w:pStyle w:val="BodyText"/>
        <w:spacing w:line="271" w:lineRule="exact" w:before="0"/>
        <w:ind w:left="241" w:right="1445"/>
        <w:jc w:val="left"/>
      </w:pPr>
      <w:r>
        <w:rPr>
          <w:spacing w:val="-4"/>
        </w:rPr>
        <w:t>马天屹通信线缆有限公司为社会福利企业，根据财政部、国家税务总局《关于促进残疾人</w:t>
      </w:r>
    </w:p>
    <w:p>
      <w:pPr>
        <w:pStyle w:val="BodyText"/>
        <w:spacing w:line="300" w:lineRule="auto" w:before="72"/>
        <w:ind w:left="241" w:right="1445"/>
        <w:jc w:val="left"/>
      </w:pPr>
      <w:r>
        <w:rPr/>
        <w:t>就业增值税优惠政策的通知》（财税[2016]52 号）的规定，对安置残疾人的单位和个体</w:t>
      </w:r>
      <w:r>
        <w:rPr>
          <w:spacing w:val="-93"/>
        </w:rPr>
        <w:t> </w:t>
      </w:r>
      <w:r>
        <w:rPr>
          <w:spacing w:val="-93"/>
        </w:rPr>
      </w:r>
      <w:r>
        <w:rPr>
          <w:spacing w:val="-4"/>
        </w:rPr>
        <w:t>工商户，实行由税务机关按纳税人安置残疾人的人数，限额即征即退增值税的办法。安置</w:t>
      </w:r>
    </w:p>
    <w:p>
      <w:pPr>
        <w:spacing w:after="0" w:line="300" w:lineRule="auto"/>
        <w:jc w:val="left"/>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p>
      <w:pPr>
        <w:pStyle w:val="BodyText"/>
        <w:spacing w:line="240" w:lineRule="auto"/>
        <w:ind w:left="241" w:right="1445"/>
        <w:jc w:val="left"/>
      </w:pPr>
      <w:r>
        <w:rPr>
          <w:spacing w:val="2"/>
        </w:rPr>
        <w:t>的每位残疾人每月可退还的增值税具体限额，由县级以上税务机关根据纳税人所在区县</w:t>
      </w:r>
    </w:p>
    <w:p>
      <w:pPr>
        <w:pStyle w:val="BodyText"/>
        <w:spacing w:line="300" w:lineRule="auto" w:before="72"/>
        <w:ind w:left="241" w:right="1445"/>
        <w:jc w:val="left"/>
      </w:pPr>
      <w:r>
        <w:rPr>
          <w:spacing w:val="-4"/>
        </w:rPr>
        <w:t>（含县级市、旗，下同）适用的经省（含自治区、直辖市、计划单列市，下同）人民政府</w:t>
      </w:r>
      <w:r>
        <w:rPr>
          <w:spacing w:val="-43"/>
        </w:rPr>
        <w:t> </w:t>
      </w:r>
      <w:r>
        <w:rPr>
          <w:spacing w:val="-43"/>
        </w:rPr>
      </w:r>
      <w:r>
        <w:rPr/>
        <w:t>批准的月最低工资标准的</w:t>
      </w:r>
      <w:r>
        <w:rPr>
          <w:spacing w:val="-61"/>
        </w:rPr>
        <w:t> </w:t>
      </w:r>
      <w:r>
        <w:rPr/>
        <w:t>4</w:t>
      </w:r>
      <w:r>
        <w:rPr>
          <w:spacing w:val="-58"/>
        </w:rPr>
        <w:t> </w:t>
      </w:r>
      <w:r>
        <w:rPr/>
        <w:t>倍确定。</w:t>
      </w:r>
    </w:p>
    <w:p>
      <w:pPr>
        <w:pStyle w:val="BodyText"/>
        <w:spacing w:line="600" w:lineRule="exact" w:before="34"/>
        <w:ind w:left="680" w:right="1445" w:hanging="36"/>
        <w:jc w:val="left"/>
      </w:pPr>
      <w:r>
        <w:rPr/>
        <w:t>3.</w:t>
      </w:r>
      <w:r>
        <w:rPr>
          <w:spacing w:val="65"/>
        </w:rPr>
        <w:t> </w:t>
      </w:r>
      <w:bookmarkStart w:name="3.其他" w:id="230"/>
      <w:bookmarkEnd w:id="230"/>
      <w:r>
        <w:rPr/>
        <w:t>其</w:t>
      </w:r>
      <w:r>
        <w:rPr/>
        <w:t>他</w:t>
      </w:r>
      <w:r>
        <w:rPr>
          <w:w w:val="100"/>
        </w:rPr>
        <w:t> </w:t>
      </w:r>
      <w:r>
        <w:rPr>
          <w:spacing w:val="-4"/>
        </w:rPr>
        <w:t>本公司之子公司香港骐骥国际发展有限公司注册地在香港，其纳税事宜遵循香港当地</w:t>
      </w:r>
    </w:p>
    <w:p>
      <w:pPr>
        <w:pStyle w:val="BodyText"/>
        <w:spacing w:line="271" w:lineRule="exact" w:before="0"/>
        <w:ind w:left="241" w:right="1445"/>
        <w:jc w:val="left"/>
      </w:pPr>
      <w:r>
        <w:rPr/>
        <w:t>法律；本公司之子公司</w:t>
      </w:r>
      <w:r>
        <w:rPr>
          <w:spacing w:val="-63"/>
        </w:rPr>
        <w:t> </w:t>
      </w:r>
      <w:r>
        <w:rPr/>
        <w:t>Optrum</w:t>
      </w:r>
      <w:r>
        <w:rPr>
          <w:spacing w:val="-46"/>
        </w:rPr>
        <w:t> </w:t>
      </w:r>
      <w:r>
        <w:rPr/>
        <w:t>Technology</w:t>
      </w:r>
      <w:r>
        <w:rPr>
          <w:spacing w:val="-46"/>
        </w:rPr>
        <w:t> </w:t>
      </w:r>
      <w:r>
        <w:rPr/>
        <w:t>LLC</w:t>
      </w:r>
      <w:r>
        <w:rPr>
          <w:spacing w:val="-63"/>
        </w:rPr>
        <w:t> </w:t>
      </w:r>
      <w:r>
        <w:rPr/>
        <w:t>注册地在美国德克萨斯州，其纳税事宜遵</w:t>
      </w:r>
    </w:p>
    <w:p>
      <w:pPr>
        <w:pStyle w:val="BodyText"/>
        <w:spacing w:line="300" w:lineRule="auto" w:before="72"/>
        <w:ind w:left="241" w:right="1445"/>
        <w:jc w:val="left"/>
      </w:pPr>
      <w:r>
        <w:rPr>
          <w:spacing w:val="-7"/>
        </w:rPr>
        <w:t>循德克萨斯州当地法律；本公司之子公司万马线缆（越南）有限公司注册地在越南北宁市，</w:t>
      </w:r>
      <w:r>
        <w:rPr>
          <w:spacing w:val="-39"/>
        </w:rPr>
        <w:t> </w:t>
      </w:r>
      <w:r>
        <w:rPr>
          <w:spacing w:val="-39"/>
        </w:rPr>
      </w:r>
      <w:r>
        <w:rPr>
          <w:spacing w:val="13"/>
        </w:rPr>
        <w:t>其纳税事宜遵循越南北宁当地法律；本公司之子公司 </w:t>
      </w:r>
      <w:r>
        <w:rPr/>
        <w:t>Steed Networks Technologies</w:t>
      </w:r>
      <w:r>
        <w:rPr>
          <w:spacing w:val="-85"/>
        </w:rPr>
        <w:t> </w:t>
      </w:r>
      <w:r>
        <w:rPr>
          <w:spacing w:val="-85"/>
        </w:rPr>
      </w:r>
      <w:r>
        <w:rPr>
          <w:spacing w:val="-2"/>
        </w:rPr>
        <w:t>Co.,Ltd</w:t>
      </w:r>
      <w:r>
        <w:rPr>
          <w:spacing w:val="-10"/>
        </w:rPr>
        <w:t> </w:t>
      </w:r>
      <w:r>
        <w:rPr>
          <w:spacing w:val="-2"/>
        </w:rPr>
        <w:t>注册地在柬埔寨金边市，其纳税事宜遵循柬埔寨金边当地法律。</w:t>
      </w:r>
    </w:p>
    <w:p>
      <w:pPr>
        <w:spacing w:line="600" w:lineRule="exact" w:before="34"/>
        <w:ind w:left="680" w:right="1445" w:firstLine="19"/>
        <w:jc w:val="left"/>
        <w:rPr>
          <w:rFonts w:ascii="宋体" w:hAnsi="宋体" w:cs="宋体" w:eastAsia="宋体" w:hint="default"/>
          <w:sz w:val="22"/>
          <w:szCs w:val="22"/>
        </w:rPr>
      </w:pPr>
      <w:bookmarkStart w:name="八、合并财务报表主要项目注释" w:id="231"/>
      <w:bookmarkEnd w:id="231"/>
      <w:r>
        <w:rPr/>
      </w:r>
      <w:r>
        <w:rPr>
          <w:rFonts w:ascii="宋体" w:hAnsi="宋体" w:cs="宋体" w:eastAsia="宋体" w:hint="default"/>
          <w:b/>
          <w:bCs/>
          <w:sz w:val="22"/>
          <w:szCs w:val="22"/>
        </w:rPr>
        <w:t>八</w:t>
      </w:r>
      <w:r>
        <w:rPr>
          <w:rFonts w:ascii="宋体" w:hAnsi="宋体" w:cs="宋体" w:eastAsia="宋体" w:hint="default"/>
          <w:b/>
          <w:bCs/>
          <w:spacing w:val="-71"/>
          <w:sz w:val="22"/>
          <w:szCs w:val="22"/>
        </w:rPr>
        <w:t> </w:t>
      </w:r>
      <w:r>
        <w:rPr>
          <w:rFonts w:ascii="宋体" w:hAnsi="宋体" w:cs="宋体" w:eastAsia="宋体" w:hint="default"/>
          <w:b/>
          <w:bCs/>
          <w:sz w:val="22"/>
          <w:szCs w:val="22"/>
        </w:rPr>
        <w:t>、</w:t>
      </w:r>
      <w:r>
        <w:rPr>
          <w:rFonts w:ascii="宋体" w:hAnsi="宋体" w:cs="宋体" w:eastAsia="宋体" w:hint="default"/>
          <w:b/>
          <w:bCs/>
          <w:spacing w:val="-73"/>
          <w:sz w:val="22"/>
          <w:szCs w:val="22"/>
        </w:rPr>
        <w:t> </w:t>
      </w:r>
      <w:r>
        <w:rPr>
          <w:rFonts w:ascii="宋体" w:hAnsi="宋体" w:cs="宋体" w:eastAsia="宋体" w:hint="default"/>
          <w:b/>
          <w:bCs/>
          <w:sz w:val="22"/>
          <w:szCs w:val="22"/>
        </w:rPr>
        <w:t>合</w:t>
      </w:r>
      <w:r>
        <w:rPr>
          <w:rFonts w:ascii="宋体" w:hAnsi="宋体" w:cs="宋体" w:eastAsia="宋体" w:hint="default"/>
          <w:b/>
          <w:bCs/>
          <w:spacing w:val="-71"/>
          <w:sz w:val="22"/>
          <w:szCs w:val="22"/>
        </w:rPr>
        <w:t> </w:t>
      </w:r>
      <w:r>
        <w:rPr>
          <w:rFonts w:ascii="宋体" w:hAnsi="宋体" w:cs="宋体" w:eastAsia="宋体" w:hint="default"/>
          <w:b/>
          <w:bCs/>
          <w:sz w:val="22"/>
          <w:szCs w:val="22"/>
        </w:rPr>
        <w:t>并</w:t>
      </w:r>
      <w:r>
        <w:rPr>
          <w:rFonts w:ascii="宋体" w:hAnsi="宋体" w:cs="宋体" w:eastAsia="宋体" w:hint="default"/>
          <w:b/>
          <w:bCs/>
          <w:spacing w:val="-71"/>
          <w:sz w:val="22"/>
          <w:szCs w:val="22"/>
        </w:rPr>
        <w:t> </w:t>
      </w:r>
      <w:r>
        <w:rPr>
          <w:rFonts w:ascii="宋体" w:hAnsi="宋体" w:cs="宋体" w:eastAsia="宋体" w:hint="default"/>
          <w:b/>
          <w:bCs/>
          <w:sz w:val="22"/>
          <w:szCs w:val="22"/>
        </w:rPr>
        <w:t>财</w:t>
      </w:r>
      <w:r>
        <w:rPr>
          <w:rFonts w:ascii="宋体" w:hAnsi="宋体" w:cs="宋体" w:eastAsia="宋体" w:hint="default"/>
          <w:b/>
          <w:bCs/>
          <w:spacing w:val="-73"/>
          <w:sz w:val="22"/>
          <w:szCs w:val="22"/>
        </w:rPr>
        <w:t> </w:t>
      </w:r>
      <w:r>
        <w:rPr>
          <w:rFonts w:ascii="宋体" w:hAnsi="宋体" w:cs="宋体" w:eastAsia="宋体" w:hint="default"/>
          <w:b/>
          <w:bCs/>
          <w:sz w:val="22"/>
          <w:szCs w:val="22"/>
        </w:rPr>
        <w:t>务</w:t>
      </w:r>
      <w:r>
        <w:rPr>
          <w:rFonts w:ascii="宋体" w:hAnsi="宋体" w:cs="宋体" w:eastAsia="宋体" w:hint="default"/>
          <w:b/>
          <w:bCs/>
          <w:spacing w:val="-71"/>
          <w:sz w:val="22"/>
          <w:szCs w:val="22"/>
        </w:rPr>
        <w:t> </w:t>
      </w:r>
      <w:r>
        <w:rPr>
          <w:rFonts w:ascii="宋体" w:hAnsi="宋体" w:cs="宋体" w:eastAsia="宋体" w:hint="default"/>
          <w:b/>
          <w:bCs/>
          <w:sz w:val="22"/>
          <w:szCs w:val="22"/>
        </w:rPr>
        <w:t>报</w:t>
      </w:r>
      <w:r>
        <w:rPr>
          <w:rFonts w:ascii="宋体" w:hAnsi="宋体" w:cs="宋体" w:eastAsia="宋体" w:hint="default"/>
          <w:b/>
          <w:bCs/>
          <w:spacing w:val="-71"/>
          <w:sz w:val="22"/>
          <w:szCs w:val="22"/>
        </w:rPr>
        <w:t> </w:t>
      </w:r>
      <w:r>
        <w:rPr>
          <w:rFonts w:ascii="宋体" w:hAnsi="宋体" w:cs="宋体" w:eastAsia="宋体" w:hint="default"/>
          <w:b/>
          <w:bCs/>
          <w:sz w:val="22"/>
          <w:szCs w:val="22"/>
        </w:rPr>
        <w:t>表</w:t>
      </w:r>
      <w:r>
        <w:rPr>
          <w:rFonts w:ascii="宋体" w:hAnsi="宋体" w:cs="宋体" w:eastAsia="宋体" w:hint="default"/>
          <w:b/>
          <w:bCs/>
          <w:spacing w:val="-71"/>
          <w:sz w:val="22"/>
          <w:szCs w:val="22"/>
        </w:rPr>
        <w:t> </w:t>
      </w:r>
      <w:r>
        <w:rPr>
          <w:rFonts w:ascii="宋体" w:hAnsi="宋体" w:cs="宋体" w:eastAsia="宋体" w:hint="default"/>
          <w:b/>
          <w:bCs/>
          <w:sz w:val="22"/>
          <w:szCs w:val="22"/>
        </w:rPr>
        <w:t>主</w:t>
      </w:r>
      <w:r>
        <w:rPr>
          <w:rFonts w:ascii="宋体" w:hAnsi="宋体" w:cs="宋体" w:eastAsia="宋体" w:hint="default"/>
          <w:b/>
          <w:bCs/>
          <w:spacing w:val="-73"/>
          <w:sz w:val="22"/>
          <w:szCs w:val="22"/>
        </w:rPr>
        <w:t> </w:t>
      </w:r>
      <w:r>
        <w:rPr>
          <w:rFonts w:ascii="宋体" w:hAnsi="宋体" w:cs="宋体" w:eastAsia="宋体" w:hint="default"/>
          <w:b/>
          <w:bCs/>
          <w:sz w:val="22"/>
          <w:szCs w:val="22"/>
        </w:rPr>
        <w:t>要</w:t>
      </w:r>
      <w:r>
        <w:rPr>
          <w:rFonts w:ascii="宋体" w:hAnsi="宋体" w:cs="宋体" w:eastAsia="宋体" w:hint="default"/>
          <w:b/>
          <w:bCs/>
          <w:spacing w:val="-71"/>
          <w:sz w:val="22"/>
          <w:szCs w:val="22"/>
        </w:rPr>
        <w:t> </w:t>
      </w:r>
      <w:r>
        <w:rPr>
          <w:rFonts w:ascii="宋体" w:hAnsi="宋体" w:cs="宋体" w:eastAsia="宋体" w:hint="default"/>
          <w:b/>
          <w:bCs/>
          <w:sz w:val="22"/>
          <w:szCs w:val="22"/>
        </w:rPr>
        <w:t>项</w:t>
      </w:r>
      <w:r>
        <w:rPr>
          <w:rFonts w:ascii="宋体" w:hAnsi="宋体" w:cs="宋体" w:eastAsia="宋体" w:hint="default"/>
          <w:b/>
          <w:bCs/>
          <w:spacing w:val="-71"/>
          <w:sz w:val="22"/>
          <w:szCs w:val="22"/>
        </w:rPr>
        <w:t> </w:t>
      </w:r>
      <w:r>
        <w:rPr>
          <w:rFonts w:ascii="宋体" w:hAnsi="宋体" w:cs="宋体" w:eastAsia="宋体" w:hint="default"/>
          <w:b/>
          <w:bCs/>
          <w:sz w:val="22"/>
          <w:szCs w:val="22"/>
        </w:rPr>
        <w:t>目</w:t>
      </w:r>
      <w:r>
        <w:rPr>
          <w:rFonts w:ascii="宋体" w:hAnsi="宋体" w:cs="宋体" w:eastAsia="宋体" w:hint="default"/>
          <w:b/>
          <w:bCs/>
          <w:spacing w:val="-73"/>
          <w:sz w:val="22"/>
          <w:szCs w:val="22"/>
        </w:rPr>
        <w:t> </w:t>
      </w:r>
      <w:r>
        <w:rPr>
          <w:rFonts w:ascii="宋体" w:hAnsi="宋体" w:cs="宋体" w:eastAsia="宋体" w:hint="default"/>
          <w:b/>
          <w:bCs/>
          <w:sz w:val="22"/>
          <w:szCs w:val="22"/>
        </w:rPr>
        <w:t>注</w:t>
      </w:r>
      <w:r>
        <w:rPr>
          <w:rFonts w:ascii="宋体" w:hAnsi="宋体" w:cs="宋体" w:eastAsia="宋体" w:hint="default"/>
          <w:b/>
          <w:bCs/>
          <w:spacing w:val="-71"/>
          <w:sz w:val="22"/>
          <w:szCs w:val="22"/>
        </w:rPr>
        <w:t> </w:t>
      </w:r>
      <w:r>
        <w:rPr>
          <w:rFonts w:ascii="宋体" w:hAnsi="宋体" w:cs="宋体" w:eastAsia="宋体" w:hint="default"/>
          <w:b/>
          <w:bCs/>
          <w:sz w:val="22"/>
          <w:szCs w:val="22"/>
        </w:rPr>
        <w:t>释</w:t>
      </w:r>
      <w:r>
        <w:rPr>
          <w:rFonts w:ascii="宋体" w:hAnsi="宋体" w:cs="宋体" w:eastAsia="宋体" w:hint="default"/>
          <w:b/>
          <w:bCs/>
          <w:w w:val="100"/>
          <w:sz w:val="22"/>
          <w:szCs w:val="22"/>
        </w:rPr>
        <w:t> </w:t>
      </w:r>
      <w:r>
        <w:rPr>
          <w:rFonts w:ascii="宋体" w:hAnsi="宋体" w:cs="宋体" w:eastAsia="宋体" w:hint="default"/>
          <w:spacing w:val="-6"/>
          <w:sz w:val="22"/>
          <w:szCs w:val="22"/>
        </w:rPr>
        <w:t>下列所披露的财务报表数据，除特别注明之外，“年初”系指</w:t>
      </w:r>
      <w:r>
        <w:rPr>
          <w:rFonts w:ascii="宋体" w:hAnsi="宋体" w:cs="宋体" w:eastAsia="宋体" w:hint="default"/>
          <w:spacing w:val="-53"/>
          <w:sz w:val="22"/>
          <w:szCs w:val="22"/>
        </w:rPr>
        <w:t> </w:t>
      </w:r>
      <w:r>
        <w:rPr>
          <w:rFonts w:ascii="宋体" w:hAnsi="宋体" w:cs="宋体" w:eastAsia="宋体" w:hint="default"/>
          <w:sz w:val="22"/>
          <w:szCs w:val="22"/>
        </w:rPr>
        <w:t>2019</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宋体" w:hAnsi="宋体" w:cs="宋体" w:eastAsia="宋体" w:hint="default"/>
          <w:sz w:val="22"/>
          <w:szCs w:val="22"/>
        </w:rPr>
        <w:t>1</w:t>
      </w:r>
      <w:r>
        <w:rPr>
          <w:rFonts w:ascii="宋体" w:hAnsi="宋体" w:cs="宋体" w:eastAsia="宋体" w:hint="default"/>
          <w:spacing w:val="-49"/>
          <w:sz w:val="22"/>
          <w:szCs w:val="22"/>
        </w:rPr>
        <w:t> </w:t>
      </w:r>
      <w:r>
        <w:rPr>
          <w:rFonts w:ascii="宋体" w:hAnsi="宋体" w:cs="宋体" w:eastAsia="宋体" w:hint="default"/>
          <w:sz w:val="22"/>
          <w:szCs w:val="22"/>
        </w:rPr>
        <w:t>月</w:t>
      </w:r>
      <w:r>
        <w:rPr>
          <w:rFonts w:ascii="宋体" w:hAnsi="宋体" w:cs="宋体" w:eastAsia="宋体" w:hint="default"/>
          <w:spacing w:val="-53"/>
          <w:sz w:val="22"/>
          <w:szCs w:val="22"/>
        </w:rPr>
        <w:t> </w:t>
      </w:r>
      <w:r>
        <w:rPr>
          <w:rFonts w:ascii="宋体" w:hAnsi="宋体" w:cs="宋体" w:eastAsia="宋体" w:hint="default"/>
          <w:sz w:val="22"/>
          <w:szCs w:val="22"/>
        </w:rPr>
        <w:t>1</w:t>
      </w:r>
      <w:r>
        <w:rPr>
          <w:rFonts w:ascii="宋体" w:hAnsi="宋体" w:cs="宋体" w:eastAsia="宋体" w:hint="default"/>
          <w:spacing w:val="-49"/>
          <w:sz w:val="22"/>
          <w:szCs w:val="22"/>
        </w:rPr>
        <w:t> </w:t>
      </w:r>
      <w:r>
        <w:rPr>
          <w:rFonts w:ascii="宋体" w:hAnsi="宋体" w:cs="宋体" w:eastAsia="宋体" w:hint="default"/>
          <w:spacing w:val="-17"/>
          <w:sz w:val="22"/>
          <w:szCs w:val="22"/>
        </w:rPr>
        <w:t>日，“年</w:t>
      </w:r>
    </w:p>
    <w:p>
      <w:pPr>
        <w:pStyle w:val="BodyText"/>
        <w:spacing w:line="271" w:lineRule="exact" w:before="0"/>
        <w:ind w:left="241" w:right="1445"/>
        <w:jc w:val="left"/>
      </w:pPr>
      <w:r>
        <w:rPr>
          <w:spacing w:val="-8"/>
        </w:rPr>
        <w:t>末”系指</w:t>
      </w:r>
      <w:r>
        <w:rPr>
          <w:spacing w:val="-57"/>
        </w:rPr>
        <w:t> </w:t>
      </w:r>
      <w:r>
        <w:rPr/>
        <w:t>2019</w:t>
      </w:r>
      <w:r>
        <w:rPr>
          <w:spacing w:val="-54"/>
        </w:rPr>
        <w:t> </w:t>
      </w:r>
      <w:r>
        <w:rPr/>
        <w:t>年</w:t>
      </w:r>
      <w:r>
        <w:rPr>
          <w:spacing w:val="-57"/>
        </w:rPr>
        <w:t> </w:t>
      </w:r>
      <w:r>
        <w:rPr/>
        <w:t>12</w:t>
      </w:r>
      <w:r>
        <w:rPr>
          <w:spacing w:val="-54"/>
        </w:rPr>
        <w:t> </w:t>
      </w:r>
      <w:r>
        <w:rPr/>
        <w:t>月</w:t>
      </w:r>
      <w:r>
        <w:rPr>
          <w:spacing w:val="-54"/>
        </w:rPr>
        <w:t> </w:t>
      </w:r>
      <w:r>
        <w:rPr/>
        <w:t>31</w:t>
      </w:r>
      <w:r>
        <w:rPr>
          <w:spacing w:val="-57"/>
        </w:rPr>
        <w:t> </w:t>
      </w:r>
      <w:r>
        <w:rPr>
          <w:spacing w:val="-11"/>
        </w:rPr>
        <w:t>日，“本年”系指</w:t>
      </w:r>
      <w:r>
        <w:rPr>
          <w:spacing w:val="-54"/>
        </w:rPr>
        <w:t> </w:t>
      </w:r>
      <w:r>
        <w:rPr/>
        <w:t>2019</w:t>
      </w:r>
      <w:r>
        <w:rPr>
          <w:spacing w:val="-57"/>
        </w:rPr>
        <w:t> </w:t>
      </w:r>
      <w:r>
        <w:rPr/>
        <w:t>年</w:t>
      </w:r>
      <w:r>
        <w:rPr>
          <w:spacing w:val="-57"/>
        </w:rPr>
        <w:t> </w:t>
      </w:r>
      <w:r>
        <w:rPr/>
        <w:t>1</w:t>
      </w:r>
      <w:r>
        <w:rPr>
          <w:spacing w:val="-54"/>
        </w:rPr>
        <w:t> </w:t>
      </w:r>
      <w:r>
        <w:rPr/>
        <w:t>月</w:t>
      </w:r>
      <w:r>
        <w:rPr>
          <w:spacing w:val="-54"/>
        </w:rPr>
        <w:t> </w:t>
      </w:r>
      <w:r>
        <w:rPr/>
        <w:t>1</w:t>
      </w:r>
      <w:r>
        <w:rPr>
          <w:spacing w:val="-54"/>
        </w:rPr>
        <w:t> </w:t>
      </w:r>
      <w:r>
        <w:rPr/>
        <w:t>日至</w:t>
      </w:r>
      <w:r>
        <w:rPr>
          <w:spacing w:val="-57"/>
        </w:rPr>
        <w:t> </w:t>
      </w:r>
      <w:r>
        <w:rPr/>
        <w:t>12</w:t>
      </w:r>
      <w:r>
        <w:rPr>
          <w:spacing w:val="-54"/>
        </w:rPr>
        <w:t> </w:t>
      </w:r>
      <w:r>
        <w:rPr/>
        <w:t>月</w:t>
      </w:r>
      <w:r>
        <w:rPr>
          <w:spacing w:val="-54"/>
        </w:rPr>
        <w:t> </w:t>
      </w:r>
      <w:r>
        <w:rPr/>
        <w:t>31</w:t>
      </w:r>
      <w:r>
        <w:rPr>
          <w:spacing w:val="-57"/>
        </w:rPr>
        <w:t> </w:t>
      </w:r>
      <w:r>
        <w:rPr>
          <w:spacing w:val="-10"/>
        </w:rPr>
        <w:t>日，“上年”</w:t>
      </w:r>
      <w:r>
        <w:rPr>
          <w:spacing w:val="-25"/>
        </w:rPr>
        <w:t> </w:t>
      </w:r>
      <w:r>
        <w:rPr/>
        <w:t>系</w:t>
      </w:r>
    </w:p>
    <w:p>
      <w:pPr>
        <w:pStyle w:val="BodyText"/>
        <w:spacing w:line="240" w:lineRule="auto" w:before="72"/>
        <w:ind w:left="241" w:right="1445"/>
        <w:jc w:val="left"/>
      </w:pPr>
      <w:r>
        <w:rPr/>
        <w:t>指</w:t>
      </w:r>
      <w:r>
        <w:rPr>
          <w:spacing w:val="-59"/>
        </w:rPr>
        <w:t> </w:t>
      </w:r>
      <w:r>
        <w:rPr/>
        <w:t>2018</w:t>
      </w:r>
      <w:r>
        <w:rPr>
          <w:spacing w:val="-56"/>
        </w:rPr>
        <w:t> </w:t>
      </w:r>
      <w:r>
        <w:rPr/>
        <w:t>年</w:t>
      </w:r>
      <w:r>
        <w:rPr>
          <w:spacing w:val="-59"/>
        </w:rPr>
        <w:t> </w:t>
      </w:r>
      <w:r>
        <w:rPr/>
        <w:t>1</w:t>
      </w:r>
      <w:r>
        <w:rPr>
          <w:spacing w:val="-56"/>
        </w:rPr>
        <w:t> </w:t>
      </w:r>
      <w:r>
        <w:rPr/>
        <w:t>月</w:t>
      </w:r>
      <w:r>
        <w:rPr>
          <w:spacing w:val="-59"/>
        </w:rPr>
        <w:t> </w:t>
      </w:r>
      <w:r>
        <w:rPr/>
        <w:t>1</w:t>
      </w:r>
      <w:r>
        <w:rPr>
          <w:spacing w:val="-56"/>
        </w:rPr>
        <w:t> </w:t>
      </w:r>
      <w:r>
        <w:rPr/>
        <w:t>日至</w:t>
      </w:r>
      <w:r>
        <w:rPr>
          <w:spacing w:val="-59"/>
        </w:rPr>
        <w:t> </w:t>
      </w:r>
      <w:r>
        <w:rPr/>
        <w:t>12</w:t>
      </w:r>
      <w:r>
        <w:rPr>
          <w:spacing w:val="-56"/>
        </w:rPr>
        <w:t> </w:t>
      </w:r>
      <w:r>
        <w:rPr/>
        <w:t>月</w:t>
      </w:r>
      <w:r>
        <w:rPr>
          <w:spacing w:val="-56"/>
        </w:rPr>
        <w:t> </w:t>
      </w:r>
      <w:r>
        <w:rPr/>
        <w:t>31</w:t>
      </w:r>
      <w:r>
        <w:rPr>
          <w:spacing w:val="-59"/>
        </w:rPr>
        <w:t> </w:t>
      </w:r>
      <w:r>
        <w:rPr/>
        <w:t>日，货币单位为人民币元。</w:t>
      </w:r>
    </w:p>
    <w:p>
      <w:pPr>
        <w:pStyle w:val="BodyText"/>
        <w:spacing w:line="240" w:lineRule="auto" w:before="192"/>
        <w:ind w:left="644" w:right="1445"/>
        <w:jc w:val="left"/>
      </w:pPr>
      <w:r>
        <w:rPr/>
        <w:t>1.</w:t>
      </w:r>
      <w:r>
        <w:rPr>
          <w:spacing w:val="64"/>
        </w:rPr>
        <w:t> </w:t>
      </w:r>
      <w:bookmarkStart w:name="1.货币资金" w:id="232"/>
      <w:bookmarkEnd w:id="232"/>
      <w:r>
        <w:rPr/>
        <w:t>货</w:t>
      </w:r>
      <w:r>
        <w:rPr/>
        <w:t>币资金</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635"/>
        <w:gridCol w:w="2544"/>
        <w:gridCol w:w="2544"/>
      </w:tblGrid>
      <w:tr>
        <w:trPr>
          <w:trHeight w:val="415" w:hRule="exact"/>
        </w:trPr>
        <w:tc>
          <w:tcPr>
            <w:tcW w:w="363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544"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6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25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56,198.76</w:t>
            </w:r>
          </w:p>
        </w:tc>
        <w:tc>
          <w:tcPr>
            <w:tcW w:w="254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57,351.42</w:t>
            </w:r>
          </w:p>
        </w:tc>
      </w:tr>
      <w:tr>
        <w:trPr>
          <w:trHeight w:val="402" w:hRule="exact"/>
        </w:trPr>
        <w:tc>
          <w:tcPr>
            <w:tcW w:w="36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25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888,240,509.15</w:t>
            </w:r>
          </w:p>
        </w:tc>
        <w:tc>
          <w:tcPr>
            <w:tcW w:w="254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657,758,395.46</w:t>
            </w:r>
          </w:p>
        </w:tc>
      </w:tr>
      <w:tr>
        <w:trPr>
          <w:trHeight w:val="402" w:hRule="exact"/>
        </w:trPr>
        <w:tc>
          <w:tcPr>
            <w:tcW w:w="36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25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279,399,986.72</w:t>
            </w:r>
          </w:p>
        </w:tc>
        <w:tc>
          <w:tcPr>
            <w:tcW w:w="254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254,012,271.81</w:t>
            </w:r>
          </w:p>
        </w:tc>
      </w:tr>
      <w:tr>
        <w:trPr>
          <w:trHeight w:val="402" w:hRule="exact"/>
        </w:trPr>
        <w:tc>
          <w:tcPr>
            <w:tcW w:w="36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1,167,696,694.63</w:t>
            </w:r>
            <w:r>
              <w:rPr>
                <w:rFonts w:ascii="宋体"/>
                <w:sz w:val="18"/>
              </w:rPr>
            </w:r>
          </w:p>
        </w:tc>
        <w:tc>
          <w:tcPr>
            <w:tcW w:w="254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911,828,018.69</w:t>
            </w:r>
            <w:r>
              <w:rPr>
                <w:rFonts w:ascii="宋体"/>
                <w:sz w:val="18"/>
              </w:rPr>
            </w:r>
          </w:p>
        </w:tc>
      </w:tr>
      <w:tr>
        <w:trPr>
          <w:trHeight w:val="414" w:hRule="exact"/>
        </w:trPr>
        <w:tc>
          <w:tcPr>
            <w:tcW w:w="363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254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40,334,905.55</w:t>
            </w:r>
          </w:p>
        </w:tc>
        <w:tc>
          <w:tcPr>
            <w:tcW w:w="2544"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41,287,144.37</w:t>
            </w:r>
          </w:p>
        </w:tc>
      </w:tr>
    </w:tbl>
    <w:p>
      <w:pPr>
        <w:spacing w:line="240" w:lineRule="auto" w:before="4"/>
        <w:rPr>
          <w:rFonts w:ascii="宋体" w:hAnsi="宋体" w:cs="宋体" w:eastAsia="宋体" w:hint="default"/>
          <w:sz w:val="18"/>
          <w:szCs w:val="18"/>
        </w:rPr>
      </w:pPr>
    </w:p>
    <w:p>
      <w:pPr>
        <w:pStyle w:val="BodyText"/>
        <w:spacing w:line="300" w:lineRule="auto"/>
        <w:ind w:left="241" w:right="1697" w:firstLine="439"/>
        <w:jc w:val="both"/>
      </w:pPr>
      <w:r>
        <w:rPr>
          <w:spacing w:val="-4"/>
        </w:rPr>
        <w:t>注：其他货币资金主要系存入银行的银行承兑汇票保证金、保函保证金以及信用证保</w:t>
      </w:r>
      <w:r>
        <w:rPr>
          <w:w w:val="100"/>
        </w:rPr>
        <w:t> </w:t>
      </w:r>
      <w:r>
        <w:rPr>
          <w:spacing w:val="-6"/>
        </w:rPr>
        <w:t>证金等；截止</w:t>
      </w:r>
      <w:r>
        <w:rPr>
          <w:spacing w:val="-52"/>
        </w:rPr>
        <w:t> </w:t>
      </w:r>
      <w:r>
        <w:rPr/>
        <w:t>2019</w:t>
      </w:r>
      <w:r>
        <w:rPr>
          <w:spacing w:val="-55"/>
        </w:rPr>
        <w:t> </w:t>
      </w:r>
      <w:r>
        <w:rPr/>
        <w:t>年</w:t>
      </w:r>
      <w:r>
        <w:rPr>
          <w:spacing w:val="-55"/>
        </w:rPr>
        <w:t> </w:t>
      </w:r>
      <w:r>
        <w:rPr/>
        <w:t>12</w:t>
      </w:r>
      <w:r>
        <w:rPr>
          <w:spacing w:val="-52"/>
        </w:rPr>
        <w:t> </w:t>
      </w:r>
      <w:r>
        <w:rPr/>
        <w:t>月</w:t>
      </w:r>
      <w:r>
        <w:rPr>
          <w:spacing w:val="-52"/>
        </w:rPr>
        <w:t> </w:t>
      </w:r>
      <w:r>
        <w:rPr/>
        <w:t>31</w:t>
      </w:r>
      <w:r>
        <w:rPr>
          <w:spacing w:val="-55"/>
        </w:rPr>
        <w:t> </w:t>
      </w:r>
      <w:r>
        <w:rPr>
          <w:spacing w:val="-4"/>
        </w:rPr>
        <w:t>日，本集团使用受限资金共计</w:t>
      </w:r>
      <w:r>
        <w:rPr>
          <w:spacing w:val="-55"/>
        </w:rPr>
        <w:t> </w:t>
      </w:r>
      <w:r>
        <w:rPr/>
        <w:t>237,340,637.55</w:t>
      </w:r>
      <w:r>
        <w:rPr>
          <w:spacing w:val="-52"/>
        </w:rPr>
        <w:t> </w:t>
      </w:r>
      <w:r>
        <w:rPr>
          <w:spacing w:val="-7"/>
        </w:rPr>
        <w:t>元，包括保</w:t>
      </w:r>
      <w:r>
        <w:rPr>
          <w:spacing w:val="-108"/>
        </w:rPr>
        <w:t> </w:t>
      </w:r>
      <w:r>
        <w:rPr>
          <w:spacing w:val="-108"/>
        </w:rPr>
      </w:r>
      <w:r>
        <w:rPr>
          <w:spacing w:val="-4"/>
        </w:rPr>
        <w:t>函保证金、信用证保证金及银行承兑汇票保证金，该等使用受限资金在现金流量表中不作</w:t>
      </w:r>
      <w:r>
        <w:rPr>
          <w:spacing w:val="-51"/>
        </w:rPr>
        <w:t> </w:t>
      </w:r>
      <w:r>
        <w:rPr>
          <w:spacing w:val="-51"/>
        </w:rPr>
      </w:r>
      <w:r>
        <w:rPr/>
        <w:t>为“现金及现金等价物”列示。</w:t>
      </w:r>
    </w:p>
    <w:p>
      <w:pPr>
        <w:pStyle w:val="BodyText"/>
        <w:spacing w:line="240" w:lineRule="auto" w:before="137"/>
        <w:ind w:left="644" w:right="1445"/>
        <w:jc w:val="left"/>
      </w:pPr>
      <w:r>
        <w:rPr/>
        <w:t>2.</w:t>
      </w:r>
      <w:r>
        <w:rPr>
          <w:spacing w:val="62"/>
        </w:rPr>
        <w:t> </w:t>
      </w:r>
      <w:bookmarkStart w:name="2.衍生金融资产" w:id="233"/>
      <w:bookmarkEnd w:id="233"/>
      <w:r>
        <w:rPr/>
        <w:t>衍</w:t>
      </w:r>
      <w:r>
        <w:rPr/>
        <w:t>生金融资产</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651"/>
        <w:gridCol w:w="2535"/>
        <w:gridCol w:w="2537"/>
      </w:tblGrid>
      <w:tr>
        <w:trPr>
          <w:trHeight w:val="415" w:hRule="exact"/>
        </w:trPr>
        <w:tc>
          <w:tcPr>
            <w:tcW w:w="365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3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53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套期工具持仓保证金</w:t>
            </w:r>
          </w:p>
        </w:tc>
        <w:tc>
          <w:tcPr>
            <w:tcW w:w="25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52,069,179.06</w:t>
            </w:r>
          </w:p>
        </w:tc>
        <w:tc>
          <w:tcPr>
            <w:tcW w:w="253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115,422,151.00</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套期工具公允价值变动</w:t>
            </w:r>
          </w:p>
        </w:tc>
        <w:tc>
          <w:tcPr>
            <w:tcW w:w="25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25,372,350.00</w:t>
            </w:r>
          </w:p>
        </w:tc>
        <w:tc>
          <w:tcPr>
            <w:tcW w:w="253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-30,660,000.00</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远期结购汇浮盈</w:t>
            </w:r>
          </w:p>
        </w:tc>
        <w:tc>
          <w:tcPr>
            <w:tcW w:w="25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83,901.71</w:t>
            </w:r>
          </w:p>
        </w:tc>
        <w:tc>
          <w:tcPr>
            <w:tcW w:w="253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31,660.08</w:t>
            </w:r>
          </w:p>
        </w:tc>
      </w:tr>
      <w:tr>
        <w:trPr>
          <w:trHeight w:val="414" w:hRule="exact"/>
        </w:trPr>
        <w:tc>
          <w:tcPr>
            <w:tcW w:w="365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3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77,525,430.77</w:t>
            </w:r>
            <w:r>
              <w:rPr>
                <w:rFonts w:ascii="宋体"/>
                <w:sz w:val="18"/>
              </w:rPr>
            </w:r>
          </w:p>
        </w:tc>
        <w:tc>
          <w:tcPr>
            <w:tcW w:w="253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84,793,811.08</w:t>
            </w:r>
            <w:r>
              <w:rPr>
                <w:rFonts w:ascii="宋体"/>
                <w:sz w:val="18"/>
              </w:rPr>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p>
      <w:pPr>
        <w:pStyle w:val="BodyText"/>
        <w:spacing w:line="300" w:lineRule="auto"/>
        <w:ind w:left="241" w:right="1586" w:firstLine="439"/>
        <w:jc w:val="left"/>
      </w:pPr>
      <w:r>
        <w:rPr>
          <w:spacing w:val="-4"/>
        </w:rPr>
        <w:t>注：本公司对预期铜采购交易进行套期保值，按照新金融工具准则《企业会计准则第</w:t>
      </w:r>
      <w:r>
        <w:rPr>
          <w:w w:val="100"/>
        </w:rPr>
        <w:t> </w:t>
      </w:r>
      <w:r>
        <w:rPr>
          <w:spacing w:val="-1"/>
        </w:rPr>
        <w:t>24</w:t>
      </w:r>
      <w:r>
        <w:rPr>
          <w:spacing w:val="-19"/>
        </w:rPr>
        <w:t> </w:t>
      </w:r>
      <w:r>
        <w:rPr>
          <w:spacing w:val="-2"/>
        </w:rPr>
        <w:t>号——套期会计》之规定，将套期工具在本报表项目列示。</w:t>
      </w:r>
    </w:p>
    <w:p>
      <w:pPr>
        <w:pStyle w:val="BodyText"/>
        <w:spacing w:line="240" w:lineRule="auto" w:before="137"/>
        <w:ind w:left="644" w:right="1445"/>
        <w:jc w:val="left"/>
      </w:pPr>
      <w:r>
        <w:rPr/>
        <w:t>3.</w:t>
      </w:r>
      <w:r>
        <w:rPr>
          <w:spacing w:val="64"/>
        </w:rPr>
        <w:t> </w:t>
      </w:r>
      <w:bookmarkStart w:name="3.应收票据" w:id="234"/>
      <w:bookmarkEnd w:id="234"/>
      <w:r>
        <w:rPr/>
        <w:t>应</w:t>
      </w:r>
      <w:r>
        <w:rPr/>
        <w:t>收票据</w:t>
      </w:r>
    </w:p>
    <w:p>
      <w:pPr>
        <w:pStyle w:val="BodyText"/>
        <w:spacing w:line="240" w:lineRule="auto" w:before="192"/>
        <w:ind w:left="666" w:right="1445"/>
        <w:jc w:val="left"/>
      </w:pPr>
      <w:r>
        <w:rPr/>
        <w:t>（</w:t>
      </w:r>
      <w:r>
        <w:rPr>
          <w:rFonts w:ascii="Times New Roman" w:hAnsi="Times New Roman" w:cs="Times New Roman" w:eastAsia="Times New Roman" w:hint="default"/>
        </w:rPr>
        <w:t>1</w:t>
      </w:r>
      <w:r>
        <w:rPr/>
        <w:t>）</w:t>
      </w:r>
      <w:r>
        <w:rPr>
          <w:spacing w:val="-92"/>
        </w:rPr>
        <w:t> </w:t>
      </w:r>
      <w:bookmarkStart w:name="（1）应收票据种类" w:id="235"/>
      <w:bookmarkEnd w:id="235"/>
      <w:r>
        <w:rPr/>
        <w:t>应</w:t>
      </w:r>
      <w:r>
        <w:rPr/>
        <w:t>收票据种类</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3641"/>
        <w:gridCol w:w="2542"/>
        <w:gridCol w:w="2540"/>
      </w:tblGrid>
      <w:tr>
        <w:trPr>
          <w:trHeight w:val="415" w:hRule="exact"/>
        </w:trPr>
        <w:tc>
          <w:tcPr>
            <w:tcW w:w="364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540"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64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信用级别一般的银行承兑汇票组合</w:t>
            </w:r>
          </w:p>
        </w:tc>
        <w:tc>
          <w:tcPr>
            <w:tcW w:w="25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233,498,003.41</w:t>
            </w:r>
          </w:p>
        </w:tc>
        <w:tc>
          <w:tcPr>
            <w:tcW w:w="254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154,627,207.00</w:t>
            </w:r>
          </w:p>
        </w:tc>
      </w:tr>
      <w:tr>
        <w:trPr>
          <w:trHeight w:val="402" w:hRule="exact"/>
        </w:trPr>
        <w:tc>
          <w:tcPr>
            <w:tcW w:w="364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商业承兑汇票组合</w:t>
            </w:r>
          </w:p>
        </w:tc>
        <w:tc>
          <w:tcPr>
            <w:tcW w:w="25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127,957,993.22</w:t>
            </w:r>
          </w:p>
        </w:tc>
        <w:tc>
          <w:tcPr>
            <w:tcW w:w="254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35,978,462.58</w:t>
            </w:r>
          </w:p>
        </w:tc>
      </w:tr>
      <w:tr>
        <w:trPr>
          <w:trHeight w:val="414" w:hRule="exact"/>
        </w:trPr>
        <w:tc>
          <w:tcPr>
            <w:tcW w:w="364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0"/>
              <w:jc w:val="right"/>
              <w:rPr>
                <w:rFonts w:ascii="宋体" w:hAnsi="宋体" w:cs="宋体" w:eastAsia="宋体" w:hint="default"/>
                <w:sz w:val="18"/>
                <w:szCs w:val="18"/>
              </w:rPr>
            </w:pPr>
            <w:r>
              <w:rPr>
                <w:rFonts w:ascii="宋体"/>
                <w:b/>
                <w:sz w:val="18"/>
              </w:rPr>
              <w:t>361,455,996.63</w:t>
            </w:r>
            <w:r>
              <w:rPr>
                <w:rFonts w:ascii="宋体"/>
                <w:sz w:val="18"/>
              </w:rPr>
            </w:r>
          </w:p>
        </w:tc>
        <w:tc>
          <w:tcPr>
            <w:tcW w:w="2540"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190,605,669.58</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spacing w:val="-2"/>
        </w:rPr>
        <w:t>（</w:t>
      </w:r>
      <w:r>
        <w:rPr>
          <w:rFonts w:ascii="Times New Roman" w:hAnsi="Times New Roman" w:cs="Times New Roman" w:eastAsia="Times New Roman" w:hint="default"/>
          <w:spacing w:val="-2"/>
        </w:rPr>
        <w:t>2</w:t>
      </w:r>
      <w:r>
        <w:rPr>
          <w:spacing w:val="-2"/>
        </w:rPr>
        <w:t>）</w:t>
      </w:r>
      <w:r>
        <w:rPr>
          <w:spacing w:val="-24"/>
        </w:rPr>
        <w:t> </w:t>
      </w:r>
      <w:bookmarkStart w:name="（2）年末已经背书或贴现且在资产负债表日尚未到期的应收票据" w:id="236"/>
      <w:bookmarkEnd w:id="236"/>
      <w:r>
        <w:rPr>
          <w:spacing w:val="-2"/>
        </w:rPr>
        <w:t>年</w:t>
      </w:r>
      <w:r>
        <w:rPr>
          <w:spacing w:val="-2"/>
        </w:rPr>
        <w:t>末已经背书或贴现且在资产负债表日尚未到期的应收票据</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3651"/>
        <w:gridCol w:w="2537"/>
        <w:gridCol w:w="2535"/>
      </w:tblGrid>
      <w:tr>
        <w:trPr>
          <w:trHeight w:val="415" w:hRule="exact"/>
        </w:trPr>
        <w:tc>
          <w:tcPr>
            <w:tcW w:w="365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3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44" w:right="0"/>
              <w:jc w:val="left"/>
              <w:rPr>
                <w:rFonts w:ascii="宋体" w:hAnsi="宋体" w:cs="宋体" w:eastAsia="宋体" w:hint="default"/>
                <w:sz w:val="18"/>
                <w:szCs w:val="18"/>
              </w:rPr>
            </w:pPr>
            <w:r>
              <w:rPr>
                <w:rFonts w:ascii="宋体" w:hAnsi="宋体" w:cs="宋体" w:eastAsia="宋体" w:hint="default"/>
                <w:b/>
                <w:bCs/>
                <w:sz w:val="18"/>
                <w:szCs w:val="18"/>
              </w:rPr>
              <w:t>年末终止确认金额</w:t>
            </w:r>
            <w:r>
              <w:rPr>
                <w:rFonts w:ascii="宋体" w:hAnsi="宋体" w:cs="宋体" w:eastAsia="宋体" w:hint="default"/>
                <w:sz w:val="18"/>
                <w:szCs w:val="18"/>
              </w:rPr>
            </w:r>
          </w:p>
        </w:tc>
        <w:tc>
          <w:tcPr>
            <w:tcW w:w="2535"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453" w:right="0"/>
              <w:jc w:val="left"/>
              <w:rPr>
                <w:rFonts w:ascii="宋体" w:hAnsi="宋体" w:cs="宋体" w:eastAsia="宋体" w:hint="default"/>
                <w:sz w:val="18"/>
                <w:szCs w:val="18"/>
              </w:rPr>
            </w:pPr>
            <w:r>
              <w:rPr>
                <w:rFonts w:ascii="宋体" w:hAnsi="宋体" w:cs="宋体" w:eastAsia="宋体" w:hint="default"/>
                <w:b/>
                <w:bCs/>
                <w:sz w:val="18"/>
                <w:szCs w:val="18"/>
              </w:rPr>
              <w:t>年末未终止确认金额</w:t>
            </w:r>
            <w:r>
              <w:rPr>
                <w:rFonts w:ascii="宋体" w:hAnsi="宋体" w:cs="宋体" w:eastAsia="宋体" w:hint="default"/>
                <w:sz w:val="18"/>
                <w:szCs w:val="18"/>
              </w:rPr>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信用级别一般的银行承兑汇票组合</w:t>
            </w:r>
          </w:p>
        </w:tc>
        <w:tc>
          <w:tcPr>
            <w:tcW w:w="2537" w:type="dxa"/>
            <w:tcBorders>
              <w:top w:val="single" w:sz="2" w:space="0" w:color="000000"/>
              <w:left w:val="single" w:sz="2" w:space="0" w:color="000000"/>
              <w:bottom w:val="single" w:sz="2" w:space="0" w:color="000000"/>
              <w:right w:val="single" w:sz="2" w:space="0" w:color="000000"/>
            </w:tcBorders>
          </w:tcPr>
          <w:p>
            <w:pPr/>
          </w:p>
        </w:tc>
        <w:tc>
          <w:tcPr>
            <w:tcW w:w="25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59,030,808.45</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商业承兑汇票组合</w:t>
            </w:r>
          </w:p>
        </w:tc>
        <w:tc>
          <w:tcPr>
            <w:tcW w:w="2537" w:type="dxa"/>
            <w:tcBorders>
              <w:top w:val="single" w:sz="2" w:space="0" w:color="000000"/>
              <w:left w:val="single" w:sz="2" w:space="0" w:color="000000"/>
              <w:bottom w:val="single" w:sz="2" w:space="0" w:color="000000"/>
              <w:right w:val="single" w:sz="2" w:space="0" w:color="000000"/>
            </w:tcBorders>
          </w:tcPr>
          <w:p>
            <w:pPr/>
          </w:p>
        </w:tc>
        <w:tc>
          <w:tcPr>
            <w:tcW w:w="25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62,261,869.49</w:t>
            </w:r>
          </w:p>
        </w:tc>
      </w:tr>
      <w:tr>
        <w:trPr>
          <w:trHeight w:val="414" w:hRule="exact"/>
        </w:trPr>
        <w:tc>
          <w:tcPr>
            <w:tcW w:w="365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37" w:type="dxa"/>
            <w:tcBorders>
              <w:top w:val="single" w:sz="2" w:space="0" w:color="000000"/>
              <w:left w:val="single" w:sz="2" w:space="0" w:color="000000"/>
              <w:bottom w:val="single" w:sz="12" w:space="0" w:color="000000"/>
              <w:right w:val="single" w:sz="2" w:space="0" w:color="000000"/>
            </w:tcBorders>
          </w:tcPr>
          <w:p>
            <w:pPr/>
          </w:p>
        </w:tc>
        <w:tc>
          <w:tcPr>
            <w:tcW w:w="253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121,292,677.94</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w:t>
      </w:r>
      <w:r>
        <w:rPr>
          <w:rFonts w:ascii="Times New Roman" w:hAnsi="Times New Roman" w:cs="Times New Roman" w:eastAsia="Times New Roman" w:hint="default"/>
        </w:rPr>
        <w:t>3</w:t>
      </w:r>
      <w:r>
        <w:rPr/>
        <w:t>）</w:t>
      </w:r>
      <w:r>
        <w:rPr>
          <w:spacing w:val="-72"/>
        </w:rPr>
        <w:t> </w:t>
      </w:r>
      <w:bookmarkStart w:name="（3）按坏账计提方法分类列示" w:id="237"/>
      <w:bookmarkEnd w:id="237"/>
      <w:r>
        <w:rPr/>
        <w:t>按</w:t>
      </w:r>
      <w:r>
        <w:rPr/>
        <w:t>坏账计提方法分类列示</w:t>
      </w:r>
    </w:p>
    <w:p>
      <w:pPr>
        <w:spacing w:line="240" w:lineRule="auto" w:before="0"/>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376"/>
        <w:gridCol w:w="1743"/>
        <w:gridCol w:w="679"/>
        <w:gridCol w:w="1406"/>
        <w:gridCol w:w="942"/>
        <w:gridCol w:w="1577"/>
      </w:tblGrid>
      <w:tr>
        <w:trPr>
          <w:trHeight w:val="425" w:hRule="exact"/>
        </w:trPr>
        <w:tc>
          <w:tcPr>
            <w:tcW w:w="2376"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347"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407" w:hRule="exact"/>
        </w:trPr>
        <w:tc>
          <w:tcPr>
            <w:tcW w:w="2376" w:type="dxa"/>
            <w:vMerge/>
            <w:tcBorders>
              <w:left w:val="nil" w:sz="6" w:space="0" w:color="auto"/>
              <w:right w:val="single" w:sz="4" w:space="0" w:color="000000"/>
            </w:tcBorders>
          </w:tcPr>
          <w:p>
            <w:pPr/>
          </w:p>
        </w:tc>
        <w:tc>
          <w:tcPr>
            <w:tcW w:w="24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77" w:type="dxa"/>
            <w:vMerge w:val="restart"/>
            <w:tcBorders>
              <w:top w:val="single" w:sz="4" w:space="0" w:color="000000"/>
              <w:left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557" w:hRule="exact"/>
        </w:trPr>
        <w:tc>
          <w:tcPr>
            <w:tcW w:w="2376" w:type="dxa"/>
            <w:vMerge/>
            <w:tcBorders>
              <w:left w:val="nil" w:sz="6" w:space="0" w:color="auto"/>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99" w:right="153"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331" w:right="101" w:hanging="226"/>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577" w:type="dxa"/>
            <w:vMerge/>
            <w:tcBorders>
              <w:left w:val="single" w:sz="4" w:space="0" w:color="000000"/>
              <w:bottom w:val="single" w:sz="4" w:space="0" w:color="000000"/>
              <w:right w:val="nil" w:sz="6" w:space="0" w:color="auto"/>
            </w:tcBorders>
          </w:tcPr>
          <w:p>
            <w:pPr/>
          </w:p>
        </w:tc>
      </w:tr>
      <w:tr>
        <w:trPr>
          <w:trHeight w:val="40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72"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p>
        </w:tc>
        <w:tc>
          <w:tcPr>
            <w:tcW w:w="1743"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72"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365,107,067.31</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0" w:right="0"/>
              <w:jc w:val="center"/>
              <w:rPr>
                <w:rFonts w:ascii="宋体" w:hAnsi="宋体" w:cs="宋体" w:eastAsia="宋体" w:hint="default"/>
                <w:sz w:val="18"/>
                <w:szCs w:val="18"/>
              </w:rPr>
            </w:pPr>
            <w:r>
              <w:rPr>
                <w:rFonts w:ascii="宋体"/>
                <w:sz w:val="18"/>
              </w:rPr>
              <w:t>100.00</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3,651,070.68</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5"/>
              <w:jc w:val="right"/>
              <w:rPr>
                <w:rFonts w:ascii="宋体" w:hAnsi="宋体" w:cs="宋体" w:eastAsia="宋体" w:hint="default"/>
                <w:sz w:val="18"/>
                <w:szCs w:val="18"/>
              </w:rPr>
            </w:pPr>
            <w:r>
              <w:rPr>
                <w:rFonts w:ascii="宋体"/>
                <w:sz w:val="18"/>
              </w:rPr>
              <w:t>1.00</w:t>
            </w:r>
          </w:p>
        </w:tc>
        <w:tc>
          <w:tcPr>
            <w:tcW w:w="15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361,455,996.63</w:t>
            </w:r>
          </w:p>
        </w:tc>
      </w:tr>
      <w:tr>
        <w:trPr>
          <w:trHeight w:val="55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5"/>
              <w:ind w:left="72" w:right="64"/>
              <w:jc w:val="left"/>
              <w:rPr>
                <w:rFonts w:ascii="宋体" w:hAnsi="宋体" w:cs="宋体" w:eastAsia="宋体" w:hint="default"/>
                <w:sz w:val="18"/>
                <w:szCs w:val="18"/>
              </w:rPr>
            </w:pPr>
            <w:r>
              <w:rPr>
                <w:rFonts w:ascii="宋体" w:hAnsi="宋体" w:cs="宋体" w:eastAsia="宋体" w:hint="default"/>
                <w:spacing w:val="5"/>
                <w:sz w:val="18"/>
                <w:szCs w:val="18"/>
              </w:rPr>
              <w:t>其中：信用级别一般的银行</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承兑汇票组合</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0"/>
              <w:jc w:val="right"/>
              <w:rPr>
                <w:rFonts w:ascii="宋体" w:hAnsi="宋体" w:cs="宋体" w:eastAsia="宋体" w:hint="default"/>
                <w:sz w:val="18"/>
                <w:szCs w:val="18"/>
              </w:rPr>
            </w:pPr>
            <w:r>
              <w:rPr>
                <w:rFonts w:ascii="宋体"/>
                <w:spacing w:val="-1"/>
                <w:sz w:val="18"/>
              </w:rPr>
              <w:t>235,856,569.11</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21" w:right="0"/>
              <w:jc w:val="center"/>
              <w:rPr>
                <w:rFonts w:ascii="宋体" w:hAnsi="宋体" w:cs="宋体" w:eastAsia="宋体" w:hint="default"/>
                <w:sz w:val="18"/>
                <w:szCs w:val="18"/>
              </w:rPr>
            </w:pPr>
            <w:r>
              <w:rPr>
                <w:rFonts w:ascii="宋体"/>
                <w:sz w:val="18"/>
              </w:rPr>
              <w:t>64.60</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46"/>
              <w:jc w:val="right"/>
              <w:rPr>
                <w:rFonts w:ascii="宋体" w:hAnsi="宋体" w:cs="宋体" w:eastAsia="宋体" w:hint="default"/>
                <w:sz w:val="18"/>
                <w:szCs w:val="18"/>
              </w:rPr>
            </w:pPr>
            <w:r>
              <w:rPr>
                <w:rFonts w:ascii="宋体"/>
                <w:spacing w:val="-1"/>
                <w:sz w:val="18"/>
              </w:rPr>
              <w:t>2,358,565.70</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45"/>
              <w:jc w:val="right"/>
              <w:rPr>
                <w:rFonts w:ascii="宋体" w:hAnsi="宋体" w:cs="宋体" w:eastAsia="宋体" w:hint="default"/>
                <w:sz w:val="18"/>
                <w:szCs w:val="18"/>
              </w:rPr>
            </w:pPr>
            <w:r>
              <w:rPr>
                <w:rFonts w:ascii="宋体"/>
                <w:sz w:val="18"/>
              </w:rPr>
              <w:t>1.00</w:t>
            </w:r>
          </w:p>
        </w:tc>
        <w:tc>
          <w:tcPr>
            <w:tcW w:w="15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50"/>
              <w:jc w:val="right"/>
              <w:rPr>
                <w:rFonts w:ascii="宋体" w:hAnsi="宋体" w:cs="宋体" w:eastAsia="宋体" w:hint="default"/>
                <w:sz w:val="18"/>
                <w:szCs w:val="18"/>
              </w:rPr>
            </w:pPr>
            <w:r>
              <w:rPr>
                <w:rFonts w:ascii="宋体"/>
                <w:spacing w:val="-1"/>
                <w:sz w:val="18"/>
              </w:rPr>
              <w:t>233,498,003.41</w:t>
            </w:r>
          </w:p>
        </w:tc>
      </w:tr>
      <w:tr>
        <w:trPr>
          <w:trHeight w:val="40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59" w:right="0"/>
              <w:jc w:val="left"/>
              <w:rPr>
                <w:rFonts w:ascii="宋体" w:hAnsi="宋体" w:cs="宋体" w:eastAsia="宋体" w:hint="default"/>
                <w:sz w:val="18"/>
                <w:szCs w:val="18"/>
              </w:rPr>
            </w:pPr>
            <w:r>
              <w:rPr>
                <w:rFonts w:ascii="宋体" w:hAnsi="宋体" w:cs="宋体" w:eastAsia="宋体" w:hint="default"/>
                <w:sz w:val="18"/>
                <w:szCs w:val="18"/>
              </w:rPr>
              <w:t>商业承兑汇票组合</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129,250,498.20</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1" w:right="0"/>
              <w:jc w:val="center"/>
              <w:rPr>
                <w:rFonts w:ascii="宋体" w:hAnsi="宋体" w:cs="宋体" w:eastAsia="宋体" w:hint="default"/>
                <w:sz w:val="18"/>
                <w:szCs w:val="18"/>
              </w:rPr>
            </w:pPr>
            <w:r>
              <w:rPr>
                <w:rFonts w:ascii="宋体"/>
                <w:sz w:val="18"/>
              </w:rPr>
              <w:t>35.40</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1,292,504.98</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z w:val="18"/>
              </w:rPr>
              <w:t>1.00</w:t>
            </w:r>
          </w:p>
        </w:tc>
        <w:tc>
          <w:tcPr>
            <w:tcW w:w="15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127,957,993.22</w:t>
            </w:r>
          </w:p>
        </w:tc>
      </w:tr>
      <w:tr>
        <w:trPr>
          <w:trHeight w:val="424" w:hRule="exact"/>
        </w:trPr>
        <w:tc>
          <w:tcPr>
            <w:tcW w:w="2376"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4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right="88"/>
              <w:jc w:val="right"/>
              <w:rPr>
                <w:rFonts w:ascii="宋体" w:hAnsi="宋体" w:cs="宋体" w:eastAsia="宋体" w:hint="default"/>
                <w:sz w:val="18"/>
                <w:szCs w:val="18"/>
              </w:rPr>
            </w:pPr>
            <w:r>
              <w:rPr>
                <w:rFonts w:ascii="宋体"/>
                <w:b/>
                <w:sz w:val="18"/>
              </w:rPr>
              <w:t>365,107,067.31</w:t>
            </w:r>
            <w:r>
              <w:rPr>
                <w:rFonts w:ascii="宋体"/>
                <w:sz w:val="18"/>
              </w:rPr>
            </w:r>
          </w:p>
        </w:tc>
        <w:tc>
          <w:tcPr>
            <w:tcW w:w="679"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left="34" w:right="0"/>
              <w:jc w:val="center"/>
              <w:rPr>
                <w:rFonts w:ascii="宋体" w:hAnsi="宋体" w:cs="宋体" w:eastAsia="宋体" w:hint="default"/>
                <w:sz w:val="18"/>
                <w:szCs w:val="18"/>
              </w:rPr>
            </w:pPr>
            <w:r>
              <w:rPr>
                <w:rFonts w:ascii="宋体"/>
                <w:b/>
                <w:sz w:val="18"/>
              </w:rPr>
              <w:t>100.00</w:t>
            </w:r>
            <w:r>
              <w:rPr>
                <w:rFonts w:ascii="宋体"/>
                <w:sz w:val="18"/>
              </w:rPr>
            </w:r>
          </w:p>
        </w:tc>
        <w:tc>
          <w:tcPr>
            <w:tcW w:w="1406"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right="37"/>
              <w:jc w:val="right"/>
              <w:rPr>
                <w:rFonts w:ascii="宋体" w:hAnsi="宋体" w:cs="宋体" w:eastAsia="宋体" w:hint="default"/>
                <w:sz w:val="18"/>
                <w:szCs w:val="18"/>
              </w:rPr>
            </w:pPr>
            <w:r>
              <w:rPr>
                <w:rFonts w:ascii="宋体"/>
                <w:b/>
                <w:w w:val="95"/>
                <w:sz w:val="18"/>
              </w:rPr>
              <w:t>3,651,070.68</w:t>
            </w:r>
            <w:r>
              <w:rPr>
                <w:rFonts w:ascii="宋体"/>
                <w:sz w:val="18"/>
              </w:rPr>
            </w:r>
          </w:p>
        </w:tc>
        <w:tc>
          <w:tcPr>
            <w:tcW w:w="942"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right="59"/>
              <w:jc w:val="right"/>
              <w:rPr>
                <w:rFonts w:ascii="宋体" w:hAnsi="宋体" w:cs="宋体" w:eastAsia="宋体" w:hint="default"/>
                <w:sz w:val="18"/>
                <w:szCs w:val="18"/>
              </w:rPr>
            </w:pPr>
            <w:r>
              <w:rPr>
                <w:rFonts w:ascii="宋体"/>
                <w:b/>
                <w:sz w:val="18"/>
              </w:rPr>
              <w:t>1.00</w:t>
            </w:r>
            <w:r>
              <w:rPr>
                <w:rFonts w:ascii="宋体"/>
                <w:sz w:val="18"/>
              </w:rPr>
            </w:r>
          </w:p>
        </w:tc>
        <w:tc>
          <w:tcPr>
            <w:tcW w:w="1577"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2"/>
              <w:ind w:right="38"/>
              <w:jc w:val="right"/>
              <w:rPr>
                <w:rFonts w:ascii="宋体" w:hAnsi="宋体" w:cs="宋体" w:eastAsia="宋体" w:hint="default"/>
                <w:sz w:val="18"/>
                <w:szCs w:val="18"/>
              </w:rPr>
            </w:pPr>
            <w:r>
              <w:rPr>
                <w:rFonts w:ascii="宋体"/>
                <w:b/>
                <w:sz w:val="18"/>
              </w:rPr>
              <w:t>361,455,996.63</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（续表）</w:t>
      </w:r>
    </w:p>
    <w:p>
      <w:pPr>
        <w:spacing w:line="240" w:lineRule="auto" w:before="4"/>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2375"/>
        <w:gridCol w:w="1743"/>
        <w:gridCol w:w="679"/>
        <w:gridCol w:w="1265"/>
        <w:gridCol w:w="991"/>
        <w:gridCol w:w="1670"/>
      </w:tblGrid>
      <w:tr>
        <w:trPr>
          <w:trHeight w:val="425" w:hRule="exact"/>
        </w:trPr>
        <w:tc>
          <w:tcPr>
            <w:tcW w:w="2375"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348"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407" w:hRule="exact"/>
        </w:trPr>
        <w:tc>
          <w:tcPr>
            <w:tcW w:w="2375" w:type="dxa"/>
            <w:vMerge/>
            <w:tcBorders>
              <w:left w:val="nil" w:sz="6" w:space="0" w:color="auto"/>
              <w:right w:val="single" w:sz="4" w:space="0" w:color="000000"/>
            </w:tcBorders>
          </w:tcPr>
          <w:p>
            <w:pPr/>
          </w:p>
        </w:tc>
        <w:tc>
          <w:tcPr>
            <w:tcW w:w="24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670" w:type="dxa"/>
            <w:vMerge w:val="restart"/>
            <w:tcBorders>
              <w:top w:val="single" w:sz="4" w:space="0" w:color="000000"/>
              <w:left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557" w:hRule="exact"/>
        </w:trPr>
        <w:tc>
          <w:tcPr>
            <w:tcW w:w="2375" w:type="dxa"/>
            <w:vMerge/>
            <w:tcBorders>
              <w:left w:val="nil" w:sz="6" w:space="0" w:color="auto"/>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00" w:right="152"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356" w:right="126" w:hanging="226"/>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670" w:type="dxa"/>
            <w:vMerge/>
            <w:tcBorders>
              <w:left w:val="single" w:sz="4" w:space="0" w:color="000000"/>
              <w:bottom w:val="single" w:sz="4" w:space="0" w:color="000000"/>
              <w:right w:val="nil" w:sz="6" w:space="0" w:color="auto"/>
            </w:tcBorders>
          </w:tcPr>
          <w:p>
            <w:pPr/>
          </w:p>
        </w:tc>
      </w:tr>
      <w:tr>
        <w:trPr>
          <w:trHeight w:val="407" w:hRule="exact"/>
        </w:trPr>
        <w:tc>
          <w:tcPr>
            <w:tcW w:w="23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72"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p>
        </w:tc>
        <w:tc>
          <w:tcPr>
            <w:tcW w:w="1743"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23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72"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sz w:val="18"/>
              </w:rPr>
              <w:t>190,605,669.58</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100.00</w:t>
            </w:r>
          </w:p>
        </w:tc>
        <w:tc>
          <w:tcPr>
            <w:tcW w:w="1265"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sz w:val="18"/>
              </w:rPr>
              <w:t>190,605,669.58</w:t>
            </w:r>
          </w:p>
        </w:tc>
      </w:tr>
      <w:tr>
        <w:trPr>
          <w:trHeight w:val="405" w:hRule="exact"/>
        </w:trPr>
        <w:tc>
          <w:tcPr>
            <w:tcW w:w="23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72" w:right="0"/>
              <w:jc w:val="left"/>
              <w:rPr>
                <w:rFonts w:ascii="宋体" w:hAnsi="宋体" w:cs="宋体" w:eastAsia="宋体" w:hint="default"/>
                <w:sz w:val="18"/>
                <w:szCs w:val="18"/>
              </w:rPr>
            </w:pPr>
            <w:r>
              <w:rPr>
                <w:rFonts w:ascii="宋体" w:hAnsi="宋体" w:cs="宋体" w:eastAsia="宋体" w:hint="default"/>
                <w:spacing w:val="5"/>
                <w:sz w:val="18"/>
                <w:szCs w:val="18"/>
              </w:rPr>
              <w:t>其中：信用级别一般的银行</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sz w:val="18"/>
              </w:rPr>
              <w:t>154,627,207.00</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sz w:val="18"/>
              </w:rPr>
              <w:t>81.12</w:t>
            </w:r>
          </w:p>
        </w:tc>
        <w:tc>
          <w:tcPr>
            <w:tcW w:w="1265"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154,627,207.00</w:t>
            </w:r>
          </w:p>
        </w:tc>
      </w:tr>
    </w:tbl>
    <w:p>
      <w:pPr>
        <w:spacing w:after="0" w:line="240" w:lineRule="auto"/>
        <w:jc w:val="center"/>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375"/>
        <w:gridCol w:w="1743"/>
        <w:gridCol w:w="679"/>
        <w:gridCol w:w="1265"/>
        <w:gridCol w:w="991"/>
        <w:gridCol w:w="1670"/>
      </w:tblGrid>
      <w:tr>
        <w:trPr>
          <w:trHeight w:val="425" w:hRule="exact"/>
        </w:trPr>
        <w:tc>
          <w:tcPr>
            <w:tcW w:w="2375"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348"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407" w:hRule="exact"/>
        </w:trPr>
        <w:tc>
          <w:tcPr>
            <w:tcW w:w="2375" w:type="dxa"/>
            <w:vMerge/>
            <w:tcBorders>
              <w:left w:val="nil" w:sz="6" w:space="0" w:color="auto"/>
              <w:right w:val="single" w:sz="4" w:space="0" w:color="000000"/>
            </w:tcBorders>
          </w:tcPr>
          <w:p>
            <w:pPr/>
          </w:p>
        </w:tc>
        <w:tc>
          <w:tcPr>
            <w:tcW w:w="24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2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670" w:type="dxa"/>
            <w:vMerge w:val="restart"/>
            <w:tcBorders>
              <w:top w:val="single" w:sz="4" w:space="0" w:color="000000"/>
              <w:left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557" w:hRule="exact"/>
        </w:trPr>
        <w:tc>
          <w:tcPr>
            <w:tcW w:w="2375" w:type="dxa"/>
            <w:vMerge/>
            <w:tcBorders>
              <w:left w:val="nil" w:sz="6" w:space="0" w:color="auto"/>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8"/>
              <w:ind w:left="200" w:right="152"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8"/>
              <w:ind w:left="356" w:right="126" w:hanging="226"/>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670" w:type="dxa"/>
            <w:vMerge/>
            <w:tcBorders>
              <w:left w:val="single" w:sz="4" w:space="0" w:color="000000"/>
              <w:bottom w:val="single" w:sz="4" w:space="0" w:color="000000"/>
              <w:right w:val="nil" w:sz="6" w:space="0" w:color="auto"/>
            </w:tcBorders>
          </w:tcPr>
          <w:p>
            <w:pPr/>
          </w:p>
        </w:tc>
      </w:tr>
      <w:tr>
        <w:trPr>
          <w:trHeight w:val="407" w:hRule="exact"/>
        </w:trPr>
        <w:tc>
          <w:tcPr>
            <w:tcW w:w="2375" w:type="dxa"/>
            <w:tcBorders>
              <w:top w:val="single" w:sz="4" w:space="0" w:color="000000"/>
              <w:left w:val="nil" w:sz="6" w:space="0" w:color="auto"/>
              <w:bottom w:val="single" w:sz="4" w:space="0" w:color="000000"/>
              <w:right w:val="single" w:sz="4" w:space="0" w:color="000000"/>
            </w:tcBorders>
          </w:tcPr>
          <w:p>
            <w:pPr>
              <w:pStyle w:val="TableParagraph"/>
              <w:spacing w:line="208" w:lineRule="exact"/>
              <w:ind w:left="72" w:right="0"/>
              <w:jc w:val="left"/>
              <w:rPr>
                <w:rFonts w:ascii="宋体" w:hAnsi="宋体" w:cs="宋体" w:eastAsia="宋体" w:hint="default"/>
                <w:sz w:val="18"/>
                <w:szCs w:val="18"/>
              </w:rPr>
            </w:pPr>
            <w:r>
              <w:rPr>
                <w:rFonts w:ascii="宋体" w:hAnsi="宋体" w:cs="宋体" w:eastAsia="宋体" w:hint="default"/>
                <w:sz w:val="18"/>
                <w:szCs w:val="18"/>
              </w:rPr>
              <w:t>承兑汇票组合</w:t>
            </w:r>
          </w:p>
        </w:tc>
        <w:tc>
          <w:tcPr>
            <w:tcW w:w="1743" w:type="dxa"/>
            <w:tcBorders>
              <w:top w:val="single" w:sz="4" w:space="0" w:color="000000"/>
              <w:left w:val="single" w:sz="4" w:space="0" w:color="000000"/>
              <w:bottom w:val="single" w:sz="4" w:space="0" w:color="000000"/>
              <w:right w:val="single" w:sz="4" w:space="0" w:color="000000"/>
            </w:tcBorders>
          </w:tcPr>
          <w:p>
            <w:pPr/>
          </w:p>
        </w:tc>
        <w:tc>
          <w:tcPr>
            <w:tcW w:w="679"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23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59" w:right="0"/>
              <w:jc w:val="left"/>
              <w:rPr>
                <w:rFonts w:ascii="宋体" w:hAnsi="宋体" w:cs="宋体" w:eastAsia="宋体" w:hint="default"/>
                <w:sz w:val="18"/>
                <w:szCs w:val="18"/>
              </w:rPr>
            </w:pPr>
            <w:r>
              <w:rPr>
                <w:rFonts w:ascii="宋体" w:hAnsi="宋体" w:cs="宋体" w:eastAsia="宋体" w:hint="default"/>
                <w:sz w:val="18"/>
                <w:szCs w:val="18"/>
              </w:rPr>
              <w:t>商业承兑汇票组合</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79" w:right="0"/>
              <w:jc w:val="left"/>
              <w:rPr>
                <w:rFonts w:ascii="宋体" w:hAnsi="宋体" w:cs="宋体" w:eastAsia="宋体" w:hint="default"/>
                <w:sz w:val="18"/>
                <w:szCs w:val="18"/>
              </w:rPr>
            </w:pPr>
            <w:r>
              <w:rPr>
                <w:rFonts w:ascii="宋体"/>
                <w:sz w:val="18"/>
              </w:rPr>
              <w:t>35,978,462.58</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sz w:val="18"/>
              </w:rPr>
              <w:t>18.88</w:t>
            </w:r>
          </w:p>
        </w:tc>
        <w:tc>
          <w:tcPr>
            <w:tcW w:w="1265"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left="245" w:right="0"/>
              <w:jc w:val="left"/>
              <w:rPr>
                <w:rFonts w:ascii="宋体" w:hAnsi="宋体" w:cs="宋体" w:eastAsia="宋体" w:hint="default"/>
                <w:sz w:val="18"/>
                <w:szCs w:val="18"/>
              </w:rPr>
            </w:pPr>
            <w:r>
              <w:rPr>
                <w:rFonts w:ascii="宋体"/>
                <w:sz w:val="18"/>
              </w:rPr>
              <w:t>35,978,462.58</w:t>
            </w:r>
          </w:p>
        </w:tc>
      </w:tr>
      <w:tr>
        <w:trPr>
          <w:trHeight w:val="424" w:hRule="exact"/>
        </w:trPr>
        <w:tc>
          <w:tcPr>
            <w:tcW w:w="2375"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4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1"/>
              <w:ind w:left="236" w:right="0"/>
              <w:jc w:val="left"/>
              <w:rPr>
                <w:rFonts w:ascii="宋体" w:hAnsi="宋体" w:cs="宋体" w:eastAsia="宋体" w:hint="default"/>
                <w:sz w:val="18"/>
                <w:szCs w:val="18"/>
              </w:rPr>
            </w:pPr>
            <w:r>
              <w:rPr>
                <w:rFonts w:ascii="宋体"/>
                <w:b/>
                <w:sz w:val="18"/>
              </w:rPr>
              <w:t>190,605,669.58</w:t>
            </w:r>
            <w:r>
              <w:rPr>
                <w:rFonts w:ascii="宋体"/>
                <w:sz w:val="18"/>
              </w:rPr>
            </w:r>
          </w:p>
        </w:tc>
        <w:tc>
          <w:tcPr>
            <w:tcW w:w="679"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1"/>
              <w:ind w:left="3" w:right="0"/>
              <w:jc w:val="center"/>
              <w:rPr>
                <w:rFonts w:ascii="宋体" w:hAnsi="宋体" w:cs="宋体" w:eastAsia="宋体" w:hint="default"/>
                <w:sz w:val="18"/>
                <w:szCs w:val="18"/>
              </w:rPr>
            </w:pPr>
            <w:r>
              <w:rPr>
                <w:rFonts w:ascii="宋体"/>
                <w:b/>
                <w:sz w:val="18"/>
              </w:rPr>
              <w:t>100.00</w:t>
            </w:r>
            <w:r>
              <w:rPr>
                <w:rFonts w:ascii="宋体"/>
                <w:sz w:val="18"/>
              </w:rPr>
            </w:r>
          </w:p>
        </w:tc>
        <w:tc>
          <w:tcPr>
            <w:tcW w:w="1265" w:type="dxa"/>
            <w:tcBorders>
              <w:top w:val="single" w:sz="4" w:space="0" w:color="000000"/>
              <w:left w:val="single" w:sz="4" w:space="0" w:color="000000"/>
              <w:bottom w:val="single" w:sz="17" w:space="0" w:color="000000"/>
              <w:right w:val="single" w:sz="4" w:space="0" w:color="000000"/>
            </w:tcBorders>
          </w:tcPr>
          <w:p>
            <w:pPr/>
          </w:p>
        </w:tc>
        <w:tc>
          <w:tcPr>
            <w:tcW w:w="991" w:type="dxa"/>
            <w:tcBorders>
              <w:top w:val="single" w:sz="4" w:space="0" w:color="000000"/>
              <w:left w:val="single" w:sz="4" w:space="0" w:color="000000"/>
              <w:bottom w:val="single" w:sz="17" w:space="0" w:color="000000"/>
              <w:right w:val="single" w:sz="4" w:space="0" w:color="000000"/>
            </w:tcBorders>
          </w:tcPr>
          <w:p>
            <w:pPr/>
          </w:p>
        </w:tc>
        <w:tc>
          <w:tcPr>
            <w:tcW w:w="1670"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1"/>
              <w:ind w:left="200" w:right="0"/>
              <w:jc w:val="left"/>
              <w:rPr>
                <w:rFonts w:ascii="宋体" w:hAnsi="宋体" w:cs="宋体" w:eastAsia="宋体" w:hint="default"/>
                <w:sz w:val="18"/>
                <w:szCs w:val="18"/>
              </w:rPr>
            </w:pPr>
            <w:r>
              <w:rPr>
                <w:rFonts w:ascii="宋体"/>
                <w:b/>
                <w:sz w:val="18"/>
              </w:rPr>
              <w:t>190,605,669.58</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spacing w:val="-2"/>
        </w:rPr>
        <w:t>（</w:t>
      </w:r>
      <w:r>
        <w:rPr>
          <w:rFonts w:ascii="Times New Roman" w:hAnsi="Times New Roman" w:cs="Times New Roman" w:eastAsia="Times New Roman" w:hint="default"/>
          <w:spacing w:val="-2"/>
        </w:rPr>
        <w:t>4</w:t>
      </w:r>
      <w:r>
        <w:rPr>
          <w:spacing w:val="-2"/>
        </w:rPr>
        <w:t>）</w:t>
      </w:r>
      <w:r>
        <w:rPr>
          <w:spacing w:val="-34"/>
        </w:rPr>
        <w:t> </w:t>
      </w:r>
      <w:bookmarkStart w:name="（4）本年计提、收回、转回的应收票据坏账准备" w:id="238"/>
      <w:bookmarkEnd w:id="238"/>
      <w:r>
        <w:rPr>
          <w:spacing w:val="-2"/>
        </w:rPr>
        <w:t>本</w:t>
      </w:r>
      <w:r>
        <w:rPr>
          <w:spacing w:val="-2"/>
        </w:rPr>
        <w:t>年计提、收回、转回的应收票据坏账准备</w:t>
      </w:r>
    </w:p>
    <w:p>
      <w:pPr>
        <w:spacing w:line="240" w:lineRule="auto" w:before="2"/>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668"/>
        <w:gridCol w:w="1148"/>
        <w:gridCol w:w="1546"/>
        <w:gridCol w:w="1336"/>
        <w:gridCol w:w="1441"/>
        <w:gridCol w:w="1584"/>
      </w:tblGrid>
      <w:tr>
        <w:trPr>
          <w:trHeight w:val="458" w:hRule="exact"/>
        </w:trPr>
        <w:tc>
          <w:tcPr>
            <w:tcW w:w="1668" w:type="dxa"/>
            <w:vMerge w:val="restart"/>
            <w:tcBorders>
              <w:top w:val="single" w:sz="12" w:space="0" w:color="000000"/>
              <w:left w:val="nil" w:sz="6" w:space="0" w:color="auto"/>
              <w:right w:val="single" w:sz="2"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148" w:type="dxa"/>
            <w:vMerge w:val="restart"/>
            <w:tcBorders>
              <w:top w:val="single" w:sz="12" w:space="0" w:color="000000"/>
              <w:left w:val="single" w:sz="2" w:space="0" w:color="000000"/>
              <w:right w:val="single" w:sz="2"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4323" w:type="dxa"/>
            <w:gridSpan w:val="3"/>
            <w:tcBorders>
              <w:top w:val="single" w:sz="12" w:space="0" w:color="000000"/>
              <w:left w:val="single" w:sz="2" w:space="0" w:color="000000"/>
              <w:bottom w:val="single" w:sz="2" w:space="0" w:color="000000"/>
              <w:right w:val="single" w:sz="2" w:space="0" w:color="000000"/>
            </w:tcBorders>
          </w:tcPr>
          <w:p>
            <w:pPr>
              <w:pStyle w:val="TableParagraph"/>
              <w:spacing w:line="240" w:lineRule="auto" w:before="119"/>
              <w:ind w:right="1"/>
              <w:jc w:val="center"/>
              <w:rPr>
                <w:rFonts w:ascii="宋体" w:hAnsi="宋体" w:cs="宋体" w:eastAsia="宋体" w:hint="default"/>
                <w:sz w:val="18"/>
                <w:szCs w:val="18"/>
              </w:rPr>
            </w:pPr>
            <w:r>
              <w:rPr>
                <w:rFonts w:ascii="宋体" w:hAnsi="宋体" w:cs="宋体" w:eastAsia="宋体" w:hint="default"/>
                <w:b/>
                <w:bCs/>
                <w:sz w:val="18"/>
                <w:szCs w:val="18"/>
              </w:rPr>
              <w:t>本年变动金额</w:t>
            </w:r>
            <w:r>
              <w:rPr>
                <w:rFonts w:ascii="宋体" w:hAnsi="宋体" w:cs="宋体" w:eastAsia="宋体" w:hint="default"/>
                <w:sz w:val="18"/>
                <w:szCs w:val="18"/>
              </w:rPr>
            </w:r>
          </w:p>
        </w:tc>
        <w:tc>
          <w:tcPr>
            <w:tcW w:w="1584" w:type="dxa"/>
            <w:vMerge w:val="restart"/>
            <w:tcBorders>
              <w:top w:val="single" w:sz="12" w:space="0" w:color="000000"/>
              <w:left w:val="single" w:sz="2" w:space="0" w:color="000000"/>
              <w:right w:val="nil" w:sz="6" w:space="0" w:color="auto"/>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428"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45" w:hRule="exact"/>
        </w:trPr>
        <w:tc>
          <w:tcPr>
            <w:tcW w:w="1668" w:type="dxa"/>
            <w:vMerge/>
            <w:tcBorders>
              <w:left w:val="nil" w:sz="6" w:space="0" w:color="auto"/>
              <w:bottom w:val="single" w:sz="2" w:space="0" w:color="000000"/>
              <w:right w:val="single" w:sz="2" w:space="0" w:color="000000"/>
            </w:tcBorders>
          </w:tcPr>
          <w:p>
            <w:pPr/>
          </w:p>
        </w:tc>
        <w:tc>
          <w:tcPr>
            <w:tcW w:w="1148" w:type="dxa"/>
            <w:vMerge/>
            <w:tcBorders>
              <w:left w:val="single" w:sz="2" w:space="0" w:color="000000"/>
              <w:bottom w:val="single" w:sz="2" w:space="0" w:color="000000"/>
              <w:right w:val="single" w:sz="2" w:space="0" w:color="000000"/>
            </w:tcBorders>
          </w:tcPr>
          <w:p>
            <w:pPr/>
          </w:p>
        </w:tc>
        <w:tc>
          <w:tcPr>
            <w:tcW w:w="15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7"/>
              <w:ind w:right="0"/>
              <w:jc w:val="center"/>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13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7"/>
              <w:ind w:left="215" w:right="0"/>
              <w:jc w:val="left"/>
              <w:rPr>
                <w:rFonts w:ascii="宋体" w:hAnsi="宋体" w:cs="宋体" w:eastAsia="宋体" w:hint="default"/>
                <w:sz w:val="18"/>
                <w:szCs w:val="18"/>
              </w:rPr>
            </w:pPr>
            <w:r>
              <w:rPr>
                <w:rFonts w:ascii="宋体" w:hAnsi="宋体" w:cs="宋体" w:eastAsia="宋体" w:hint="default"/>
                <w:b/>
                <w:bCs/>
                <w:sz w:val="18"/>
                <w:szCs w:val="18"/>
              </w:rPr>
              <w:t>收回或转回</w:t>
            </w:r>
            <w:r>
              <w:rPr>
                <w:rFonts w:ascii="宋体" w:hAnsi="宋体" w:cs="宋体" w:eastAsia="宋体" w:hint="default"/>
                <w:sz w:val="18"/>
                <w:szCs w:val="18"/>
              </w:rPr>
            </w:r>
          </w:p>
        </w:tc>
        <w:tc>
          <w:tcPr>
            <w:tcW w:w="144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7"/>
              <w:ind w:left="266" w:right="0"/>
              <w:jc w:val="left"/>
              <w:rPr>
                <w:rFonts w:ascii="宋体" w:hAnsi="宋体" w:cs="宋体" w:eastAsia="宋体" w:hint="default"/>
                <w:sz w:val="18"/>
                <w:szCs w:val="18"/>
              </w:rPr>
            </w:pPr>
            <w:r>
              <w:rPr>
                <w:rFonts w:ascii="宋体" w:hAnsi="宋体" w:cs="宋体" w:eastAsia="宋体" w:hint="default"/>
                <w:b/>
                <w:bCs/>
                <w:sz w:val="18"/>
                <w:szCs w:val="18"/>
              </w:rPr>
              <w:t>转销或核销</w:t>
            </w:r>
            <w:r>
              <w:rPr>
                <w:rFonts w:ascii="宋体" w:hAnsi="宋体" w:cs="宋体" w:eastAsia="宋体" w:hint="default"/>
                <w:sz w:val="18"/>
                <w:szCs w:val="18"/>
              </w:rPr>
            </w:r>
          </w:p>
        </w:tc>
        <w:tc>
          <w:tcPr>
            <w:tcW w:w="1584" w:type="dxa"/>
            <w:vMerge/>
            <w:tcBorders>
              <w:left w:val="single" w:sz="2" w:space="0" w:color="000000"/>
              <w:bottom w:val="single" w:sz="2" w:space="0" w:color="000000"/>
              <w:right w:val="nil" w:sz="6" w:space="0" w:color="auto"/>
            </w:tcBorders>
          </w:tcPr>
          <w:p>
            <w:pPr/>
          </w:p>
        </w:tc>
      </w:tr>
      <w:tr>
        <w:trPr>
          <w:trHeight w:val="552" w:hRule="exact"/>
        </w:trPr>
        <w:tc>
          <w:tcPr>
            <w:tcW w:w="1668"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108" w:right="103"/>
              <w:jc w:val="left"/>
              <w:rPr>
                <w:rFonts w:ascii="宋体" w:hAnsi="宋体" w:cs="宋体" w:eastAsia="宋体" w:hint="default"/>
                <w:sz w:val="18"/>
                <w:szCs w:val="18"/>
              </w:rPr>
            </w:pPr>
            <w:r>
              <w:rPr>
                <w:rFonts w:ascii="宋体" w:hAnsi="宋体" w:cs="宋体" w:eastAsia="宋体" w:hint="default"/>
                <w:sz w:val="18"/>
                <w:szCs w:val="18"/>
              </w:rPr>
              <w:t>信用级别一般的银</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行承兑汇票组合</w:t>
            </w:r>
          </w:p>
        </w:tc>
        <w:tc>
          <w:tcPr>
            <w:tcW w:w="1148" w:type="dxa"/>
            <w:tcBorders>
              <w:top w:val="single" w:sz="2" w:space="0" w:color="000000"/>
              <w:left w:val="single" w:sz="2" w:space="0" w:color="000000"/>
              <w:bottom w:val="single" w:sz="2" w:space="0" w:color="000000"/>
              <w:right w:val="single" w:sz="2" w:space="0" w:color="000000"/>
            </w:tcBorders>
          </w:tcPr>
          <w:p>
            <w:pPr/>
          </w:p>
        </w:tc>
        <w:tc>
          <w:tcPr>
            <w:tcW w:w="15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7"/>
              <w:jc w:val="right"/>
              <w:rPr>
                <w:rFonts w:ascii="宋体" w:hAnsi="宋体" w:cs="宋体" w:eastAsia="宋体" w:hint="default"/>
                <w:sz w:val="18"/>
                <w:szCs w:val="18"/>
              </w:rPr>
            </w:pPr>
            <w:r>
              <w:rPr>
                <w:rFonts w:ascii="宋体"/>
                <w:spacing w:val="-1"/>
                <w:sz w:val="18"/>
              </w:rPr>
              <w:t>2,358,565.70</w:t>
            </w:r>
          </w:p>
        </w:tc>
        <w:tc>
          <w:tcPr>
            <w:tcW w:w="1336" w:type="dxa"/>
            <w:tcBorders>
              <w:top w:val="single" w:sz="2" w:space="0" w:color="000000"/>
              <w:left w:val="single" w:sz="2" w:space="0" w:color="000000"/>
              <w:bottom w:val="single" w:sz="2" w:space="0" w:color="000000"/>
              <w:right w:val="single" w:sz="2" w:space="0" w:color="000000"/>
            </w:tcBorders>
          </w:tcPr>
          <w:p>
            <w:pPr/>
          </w:p>
        </w:tc>
        <w:tc>
          <w:tcPr>
            <w:tcW w:w="1441" w:type="dxa"/>
            <w:tcBorders>
              <w:top w:val="single" w:sz="2" w:space="0" w:color="000000"/>
              <w:left w:val="single" w:sz="2" w:space="0" w:color="000000"/>
              <w:bottom w:val="single" w:sz="2" w:space="0" w:color="000000"/>
              <w:right w:val="single" w:sz="2" w:space="0" w:color="000000"/>
            </w:tcBorders>
          </w:tcPr>
          <w:p>
            <w:pPr/>
          </w:p>
        </w:tc>
        <w:tc>
          <w:tcPr>
            <w:tcW w:w="158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50"/>
              <w:jc w:val="right"/>
              <w:rPr>
                <w:rFonts w:ascii="宋体" w:hAnsi="宋体" w:cs="宋体" w:eastAsia="宋体" w:hint="default"/>
                <w:sz w:val="18"/>
                <w:szCs w:val="18"/>
              </w:rPr>
            </w:pPr>
            <w:r>
              <w:rPr>
                <w:rFonts w:ascii="宋体"/>
                <w:spacing w:val="-1"/>
                <w:sz w:val="18"/>
              </w:rPr>
              <w:t>2,358,565.70</w:t>
            </w:r>
          </w:p>
        </w:tc>
      </w:tr>
      <w:tr>
        <w:trPr>
          <w:trHeight w:val="445" w:hRule="exact"/>
        </w:trPr>
        <w:tc>
          <w:tcPr>
            <w:tcW w:w="166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3"/>
              <w:ind w:left="108" w:right="0"/>
              <w:jc w:val="left"/>
              <w:rPr>
                <w:rFonts w:ascii="宋体" w:hAnsi="宋体" w:cs="宋体" w:eastAsia="宋体" w:hint="default"/>
                <w:sz w:val="18"/>
                <w:szCs w:val="18"/>
              </w:rPr>
            </w:pPr>
            <w:r>
              <w:rPr>
                <w:rFonts w:ascii="宋体" w:hAnsi="宋体" w:cs="宋体" w:eastAsia="宋体" w:hint="default"/>
                <w:sz w:val="18"/>
                <w:szCs w:val="18"/>
              </w:rPr>
              <w:t>商业承兑汇票组合</w:t>
            </w:r>
          </w:p>
        </w:tc>
        <w:tc>
          <w:tcPr>
            <w:tcW w:w="1148" w:type="dxa"/>
            <w:tcBorders>
              <w:top w:val="single" w:sz="2" w:space="0" w:color="000000"/>
              <w:left w:val="single" w:sz="2" w:space="0" w:color="000000"/>
              <w:bottom w:val="single" w:sz="2" w:space="0" w:color="000000"/>
              <w:right w:val="single" w:sz="2" w:space="0" w:color="000000"/>
            </w:tcBorders>
          </w:tcPr>
          <w:p>
            <w:pPr/>
          </w:p>
        </w:tc>
        <w:tc>
          <w:tcPr>
            <w:tcW w:w="15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3"/>
              <w:ind w:right="47"/>
              <w:jc w:val="right"/>
              <w:rPr>
                <w:rFonts w:ascii="宋体" w:hAnsi="宋体" w:cs="宋体" w:eastAsia="宋体" w:hint="default"/>
                <w:sz w:val="18"/>
                <w:szCs w:val="18"/>
              </w:rPr>
            </w:pPr>
            <w:r>
              <w:rPr>
                <w:rFonts w:ascii="宋体"/>
                <w:spacing w:val="-1"/>
                <w:sz w:val="18"/>
              </w:rPr>
              <w:t>1,292,504.98</w:t>
            </w:r>
          </w:p>
        </w:tc>
        <w:tc>
          <w:tcPr>
            <w:tcW w:w="1336" w:type="dxa"/>
            <w:tcBorders>
              <w:top w:val="single" w:sz="2" w:space="0" w:color="000000"/>
              <w:left w:val="single" w:sz="2" w:space="0" w:color="000000"/>
              <w:bottom w:val="single" w:sz="2" w:space="0" w:color="000000"/>
              <w:right w:val="single" w:sz="2" w:space="0" w:color="000000"/>
            </w:tcBorders>
          </w:tcPr>
          <w:p>
            <w:pPr/>
          </w:p>
        </w:tc>
        <w:tc>
          <w:tcPr>
            <w:tcW w:w="1441" w:type="dxa"/>
            <w:tcBorders>
              <w:top w:val="single" w:sz="2" w:space="0" w:color="000000"/>
              <w:left w:val="single" w:sz="2" w:space="0" w:color="000000"/>
              <w:bottom w:val="single" w:sz="2" w:space="0" w:color="000000"/>
              <w:right w:val="single" w:sz="2" w:space="0" w:color="000000"/>
            </w:tcBorders>
          </w:tcPr>
          <w:p>
            <w:pPr/>
          </w:p>
        </w:tc>
        <w:tc>
          <w:tcPr>
            <w:tcW w:w="158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73"/>
              <w:ind w:right="50"/>
              <w:jc w:val="right"/>
              <w:rPr>
                <w:rFonts w:ascii="宋体" w:hAnsi="宋体" w:cs="宋体" w:eastAsia="宋体" w:hint="default"/>
                <w:sz w:val="18"/>
                <w:szCs w:val="18"/>
              </w:rPr>
            </w:pPr>
            <w:r>
              <w:rPr>
                <w:rFonts w:ascii="宋体"/>
                <w:spacing w:val="-1"/>
                <w:sz w:val="18"/>
              </w:rPr>
              <w:t>1,292,504.98</w:t>
            </w:r>
          </w:p>
        </w:tc>
      </w:tr>
      <w:tr>
        <w:trPr>
          <w:trHeight w:val="457" w:hRule="exact"/>
        </w:trPr>
        <w:tc>
          <w:tcPr>
            <w:tcW w:w="166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118"/>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48" w:type="dxa"/>
            <w:tcBorders>
              <w:top w:val="single" w:sz="2" w:space="0" w:color="000000"/>
              <w:left w:val="single" w:sz="2" w:space="0" w:color="000000"/>
              <w:bottom w:val="single" w:sz="12" w:space="0" w:color="000000"/>
              <w:right w:val="single" w:sz="2" w:space="0" w:color="000000"/>
            </w:tcBorders>
          </w:tcPr>
          <w:p>
            <w:pPr/>
          </w:p>
        </w:tc>
        <w:tc>
          <w:tcPr>
            <w:tcW w:w="154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5"/>
              <w:ind w:right="38"/>
              <w:jc w:val="right"/>
              <w:rPr>
                <w:rFonts w:ascii="宋体" w:hAnsi="宋体" w:cs="宋体" w:eastAsia="宋体" w:hint="default"/>
                <w:sz w:val="18"/>
                <w:szCs w:val="18"/>
              </w:rPr>
            </w:pPr>
            <w:r>
              <w:rPr>
                <w:rFonts w:ascii="宋体"/>
                <w:b/>
                <w:w w:val="95"/>
                <w:sz w:val="18"/>
              </w:rPr>
              <w:t>3,651,070.68</w:t>
            </w:r>
            <w:r>
              <w:rPr>
                <w:rFonts w:ascii="宋体"/>
                <w:sz w:val="18"/>
              </w:rPr>
            </w:r>
          </w:p>
        </w:tc>
        <w:tc>
          <w:tcPr>
            <w:tcW w:w="1336" w:type="dxa"/>
            <w:tcBorders>
              <w:top w:val="single" w:sz="2" w:space="0" w:color="000000"/>
              <w:left w:val="single" w:sz="2" w:space="0" w:color="000000"/>
              <w:bottom w:val="single" w:sz="12" w:space="0" w:color="000000"/>
              <w:right w:val="single" w:sz="2" w:space="0" w:color="000000"/>
            </w:tcBorders>
          </w:tcPr>
          <w:p>
            <w:pPr/>
          </w:p>
        </w:tc>
        <w:tc>
          <w:tcPr>
            <w:tcW w:w="1441" w:type="dxa"/>
            <w:tcBorders>
              <w:top w:val="single" w:sz="2" w:space="0" w:color="000000"/>
              <w:left w:val="single" w:sz="2" w:space="0" w:color="000000"/>
              <w:bottom w:val="single" w:sz="12" w:space="0" w:color="000000"/>
              <w:right w:val="single" w:sz="2" w:space="0" w:color="000000"/>
            </w:tcBorders>
          </w:tcPr>
          <w:p>
            <w:pPr/>
          </w:p>
        </w:tc>
        <w:tc>
          <w:tcPr>
            <w:tcW w:w="1584"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75"/>
              <w:ind w:right="40"/>
              <w:jc w:val="right"/>
              <w:rPr>
                <w:rFonts w:ascii="宋体" w:hAnsi="宋体" w:cs="宋体" w:eastAsia="宋体" w:hint="default"/>
                <w:sz w:val="18"/>
                <w:szCs w:val="18"/>
              </w:rPr>
            </w:pPr>
            <w:r>
              <w:rPr>
                <w:rFonts w:ascii="宋体"/>
                <w:b/>
                <w:w w:val="95"/>
                <w:sz w:val="18"/>
              </w:rPr>
              <w:t>3,651,070.68</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4.</w:t>
      </w:r>
      <w:r>
        <w:rPr>
          <w:spacing w:val="64"/>
        </w:rPr>
        <w:t> </w:t>
      </w:r>
      <w:bookmarkStart w:name="4.应收账款" w:id="239"/>
      <w:bookmarkEnd w:id="239"/>
      <w:r>
        <w:rPr/>
        <w:t>应</w:t>
      </w:r>
      <w:r>
        <w:rPr/>
        <w:t>收账款</w:t>
      </w:r>
    </w:p>
    <w:p>
      <w:pPr>
        <w:pStyle w:val="BodyText"/>
        <w:spacing w:line="240" w:lineRule="auto" w:before="192"/>
        <w:ind w:left="666" w:right="1445"/>
        <w:jc w:val="left"/>
      </w:pPr>
      <w:r>
        <w:rPr>
          <w:spacing w:val="-1"/>
        </w:rPr>
        <w:t>（</w:t>
      </w:r>
      <w:r>
        <w:rPr>
          <w:rFonts w:ascii="Times New Roman" w:hAnsi="Times New Roman" w:cs="Times New Roman" w:eastAsia="Times New Roman" w:hint="default"/>
          <w:spacing w:val="-1"/>
        </w:rPr>
        <w:t>1</w:t>
      </w:r>
      <w:r>
        <w:rPr>
          <w:spacing w:val="-1"/>
        </w:rPr>
        <w:t>）</w:t>
      </w:r>
      <w:r>
        <w:rPr>
          <w:spacing w:val="-63"/>
        </w:rPr>
        <w:t> </w:t>
      </w:r>
      <w:bookmarkStart w:name="（1）应收账款按坏账计提方法分类列示" w:id="240"/>
      <w:bookmarkEnd w:id="240"/>
      <w:r>
        <w:rPr>
          <w:spacing w:val="-2"/>
        </w:rPr>
        <w:t>应</w:t>
      </w:r>
      <w:r>
        <w:rPr>
          <w:spacing w:val="-2"/>
        </w:rPr>
        <w:t>收账款按坏账计提方法分类列示</w:t>
      </w:r>
    </w:p>
    <w:p>
      <w:pPr>
        <w:spacing w:line="240" w:lineRule="auto" w:before="1"/>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376"/>
        <w:gridCol w:w="1743"/>
        <w:gridCol w:w="679"/>
        <w:gridCol w:w="1406"/>
        <w:gridCol w:w="942"/>
        <w:gridCol w:w="1577"/>
      </w:tblGrid>
      <w:tr>
        <w:trPr>
          <w:trHeight w:val="425" w:hRule="exact"/>
        </w:trPr>
        <w:tc>
          <w:tcPr>
            <w:tcW w:w="2376"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347"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407" w:hRule="exact"/>
        </w:trPr>
        <w:tc>
          <w:tcPr>
            <w:tcW w:w="2376" w:type="dxa"/>
            <w:vMerge/>
            <w:tcBorders>
              <w:left w:val="nil" w:sz="6" w:space="0" w:color="auto"/>
              <w:right w:val="single" w:sz="4" w:space="0" w:color="000000"/>
            </w:tcBorders>
          </w:tcPr>
          <w:p>
            <w:pPr/>
          </w:p>
        </w:tc>
        <w:tc>
          <w:tcPr>
            <w:tcW w:w="24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77" w:type="dxa"/>
            <w:vMerge w:val="restart"/>
            <w:tcBorders>
              <w:top w:val="single" w:sz="4" w:space="0" w:color="000000"/>
              <w:left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557" w:hRule="exact"/>
        </w:trPr>
        <w:tc>
          <w:tcPr>
            <w:tcW w:w="2376" w:type="dxa"/>
            <w:vMerge/>
            <w:tcBorders>
              <w:left w:val="nil" w:sz="6" w:space="0" w:color="auto"/>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99" w:right="153"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331" w:right="101" w:hanging="226"/>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577" w:type="dxa"/>
            <w:vMerge/>
            <w:tcBorders>
              <w:left w:val="single" w:sz="4" w:space="0" w:color="000000"/>
              <w:bottom w:val="single" w:sz="4" w:space="0" w:color="000000"/>
              <w:right w:val="nil" w:sz="6" w:space="0" w:color="auto"/>
            </w:tcBorders>
          </w:tcPr>
          <w:p>
            <w:pPr/>
          </w:p>
        </w:tc>
      </w:tr>
      <w:tr>
        <w:trPr>
          <w:trHeight w:val="40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72"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31,720,479.89</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0" w:right="0"/>
              <w:jc w:val="center"/>
              <w:rPr>
                <w:rFonts w:ascii="宋体" w:hAnsi="宋体" w:cs="宋体" w:eastAsia="宋体" w:hint="default"/>
                <w:sz w:val="18"/>
                <w:szCs w:val="18"/>
              </w:rPr>
            </w:pPr>
            <w:r>
              <w:rPr>
                <w:rFonts w:ascii="宋体"/>
                <w:sz w:val="18"/>
              </w:rPr>
              <w:t>1.07</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21,844,380.79</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68.87</w:t>
            </w:r>
          </w:p>
        </w:tc>
        <w:tc>
          <w:tcPr>
            <w:tcW w:w="15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9,876,099.10</w:t>
            </w:r>
          </w:p>
        </w:tc>
      </w:tr>
      <w:tr>
        <w:trPr>
          <w:trHeight w:val="40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72"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2,946,238,517.50</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1" w:right="0"/>
              <w:jc w:val="center"/>
              <w:rPr>
                <w:rFonts w:ascii="宋体" w:hAnsi="宋体" w:cs="宋体" w:eastAsia="宋体" w:hint="default"/>
                <w:sz w:val="18"/>
                <w:szCs w:val="18"/>
              </w:rPr>
            </w:pPr>
            <w:r>
              <w:rPr>
                <w:rFonts w:ascii="宋体"/>
                <w:sz w:val="18"/>
              </w:rPr>
              <w:t>98.93</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149,279,981.25</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5"/>
              <w:jc w:val="right"/>
              <w:rPr>
                <w:rFonts w:ascii="宋体" w:hAnsi="宋体" w:cs="宋体" w:eastAsia="宋体" w:hint="default"/>
                <w:sz w:val="18"/>
                <w:szCs w:val="18"/>
              </w:rPr>
            </w:pPr>
            <w:r>
              <w:rPr>
                <w:rFonts w:ascii="宋体"/>
                <w:sz w:val="18"/>
              </w:rPr>
              <w:t>5.07</w:t>
            </w:r>
          </w:p>
        </w:tc>
        <w:tc>
          <w:tcPr>
            <w:tcW w:w="15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2,796,958,536.25</w:t>
            </w:r>
          </w:p>
        </w:tc>
      </w:tr>
      <w:tr>
        <w:trPr>
          <w:trHeight w:val="40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72" w:right="0"/>
              <w:jc w:val="left"/>
              <w:rPr>
                <w:rFonts w:ascii="宋体" w:hAnsi="宋体" w:cs="宋体" w:eastAsia="宋体" w:hint="default"/>
                <w:sz w:val="18"/>
                <w:szCs w:val="18"/>
              </w:rPr>
            </w:pPr>
            <w:r>
              <w:rPr>
                <w:rFonts w:ascii="宋体" w:hAnsi="宋体" w:cs="宋体" w:eastAsia="宋体" w:hint="default"/>
                <w:sz w:val="18"/>
                <w:szCs w:val="18"/>
              </w:rPr>
              <w:t>其中：账龄组合</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2,946,133,474.59</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1" w:right="0"/>
              <w:jc w:val="center"/>
              <w:rPr>
                <w:rFonts w:ascii="宋体" w:hAnsi="宋体" w:cs="宋体" w:eastAsia="宋体" w:hint="default"/>
                <w:sz w:val="18"/>
                <w:szCs w:val="18"/>
              </w:rPr>
            </w:pPr>
            <w:r>
              <w:rPr>
                <w:rFonts w:ascii="宋体"/>
                <w:sz w:val="18"/>
              </w:rPr>
              <w:t>98.93</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149,279,981.25</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z w:val="18"/>
              </w:rPr>
              <w:t>5.07</w:t>
            </w:r>
          </w:p>
        </w:tc>
        <w:tc>
          <w:tcPr>
            <w:tcW w:w="15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2,796,853,493.34</w:t>
            </w:r>
          </w:p>
        </w:tc>
      </w:tr>
      <w:tr>
        <w:trPr>
          <w:trHeight w:val="407" w:hRule="exact"/>
        </w:trPr>
        <w:tc>
          <w:tcPr>
            <w:tcW w:w="23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612"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105,042.91</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10" w:right="0"/>
              <w:jc w:val="center"/>
              <w:rPr>
                <w:rFonts w:ascii="宋体" w:hAnsi="宋体" w:cs="宋体" w:eastAsia="宋体" w:hint="default"/>
                <w:sz w:val="18"/>
                <w:szCs w:val="18"/>
              </w:rPr>
            </w:pPr>
            <w:r>
              <w:rPr>
                <w:rFonts w:ascii="宋体"/>
                <w:sz w:val="18"/>
              </w:rPr>
              <w:t>0.00</w:t>
            </w:r>
          </w:p>
        </w:tc>
        <w:tc>
          <w:tcPr>
            <w:tcW w:w="1406" w:type="dxa"/>
            <w:tcBorders>
              <w:top w:val="single" w:sz="4" w:space="0" w:color="000000"/>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105,042.91</w:t>
            </w:r>
          </w:p>
        </w:tc>
      </w:tr>
      <w:tr>
        <w:trPr>
          <w:trHeight w:val="424" w:hRule="exact"/>
        </w:trPr>
        <w:tc>
          <w:tcPr>
            <w:tcW w:w="2376"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43"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right="35"/>
              <w:jc w:val="right"/>
              <w:rPr>
                <w:rFonts w:ascii="宋体" w:hAnsi="宋体" w:cs="宋体" w:eastAsia="宋体" w:hint="default"/>
                <w:sz w:val="18"/>
                <w:szCs w:val="18"/>
              </w:rPr>
            </w:pPr>
            <w:r>
              <w:rPr>
                <w:rFonts w:ascii="宋体"/>
                <w:b/>
                <w:w w:val="95"/>
                <w:sz w:val="18"/>
              </w:rPr>
              <w:t>2,977,958,997.39</w:t>
            </w:r>
            <w:r>
              <w:rPr>
                <w:rFonts w:ascii="宋体"/>
                <w:sz w:val="18"/>
              </w:rPr>
            </w:r>
          </w:p>
        </w:tc>
        <w:tc>
          <w:tcPr>
            <w:tcW w:w="679"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left="34" w:right="0"/>
              <w:jc w:val="center"/>
              <w:rPr>
                <w:rFonts w:ascii="宋体" w:hAnsi="宋体" w:cs="宋体" w:eastAsia="宋体" w:hint="default"/>
                <w:sz w:val="18"/>
                <w:szCs w:val="18"/>
              </w:rPr>
            </w:pPr>
            <w:r>
              <w:rPr>
                <w:rFonts w:ascii="宋体"/>
                <w:b/>
                <w:sz w:val="18"/>
              </w:rPr>
              <w:t>100.00</w:t>
            </w:r>
            <w:r>
              <w:rPr>
                <w:rFonts w:ascii="宋体"/>
                <w:sz w:val="18"/>
              </w:rPr>
            </w:r>
          </w:p>
        </w:tc>
        <w:tc>
          <w:tcPr>
            <w:tcW w:w="1406"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right="34"/>
              <w:jc w:val="right"/>
              <w:rPr>
                <w:rFonts w:ascii="宋体" w:hAnsi="宋体" w:cs="宋体" w:eastAsia="宋体" w:hint="default"/>
                <w:sz w:val="18"/>
                <w:szCs w:val="18"/>
              </w:rPr>
            </w:pPr>
            <w:r>
              <w:rPr>
                <w:rFonts w:ascii="宋体"/>
                <w:b/>
                <w:sz w:val="18"/>
              </w:rPr>
              <w:t>171,124,362.04</w:t>
            </w:r>
            <w:r>
              <w:rPr>
                <w:rFonts w:ascii="宋体"/>
                <w:sz w:val="18"/>
              </w:rPr>
            </w:r>
          </w:p>
        </w:tc>
        <w:tc>
          <w:tcPr>
            <w:tcW w:w="942"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b/>
                <w:sz w:val="18"/>
              </w:rPr>
              <w:t>5.75</w:t>
            </w:r>
            <w:r>
              <w:rPr>
                <w:rFonts w:ascii="宋体"/>
                <w:sz w:val="18"/>
              </w:rPr>
            </w:r>
          </w:p>
        </w:tc>
        <w:tc>
          <w:tcPr>
            <w:tcW w:w="1577"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3"/>
              <w:ind w:right="38"/>
              <w:jc w:val="right"/>
              <w:rPr>
                <w:rFonts w:ascii="宋体" w:hAnsi="宋体" w:cs="宋体" w:eastAsia="宋体" w:hint="default"/>
                <w:sz w:val="18"/>
                <w:szCs w:val="18"/>
              </w:rPr>
            </w:pPr>
            <w:r>
              <w:rPr>
                <w:rFonts w:ascii="宋体"/>
                <w:b/>
                <w:w w:val="95"/>
                <w:sz w:val="18"/>
              </w:rPr>
              <w:t>2,806,834,635.35</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80" w:right="1445"/>
        <w:jc w:val="left"/>
      </w:pPr>
      <w:r>
        <w:rPr/>
        <w:t>(续表)</w:t>
      </w:r>
    </w:p>
    <w:p>
      <w:pPr>
        <w:spacing w:line="240" w:lineRule="auto" w:before="3"/>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2390"/>
        <w:gridCol w:w="1631"/>
        <w:gridCol w:w="804"/>
        <w:gridCol w:w="1470"/>
        <w:gridCol w:w="842"/>
        <w:gridCol w:w="1586"/>
      </w:tblGrid>
      <w:tr>
        <w:trPr>
          <w:trHeight w:val="425" w:hRule="exact"/>
        </w:trPr>
        <w:tc>
          <w:tcPr>
            <w:tcW w:w="2390"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333"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407" w:hRule="exact"/>
        </w:trPr>
        <w:tc>
          <w:tcPr>
            <w:tcW w:w="2390" w:type="dxa"/>
            <w:vMerge/>
            <w:tcBorders>
              <w:left w:val="nil" w:sz="6" w:space="0" w:color="auto"/>
              <w:right w:val="single" w:sz="4" w:space="0" w:color="000000"/>
            </w:tcBorders>
          </w:tcPr>
          <w:p>
            <w:pPr/>
          </w:p>
        </w:tc>
        <w:tc>
          <w:tcPr>
            <w:tcW w:w="24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86" w:type="dxa"/>
            <w:vMerge w:val="restart"/>
            <w:tcBorders>
              <w:top w:val="single" w:sz="4" w:space="0" w:color="000000"/>
              <w:left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428"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557" w:hRule="exact"/>
        </w:trPr>
        <w:tc>
          <w:tcPr>
            <w:tcW w:w="2390" w:type="dxa"/>
            <w:vMerge/>
            <w:tcBorders>
              <w:left w:val="nil" w:sz="6" w:space="0" w:color="auto"/>
              <w:bottom w:val="single" w:sz="4" w:space="0" w:color="000000"/>
              <w:right w:val="single" w:sz="4" w:space="0" w:color="000000"/>
            </w:tcBorders>
          </w:tcPr>
          <w:p>
            <w:pP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6"/>
              <w:ind w:left="261" w:right="214" w:hanging="44"/>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6"/>
              <w:ind w:left="190" w:right="140" w:hanging="44"/>
              <w:jc w:val="left"/>
              <w:rPr>
                <w:rFonts w:ascii="宋体" w:hAnsi="宋体" w:cs="宋体" w:eastAsia="宋体" w:hint="default"/>
                <w:sz w:val="18"/>
                <w:szCs w:val="18"/>
              </w:rPr>
            </w:pPr>
            <w:r>
              <w:rPr>
                <w:rFonts w:ascii="宋体" w:hAnsi="宋体" w:cs="宋体" w:eastAsia="宋体" w:hint="default"/>
                <w:b/>
                <w:bCs/>
                <w:sz w:val="18"/>
                <w:szCs w:val="18"/>
              </w:rPr>
              <w:t>计提比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1586" w:type="dxa"/>
            <w:vMerge/>
            <w:tcBorders>
              <w:left w:val="single" w:sz="4" w:space="0" w:color="000000"/>
              <w:bottom w:val="single" w:sz="4" w:space="0" w:color="000000"/>
              <w:right w:val="nil" w:sz="6" w:space="0" w:color="auto"/>
            </w:tcBorders>
          </w:tcPr>
          <w:p>
            <w:pPr/>
          </w:p>
        </w:tc>
      </w:tr>
      <w:tr>
        <w:trPr>
          <w:trHeight w:val="407"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72"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5"/>
              <w:jc w:val="right"/>
              <w:rPr>
                <w:rFonts w:ascii="宋体" w:hAnsi="宋体" w:cs="宋体" w:eastAsia="宋体" w:hint="default"/>
                <w:sz w:val="18"/>
                <w:szCs w:val="18"/>
              </w:rPr>
            </w:pPr>
            <w:r>
              <w:rPr>
                <w:rFonts w:ascii="宋体"/>
                <w:spacing w:val="-1"/>
                <w:sz w:val="18"/>
              </w:rPr>
              <w:t>1,350,293.03</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5"/>
              <w:jc w:val="right"/>
              <w:rPr>
                <w:rFonts w:ascii="宋体" w:hAnsi="宋体" w:cs="宋体" w:eastAsia="宋体" w:hint="default"/>
                <w:sz w:val="18"/>
                <w:szCs w:val="18"/>
              </w:rPr>
            </w:pPr>
            <w:r>
              <w:rPr>
                <w:rFonts w:ascii="宋体"/>
                <w:sz w:val="18"/>
              </w:rPr>
              <w:t>0.05</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1,350,293.03</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100.00</w:t>
            </w:r>
          </w:p>
        </w:tc>
        <w:tc>
          <w:tcPr>
            <w:tcW w:w="1586" w:type="dxa"/>
            <w:tcBorders>
              <w:top w:val="single" w:sz="4" w:space="0" w:color="000000"/>
              <w:left w:val="single" w:sz="4" w:space="0" w:color="000000"/>
              <w:bottom w:val="single" w:sz="4" w:space="0" w:color="000000"/>
              <w:right w:val="nil" w:sz="6" w:space="0" w:color="auto"/>
            </w:tcBorders>
          </w:tcPr>
          <w:p>
            <w:pPr/>
          </w:p>
        </w:tc>
      </w:tr>
      <w:tr>
        <w:trPr>
          <w:trHeight w:val="405"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72"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pacing w:val="-1"/>
                <w:sz w:val="18"/>
              </w:rPr>
              <w:t>2,958,881,824.70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99.95</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141,350,578.56</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z w:val="18"/>
              </w:rPr>
              <w:t>4.78</w:t>
            </w:r>
          </w:p>
        </w:tc>
        <w:tc>
          <w:tcPr>
            <w:tcW w:w="15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left="87" w:right="0"/>
              <w:jc w:val="left"/>
              <w:rPr>
                <w:rFonts w:ascii="宋体" w:hAnsi="宋体" w:cs="宋体" w:eastAsia="宋体" w:hint="default"/>
                <w:sz w:val="18"/>
                <w:szCs w:val="18"/>
              </w:rPr>
            </w:pPr>
            <w:r>
              <w:rPr>
                <w:rFonts w:ascii="宋体"/>
                <w:sz w:val="18"/>
              </w:rPr>
              <w:t>2,817,531,246.14</w:t>
            </w:r>
          </w:p>
        </w:tc>
      </w:tr>
    </w:tbl>
    <w:p>
      <w:pPr>
        <w:spacing w:after="0" w:line="240" w:lineRule="auto"/>
        <w:jc w:val="left"/>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390"/>
        <w:gridCol w:w="1631"/>
        <w:gridCol w:w="804"/>
        <w:gridCol w:w="1470"/>
        <w:gridCol w:w="842"/>
        <w:gridCol w:w="1586"/>
      </w:tblGrid>
      <w:tr>
        <w:trPr>
          <w:trHeight w:val="425" w:hRule="exact"/>
        </w:trPr>
        <w:tc>
          <w:tcPr>
            <w:tcW w:w="2390"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333"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407" w:hRule="exact"/>
        </w:trPr>
        <w:tc>
          <w:tcPr>
            <w:tcW w:w="2390" w:type="dxa"/>
            <w:vMerge/>
            <w:tcBorders>
              <w:left w:val="nil" w:sz="6" w:space="0" w:color="auto"/>
              <w:right w:val="single" w:sz="4" w:space="0" w:color="000000"/>
            </w:tcBorders>
          </w:tcPr>
          <w:p>
            <w:pPr/>
          </w:p>
        </w:tc>
        <w:tc>
          <w:tcPr>
            <w:tcW w:w="24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86" w:type="dxa"/>
            <w:vMerge w:val="restart"/>
            <w:tcBorders>
              <w:top w:val="single" w:sz="4" w:space="0" w:color="000000"/>
              <w:left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428"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557" w:hRule="exact"/>
        </w:trPr>
        <w:tc>
          <w:tcPr>
            <w:tcW w:w="2390" w:type="dxa"/>
            <w:vMerge/>
            <w:tcBorders>
              <w:left w:val="nil" w:sz="6" w:space="0" w:color="auto"/>
              <w:bottom w:val="single" w:sz="4" w:space="0" w:color="000000"/>
              <w:right w:val="single" w:sz="4" w:space="0" w:color="000000"/>
            </w:tcBorders>
          </w:tcPr>
          <w:p>
            <w:pP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8"/>
              <w:ind w:left="261" w:right="214" w:hanging="44"/>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8"/>
              <w:ind w:left="190" w:right="140" w:hanging="44"/>
              <w:jc w:val="left"/>
              <w:rPr>
                <w:rFonts w:ascii="宋体" w:hAnsi="宋体" w:cs="宋体" w:eastAsia="宋体" w:hint="default"/>
                <w:sz w:val="18"/>
                <w:szCs w:val="18"/>
              </w:rPr>
            </w:pPr>
            <w:r>
              <w:rPr>
                <w:rFonts w:ascii="宋体" w:hAnsi="宋体" w:cs="宋体" w:eastAsia="宋体" w:hint="default"/>
                <w:b/>
                <w:bCs/>
                <w:sz w:val="18"/>
                <w:szCs w:val="18"/>
              </w:rPr>
              <w:t>计提比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1586" w:type="dxa"/>
            <w:vMerge/>
            <w:tcBorders>
              <w:left w:val="single" w:sz="4" w:space="0" w:color="000000"/>
              <w:bottom w:val="single" w:sz="4" w:space="0" w:color="000000"/>
              <w:right w:val="nil" w:sz="6" w:space="0" w:color="auto"/>
            </w:tcBorders>
          </w:tcPr>
          <w:p>
            <w:pPr/>
          </w:p>
        </w:tc>
      </w:tr>
      <w:tr>
        <w:trPr>
          <w:trHeight w:val="407"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72" w:right="0"/>
              <w:jc w:val="left"/>
              <w:rPr>
                <w:rFonts w:ascii="宋体" w:hAnsi="宋体" w:cs="宋体" w:eastAsia="宋体" w:hint="default"/>
                <w:sz w:val="18"/>
                <w:szCs w:val="18"/>
              </w:rPr>
            </w:pPr>
            <w:r>
              <w:rPr>
                <w:rFonts w:ascii="宋体" w:hAnsi="宋体" w:cs="宋体" w:eastAsia="宋体" w:hint="default"/>
                <w:sz w:val="18"/>
                <w:szCs w:val="18"/>
              </w:rPr>
              <w:t>其中：账龄组合</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
              <w:jc w:val="right"/>
              <w:rPr>
                <w:rFonts w:ascii="宋体" w:hAnsi="宋体" w:cs="宋体" w:eastAsia="宋体" w:hint="default"/>
                <w:sz w:val="18"/>
                <w:szCs w:val="18"/>
              </w:rPr>
            </w:pPr>
            <w:r>
              <w:rPr>
                <w:rFonts w:ascii="宋体"/>
                <w:spacing w:val="-1"/>
                <w:sz w:val="18"/>
              </w:rPr>
              <w:t>2,958,881,824.70</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99.95</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141,350,578.56</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z w:val="18"/>
              </w:rPr>
              <w:t>4.78</w:t>
            </w:r>
          </w:p>
        </w:tc>
        <w:tc>
          <w:tcPr>
            <w:tcW w:w="15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left="35" w:right="0"/>
              <w:jc w:val="center"/>
              <w:rPr>
                <w:rFonts w:ascii="宋体" w:hAnsi="宋体" w:cs="宋体" w:eastAsia="宋体" w:hint="default"/>
                <w:sz w:val="18"/>
                <w:szCs w:val="18"/>
              </w:rPr>
            </w:pPr>
            <w:r>
              <w:rPr>
                <w:rFonts w:ascii="宋体"/>
                <w:sz w:val="18"/>
              </w:rPr>
              <w:t>2,817,531,246.14</w:t>
            </w:r>
          </w:p>
        </w:tc>
      </w:tr>
      <w:tr>
        <w:trPr>
          <w:trHeight w:val="407"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612"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1631" w:type="dxa"/>
            <w:tcBorders>
              <w:top w:val="single" w:sz="4" w:space="0" w:color="000000"/>
              <w:left w:val="single" w:sz="4" w:space="0" w:color="000000"/>
              <w:bottom w:val="single" w:sz="4" w:space="0" w:color="000000"/>
              <w:right w:val="single" w:sz="4" w:space="0" w:color="000000"/>
            </w:tcBorders>
          </w:tcPr>
          <w:p>
            <w:pPr/>
          </w:p>
        </w:tc>
        <w:tc>
          <w:tcPr>
            <w:tcW w:w="804" w:type="dxa"/>
            <w:tcBorders>
              <w:top w:val="single" w:sz="4" w:space="0" w:color="000000"/>
              <w:left w:val="single" w:sz="4" w:space="0" w:color="000000"/>
              <w:bottom w:val="single" w:sz="4" w:space="0" w:color="000000"/>
              <w:right w:val="single" w:sz="4" w:space="0" w:color="000000"/>
            </w:tcBorders>
          </w:tcPr>
          <w:p>
            <w:pPr/>
          </w:p>
        </w:tc>
        <w:tc>
          <w:tcPr>
            <w:tcW w:w="1470" w:type="dxa"/>
            <w:tcBorders>
              <w:top w:val="single" w:sz="4" w:space="0" w:color="000000"/>
              <w:left w:val="single" w:sz="4" w:space="0" w:color="000000"/>
              <w:bottom w:val="single" w:sz="4" w:space="0" w:color="000000"/>
              <w:right w:val="single" w:sz="4" w:space="0" w:color="000000"/>
            </w:tcBorders>
          </w:tcPr>
          <w:p>
            <w:pPr/>
          </w:p>
        </w:tc>
        <w:tc>
          <w:tcPr>
            <w:tcW w:w="842"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nil" w:sz="6" w:space="0" w:color="auto"/>
            </w:tcBorders>
          </w:tcPr>
          <w:p>
            <w:pPr/>
          </w:p>
        </w:tc>
      </w:tr>
      <w:tr>
        <w:trPr>
          <w:trHeight w:val="424" w:hRule="exact"/>
        </w:trPr>
        <w:tc>
          <w:tcPr>
            <w:tcW w:w="2390"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31"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1"/>
              <w:ind w:right="33"/>
              <w:jc w:val="right"/>
              <w:rPr>
                <w:rFonts w:ascii="宋体" w:hAnsi="宋体" w:cs="宋体" w:eastAsia="宋体" w:hint="default"/>
                <w:sz w:val="18"/>
                <w:szCs w:val="18"/>
              </w:rPr>
            </w:pPr>
            <w:r>
              <w:rPr>
                <w:rFonts w:ascii="宋体"/>
                <w:b/>
                <w:w w:val="95"/>
                <w:sz w:val="18"/>
              </w:rPr>
              <w:t>2,960,232,117.73</w:t>
            </w:r>
            <w:r>
              <w:rPr>
                <w:rFonts w:ascii="宋体"/>
                <w:sz w:val="18"/>
              </w:rPr>
            </w:r>
          </w:p>
        </w:tc>
        <w:tc>
          <w:tcPr>
            <w:tcW w:w="80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1"/>
              <w:ind w:right="40"/>
              <w:jc w:val="right"/>
              <w:rPr>
                <w:rFonts w:ascii="宋体" w:hAnsi="宋体" w:cs="宋体" w:eastAsia="宋体" w:hint="default"/>
                <w:sz w:val="18"/>
                <w:szCs w:val="18"/>
              </w:rPr>
            </w:pPr>
            <w:r>
              <w:rPr>
                <w:rFonts w:ascii="宋体"/>
                <w:b/>
                <w:sz w:val="18"/>
              </w:rPr>
              <w:t>100.00</w:t>
            </w:r>
            <w:r>
              <w:rPr>
                <w:rFonts w:ascii="宋体"/>
                <w:sz w:val="18"/>
              </w:rPr>
            </w:r>
          </w:p>
        </w:tc>
        <w:tc>
          <w:tcPr>
            <w:tcW w:w="147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1"/>
              <w:ind w:right="34"/>
              <w:jc w:val="right"/>
              <w:rPr>
                <w:rFonts w:ascii="宋体" w:hAnsi="宋体" w:cs="宋体" w:eastAsia="宋体" w:hint="default"/>
                <w:sz w:val="18"/>
                <w:szCs w:val="18"/>
              </w:rPr>
            </w:pPr>
            <w:r>
              <w:rPr>
                <w:rFonts w:ascii="宋体"/>
                <w:b/>
                <w:sz w:val="18"/>
              </w:rPr>
              <w:t>142,700,871.59</w:t>
            </w:r>
            <w:r>
              <w:rPr>
                <w:rFonts w:ascii="宋体"/>
                <w:sz w:val="18"/>
              </w:rPr>
            </w:r>
          </w:p>
        </w:tc>
        <w:tc>
          <w:tcPr>
            <w:tcW w:w="842"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1"/>
              <w:ind w:right="43"/>
              <w:jc w:val="right"/>
              <w:rPr>
                <w:rFonts w:ascii="宋体" w:hAnsi="宋体" w:cs="宋体" w:eastAsia="宋体" w:hint="default"/>
                <w:sz w:val="18"/>
                <w:szCs w:val="18"/>
              </w:rPr>
            </w:pPr>
            <w:r>
              <w:rPr>
                <w:rFonts w:ascii="宋体"/>
                <w:b/>
                <w:sz w:val="18"/>
              </w:rPr>
              <w:t>4.82</w:t>
            </w:r>
            <w:r>
              <w:rPr>
                <w:rFonts w:ascii="宋体"/>
                <w:sz w:val="18"/>
              </w:rPr>
            </w:r>
          </w:p>
        </w:tc>
        <w:tc>
          <w:tcPr>
            <w:tcW w:w="1586"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1"/>
              <w:ind w:left="47" w:right="0"/>
              <w:jc w:val="center"/>
              <w:rPr>
                <w:rFonts w:ascii="宋体" w:hAnsi="宋体" w:cs="宋体" w:eastAsia="宋体" w:hint="default"/>
                <w:sz w:val="18"/>
                <w:szCs w:val="18"/>
              </w:rPr>
            </w:pPr>
            <w:r>
              <w:rPr>
                <w:rFonts w:ascii="宋体"/>
                <w:b/>
                <w:sz w:val="18"/>
              </w:rPr>
              <w:t>2,817,531,246.14</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61" w:right="1445"/>
        <w:jc w:val="left"/>
      </w:pPr>
      <w:r>
        <w:rPr>
          <w:rFonts w:ascii="Times New Roman" w:hAnsi="Times New Roman" w:cs="Times New Roman" w:eastAsia="Times New Roman" w:hint="default"/>
        </w:rPr>
        <w:t>1</w:t>
      </w:r>
      <w:r>
        <w:rPr/>
        <w:t>）</w:t>
      </w:r>
      <w:r>
        <w:rPr>
          <w:spacing w:val="-29"/>
        </w:rPr>
        <w:t> </w:t>
      </w:r>
      <w:r>
        <w:rPr/>
        <w:t>按单项计提应收账款坏账准备</w:t>
      </w:r>
    </w:p>
    <w:p>
      <w:pPr>
        <w:spacing w:line="240" w:lineRule="auto" w:before="2"/>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608"/>
        <w:gridCol w:w="2029"/>
        <w:gridCol w:w="2029"/>
        <w:gridCol w:w="1448"/>
        <w:gridCol w:w="1609"/>
      </w:tblGrid>
      <w:tr>
        <w:trPr>
          <w:trHeight w:val="358" w:hRule="exact"/>
        </w:trPr>
        <w:tc>
          <w:tcPr>
            <w:tcW w:w="1608" w:type="dxa"/>
            <w:vMerge w:val="restart"/>
            <w:tcBorders>
              <w:top w:val="single" w:sz="12" w:space="0" w:color="000000"/>
              <w:left w:val="nil" w:sz="6" w:space="0" w:color="auto"/>
              <w:right w:val="single" w:sz="2"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c>
        <w:tc>
          <w:tcPr>
            <w:tcW w:w="7115" w:type="dxa"/>
            <w:gridSpan w:val="4"/>
            <w:tcBorders>
              <w:top w:val="single" w:sz="12" w:space="0" w:color="000000"/>
              <w:left w:val="single" w:sz="2" w:space="0" w:color="000000"/>
              <w:bottom w:val="single" w:sz="2" w:space="0" w:color="000000"/>
              <w:right w:val="nil" w:sz="6" w:space="0" w:color="auto"/>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45" w:hRule="exact"/>
        </w:trPr>
        <w:tc>
          <w:tcPr>
            <w:tcW w:w="1608" w:type="dxa"/>
            <w:vMerge/>
            <w:tcBorders>
              <w:left w:val="nil" w:sz="6" w:space="0" w:color="auto"/>
              <w:bottom w:val="single" w:sz="2" w:space="0" w:color="000000"/>
              <w:right w:val="single" w:sz="2" w:space="0" w:color="000000"/>
            </w:tcBorders>
          </w:tcPr>
          <w:p>
            <w:pP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3"/>
              <w:ind w:left="65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3"/>
              <w:ind w:left="65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3"/>
              <w:ind w:left="226"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计提理由</w:t>
            </w:r>
            <w:r>
              <w:rPr>
                <w:rFonts w:ascii="宋体" w:hAnsi="宋体" w:cs="宋体" w:eastAsia="宋体" w:hint="default"/>
                <w:sz w:val="18"/>
                <w:szCs w:val="18"/>
              </w:rPr>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15,703,603.65</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9,422,162.19</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B</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5,679,939.11</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5,679,939.11</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100.00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C</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4,335,468.37</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2,601,281.02</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D</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4,222,205.60</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2,533,323.36</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E</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655,376.62</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655,376.62</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100.00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F</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514,916.41</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514,916.41</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100.00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G</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428,970.13</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257,382.08</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402"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H</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180,000.00</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180,000.00</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100.00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14" w:hRule="exact"/>
        </w:trPr>
        <w:tc>
          <w:tcPr>
            <w:tcW w:w="160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w w:val="95"/>
                <w:sz w:val="18"/>
              </w:rPr>
              <w:t>31,720,479.89</w:t>
            </w:r>
            <w:r>
              <w:rPr>
                <w:rFonts w:ascii="宋体"/>
                <w:sz w:val="18"/>
              </w:rPr>
            </w:r>
          </w:p>
        </w:tc>
        <w:tc>
          <w:tcPr>
            <w:tcW w:w="20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21,844,380.79</w:t>
            </w:r>
            <w:r>
              <w:rPr>
                <w:rFonts w:ascii="宋体"/>
                <w:sz w:val="18"/>
              </w:rPr>
            </w:r>
          </w:p>
        </w:tc>
        <w:tc>
          <w:tcPr>
            <w:tcW w:w="144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c>
          <w:tcPr>
            <w:tcW w:w="160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r>
    </w:tbl>
    <w:p>
      <w:pPr>
        <w:spacing w:line="240" w:lineRule="auto" w:before="1"/>
        <w:rPr>
          <w:rFonts w:ascii="宋体" w:hAnsi="宋体" w:cs="宋体" w:eastAsia="宋体" w:hint="default"/>
          <w:sz w:val="9"/>
          <w:szCs w:val="9"/>
        </w:rPr>
      </w:pPr>
    </w:p>
    <w:p>
      <w:pPr>
        <w:pStyle w:val="BodyText"/>
        <w:spacing w:line="240" w:lineRule="auto"/>
        <w:ind w:left="661" w:right="1445"/>
        <w:jc w:val="left"/>
      </w:pPr>
      <w:r>
        <w:rPr>
          <w:rFonts w:ascii="Times New Roman" w:hAnsi="Times New Roman" w:cs="Times New Roman" w:eastAsia="Times New Roman" w:hint="default"/>
        </w:rPr>
        <w:t>2</w:t>
      </w:r>
      <w:r>
        <w:rPr/>
        <w:t>）</w:t>
      </w:r>
      <w:r>
        <w:rPr>
          <w:spacing w:val="-31"/>
        </w:rPr>
        <w:t> </w:t>
      </w:r>
      <w:r>
        <w:rPr/>
        <w:t>按账龄组合计提坏账准备的应收账款</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2380"/>
        <w:gridCol w:w="2264"/>
        <w:gridCol w:w="2123"/>
        <w:gridCol w:w="1956"/>
      </w:tblGrid>
      <w:tr>
        <w:trPr>
          <w:trHeight w:val="417" w:hRule="exact"/>
        </w:trPr>
        <w:tc>
          <w:tcPr>
            <w:tcW w:w="2380" w:type="dxa"/>
            <w:vMerge w:val="restart"/>
            <w:tcBorders>
              <w:top w:val="single" w:sz="12"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6343"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7" w:hRule="exact"/>
        </w:trPr>
        <w:tc>
          <w:tcPr>
            <w:tcW w:w="2380" w:type="dxa"/>
            <w:vMerge/>
            <w:tcBorders>
              <w:left w:val="nil" w:sz="6" w:space="0" w:color="auto"/>
              <w:bottom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696"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left="479"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2,580,758,641.05</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25,760,526.31</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z w:val="18"/>
              </w:rPr>
              <w:t>1.00</w:t>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225,719,438.83</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22,586,478.90</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10.01</w:t>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55,333,639.18</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16,611,220.51</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30.02</w:t>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84,321,755.53</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84,321,755.53</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100.00</w:t>
            </w:r>
          </w:p>
        </w:tc>
      </w:tr>
      <w:tr>
        <w:trPr>
          <w:trHeight w:val="417" w:hRule="exact"/>
        </w:trPr>
        <w:tc>
          <w:tcPr>
            <w:tcW w:w="238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87"/>
              <w:jc w:val="right"/>
              <w:rPr>
                <w:rFonts w:ascii="宋体" w:hAnsi="宋体" w:cs="宋体" w:eastAsia="宋体" w:hint="default"/>
                <w:sz w:val="18"/>
                <w:szCs w:val="18"/>
              </w:rPr>
            </w:pPr>
            <w:r>
              <w:rPr>
                <w:rFonts w:ascii="宋体"/>
                <w:b/>
                <w:w w:val="95"/>
                <w:sz w:val="18"/>
              </w:rPr>
              <w:t>2,946,133,474.59</w:t>
            </w:r>
            <w:r>
              <w:rPr>
                <w:rFonts w:ascii="宋体"/>
                <w:sz w:val="18"/>
              </w:rPr>
            </w:r>
          </w:p>
        </w:tc>
        <w:tc>
          <w:tcPr>
            <w:tcW w:w="21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88"/>
              <w:jc w:val="right"/>
              <w:rPr>
                <w:rFonts w:ascii="宋体" w:hAnsi="宋体" w:cs="宋体" w:eastAsia="宋体" w:hint="default"/>
                <w:sz w:val="18"/>
                <w:szCs w:val="18"/>
              </w:rPr>
            </w:pPr>
            <w:r>
              <w:rPr>
                <w:rFonts w:ascii="宋体"/>
                <w:b/>
                <w:sz w:val="18"/>
              </w:rPr>
              <w:t>149,279,981.25</w:t>
            </w:r>
            <w:r>
              <w:rPr>
                <w:rFonts w:ascii="宋体"/>
                <w:sz w:val="18"/>
              </w:rPr>
            </w:r>
          </w:p>
        </w:tc>
        <w:tc>
          <w:tcPr>
            <w:tcW w:w="195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right="51"/>
              <w:jc w:val="right"/>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1"/>
        <w:rPr>
          <w:rFonts w:ascii="宋体" w:hAnsi="宋体" w:cs="宋体" w:eastAsia="宋体" w:hint="default"/>
          <w:sz w:val="9"/>
          <w:szCs w:val="9"/>
        </w:rPr>
      </w:pPr>
    </w:p>
    <w:p>
      <w:pPr>
        <w:pStyle w:val="BodyText"/>
        <w:spacing w:line="240" w:lineRule="auto"/>
        <w:ind w:left="666" w:right="1445"/>
        <w:jc w:val="left"/>
      </w:pPr>
      <w:r>
        <w:rPr>
          <w:spacing w:val="-1"/>
        </w:rPr>
        <w:t>（</w:t>
      </w:r>
      <w:r>
        <w:rPr>
          <w:rFonts w:ascii="Times New Roman" w:hAnsi="Times New Roman" w:cs="Times New Roman" w:eastAsia="Times New Roman" w:hint="default"/>
          <w:spacing w:val="-1"/>
        </w:rPr>
        <w:t>2</w:t>
      </w:r>
      <w:r>
        <w:rPr>
          <w:spacing w:val="-1"/>
        </w:rPr>
        <w:t>）</w:t>
      </w:r>
      <w:r>
        <w:rPr>
          <w:spacing w:val="-73"/>
        </w:rPr>
        <w:t> </w:t>
      </w:r>
      <w:bookmarkStart w:name="（2）应收账款按账龄列示" w:id="241"/>
      <w:bookmarkEnd w:id="241"/>
      <w:r>
        <w:rPr>
          <w:spacing w:val="-2"/>
        </w:rPr>
        <w:t>应</w:t>
      </w:r>
      <w:r>
        <w:rPr>
          <w:spacing w:val="-2"/>
        </w:rPr>
        <w:t>收账款按账龄列示</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3911"/>
        <w:gridCol w:w="4812"/>
      </w:tblGrid>
      <w:tr>
        <w:trPr>
          <w:trHeight w:val="512" w:hRule="exact"/>
        </w:trPr>
        <w:tc>
          <w:tcPr>
            <w:tcW w:w="391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44"/>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481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44"/>
              <w:ind w:right="1"/>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7"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2,580,943,783.96</w:t>
            </w:r>
          </w:p>
        </w:tc>
      </w:tr>
      <w:tr>
        <w:trPr>
          <w:trHeight w:val="405"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226,695,561.33</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25" w:type="dxa"/>
        <w:tblLayout w:type="fixed"/>
        <w:tblCellMar>
          <w:top w:w="0" w:type="dxa"/>
          <w:left w:w="0" w:type="dxa"/>
          <w:bottom w:w="0" w:type="dxa"/>
          <w:right w:w="0" w:type="dxa"/>
        </w:tblCellMar>
        <w:tblLook w:val="01E0"/>
      </w:tblPr>
      <w:tblGrid>
        <w:gridCol w:w="3911"/>
        <w:gridCol w:w="4812"/>
      </w:tblGrid>
      <w:tr>
        <w:trPr>
          <w:trHeight w:val="407"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52"/>
              <w:jc w:val="right"/>
              <w:rPr>
                <w:rFonts w:ascii="宋体" w:hAnsi="宋体" w:cs="宋体" w:eastAsia="宋体" w:hint="default"/>
                <w:sz w:val="18"/>
                <w:szCs w:val="18"/>
              </w:rPr>
            </w:pPr>
            <w:r>
              <w:rPr>
                <w:rFonts w:ascii="宋体"/>
                <w:spacing w:val="-1"/>
                <w:sz w:val="18"/>
              </w:rPr>
              <w:t>84,106,604.26</w:t>
            </w:r>
          </w:p>
        </w:tc>
      </w:tr>
      <w:tr>
        <w:trPr>
          <w:trHeight w:val="407"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86,213,047.84</w:t>
            </w:r>
          </w:p>
        </w:tc>
      </w:tr>
      <w:tr>
        <w:trPr>
          <w:trHeight w:val="417" w:hRule="exact"/>
        </w:trPr>
        <w:tc>
          <w:tcPr>
            <w:tcW w:w="3911"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481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2,977,958,997.39</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66" w:right="1445"/>
        <w:jc w:val="left"/>
      </w:pPr>
      <w:r>
        <w:rPr>
          <w:spacing w:val="-1"/>
        </w:rPr>
        <w:t>（</w:t>
      </w:r>
      <w:r>
        <w:rPr>
          <w:rFonts w:ascii="Times New Roman" w:hAnsi="Times New Roman" w:cs="Times New Roman" w:eastAsia="Times New Roman" w:hint="default"/>
          <w:spacing w:val="-1"/>
        </w:rPr>
        <w:t>3</w:t>
      </w:r>
      <w:r>
        <w:rPr>
          <w:spacing w:val="-1"/>
        </w:rPr>
        <w:t>）</w:t>
      </w:r>
      <w:r>
        <w:rPr>
          <w:spacing w:val="-69"/>
        </w:rPr>
        <w:t> </w:t>
      </w:r>
      <w:bookmarkStart w:name="（3）本年应收账款坏账准备情况" w:id="242"/>
      <w:bookmarkEnd w:id="242"/>
      <w:r>
        <w:rPr>
          <w:spacing w:val="-2"/>
        </w:rPr>
        <w:t>本</w:t>
      </w:r>
      <w:r>
        <w:rPr>
          <w:spacing w:val="-2"/>
        </w:rPr>
        <w:t>年应收账款坏账准备情况</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877"/>
        <w:gridCol w:w="1769"/>
        <w:gridCol w:w="1658"/>
        <w:gridCol w:w="1325"/>
        <w:gridCol w:w="1325"/>
        <w:gridCol w:w="1769"/>
      </w:tblGrid>
      <w:tr>
        <w:trPr>
          <w:trHeight w:val="358" w:hRule="exact"/>
        </w:trPr>
        <w:tc>
          <w:tcPr>
            <w:tcW w:w="877" w:type="dxa"/>
            <w:vMerge w:val="restart"/>
            <w:tcBorders>
              <w:top w:val="single" w:sz="12" w:space="0" w:color="000000"/>
              <w:left w:val="nil" w:sz="6" w:space="0" w:color="auto"/>
              <w:right w:val="single" w:sz="2"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769" w:type="dxa"/>
            <w:vMerge w:val="restart"/>
            <w:tcBorders>
              <w:top w:val="single" w:sz="12" w:space="0" w:color="000000"/>
              <w:left w:val="single" w:sz="2" w:space="0" w:color="000000"/>
              <w:right w:val="single" w:sz="2"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520"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4308" w:type="dxa"/>
            <w:gridSpan w:val="3"/>
            <w:tcBorders>
              <w:top w:val="single" w:sz="12" w:space="0" w:color="000000"/>
              <w:left w:val="single" w:sz="2" w:space="0" w:color="000000"/>
              <w:bottom w:val="single" w:sz="2" w:space="0" w:color="000000"/>
              <w:right w:val="single" w:sz="2" w:space="0" w:color="000000"/>
            </w:tcBorders>
          </w:tcPr>
          <w:p>
            <w:pPr>
              <w:pStyle w:val="TableParagraph"/>
              <w:spacing w:line="240" w:lineRule="auto" w:before="26"/>
              <w:ind w:left="3" w:right="0"/>
              <w:jc w:val="center"/>
              <w:rPr>
                <w:rFonts w:ascii="宋体" w:hAnsi="宋体" w:cs="宋体" w:eastAsia="宋体" w:hint="default"/>
                <w:sz w:val="18"/>
                <w:szCs w:val="18"/>
              </w:rPr>
            </w:pPr>
            <w:r>
              <w:rPr>
                <w:rFonts w:ascii="宋体" w:hAnsi="宋体" w:cs="宋体" w:eastAsia="宋体" w:hint="default"/>
                <w:b/>
                <w:bCs/>
                <w:sz w:val="18"/>
                <w:szCs w:val="18"/>
              </w:rPr>
              <w:t>本年变动金额</w:t>
            </w:r>
            <w:r>
              <w:rPr>
                <w:rFonts w:ascii="宋体" w:hAnsi="宋体" w:cs="宋体" w:eastAsia="宋体" w:hint="default"/>
                <w:sz w:val="18"/>
                <w:szCs w:val="18"/>
              </w:rPr>
            </w:r>
          </w:p>
        </w:tc>
        <w:tc>
          <w:tcPr>
            <w:tcW w:w="1769" w:type="dxa"/>
            <w:vMerge w:val="restart"/>
            <w:tcBorders>
              <w:top w:val="single" w:sz="12" w:space="0" w:color="000000"/>
              <w:left w:val="single" w:sz="2" w:space="0" w:color="000000"/>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45" w:hRule="exact"/>
        </w:trPr>
        <w:tc>
          <w:tcPr>
            <w:tcW w:w="877" w:type="dxa"/>
            <w:vMerge/>
            <w:tcBorders>
              <w:left w:val="nil" w:sz="6" w:space="0" w:color="auto"/>
              <w:bottom w:val="single" w:sz="2" w:space="0" w:color="000000"/>
              <w:right w:val="single" w:sz="2" w:space="0" w:color="000000"/>
            </w:tcBorders>
          </w:tcPr>
          <w:p>
            <w:pPr/>
          </w:p>
        </w:tc>
        <w:tc>
          <w:tcPr>
            <w:tcW w:w="1769" w:type="dxa"/>
            <w:vMerge/>
            <w:tcBorders>
              <w:left w:val="single" w:sz="2" w:space="0" w:color="000000"/>
              <w:bottom w:val="single" w:sz="2" w:space="0" w:color="000000"/>
              <w:right w:val="single" w:sz="2" w:space="0" w:color="000000"/>
            </w:tcBorders>
          </w:tcPr>
          <w:p>
            <w:pPr/>
          </w:p>
        </w:tc>
        <w:tc>
          <w:tcPr>
            <w:tcW w:w="16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left="1" w:right="0"/>
              <w:jc w:val="center"/>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13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left="208" w:right="0"/>
              <w:jc w:val="left"/>
              <w:rPr>
                <w:rFonts w:ascii="宋体" w:hAnsi="宋体" w:cs="宋体" w:eastAsia="宋体" w:hint="default"/>
                <w:sz w:val="18"/>
                <w:szCs w:val="18"/>
              </w:rPr>
            </w:pPr>
            <w:r>
              <w:rPr>
                <w:rFonts w:ascii="宋体" w:hAnsi="宋体" w:cs="宋体" w:eastAsia="宋体" w:hint="default"/>
                <w:b/>
                <w:bCs/>
                <w:sz w:val="18"/>
                <w:szCs w:val="18"/>
              </w:rPr>
              <w:t>收回或转回</w:t>
            </w:r>
            <w:r>
              <w:rPr>
                <w:rFonts w:ascii="宋体" w:hAnsi="宋体" w:cs="宋体" w:eastAsia="宋体" w:hint="default"/>
                <w:sz w:val="18"/>
                <w:szCs w:val="18"/>
              </w:rPr>
            </w:r>
          </w:p>
        </w:tc>
        <w:tc>
          <w:tcPr>
            <w:tcW w:w="13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left="208" w:right="0"/>
              <w:jc w:val="left"/>
              <w:rPr>
                <w:rFonts w:ascii="宋体" w:hAnsi="宋体" w:cs="宋体" w:eastAsia="宋体" w:hint="default"/>
                <w:sz w:val="18"/>
                <w:szCs w:val="18"/>
              </w:rPr>
            </w:pPr>
            <w:r>
              <w:rPr>
                <w:rFonts w:ascii="宋体" w:hAnsi="宋体" w:cs="宋体" w:eastAsia="宋体" w:hint="default"/>
                <w:b/>
                <w:bCs/>
                <w:sz w:val="18"/>
                <w:szCs w:val="18"/>
              </w:rPr>
              <w:t>转销或核销</w:t>
            </w:r>
            <w:r>
              <w:rPr>
                <w:rFonts w:ascii="宋体" w:hAnsi="宋体" w:cs="宋体" w:eastAsia="宋体" w:hint="default"/>
                <w:sz w:val="18"/>
                <w:szCs w:val="18"/>
              </w:rPr>
            </w:r>
          </w:p>
        </w:tc>
        <w:tc>
          <w:tcPr>
            <w:tcW w:w="1769" w:type="dxa"/>
            <w:vMerge/>
            <w:tcBorders>
              <w:left w:val="single" w:sz="2" w:space="0" w:color="000000"/>
              <w:bottom w:val="single" w:sz="2" w:space="0" w:color="000000"/>
              <w:right w:val="nil" w:sz="6" w:space="0" w:color="auto"/>
            </w:tcBorders>
          </w:tcPr>
          <w:p>
            <w:pPr/>
          </w:p>
        </w:tc>
      </w:tr>
      <w:tr>
        <w:trPr>
          <w:trHeight w:val="552" w:hRule="exact"/>
        </w:trPr>
        <w:tc>
          <w:tcPr>
            <w:tcW w:w="87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108" w:right="105"/>
              <w:jc w:val="left"/>
              <w:rPr>
                <w:rFonts w:ascii="宋体" w:hAnsi="宋体" w:cs="宋体" w:eastAsia="宋体" w:hint="default"/>
                <w:sz w:val="18"/>
                <w:szCs w:val="18"/>
              </w:rPr>
            </w:pPr>
            <w:r>
              <w:rPr>
                <w:rFonts w:ascii="宋体" w:hAnsi="宋体" w:cs="宋体" w:eastAsia="宋体" w:hint="default"/>
                <w:sz w:val="18"/>
                <w:szCs w:val="18"/>
              </w:rPr>
              <w:t>单 项</w:t>
            </w:r>
            <w:r>
              <w:rPr>
                <w:rFonts w:ascii="宋体" w:hAnsi="宋体" w:cs="宋体" w:eastAsia="宋体" w:hint="default"/>
                <w:spacing w:val="-60"/>
                <w:sz w:val="18"/>
                <w:szCs w:val="18"/>
              </w:rPr>
              <w:t> </w:t>
            </w:r>
            <w:r>
              <w:rPr>
                <w:rFonts w:ascii="宋体" w:hAnsi="宋体" w:cs="宋体" w:eastAsia="宋体" w:hint="default"/>
                <w:sz w:val="18"/>
                <w:szCs w:val="18"/>
              </w:rPr>
              <w:t>计</w:t>
            </w:r>
            <w:r>
              <w:rPr>
                <w:rFonts w:ascii="宋体" w:hAnsi="宋体" w:cs="宋体" w:eastAsia="宋体" w:hint="default"/>
                <w:sz w:val="18"/>
                <w:szCs w:val="18"/>
              </w:rPr>
              <w:t> 提</w:t>
            </w:r>
          </w:p>
        </w:tc>
        <w:tc>
          <w:tcPr>
            <w:tcW w:w="17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3"/>
              <w:jc w:val="right"/>
              <w:rPr>
                <w:rFonts w:ascii="宋体" w:hAnsi="宋体" w:cs="宋体" w:eastAsia="宋体" w:hint="default"/>
                <w:sz w:val="18"/>
                <w:szCs w:val="18"/>
              </w:rPr>
            </w:pPr>
            <w:r>
              <w:rPr>
                <w:rFonts w:ascii="宋体"/>
                <w:spacing w:val="-1"/>
                <w:sz w:val="18"/>
              </w:rPr>
              <w:t>1,350,293.03</w:t>
            </w:r>
          </w:p>
        </w:tc>
        <w:tc>
          <w:tcPr>
            <w:tcW w:w="16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20,494,087.76</w:t>
            </w:r>
          </w:p>
        </w:tc>
        <w:tc>
          <w:tcPr>
            <w:tcW w:w="1325" w:type="dxa"/>
            <w:tcBorders>
              <w:top w:val="single" w:sz="2" w:space="0" w:color="000000"/>
              <w:left w:val="single" w:sz="2" w:space="0" w:color="000000"/>
              <w:bottom w:val="single" w:sz="2" w:space="0" w:color="000000"/>
              <w:right w:val="single" w:sz="2" w:space="0" w:color="000000"/>
            </w:tcBorders>
          </w:tcPr>
          <w:p>
            <w:pPr/>
          </w:p>
        </w:tc>
        <w:tc>
          <w:tcPr>
            <w:tcW w:w="1325" w:type="dxa"/>
            <w:tcBorders>
              <w:top w:val="single" w:sz="2" w:space="0" w:color="000000"/>
              <w:left w:val="single" w:sz="2" w:space="0" w:color="000000"/>
              <w:bottom w:val="single" w:sz="2" w:space="0" w:color="000000"/>
              <w:right w:val="single" w:sz="2" w:space="0" w:color="000000"/>
            </w:tcBorders>
          </w:tcPr>
          <w:p>
            <w:pPr/>
          </w:p>
        </w:tc>
        <w:tc>
          <w:tcPr>
            <w:tcW w:w="176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105"/>
              <w:jc w:val="right"/>
              <w:rPr>
                <w:rFonts w:ascii="宋体" w:hAnsi="宋体" w:cs="宋体" w:eastAsia="宋体" w:hint="default"/>
                <w:sz w:val="18"/>
                <w:szCs w:val="18"/>
              </w:rPr>
            </w:pPr>
            <w:r>
              <w:rPr>
                <w:rFonts w:ascii="宋体"/>
                <w:spacing w:val="-1"/>
                <w:sz w:val="18"/>
              </w:rPr>
              <w:t>21,844,380.79</w:t>
            </w:r>
          </w:p>
        </w:tc>
      </w:tr>
      <w:tr>
        <w:trPr>
          <w:trHeight w:val="552" w:hRule="exact"/>
        </w:trPr>
        <w:tc>
          <w:tcPr>
            <w:tcW w:w="8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9"/>
              <w:ind w:left="108" w:right="105"/>
              <w:jc w:val="left"/>
              <w:rPr>
                <w:rFonts w:ascii="宋体" w:hAnsi="宋体" w:cs="宋体" w:eastAsia="宋体" w:hint="default"/>
                <w:sz w:val="18"/>
                <w:szCs w:val="18"/>
              </w:rPr>
            </w:pPr>
            <w:r>
              <w:rPr>
                <w:rFonts w:ascii="宋体" w:hAnsi="宋体" w:cs="宋体" w:eastAsia="宋体" w:hint="default"/>
                <w:sz w:val="18"/>
                <w:szCs w:val="18"/>
              </w:rPr>
              <w:t>账 龄</w:t>
            </w:r>
            <w:r>
              <w:rPr>
                <w:rFonts w:ascii="宋体" w:hAnsi="宋体" w:cs="宋体" w:eastAsia="宋体" w:hint="default"/>
                <w:spacing w:val="-60"/>
                <w:sz w:val="18"/>
                <w:szCs w:val="18"/>
              </w:rPr>
              <w:t> </w:t>
            </w:r>
            <w:r>
              <w:rPr>
                <w:rFonts w:ascii="宋体" w:hAnsi="宋体" w:cs="宋体" w:eastAsia="宋体" w:hint="default"/>
                <w:sz w:val="18"/>
                <w:szCs w:val="18"/>
              </w:rPr>
              <w:t>组</w:t>
            </w:r>
            <w:r>
              <w:rPr>
                <w:rFonts w:ascii="宋体" w:hAnsi="宋体" w:cs="宋体" w:eastAsia="宋体" w:hint="default"/>
                <w:sz w:val="18"/>
                <w:szCs w:val="18"/>
              </w:rPr>
              <w:t> 合计提</w:t>
            </w:r>
          </w:p>
        </w:tc>
        <w:tc>
          <w:tcPr>
            <w:tcW w:w="17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3"/>
              <w:jc w:val="right"/>
              <w:rPr>
                <w:rFonts w:ascii="宋体" w:hAnsi="宋体" w:cs="宋体" w:eastAsia="宋体" w:hint="default"/>
                <w:sz w:val="18"/>
                <w:szCs w:val="18"/>
              </w:rPr>
            </w:pPr>
            <w:r>
              <w:rPr>
                <w:rFonts w:ascii="宋体"/>
                <w:spacing w:val="-1"/>
                <w:sz w:val="18"/>
              </w:rPr>
              <w:t>141,350,578.56</w:t>
            </w:r>
          </w:p>
        </w:tc>
        <w:tc>
          <w:tcPr>
            <w:tcW w:w="16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8,969,440.83</w:t>
            </w:r>
          </w:p>
        </w:tc>
        <w:tc>
          <w:tcPr>
            <w:tcW w:w="13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919,381.80</w:t>
            </w:r>
          </w:p>
        </w:tc>
        <w:tc>
          <w:tcPr>
            <w:tcW w:w="132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3"/>
              <w:jc w:val="right"/>
              <w:rPr>
                <w:rFonts w:ascii="宋体" w:hAnsi="宋体" w:cs="宋体" w:eastAsia="宋体" w:hint="default"/>
                <w:sz w:val="18"/>
                <w:szCs w:val="18"/>
              </w:rPr>
            </w:pPr>
            <w:r>
              <w:rPr>
                <w:rFonts w:ascii="宋体"/>
                <w:spacing w:val="-1"/>
                <w:sz w:val="18"/>
              </w:rPr>
              <w:t>120,656.34</w:t>
            </w:r>
          </w:p>
        </w:tc>
        <w:tc>
          <w:tcPr>
            <w:tcW w:w="176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105"/>
              <w:jc w:val="right"/>
              <w:rPr>
                <w:rFonts w:ascii="宋体" w:hAnsi="宋体" w:cs="宋体" w:eastAsia="宋体" w:hint="default"/>
                <w:sz w:val="18"/>
                <w:szCs w:val="18"/>
              </w:rPr>
            </w:pPr>
            <w:r>
              <w:rPr>
                <w:rFonts w:ascii="宋体"/>
                <w:spacing w:val="-1"/>
                <w:sz w:val="18"/>
              </w:rPr>
              <w:t>149,279,981.25</w:t>
            </w:r>
          </w:p>
        </w:tc>
      </w:tr>
      <w:tr>
        <w:trPr>
          <w:trHeight w:val="414" w:hRule="exact"/>
        </w:trPr>
        <w:tc>
          <w:tcPr>
            <w:tcW w:w="877" w:type="dxa"/>
            <w:tcBorders>
              <w:top w:val="single" w:sz="2" w:space="0" w:color="000000"/>
              <w:left w:val="nil" w:sz="6" w:space="0" w:color="auto"/>
              <w:bottom w:val="single" w:sz="6" w:space="0" w:color="000000"/>
              <w:right w:val="single" w:sz="2" w:space="0" w:color="000000"/>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6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sz w:val="18"/>
              </w:rPr>
              <w:t>142,700,871.59</w:t>
            </w:r>
            <w:r>
              <w:rPr>
                <w:rFonts w:ascii="宋体"/>
                <w:sz w:val="18"/>
              </w:rPr>
            </w:r>
          </w:p>
        </w:tc>
        <w:tc>
          <w:tcPr>
            <w:tcW w:w="16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0"/>
              <w:jc w:val="right"/>
              <w:rPr>
                <w:rFonts w:ascii="宋体" w:hAnsi="宋体" w:cs="宋体" w:eastAsia="宋体" w:hint="default"/>
                <w:sz w:val="18"/>
                <w:szCs w:val="18"/>
              </w:rPr>
            </w:pPr>
            <w:r>
              <w:rPr>
                <w:rFonts w:ascii="宋体"/>
                <w:b/>
                <w:w w:val="95"/>
                <w:sz w:val="18"/>
              </w:rPr>
              <w:t>29,463,528.59</w:t>
            </w:r>
            <w:r>
              <w:rPr>
                <w:rFonts w:ascii="宋体"/>
                <w:sz w:val="18"/>
              </w:rPr>
            </w:r>
          </w:p>
        </w:tc>
        <w:tc>
          <w:tcPr>
            <w:tcW w:w="132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919,381.80</w:t>
            </w:r>
            <w:r>
              <w:rPr>
                <w:rFonts w:ascii="宋体"/>
                <w:sz w:val="18"/>
              </w:rPr>
            </w:r>
          </w:p>
        </w:tc>
        <w:tc>
          <w:tcPr>
            <w:tcW w:w="132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120,656.34</w:t>
            </w:r>
            <w:r>
              <w:rPr>
                <w:rFonts w:ascii="宋体"/>
                <w:sz w:val="18"/>
              </w:rPr>
            </w:r>
          </w:p>
        </w:tc>
        <w:tc>
          <w:tcPr>
            <w:tcW w:w="176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171,124,362.04</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66" w:right="1445"/>
        <w:jc w:val="left"/>
      </w:pPr>
      <w:r>
        <w:rPr>
          <w:spacing w:val="-2"/>
        </w:rPr>
        <w:t>（</w:t>
      </w:r>
      <w:r>
        <w:rPr>
          <w:rFonts w:ascii="Times New Roman" w:hAnsi="Times New Roman" w:cs="Times New Roman" w:eastAsia="Times New Roman" w:hint="default"/>
          <w:spacing w:val="-2"/>
        </w:rPr>
        <w:t>4</w:t>
      </w:r>
      <w:r>
        <w:rPr>
          <w:spacing w:val="-2"/>
        </w:rPr>
        <w:t>）</w:t>
      </w:r>
      <w:r>
        <w:rPr>
          <w:spacing w:val="-66"/>
        </w:rPr>
        <w:t> </w:t>
      </w:r>
      <w:bookmarkStart w:name="（4）本年度实际核销的应收账款" w:id="243"/>
      <w:bookmarkEnd w:id="243"/>
      <w:r>
        <w:rPr>
          <w:spacing w:val="-2"/>
        </w:rPr>
        <w:t>本</w:t>
      </w:r>
      <w:r>
        <w:rPr>
          <w:spacing w:val="-2"/>
        </w:rPr>
        <w:t>年度实际核销的应收账款</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4536"/>
        <w:gridCol w:w="4187"/>
      </w:tblGrid>
      <w:tr>
        <w:trPr>
          <w:trHeight w:val="478" w:hRule="exact"/>
        </w:trPr>
        <w:tc>
          <w:tcPr>
            <w:tcW w:w="453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9"/>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18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84"/>
              <w:ind w:right="0"/>
              <w:jc w:val="center"/>
              <w:rPr>
                <w:rFonts w:ascii="宋体" w:hAnsi="宋体" w:cs="宋体" w:eastAsia="宋体" w:hint="default"/>
                <w:sz w:val="18"/>
                <w:szCs w:val="18"/>
              </w:rPr>
            </w:pPr>
            <w:r>
              <w:rPr>
                <w:rFonts w:ascii="宋体" w:hAnsi="宋体" w:cs="宋体" w:eastAsia="宋体" w:hint="default"/>
                <w:b/>
                <w:bCs/>
                <w:sz w:val="18"/>
                <w:szCs w:val="18"/>
              </w:rPr>
              <w:t>核销金额</w:t>
            </w:r>
            <w:r>
              <w:rPr>
                <w:rFonts w:ascii="宋体" w:hAnsi="宋体" w:cs="宋体" w:eastAsia="宋体" w:hint="default"/>
                <w:sz w:val="18"/>
                <w:szCs w:val="18"/>
              </w:rPr>
            </w:r>
          </w:p>
        </w:tc>
      </w:tr>
      <w:tr>
        <w:trPr>
          <w:trHeight w:val="414" w:hRule="exact"/>
        </w:trPr>
        <w:tc>
          <w:tcPr>
            <w:tcW w:w="453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18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120,656.34</w:t>
            </w:r>
          </w:p>
        </w:tc>
      </w:tr>
    </w:tbl>
    <w:p>
      <w:pPr>
        <w:spacing w:line="240" w:lineRule="auto" w:before="0"/>
        <w:rPr>
          <w:rFonts w:ascii="宋体" w:hAnsi="宋体" w:cs="宋体" w:eastAsia="宋体" w:hint="default"/>
          <w:sz w:val="9"/>
          <w:szCs w:val="9"/>
        </w:rPr>
      </w:pPr>
    </w:p>
    <w:p>
      <w:pPr>
        <w:pStyle w:val="BodyText"/>
        <w:spacing w:line="240" w:lineRule="auto"/>
        <w:ind w:left="666" w:right="1445"/>
        <w:jc w:val="left"/>
      </w:pPr>
      <w:r>
        <w:rPr>
          <w:spacing w:val="-2"/>
        </w:rPr>
        <w:t>（</w:t>
      </w:r>
      <w:r>
        <w:rPr>
          <w:rFonts w:ascii="Times New Roman" w:hAnsi="Times New Roman" w:cs="Times New Roman" w:eastAsia="Times New Roman" w:hint="default"/>
          <w:spacing w:val="-2"/>
        </w:rPr>
        <w:t>5</w:t>
      </w:r>
      <w:r>
        <w:rPr>
          <w:spacing w:val="-2"/>
        </w:rPr>
        <w:t>）</w:t>
      </w:r>
      <w:r>
        <w:rPr>
          <w:spacing w:val="-54"/>
        </w:rPr>
        <w:t> </w:t>
      </w:r>
      <w:bookmarkStart w:name="（5）按欠款方归集的年末余额前五名的应收账款情况" w:id="244"/>
      <w:bookmarkEnd w:id="244"/>
      <w:r>
        <w:rPr>
          <w:spacing w:val="-2"/>
        </w:rPr>
        <w:t>按</w:t>
      </w:r>
      <w:r>
        <w:rPr>
          <w:spacing w:val="-2"/>
        </w:rPr>
        <w:t>欠款方归集的年末余额前五名的应收账款情况</w:t>
      </w:r>
    </w:p>
    <w:p>
      <w:pPr>
        <w:spacing w:line="240" w:lineRule="auto" w:before="2"/>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240"/>
        <w:gridCol w:w="2128"/>
        <w:gridCol w:w="1675"/>
        <w:gridCol w:w="1586"/>
        <w:gridCol w:w="2094"/>
      </w:tblGrid>
      <w:tr>
        <w:trPr>
          <w:trHeight w:val="798" w:hRule="exact"/>
        </w:trPr>
        <w:tc>
          <w:tcPr>
            <w:tcW w:w="12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212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0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67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1586"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6"/>
              <w:ind w:left="160" w:right="153"/>
              <w:jc w:val="center"/>
              <w:rPr>
                <w:rFonts w:ascii="宋体" w:hAnsi="宋体" w:cs="宋体" w:eastAsia="宋体" w:hint="default"/>
                <w:sz w:val="18"/>
                <w:szCs w:val="18"/>
              </w:rPr>
            </w:pPr>
            <w:r>
              <w:rPr>
                <w:rFonts w:ascii="宋体" w:hAnsi="宋体" w:cs="宋体" w:eastAsia="宋体" w:hint="default"/>
                <w:b/>
                <w:bCs/>
                <w:sz w:val="18"/>
                <w:szCs w:val="18"/>
              </w:rPr>
              <w:t>占应收账款年末</w:t>
            </w:r>
            <w:r>
              <w:rPr>
                <w:rFonts w:ascii="宋体" w:hAnsi="宋体" w:cs="宋体" w:eastAsia="宋体" w:hint="default"/>
                <w:b/>
                <w:bCs/>
                <w:w w:val="99"/>
                <w:sz w:val="18"/>
                <w:szCs w:val="18"/>
              </w:rPr>
              <w:t> </w:t>
            </w:r>
            <w:r>
              <w:rPr>
                <w:rFonts w:ascii="宋体" w:hAnsi="宋体" w:cs="宋体" w:eastAsia="宋体" w:hint="default"/>
                <w:b/>
                <w:bCs/>
                <w:sz w:val="18"/>
                <w:szCs w:val="18"/>
              </w:rPr>
              <w:t>余额合计数的比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2094"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24" w:right="0"/>
              <w:jc w:val="left"/>
              <w:rPr>
                <w:rFonts w:ascii="宋体" w:hAnsi="宋体" w:cs="宋体" w:eastAsia="宋体" w:hint="default"/>
                <w:sz w:val="18"/>
                <w:szCs w:val="18"/>
              </w:rPr>
            </w:pPr>
            <w:r>
              <w:rPr>
                <w:rFonts w:ascii="宋体" w:hAnsi="宋体" w:cs="宋体" w:eastAsia="宋体" w:hint="default"/>
                <w:b/>
                <w:bCs/>
                <w:sz w:val="18"/>
                <w:szCs w:val="18"/>
              </w:rPr>
              <w:t>坏账准备年末余额</w:t>
            </w:r>
            <w:r>
              <w:rPr>
                <w:rFonts w:ascii="宋体" w:hAnsi="宋体" w:cs="宋体" w:eastAsia="宋体" w:hint="default"/>
                <w:sz w:val="18"/>
                <w:szCs w:val="18"/>
              </w:rPr>
            </w: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71,653,027.63</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2.41</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716,530.28</w:t>
            </w: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B</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59,112,805.99</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1.99</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591,128.06</w:t>
            </w: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C</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48,504,582.24</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1.63</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485,045.82</w:t>
            </w:r>
          </w:p>
        </w:tc>
      </w:tr>
      <w:tr>
        <w:trPr>
          <w:trHeight w:val="55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08" w:right="0"/>
              <w:jc w:val="left"/>
              <w:rPr>
                <w:rFonts w:ascii="宋体" w:hAnsi="宋体" w:cs="宋体" w:eastAsia="宋体" w:hint="default"/>
                <w:sz w:val="18"/>
                <w:szCs w:val="18"/>
              </w:rPr>
            </w:pPr>
            <w:r>
              <w:rPr>
                <w:rFonts w:ascii="宋体" w:hAnsi="宋体" w:cs="宋体" w:eastAsia="宋体" w:hint="default"/>
                <w:sz w:val="18"/>
                <w:szCs w:val="18"/>
              </w:rPr>
              <w:t>D</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44,813,912.40</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34" w:lineRule="exact" w:before="11"/>
              <w:ind w:left="7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年以内、1-2</w:t>
            </w:r>
            <w:r>
              <w:rPr>
                <w:rFonts w:ascii="宋体" w:hAnsi="宋体" w:cs="宋体" w:eastAsia="宋体" w:hint="default"/>
                <w:spacing w:val="-45"/>
                <w:sz w:val="18"/>
                <w:szCs w:val="18"/>
              </w:rPr>
              <w:t> </w:t>
            </w:r>
            <w:r>
              <w:rPr>
                <w:rFonts w:ascii="宋体" w:hAnsi="宋体" w:cs="宋体" w:eastAsia="宋体" w:hint="default"/>
                <w:sz w:val="18"/>
                <w:szCs w:val="18"/>
              </w:rPr>
              <w:t>年、</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z w:val="18"/>
              </w:rPr>
              <w:t>1.50</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105"/>
              <w:jc w:val="right"/>
              <w:rPr>
                <w:rFonts w:ascii="宋体" w:hAnsi="宋体" w:cs="宋体" w:eastAsia="宋体" w:hint="default"/>
                <w:sz w:val="18"/>
                <w:szCs w:val="18"/>
              </w:rPr>
            </w:pPr>
            <w:r>
              <w:rPr>
                <w:rFonts w:ascii="宋体"/>
                <w:spacing w:val="-1"/>
                <w:sz w:val="18"/>
              </w:rPr>
              <w:t>448,502.02</w:t>
            </w: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E</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44,122,383.24</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1.48</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441,223.83</w:t>
            </w:r>
          </w:p>
        </w:tc>
      </w:tr>
      <w:tr>
        <w:trPr>
          <w:trHeight w:val="414" w:hRule="exact"/>
        </w:trPr>
        <w:tc>
          <w:tcPr>
            <w:tcW w:w="12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2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0"/>
              <w:jc w:val="right"/>
              <w:rPr>
                <w:rFonts w:ascii="宋体" w:hAnsi="宋体" w:cs="宋体" w:eastAsia="宋体" w:hint="default"/>
                <w:sz w:val="18"/>
                <w:szCs w:val="18"/>
              </w:rPr>
            </w:pPr>
            <w:r>
              <w:rPr>
                <w:rFonts w:ascii="宋体"/>
                <w:b/>
                <w:sz w:val="18"/>
              </w:rPr>
              <w:t>268,206,711.50</w:t>
            </w:r>
            <w:r>
              <w:rPr>
                <w:rFonts w:ascii="宋体"/>
                <w:sz w:val="18"/>
              </w:rPr>
            </w:r>
          </w:p>
        </w:tc>
        <w:tc>
          <w:tcPr>
            <w:tcW w:w="167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b/>
                <w:sz w:val="18"/>
              </w:rPr>
              <w:t>--</w:t>
            </w:r>
            <w:r>
              <w:rPr>
                <w:rFonts w:ascii="宋体"/>
                <w:sz w:val="18"/>
              </w:rPr>
            </w:r>
          </w:p>
        </w:tc>
        <w:tc>
          <w:tcPr>
            <w:tcW w:w="158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b/>
                <w:sz w:val="18"/>
              </w:rPr>
              <w:t>9.01</w:t>
            </w:r>
            <w:r>
              <w:rPr>
                <w:rFonts w:ascii="宋体"/>
                <w:sz w:val="18"/>
              </w:rPr>
            </w:r>
          </w:p>
        </w:tc>
        <w:tc>
          <w:tcPr>
            <w:tcW w:w="2094"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6"/>
              <w:jc w:val="right"/>
              <w:rPr>
                <w:rFonts w:ascii="宋体" w:hAnsi="宋体" w:cs="宋体" w:eastAsia="宋体" w:hint="default"/>
                <w:sz w:val="18"/>
                <w:szCs w:val="18"/>
              </w:rPr>
            </w:pPr>
            <w:r>
              <w:rPr>
                <w:rFonts w:ascii="宋体"/>
                <w:b/>
                <w:w w:val="95"/>
                <w:sz w:val="18"/>
              </w:rPr>
              <w:t>2,682,430.01</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5.</w:t>
      </w:r>
      <w:r>
        <w:rPr>
          <w:spacing w:val="62"/>
        </w:rPr>
        <w:t> </w:t>
      </w:r>
      <w:bookmarkStart w:name="5.应收款项融资" w:id="245"/>
      <w:bookmarkEnd w:id="245"/>
      <w:r>
        <w:rPr/>
        <w:t>应</w:t>
      </w:r>
      <w:r>
        <w:rPr/>
        <w:t>收款项融资</w:t>
      </w:r>
    </w:p>
    <w:p>
      <w:pPr>
        <w:spacing w:line="240" w:lineRule="auto" w:before="9"/>
        <w:rPr>
          <w:rFonts w:ascii="宋体" w:hAnsi="宋体" w:cs="宋体" w:eastAsia="宋体" w:hint="default"/>
          <w:sz w:val="18"/>
          <w:szCs w:val="18"/>
        </w:rPr>
      </w:pPr>
    </w:p>
    <w:p>
      <w:pPr>
        <w:pStyle w:val="BodyText"/>
        <w:spacing w:line="240" w:lineRule="auto" w:before="0"/>
        <w:ind w:left="680" w:right="1445"/>
        <w:jc w:val="left"/>
      </w:pPr>
      <w:r>
        <w:rPr/>
        <w:t>（</w:t>
      </w:r>
      <w:r>
        <w:rPr>
          <w:rFonts w:ascii="Times New Roman" w:hAnsi="Times New Roman" w:cs="Times New Roman" w:eastAsia="Times New Roman" w:hint="default"/>
        </w:rPr>
        <w:t>1</w:t>
      </w:r>
      <w:r>
        <w:rPr/>
        <w:t>）</w:t>
      </w:r>
      <w:bookmarkStart w:name="（1）分类列示" w:id="246"/>
      <w:bookmarkEnd w:id="246"/>
      <w:r>
        <w:rPr/>
        <w:t>分</w:t>
      </w:r>
      <w:r>
        <w:rPr/>
        <w:t>类列示</w:t>
      </w:r>
    </w:p>
    <w:p>
      <w:pPr>
        <w:spacing w:line="240" w:lineRule="auto" w:before="3"/>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3371"/>
        <w:gridCol w:w="2676"/>
        <w:gridCol w:w="2676"/>
      </w:tblGrid>
      <w:tr>
        <w:trPr>
          <w:trHeight w:val="415" w:hRule="exact"/>
        </w:trPr>
        <w:tc>
          <w:tcPr>
            <w:tcW w:w="337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信用等级较高的银行承兑汇票</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374,014,153.83</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310,347,258.87</w:t>
            </w:r>
          </w:p>
        </w:tc>
      </w:tr>
      <w:tr>
        <w:trPr>
          <w:trHeight w:val="414" w:hRule="exact"/>
        </w:trPr>
        <w:tc>
          <w:tcPr>
            <w:tcW w:w="337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sz w:val="18"/>
              </w:rPr>
              <w:t>374,014,153.83</w:t>
            </w:r>
            <w:r>
              <w:rPr>
                <w:rFonts w:ascii="宋体"/>
                <w:sz w:val="18"/>
              </w:rPr>
            </w:r>
          </w:p>
        </w:tc>
        <w:tc>
          <w:tcPr>
            <w:tcW w:w="267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310,347,258.87</w:t>
            </w:r>
            <w:r>
              <w:rPr>
                <w:rFonts w:ascii="宋体"/>
                <w:sz w:val="18"/>
              </w:rPr>
            </w:r>
          </w:p>
        </w:tc>
      </w:tr>
    </w:tbl>
    <w:p>
      <w:pPr>
        <w:spacing w:line="240" w:lineRule="auto" w:before="1"/>
        <w:rPr>
          <w:rFonts w:ascii="宋体" w:hAnsi="宋体" w:cs="宋体" w:eastAsia="宋体" w:hint="default"/>
          <w:sz w:val="13"/>
          <w:szCs w:val="13"/>
        </w:rPr>
      </w:pPr>
    </w:p>
    <w:p>
      <w:pPr>
        <w:pStyle w:val="BodyText"/>
        <w:spacing w:line="240" w:lineRule="auto"/>
        <w:ind w:left="680" w:right="1445"/>
        <w:jc w:val="left"/>
      </w:pPr>
      <w:r>
        <w:rPr/>
        <w:t>（</w:t>
      </w:r>
      <w:r>
        <w:rPr>
          <w:rFonts w:ascii="Times New Roman" w:hAnsi="Times New Roman" w:cs="Times New Roman" w:eastAsia="Times New Roman" w:hint="default"/>
        </w:rPr>
        <w:t>2</w:t>
      </w:r>
      <w:r>
        <w:rPr/>
        <w:t>）</w:t>
      </w:r>
      <w:bookmarkStart w:name="（2）年末已用于质押的应收票据" w:id="247"/>
      <w:bookmarkEnd w:id="247"/>
      <w:r>
        <w:rPr/>
        <w:t>年</w:t>
      </w:r>
      <w:r>
        <w:rPr/>
        <w:t>末已用于质押的应收票据</w:t>
      </w:r>
    </w:p>
    <w:p>
      <w:pPr>
        <w:spacing w:line="240" w:lineRule="auto" w:before="4"/>
        <w:rPr>
          <w:rFonts w:ascii="宋体" w:hAnsi="宋体" w:cs="宋体" w:eastAsia="宋体" w:hint="default"/>
          <w:sz w:val="15"/>
          <w:szCs w:val="15"/>
        </w:rPr>
      </w:pPr>
    </w:p>
    <w:p>
      <w:pPr>
        <w:spacing w:line="429" w:lineRule="exact"/>
        <w:ind w:left="128"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6.65pt;height:21.5pt;mso-position-horizontal-relative:char;mso-position-vertical-relative:line" coordorigin="0,0" coordsize="8733,430">
            <v:group style="position:absolute;left:5;top:5;width:8723;height:2" coordorigin="5,5" coordsize="8723,2">
              <v:shape style="position:absolute;left:5;top:5;width:8723;height:2" coordorigin="5,5" coordsize="8723,0" path="m5,5l8728,5e" filled="false" stroked="true" strokeweight=".48pt" strokecolor="#000000">
                <v:path arrowok="t"/>
              </v:shape>
            </v:group>
            <v:group style="position:absolute;left:5;top:24;width:8723;height:2" coordorigin="5,24" coordsize="8723,2">
              <v:shape style="position:absolute;left:5;top:24;width:8723;height:2" coordorigin="5,24" coordsize="8723,0" path="m5,24l8728,24e" filled="false" stroked="true" strokeweight=".48pt" strokecolor="#000000">
                <v:path arrowok="t"/>
              </v:shape>
            </v:group>
            <v:group style="position:absolute;left:5;top:427;width:8723;height:2" coordorigin="5,427" coordsize="8723,2">
              <v:shape style="position:absolute;left:5;top:427;width:8723;height:2" coordorigin="5,427" coordsize="8723,0" path="m5,427l8728,427e" filled="false" stroked="true" strokeweight=".24pt" strokecolor="#000000">
                <v:path arrowok="t"/>
              </v:shape>
            </v:group>
            <v:group style="position:absolute;left:6209;top:29;width:2;height:397" coordorigin="6209,29" coordsize="2,397">
              <v:shape style="position:absolute;left:6209;top:29;width:2;height:397" coordorigin="6209,29" coordsize="0,397" path="m6209,29l6209,425e" filled="false" stroked="true" strokeweight=".24pt" strokecolor="#000000">
                <v:path arrowok="t"/>
              </v:shape>
              <v:shape style="position:absolute;left:113;top: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项目</w:t>
                      </w:r>
                      <w:r>
                        <w:rPr>
                          <w:rFonts w:ascii="宋体" w:hAnsi="宋体" w:cs="宋体" w:eastAsia="宋体" w:hint="default"/>
                          <w:sz w:val="18"/>
                          <w:szCs w:val="18"/>
                        </w:rPr>
                      </w:r>
                    </w:p>
                  </w:txbxContent>
                </v:textbox>
                <w10:wrap type="none"/>
              </v:shape>
              <v:shape style="position:absolute;left:6838;top:137;width:12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年末已质押金额</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8"/>
          <w:sz w:val="20"/>
          <w:szCs w:val="20"/>
        </w:rPr>
      </w:r>
    </w:p>
    <w:p>
      <w:pPr>
        <w:spacing w:after="0" w:line="429" w:lineRule="exact"/>
        <w:rPr>
          <w:rFonts w:ascii="宋体" w:hAnsi="宋体" w:cs="宋体" w:eastAsia="宋体" w:hint="default"/>
          <w:sz w:val="20"/>
          <w:szCs w:val="20"/>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6204"/>
        <w:gridCol w:w="2519"/>
      </w:tblGrid>
      <w:tr>
        <w:trPr>
          <w:trHeight w:val="415" w:hRule="exact"/>
        </w:trPr>
        <w:tc>
          <w:tcPr>
            <w:tcW w:w="620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19"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26" w:right="0"/>
              <w:jc w:val="left"/>
              <w:rPr>
                <w:rFonts w:ascii="宋体" w:hAnsi="宋体" w:cs="宋体" w:eastAsia="宋体" w:hint="default"/>
                <w:sz w:val="18"/>
                <w:szCs w:val="18"/>
              </w:rPr>
            </w:pPr>
            <w:r>
              <w:rPr>
                <w:rFonts w:ascii="宋体" w:hAnsi="宋体" w:cs="宋体" w:eastAsia="宋体" w:hint="default"/>
                <w:b/>
                <w:bCs/>
                <w:sz w:val="18"/>
                <w:szCs w:val="18"/>
              </w:rPr>
              <w:t>年末已质押金额</w:t>
            </w:r>
            <w:r>
              <w:rPr>
                <w:rFonts w:ascii="宋体" w:hAnsi="宋体" w:cs="宋体" w:eastAsia="宋体" w:hint="default"/>
                <w:sz w:val="18"/>
                <w:szCs w:val="18"/>
              </w:rPr>
            </w:r>
          </w:p>
        </w:tc>
      </w:tr>
      <w:tr>
        <w:trPr>
          <w:trHeight w:val="402" w:hRule="exact"/>
        </w:trPr>
        <w:tc>
          <w:tcPr>
            <w:tcW w:w="620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信用等级较高的银行承兑汇票</w:t>
            </w:r>
          </w:p>
        </w:tc>
        <w:tc>
          <w:tcPr>
            <w:tcW w:w="251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234,042,323.33</w:t>
            </w:r>
          </w:p>
        </w:tc>
      </w:tr>
      <w:tr>
        <w:trPr>
          <w:trHeight w:val="414" w:hRule="exact"/>
        </w:trPr>
        <w:tc>
          <w:tcPr>
            <w:tcW w:w="620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1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234,042,323.33</w:t>
            </w:r>
            <w:r>
              <w:rPr>
                <w:rFonts w:ascii="宋体"/>
                <w:sz w:val="18"/>
              </w:rPr>
            </w:r>
          </w:p>
        </w:tc>
      </w:tr>
    </w:tbl>
    <w:p>
      <w:pPr>
        <w:spacing w:line="240" w:lineRule="auto" w:before="3"/>
        <w:rPr>
          <w:rFonts w:ascii="宋体" w:hAnsi="宋体" w:cs="宋体" w:eastAsia="宋体" w:hint="default"/>
          <w:sz w:val="13"/>
          <w:szCs w:val="13"/>
        </w:rPr>
      </w:pPr>
    </w:p>
    <w:p>
      <w:pPr>
        <w:pStyle w:val="BodyText"/>
        <w:spacing w:line="240" w:lineRule="auto"/>
        <w:ind w:left="680" w:right="1445"/>
        <w:jc w:val="left"/>
      </w:pPr>
      <w:r>
        <w:rPr/>
        <w:t>（</w:t>
      </w:r>
      <w:r>
        <w:rPr>
          <w:rFonts w:ascii="Times New Roman" w:hAnsi="Times New Roman" w:cs="Times New Roman" w:eastAsia="Times New Roman" w:hint="default"/>
        </w:rPr>
        <w:t>3</w:t>
      </w:r>
      <w:r>
        <w:rPr/>
        <w:t>）</w:t>
      </w:r>
      <w:bookmarkStart w:name="（3）年末已经背书或贴现且在资产负债表日尚未到期的应收票据" w:id="248"/>
      <w:bookmarkEnd w:id="248"/>
      <w:r>
        <w:rPr/>
        <w:t>年</w:t>
      </w:r>
      <w:r>
        <w:rPr/>
        <w:t>末已经背书或贴现且在资产负债表日尚未到期的应收票据</w:t>
      </w:r>
    </w:p>
    <w:p>
      <w:pPr>
        <w:spacing w:line="240" w:lineRule="auto" w:before="2"/>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3651"/>
        <w:gridCol w:w="2537"/>
        <w:gridCol w:w="2535"/>
      </w:tblGrid>
      <w:tr>
        <w:trPr>
          <w:trHeight w:val="415" w:hRule="exact"/>
        </w:trPr>
        <w:tc>
          <w:tcPr>
            <w:tcW w:w="365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3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544" w:right="0"/>
              <w:jc w:val="left"/>
              <w:rPr>
                <w:rFonts w:ascii="宋体" w:hAnsi="宋体" w:cs="宋体" w:eastAsia="宋体" w:hint="default"/>
                <w:sz w:val="18"/>
                <w:szCs w:val="18"/>
              </w:rPr>
            </w:pPr>
            <w:r>
              <w:rPr>
                <w:rFonts w:ascii="宋体" w:hAnsi="宋体" w:cs="宋体" w:eastAsia="宋体" w:hint="default"/>
                <w:b/>
                <w:bCs/>
                <w:sz w:val="18"/>
                <w:szCs w:val="18"/>
              </w:rPr>
              <w:t>年末终止确认金额</w:t>
            </w:r>
            <w:r>
              <w:rPr>
                <w:rFonts w:ascii="宋体" w:hAnsi="宋体" w:cs="宋体" w:eastAsia="宋体" w:hint="default"/>
                <w:sz w:val="18"/>
                <w:szCs w:val="18"/>
              </w:rPr>
            </w:r>
          </w:p>
        </w:tc>
        <w:tc>
          <w:tcPr>
            <w:tcW w:w="2535"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453" w:right="0"/>
              <w:jc w:val="left"/>
              <w:rPr>
                <w:rFonts w:ascii="宋体" w:hAnsi="宋体" w:cs="宋体" w:eastAsia="宋体" w:hint="default"/>
                <w:sz w:val="18"/>
                <w:szCs w:val="18"/>
              </w:rPr>
            </w:pPr>
            <w:r>
              <w:rPr>
                <w:rFonts w:ascii="宋体" w:hAnsi="宋体" w:cs="宋体" w:eastAsia="宋体" w:hint="default"/>
                <w:b/>
                <w:bCs/>
                <w:sz w:val="18"/>
                <w:szCs w:val="18"/>
              </w:rPr>
              <w:t>年末未终止确认金额</w:t>
            </w:r>
            <w:r>
              <w:rPr>
                <w:rFonts w:ascii="宋体" w:hAnsi="宋体" w:cs="宋体" w:eastAsia="宋体" w:hint="default"/>
                <w:sz w:val="18"/>
                <w:szCs w:val="18"/>
              </w:rPr>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信用等级较高的银行承兑汇票</w:t>
            </w:r>
          </w:p>
        </w:tc>
        <w:tc>
          <w:tcPr>
            <w:tcW w:w="253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1,117,936,510.88</w:t>
            </w:r>
          </w:p>
        </w:tc>
        <w:tc>
          <w:tcPr>
            <w:tcW w:w="2535"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365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3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0"/>
              <w:jc w:val="right"/>
              <w:rPr>
                <w:rFonts w:ascii="宋体" w:hAnsi="宋体" w:cs="宋体" w:eastAsia="宋体" w:hint="default"/>
                <w:sz w:val="18"/>
                <w:szCs w:val="18"/>
              </w:rPr>
            </w:pPr>
            <w:r>
              <w:rPr>
                <w:rFonts w:ascii="宋体"/>
                <w:b/>
                <w:w w:val="95"/>
                <w:sz w:val="18"/>
              </w:rPr>
              <w:t>1,117,936,510.88</w:t>
            </w:r>
            <w:r>
              <w:rPr>
                <w:rFonts w:ascii="宋体"/>
                <w:sz w:val="18"/>
              </w:rPr>
            </w:r>
          </w:p>
        </w:tc>
        <w:tc>
          <w:tcPr>
            <w:tcW w:w="2535" w:type="dxa"/>
            <w:tcBorders>
              <w:top w:val="single" w:sz="2" w:space="0" w:color="000000"/>
              <w:left w:val="single" w:sz="2"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6.</w:t>
      </w:r>
      <w:r>
        <w:rPr>
          <w:spacing w:val="64"/>
        </w:rPr>
        <w:t> </w:t>
      </w:r>
      <w:bookmarkStart w:name="6.预付款项" w:id="249"/>
      <w:bookmarkEnd w:id="249"/>
      <w:r>
        <w:rPr/>
        <w:t>预</w:t>
      </w:r>
      <w:r>
        <w:rPr/>
        <w:t>付款项</w:t>
      </w:r>
    </w:p>
    <w:p>
      <w:pPr>
        <w:pStyle w:val="BodyText"/>
        <w:spacing w:line="240" w:lineRule="auto" w:before="192"/>
        <w:ind w:left="644" w:right="1445"/>
        <w:jc w:val="left"/>
      </w:pPr>
      <w:r>
        <w:rPr/>
        <w:t>（</w:t>
      </w:r>
      <w:r>
        <w:rPr>
          <w:rFonts w:ascii="Times New Roman" w:hAnsi="Times New Roman" w:cs="Times New Roman" w:eastAsia="Times New Roman" w:hint="default"/>
        </w:rPr>
        <w:t>1</w:t>
      </w:r>
      <w:r>
        <w:rPr/>
        <w:t>）</w:t>
      </w:r>
      <w:r>
        <w:rPr>
          <w:spacing w:val="-70"/>
        </w:rPr>
        <w:t> </w:t>
      </w:r>
      <w:bookmarkStart w:name="（1）预付款项账龄" w:id="250"/>
      <w:bookmarkEnd w:id="250"/>
      <w:r>
        <w:rPr/>
        <w:t>预</w:t>
      </w:r>
      <w:r>
        <w:rPr/>
        <w:t>付款项账龄</w:t>
      </w:r>
    </w:p>
    <w:p>
      <w:pPr>
        <w:spacing w:line="240" w:lineRule="auto" w:before="0"/>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969"/>
        <w:gridCol w:w="1870"/>
        <w:gridCol w:w="1567"/>
        <w:gridCol w:w="1785"/>
        <w:gridCol w:w="1532"/>
      </w:tblGrid>
      <w:tr>
        <w:trPr>
          <w:trHeight w:val="415" w:hRule="exact"/>
        </w:trPr>
        <w:tc>
          <w:tcPr>
            <w:tcW w:w="1969"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437"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3317"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1969" w:type="dxa"/>
            <w:vMerge/>
            <w:tcBorders>
              <w:left w:val="nil" w:sz="6" w:space="0" w:color="auto"/>
              <w:bottom w:val="single" w:sz="2" w:space="0" w:color="000000"/>
              <w:right w:val="single" w:sz="2" w:space="0" w:color="000000"/>
            </w:tcBorders>
          </w:tcPr>
          <w:p>
            <w:pPr/>
          </w:p>
        </w:tc>
        <w:tc>
          <w:tcPr>
            <w:tcW w:w="18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464"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7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5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left="448"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402" w:hRule="exact"/>
        </w:trPr>
        <w:tc>
          <w:tcPr>
            <w:tcW w:w="19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8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68,723,217.42</w:t>
            </w:r>
          </w:p>
        </w:tc>
        <w:tc>
          <w:tcPr>
            <w:tcW w:w="1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87.31</w:t>
            </w:r>
          </w:p>
        </w:tc>
        <w:tc>
          <w:tcPr>
            <w:tcW w:w="17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72,624,078.65</w:t>
            </w:r>
          </w:p>
        </w:tc>
        <w:tc>
          <w:tcPr>
            <w:tcW w:w="15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89.70</w:t>
            </w:r>
          </w:p>
        </w:tc>
      </w:tr>
      <w:tr>
        <w:trPr>
          <w:trHeight w:val="402" w:hRule="exact"/>
        </w:trPr>
        <w:tc>
          <w:tcPr>
            <w:tcW w:w="19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18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3,781,667.76</w:t>
            </w:r>
          </w:p>
        </w:tc>
        <w:tc>
          <w:tcPr>
            <w:tcW w:w="1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z w:val="18"/>
              </w:rPr>
              <w:t>4.80</w:t>
            </w:r>
          </w:p>
        </w:tc>
        <w:tc>
          <w:tcPr>
            <w:tcW w:w="17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4,572,477.99</w:t>
            </w:r>
          </w:p>
        </w:tc>
        <w:tc>
          <w:tcPr>
            <w:tcW w:w="15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z w:val="18"/>
              </w:rPr>
              <w:t>5.65</w:t>
            </w:r>
          </w:p>
        </w:tc>
      </w:tr>
      <w:tr>
        <w:trPr>
          <w:trHeight w:val="402" w:hRule="exact"/>
        </w:trPr>
        <w:tc>
          <w:tcPr>
            <w:tcW w:w="19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18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2,849,147.05</w:t>
            </w:r>
          </w:p>
        </w:tc>
        <w:tc>
          <w:tcPr>
            <w:tcW w:w="1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z w:val="18"/>
              </w:rPr>
              <w:t>3.62</w:t>
            </w:r>
          </w:p>
        </w:tc>
        <w:tc>
          <w:tcPr>
            <w:tcW w:w="17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1,542,841.19</w:t>
            </w:r>
          </w:p>
        </w:tc>
        <w:tc>
          <w:tcPr>
            <w:tcW w:w="15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z w:val="18"/>
              </w:rPr>
              <w:t>1.91</w:t>
            </w:r>
          </w:p>
        </w:tc>
      </w:tr>
      <w:tr>
        <w:trPr>
          <w:trHeight w:val="402" w:hRule="exact"/>
        </w:trPr>
        <w:tc>
          <w:tcPr>
            <w:tcW w:w="19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8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3,362,868.28</w:t>
            </w:r>
          </w:p>
        </w:tc>
        <w:tc>
          <w:tcPr>
            <w:tcW w:w="1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z w:val="18"/>
              </w:rPr>
              <w:t>4.27</w:t>
            </w:r>
          </w:p>
        </w:tc>
        <w:tc>
          <w:tcPr>
            <w:tcW w:w="17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2,221,390.29</w:t>
            </w:r>
          </w:p>
        </w:tc>
        <w:tc>
          <w:tcPr>
            <w:tcW w:w="15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z w:val="18"/>
              </w:rPr>
              <w:t>2.74</w:t>
            </w:r>
          </w:p>
        </w:tc>
      </w:tr>
      <w:tr>
        <w:trPr>
          <w:trHeight w:val="414" w:hRule="exact"/>
        </w:trPr>
        <w:tc>
          <w:tcPr>
            <w:tcW w:w="196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7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78,716,900.51</w:t>
            </w:r>
            <w:r>
              <w:rPr>
                <w:rFonts w:ascii="宋体"/>
                <w:sz w:val="18"/>
              </w:rPr>
            </w:r>
          </w:p>
        </w:tc>
        <w:tc>
          <w:tcPr>
            <w:tcW w:w="156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8"/>
              <w:jc w:val="right"/>
              <w:rPr>
                <w:rFonts w:ascii="宋体" w:hAnsi="宋体" w:cs="宋体" w:eastAsia="宋体" w:hint="default"/>
                <w:sz w:val="18"/>
                <w:szCs w:val="18"/>
              </w:rPr>
            </w:pPr>
            <w:r>
              <w:rPr>
                <w:rFonts w:ascii="宋体"/>
                <w:b/>
                <w:sz w:val="18"/>
              </w:rPr>
              <w:t>100.00</w:t>
            </w:r>
            <w:r>
              <w:rPr>
                <w:rFonts w:ascii="宋体"/>
                <w:sz w:val="18"/>
              </w:rPr>
            </w:r>
          </w:p>
        </w:tc>
        <w:tc>
          <w:tcPr>
            <w:tcW w:w="178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w w:val="95"/>
                <w:sz w:val="18"/>
              </w:rPr>
              <w:t>80,960,788.12</w:t>
            </w:r>
            <w:r>
              <w:rPr>
                <w:rFonts w:ascii="宋体"/>
                <w:sz w:val="18"/>
              </w:rPr>
            </w:r>
          </w:p>
        </w:tc>
        <w:tc>
          <w:tcPr>
            <w:tcW w:w="153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100"/>
              <w:jc w:val="right"/>
              <w:rPr>
                <w:rFonts w:ascii="宋体" w:hAnsi="宋体" w:cs="宋体" w:eastAsia="宋体" w:hint="default"/>
                <w:sz w:val="18"/>
                <w:szCs w:val="18"/>
              </w:rPr>
            </w:pPr>
            <w:r>
              <w:rPr>
                <w:rFonts w:ascii="宋体"/>
                <w:b/>
                <w:sz w:val="18"/>
              </w:rPr>
              <w:t>100.00</w:t>
            </w:r>
            <w:r>
              <w:rPr>
                <w:rFonts w:ascii="宋体"/>
                <w:sz w:val="18"/>
              </w:rPr>
            </w:r>
          </w:p>
        </w:tc>
      </w:tr>
    </w:tbl>
    <w:p>
      <w:pPr>
        <w:spacing w:line="240" w:lineRule="auto" w:before="1"/>
        <w:rPr>
          <w:rFonts w:ascii="宋体" w:hAnsi="宋体" w:cs="宋体" w:eastAsia="宋体" w:hint="default"/>
          <w:sz w:val="13"/>
          <w:szCs w:val="13"/>
        </w:rPr>
      </w:pPr>
    </w:p>
    <w:p>
      <w:pPr>
        <w:pStyle w:val="BodyText"/>
        <w:spacing w:line="240" w:lineRule="auto"/>
        <w:ind w:left="644" w:right="1445"/>
        <w:jc w:val="left"/>
      </w:pPr>
      <w:r>
        <w:rPr>
          <w:spacing w:val="-2"/>
        </w:rPr>
        <w:t>（</w:t>
      </w:r>
      <w:r>
        <w:rPr>
          <w:rFonts w:ascii="Times New Roman" w:hAnsi="Times New Roman" w:cs="Times New Roman" w:eastAsia="Times New Roman" w:hint="default"/>
          <w:spacing w:val="-2"/>
        </w:rPr>
        <w:t>2</w:t>
      </w:r>
      <w:r>
        <w:rPr>
          <w:spacing w:val="-2"/>
        </w:rPr>
        <w:t>）</w:t>
      </w:r>
      <w:r>
        <w:rPr>
          <w:spacing w:val="-30"/>
        </w:rPr>
        <w:t> </w:t>
      </w:r>
      <w:bookmarkStart w:name="（2）按预付对象归集的年末余额前五名的预付款情况:" w:id="251"/>
      <w:bookmarkEnd w:id="251"/>
      <w:r>
        <w:rPr>
          <w:spacing w:val="-2"/>
        </w:rPr>
        <w:t>按</w:t>
      </w:r>
      <w:r>
        <w:rPr>
          <w:spacing w:val="-2"/>
        </w:rPr>
        <w:t>预付对象归集的年末余额前五名的预付款情况:</w:t>
      </w:r>
    </w:p>
    <w:p>
      <w:pPr>
        <w:spacing w:line="240" w:lineRule="auto" w:before="4"/>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2093"/>
        <w:gridCol w:w="2127"/>
        <w:gridCol w:w="2170"/>
        <w:gridCol w:w="2333"/>
      </w:tblGrid>
      <w:tr>
        <w:trPr>
          <w:trHeight w:val="565" w:hRule="exact"/>
        </w:trPr>
        <w:tc>
          <w:tcPr>
            <w:tcW w:w="209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7"/>
              <w:ind w:left="10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212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7"/>
              <w:ind w:left="701"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17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2333"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6"/>
              <w:ind w:left="669" w:right="166" w:hanging="495"/>
              <w:jc w:val="left"/>
              <w:rPr>
                <w:rFonts w:ascii="宋体" w:hAnsi="宋体" w:cs="宋体" w:eastAsia="宋体" w:hint="default"/>
                <w:sz w:val="18"/>
                <w:szCs w:val="18"/>
              </w:rPr>
            </w:pPr>
            <w:r>
              <w:rPr>
                <w:rFonts w:ascii="宋体" w:hAnsi="宋体" w:cs="宋体" w:eastAsia="宋体" w:hint="default"/>
                <w:b/>
                <w:bCs/>
                <w:sz w:val="18"/>
                <w:szCs w:val="18"/>
              </w:rPr>
              <w:t>占预付款项年末余额合计</w:t>
            </w:r>
            <w:r>
              <w:rPr>
                <w:rFonts w:ascii="宋体" w:hAnsi="宋体" w:cs="宋体" w:eastAsia="宋体" w:hint="default"/>
                <w:b/>
                <w:bCs/>
                <w:w w:val="99"/>
                <w:sz w:val="18"/>
                <w:szCs w:val="18"/>
              </w:rPr>
              <w:t> </w:t>
            </w:r>
            <w:r>
              <w:rPr>
                <w:rFonts w:ascii="宋体" w:hAnsi="宋体" w:cs="宋体" w:eastAsia="宋体" w:hint="default"/>
                <w:b/>
                <w:bCs/>
                <w:sz w:val="18"/>
                <w:szCs w:val="18"/>
              </w:rPr>
              <w:t>数的比例(%)</w:t>
            </w:r>
            <w:r>
              <w:rPr>
                <w:rFonts w:ascii="宋体" w:hAnsi="宋体" w:cs="宋体" w:eastAsia="宋体" w:hint="default"/>
                <w:sz w:val="18"/>
                <w:szCs w:val="18"/>
              </w:rPr>
            </w:r>
          </w:p>
        </w:tc>
      </w:tr>
      <w:tr>
        <w:trPr>
          <w:trHeight w:val="402" w:hRule="exact"/>
        </w:trPr>
        <w:tc>
          <w:tcPr>
            <w:tcW w:w="209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15,354,328.49</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23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19.51</w:t>
            </w:r>
          </w:p>
        </w:tc>
      </w:tr>
      <w:tr>
        <w:trPr>
          <w:trHeight w:val="402" w:hRule="exact"/>
        </w:trPr>
        <w:tc>
          <w:tcPr>
            <w:tcW w:w="209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B</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6,337,980.17</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74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23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z w:val="18"/>
              </w:rPr>
              <w:t>8.05</w:t>
            </w:r>
          </w:p>
        </w:tc>
      </w:tr>
      <w:tr>
        <w:trPr>
          <w:trHeight w:val="402" w:hRule="exact"/>
        </w:trPr>
        <w:tc>
          <w:tcPr>
            <w:tcW w:w="209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C</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3,405,932.93</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23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z w:val="18"/>
              </w:rPr>
              <w:t>4.33</w:t>
            </w:r>
          </w:p>
        </w:tc>
      </w:tr>
      <w:tr>
        <w:trPr>
          <w:trHeight w:val="402" w:hRule="exact"/>
        </w:trPr>
        <w:tc>
          <w:tcPr>
            <w:tcW w:w="209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D</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3,325,080.00</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74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23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z w:val="18"/>
              </w:rPr>
              <w:t>4.22</w:t>
            </w:r>
          </w:p>
        </w:tc>
      </w:tr>
      <w:tr>
        <w:trPr>
          <w:trHeight w:val="402" w:hRule="exact"/>
        </w:trPr>
        <w:tc>
          <w:tcPr>
            <w:tcW w:w="209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E</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3,156,359.39</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23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z w:val="18"/>
              </w:rPr>
              <w:t>4.01</w:t>
            </w:r>
          </w:p>
        </w:tc>
      </w:tr>
      <w:tr>
        <w:trPr>
          <w:trHeight w:val="414" w:hRule="exact"/>
        </w:trPr>
        <w:tc>
          <w:tcPr>
            <w:tcW w:w="209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0"/>
              <w:jc w:val="right"/>
              <w:rPr>
                <w:rFonts w:ascii="宋体" w:hAnsi="宋体" w:cs="宋体" w:eastAsia="宋体" w:hint="default"/>
                <w:sz w:val="18"/>
                <w:szCs w:val="18"/>
              </w:rPr>
            </w:pPr>
            <w:r>
              <w:rPr>
                <w:rFonts w:ascii="宋体"/>
                <w:b/>
                <w:w w:val="95"/>
                <w:sz w:val="18"/>
              </w:rPr>
              <w:t>31,579,680.98</w:t>
            </w:r>
            <w:r>
              <w:rPr>
                <w:rFonts w:ascii="宋体"/>
                <w:sz w:val="18"/>
              </w:rPr>
            </w:r>
          </w:p>
        </w:tc>
        <w:tc>
          <w:tcPr>
            <w:tcW w:w="217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b/>
                <w:w w:val="95"/>
                <w:sz w:val="18"/>
              </w:rPr>
              <w:t>--</w:t>
            </w:r>
            <w:r>
              <w:rPr>
                <w:rFonts w:ascii="宋体"/>
                <w:sz w:val="18"/>
              </w:rPr>
            </w:r>
          </w:p>
        </w:tc>
        <w:tc>
          <w:tcPr>
            <w:tcW w:w="233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100"/>
              <w:jc w:val="right"/>
              <w:rPr>
                <w:rFonts w:ascii="宋体" w:hAnsi="宋体" w:cs="宋体" w:eastAsia="宋体" w:hint="default"/>
                <w:sz w:val="18"/>
                <w:szCs w:val="18"/>
              </w:rPr>
            </w:pPr>
            <w:r>
              <w:rPr>
                <w:rFonts w:ascii="宋体"/>
                <w:b/>
                <w:sz w:val="18"/>
              </w:rPr>
              <w:t>40.12</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7.</w:t>
      </w:r>
      <w:r>
        <w:rPr>
          <w:spacing w:val="64"/>
        </w:rPr>
        <w:t> </w:t>
      </w:r>
      <w:bookmarkStart w:name="7.其他应收款" w:id="252"/>
      <w:bookmarkEnd w:id="252"/>
      <w:r>
        <w:rPr/>
        <w:t>其</w:t>
      </w:r>
      <w:r>
        <w:rPr/>
        <w:t>他应收款</w:t>
      </w:r>
    </w:p>
    <w:p>
      <w:pPr>
        <w:spacing w:line="240" w:lineRule="auto" w:before="5"/>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651"/>
        <w:gridCol w:w="2535"/>
        <w:gridCol w:w="2537"/>
      </w:tblGrid>
      <w:tr>
        <w:trPr>
          <w:trHeight w:val="415" w:hRule="exact"/>
        </w:trPr>
        <w:tc>
          <w:tcPr>
            <w:tcW w:w="365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3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53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535" w:type="dxa"/>
            <w:tcBorders>
              <w:top w:val="single" w:sz="2" w:space="0" w:color="000000"/>
              <w:left w:val="single" w:sz="2" w:space="0" w:color="000000"/>
              <w:bottom w:val="single" w:sz="2" w:space="0" w:color="000000"/>
              <w:right w:val="single" w:sz="2" w:space="0" w:color="000000"/>
            </w:tcBorders>
          </w:tcPr>
          <w:p>
            <w:pPr/>
          </w:p>
        </w:tc>
        <w:tc>
          <w:tcPr>
            <w:tcW w:w="253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535" w:type="dxa"/>
            <w:tcBorders>
              <w:top w:val="single" w:sz="2" w:space="0" w:color="000000"/>
              <w:left w:val="single" w:sz="2" w:space="0" w:color="000000"/>
              <w:bottom w:val="single" w:sz="2" w:space="0" w:color="000000"/>
              <w:right w:val="single" w:sz="2" w:space="0" w:color="000000"/>
            </w:tcBorders>
          </w:tcPr>
          <w:p>
            <w:pPr/>
          </w:p>
        </w:tc>
        <w:tc>
          <w:tcPr>
            <w:tcW w:w="2537" w:type="dxa"/>
            <w:tcBorders>
              <w:top w:val="single" w:sz="2" w:space="0" w:color="000000"/>
              <w:left w:val="single" w:sz="2" w:space="0" w:color="000000"/>
              <w:bottom w:val="single" w:sz="2" w:space="0" w:color="000000"/>
              <w:right w:val="nil" w:sz="6" w:space="0" w:color="auto"/>
            </w:tcBorders>
          </w:tcPr>
          <w:p>
            <w:pPr/>
          </w:p>
        </w:tc>
      </w:tr>
      <w:tr>
        <w:trPr>
          <w:trHeight w:val="400"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5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1163" w:right="0"/>
              <w:jc w:val="left"/>
              <w:rPr>
                <w:rFonts w:ascii="宋体" w:hAnsi="宋体" w:cs="宋体" w:eastAsia="宋体" w:hint="default"/>
                <w:sz w:val="18"/>
                <w:szCs w:val="18"/>
              </w:rPr>
            </w:pPr>
            <w:r>
              <w:rPr>
                <w:rFonts w:ascii="宋体"/>
                <w:sz w:val="18"/>
              </w:rPr>
              <w:t>134,394,748.62</w:t>
            </w:r>
          </w:p>
        </w:tc>
        <w:tc>
          <w:tcPr>
            <w:tcW w:w="253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0"/>
              <w:ind w:left="1165" w:right="0"/>
              <w:jc w:val="left"/>
              <w:rPr>
                <w:rFonts w:ascii="宋体" w:hAnsi="宋体" w:cs="宋体" w:eastAsia="宋体" w:hint="default"/>
                <w:sz w:val="18"/>
                <w:szCs w:val="18"/>
              </w:rPr>
            </w:pPr>
            <w:r>
              <w:rPr>
                <w:rFonts w:ascii="宋体"/>
                <w:sz w:val="18"/>
              </w:rPr>
              <w:t>149,917,811.56</w:t>
            </w:r>
          </w:p>
        </w:tc>
      </w:tr>
    </w:tbl>
    <w:p>
      <w:pPr>
        <w:spacing w:after="0" w:line="240" w:lineRule="auto"/>
        <w:jc w:val="left"/>
        <w:rPr>
          <w:rFonts w:ascii="宋体" w:hAnsi="宋体" w:cs="宋体" w:eastAsia="宋体" w:hint="default"/>
          <w:sz w:val="18"/>
          <w:szCs w:val="18"/>
        </w:rPr>
        <w:sectPr>
          <w:footerReference w:type="default" r:id="rId45"/>
          <w:pgSz w:w="11910" w:h="16840"/>
          <w:pgMar w:footer="883" w:header="939" w:top="1940" w:bottom="1080" w:left="1460" w:right="0"/>
          <w:pgNumType w:start="120"/>
        </w:sectPr>
      </w:pPr>
    </w:p>
    <w:p>
      <w:pPr>
        <w:spacing w:line="240" w:lineRule="auto" w:before="8"/>
        <w:rPr>
          <w:rFonts w:ascii="宋体" w:hAnsi="宋体" w:cs="宋体" w:eastAsia="宋体" w:hint="default"/>
          <w:sz w:val="11"/>
          <w:szCs w:val="11"/>
        </w:rPr>
      </w:pPr>
    </w:p>
    <w:p>
      <w:pPr>
        <w:spacing w:line="433" w:lineRule="exact"/>
        <w:ind w:left="128"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6.65pt;height:21.7pt;mso-position-horizontal-relative:char;mso-position-vertical-relative:line" coordorigin="0,0" coordsize="8733,434">
            <v:group style="position:absolute;left:5;top:5;width:8723;height:2" coordorigin="5,5" coordsize="8723,2">
              <v:shape style="position:absolute;left:5;top:5;width:8723;height:2" coordorigin="5,5" coordsize="8723,0" path="m5,5l8728,5e" filled="false" stroked="true" strokeweight=".24pt" strokecolor="#000000">
                <v:path arrowok="t"/>
              </v:shape>
            </v:group>
            <v:group style="position:absolute;left:5;top:409;width:8723;height:2" coordorigin="5,409" coordsize="8723,2">
              <v:shape style="position:absolute;left:5;top:409;width:8723;height:2" coordorigin="5,409" coordsize="8723,0" path="m5,409l8728,409e" filled="false" stroked="true" strokeweight=".48pt" strokecolor="#000000">
                <v:path arrowok="t"/>
              </v:shape>
            </v:group>
            <v:group style="position:absolute;left:5;top:428;width:8723;height:2" coordorigin="5,428" coordsize="8723,2">
              <v:shape style="position:absolute;left:5;top:428;width:8723;height:2" coordorigin="5,428" coordsize="8723,0" path="m5,428l8728,428e" filled="false" stroked="true" strokeweight=".48pt" strokecolor="#000000">
                <v:path arrowok="t"/>
              </v:shape>
            </v:group>
            <v:group style="position:absolute;left:3656;top:2;width:2;height:402" coordorigin="3656,2" coordsize="2,402">
              <v:shape style="position:absolute;left:3656;top:2;width:2;height:402" coordorigin="3656,2" coordsize="0,402" path="m3656,2l3656,404e" filled="false" stroked="true" strokeweight=".24pt" strokecolor="#000000">
                <v:path arrowok="t"/>
              </v:shape>
            </v:group>
            <v:group style="position:absolute;left:6191;top:2;width:2;height:402" coordorigin="6191,2" coordsize="2,402">
              <v:shape style="position:absolute;left:6191;top:2;width:2;height:402" coordorigin="6191,2" coordsize="0,402" path="m6191,2l6191,404e" filled="false" stroked="true" strokeweight=".24pt" strokecolor="#000000">
                <v:path arrowok="t"/>
              </v:shape>
              <v:shape style="position:absolute;left:3656;top:5;width:2535;height:414" type="#_x0000_t202" filled="false" stroked="false">
                <v:textbox inset="0,0,0,0">
                  <w:txbxContent>
                    <w:p>
                      <w:pPr>
                        <w:spacing w:before="55"/>
                        <w:ind w:left="1166" w:right="0" w:firstLine="0"/>
                        <w:jc w:val="left"/>
                        <w:rPr>
                          <w:rFonts w:ascii="宋体" w:hAnsi="宋体" w:cs="宋体" w:eastAsia="宋体" w:hint="default"/>
                          <w:sz w:val="18"/>
                          <w:szCs w:val="18"/>
                        </w:rPr>
                      </w:pPr>
                      <w:r>
                        <w:rPr>
                          <w:rFonts w:ascii="宋体"/>
                          <w:b/>
                          <w:sz w:val="18"/>
                        </w:rPr>
                        <w:t>134,394,748.62</w:t>
                      </w:r>
                      <w:r>
                        <w:rPr>
                          <w:rFonts w:ascii="宋体"/>
                          <w:sz w:val="18"/>
                        </w:rPr>
                      </w:r>
                    </w:p>
                  </w:txbxContent>
                </v:textbox>
                <w10:wrap type="none"/>
              </v:shape>
              <v:shape style="position:absolute;left:113;top:1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合计</w:t>
                      </w:r>
                      <w:r>
                        <w:rPr>
                          <w:rFonts w:ascii="宋体" w:hAnsi="宋体" w:cs="宋体" w:eastAsia="宋体" w:hint="default"/>
                          <w:sz w:val="18"/>
                          <w:szCs w:val="18"/>
                        </w:rPr>
                      </w:r>
                    </w:p>
                  </w:txbxContent>
                </v:textbox>
                <w10:wrap type="none"/>
              </v:shape>
              <v:shape style="position:absolute;left:7359;top:116;width:127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149,917,811.56</w:t>
                      </w:r>
                      <w:r>
                        <w:rPr>
                          <w:rFonts w:ascii="宋体"/>
                          <w:sz w:val="18"/>
                        </w:rPr>
                      </w:r>
                    </w:p>
                  </w:txbxContent>
                </v:textbox>
                <w10:wrap type="none"/>
              </v:shape>
            </v:group>
          </v:group>
        </w:pict>
      </w:r>
      <w:r>
        <w:rPr>
          <w:rFonts w:ascii="宋体" w:hAnsi="宋体" w:cs="宋体" w:eastAsia="宋体" w:hint="default"/>
          <w:position w:val="-8"/>
          <w:sz w:val="20"/>
          <w:szCs w:val="20"/>
        </w:rPr>
      </w:r>
    </w:p>
    <w:p>
      <w:pPr>
        <w:spacing w:line="240" w:lineRule="auto" w:before="4"/>
        <w:rPr>
          <w:rFonts w:ascii="宋体" w:hAnsi="宋体" w:cs="宋体" w:eastAsia="宋体" w:hint="default"/>
          <w:sz w:val="9"/>
          <w:szCs w:val="9"/>
        </w:rPr>
      </w:pPr>
    </w:p>
    <w:p>
      <w:pPr>
        <w:pStyle w:val="BodyText"/>
        <w:spacing w:line="240" w:lineRule="auto"/>
        <w:ind w:left="740" w:right="1445"/>
        <w:jc w:val="left"/>
      </w:pPr>
      <w:bookmarkStart w:name="7.1其他应收款" w:id="253"/>
      <w:bookmarkEnd w:id="253"/>
      <w:r>
        <w:rPr/>
      </w:r>
      <w:r>
        <w:rPr/>
        <w:t>7.1</w:t>
      </w:r>
      <w:r>
        <w:rPr>
          <w:spacing w:val="-59"/>
        </w:rPr>
        <w:t> </w:t>
      </w:r>
      <w:r>
        <w:rPr/>
        <w:t>其他应收款</w:t>
      </w:r>
    </w:p>
    <w:p>
      <w:pPr>
        <w:pStyle w:val="BodyText"/>
        <w:spacing w:line="240" w:lineRule="auto" w:before="192"/>
        <w:ind w:left="666" w:right="1445"/>
        <w:jc w:val="left"/>
      </w:pPr>
      <w:r>
        <w:rPr>
          <w:spacing w:val="-2"/>
        </w:rPr>
        <w:t>（</w:t>
      </w:r>
      <w:r>
        <w:rPr>
          <w:rFonts w:ascii="Times New Roman" w:hAnsi="Times New Roman" w:cs="Times New Roman" w:eastAsia="Times New Roman" w:hint="default"/>
          <w:spacing w:val="-2"/>
        </w:rPr>
        <w:t>1</w:t>
      </w:r>
      <w:r>
        <w:rPr>
          <w:spacing w:val="-2"/>
        </w:rPr>
        <w:t>）</w:t>
      </w:r>
      <w:r>
        <w:rPr>
          <w:spacing w:val="-66"/>
        </w:rPr>
        <w:t> </w:t>
      </w:r>
      <w:bookmarkStart w:name="（1）其他应收款按款项性质分类" w:id="254"/>
      <w:bookmarkEnd w:id="254"/>
      <w:r>
        <w:rPr>
          <w:spacing w:val="-2"/>
        </w:rPr>
        <w:t>其</w:t>
      </w:r>
      <w:r>
        <w:rPr>
          <w:spacing w:val="-2"/>
        </w:rPr>
        <w:t>他应收款按款项性质分类</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907"/>
        <w:gridCol w:w="2908"/>
        <w:gridCol w:w="2908"/>
      </w:tblGrid>
      <w:tr>
        <w:trPr>
          <w:trHeight w:val="415" w:hRule="exact"/>
        </w:trPr>
        <w:tc>
          <w:tcPr>
            <w:tcW w:w="290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912" w:right="0"/>
              <w:jc w:val="left"/>
              <w:rPr>
                <w:rFonts w:ascii="宋体" w:hAnsi="宋体" w:cs="宋体" w:eastAsia="宋体" w:hint="default"/>
                <w:sz w:val="18"/>
                <w:szCs w:val="18"/>
              </w:rPr>
            </w:pPr>
            <w:r>
              <w:rPr>
                <w:rFonts w:ascii="宋体" w:hAnsi="宋体" w:cs="宋体" w:eastAsia="宋体" w:hint="default"/>
                <w:b/>
                <w:bCs/>
                <w:sz w:val="18"/>
                <w:szCs w:val="18"/>
              </w:rPr>
              <w:t>年末账面余额</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910" w:right="0"/>
              <w:jc w:val="left"/>
              <w:rPr>
                <w:rFonts w:ascii="宋体" w:hAnsi="宋体" w:cs="宋体" w:eastAsia="宋体" w:hint="default"/>
                <w:sz w:val="18"/>
                <w:szCs w:val="18"/>
              </w:rPr>
            </w:pPr>
            <w:r>
              <w:rPr>
                <w:rFonts w:ascii="宋体" w:hAnsi="宋体" w:cs="宋体" w:eastAsia="宋体" w:hint="default"/>
                <w:b/>
                <w:bCs/>
                <w:sz w:val="18"/>
                <w:szCs w:val="18"/>
              </w:rPr>
              <w:t>年初账面余额</w:t>
            </w:r>
            <w:r>
              <w:rPr>
                <w:rFonts w:ascii="宋体" w:hAnsi="宋体" w:cs="宋体" w:eastAsia="宋体" w:hint="default"/>
                <w:sz w:val="18"/>
                <w:szCs w:val="18"/>
              </w:rPr>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61,707,020.01</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84,643,851.76</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52,505,580.07</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51,702,695.48</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单位往来</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26,451,844.14</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20,734,989.34</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7,772,359.40</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7,565,586.83</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6,527,129.41</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4,550,876.97</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代收代付款</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544,970.10</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222,662.05</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883,693.62</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934,772.83</w:t>
            </w:r>
          </w:p>
        </w:tc>
      </w:tr>
      <w:tr>
        <w:trPr>
          <w:trHeight w:val="414" w:hRule="exact"/>
        </w:trPr>
        <w:tc>
          <w:tcPr>
            <w:tcW w:w="290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90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4"/>
              <w:jc w:val="right"/>
              <w:rPr>
                <w:rFonts w:ascii="宋体" w:hAnsi="宋体" w:cs="宋体" w:eastAsia="宋体" w:hint="default"/>
                <w:sz w:val="18"/>
                <w:szCs w:val="18"/>
              </w:rPr>
            </w:pPr>
            <w:r>
              <w:rPr>
                <w:rFonts w:ascii="宋体"/>
                <w:b/>
                <w:w w:val="95"/>
                <w:sz w:val="18"/>
              </w:rPr>
              <w:t>156,392,596.75</w:t>
            </w:r>
            <w:r>
              <w:rPr>
                <w:rFonts w:ascii="宋体"/>
                <w:sz w:val="18"/>
              </w:rPr>
            </w:r>
          </w:p>
        </w:tc>
        <w:tc>
          <w:tcPr>
            <w:tcW w:w="290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7"/>
              <w:jc w:val="right"/>
              <w:rPr>
                <w:rFonts w:ascii="宋体" w:hAnsi="宋体" w:cs="宋体" w:eastAsia="宋体" w:hint="default"/>
                <w:sz w:val="18"/>
                <w:szCs w:val="18"/>
              </w:rPr>
            </w:pPr>
            <w:r>
              <w:rPr>
                <w:rFonts w:ascii="宋体"/>
                <w:b/>
                <w:w w:val="95"/>
                <w:sz w:val="18"/>
              </w:rPr>
              <w:t>170,355,435.26</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66" w:right="1445"/>
        <w:jc w:val="left"/>
      </w:pPr>
      <w:r>
        <w:rPr>
          <w:spacing w:val="-2"/>
        </w:rPr>
        <w:t>（</w:t>
      </w:r>
      <w:r>
        <w:rPr>
          <w:rFonts w:ascii="Times New Roman" w:hAnsi="Times New Roman" w:cs="Times New Roman" w:eastAsia="Times New Roman" w:hint="default"/>
          <w:spacing w:val="-2"/>
        </w:rPr>
        <w:t>2</w:t>
      </w:r>
      <w:r>
        <w:rPr>
          <w:spacing w:val="-2"/>
        </w:rPr>
        <w:t>）</w:t>
      </w:r>
      <w:r>
        <w:rPr>
          <w:spacing w:val="-64"/>
        </w:rPr>
        <w:t> </w:t>
      </w:r>
      <w:bookmarkStart w:name="（2）其他应收款坏账准备计提情况" w:id="255"/>
      <w:bookmarkEnd w:id="255"/>
      <w:r>
        <w:rPr>
          <w:spacing w:val="-2"/>
        </w:rPr>
        <w:t>其</w:t>
      </w:r>
      <w:r>
        <w:rPr>
          <w:spacing w:val="-2"/>
        </w:rPr>
        <w:t>他应收款坏账准备计提情况</w:t>
      </w:r>
    </w:p>
    <w:p>
      <w:pPr>
        <w:spacing w:line="240" w:lineRule="auto" w:before="13"/>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1925"/>
        <w:gridCol w:w="1645"/>
        <w:gridCol w:w="1718"/>
        <w:gridCol w:w="1718"/>
        <w:gridCol w:w="1717"/>
      </w:tblGrid>
      <w:tr>
        <w:trPr>
          <w:trHeight w:val="415" w:hRule="exact"/>
        </w:trPr>
        <w:tc>
          <w:tcPr>
            <w:tcW w:w="1925" w:type="dxa"/>
            <w:vMerge w:val="restart"/>
            <w:tcBorders>
              <w:top w:val="single" w:sz="12" w:space="0" w:color="000000"/>
              <w:left w:val="nil" w:sz="6" w:space="0" w:color="auto"/>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64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b/>
                <w:bCs/>
                <w:sz w:val="18"/>
                <w:szCs w:val="18"/>
              </w:rPr>
              <w:t>第一阶段</w:t>
            </w:r>
            <w:r>
              <w:rPr>
                <w:rFonts w:ascii="宋体" w:hAnsi="宋体" w:cs="宋体" w:eastAsia="宋体" w:hint="default"/>
                <w:sz w:val="18"/>
                <w:szCs w:val="18"/>
              </w:rPr>
            </w:r>
          </w:p>
        </w:tc>
        <w:tc>
          <w:tcPr>
            <w:tcW w:w="171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496" w:right="0"/>
              <w:jc w:val="left"/>
              <w:rPr>
                <w:rFonts w:ascii="宋体" w:hAnsi="宋体" w:cs="宋体" w:eastAsia="宋体" w:hint="default"/>
                <w:sz w:val="18"/>
                <w:szCs w:val="18"/>
              </w:rPr>
            </w:pPr>
            <w:r>
              <w:rPr>
                <w:rFonts w:ascii="宋体" w:hAnsi="宋体" w:cs="宋体" w:eastAsia="宋体" w:hint="default"/>
                <w:b/>
                <w:bCs/>
                <w:sz w:val="18"/>
                <w:szCs w:val="18"/>
              </w:rPr>
              <w:t>第二阶段</w:t>
            </w:r>
            <w:r>
              <w:rPr>
                <w:rFonts w:ascii="宋体" w:hAnsi="宋体" w:cs="宋体" w:eastAsia="宋体" w:hint="default"/>
                <w:sz w:val="18"/>
                <w:szCs w:val="18"/>
              </w:rPr>
            </w:r>
          </w:p>
        </w:tc>
        <w:tc>
          <w:tcPr>
            <w:tcW w:w="171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2" w:right="0"/>
              <w:jc w:val="center"/>
              <w:rPr>
                <w:rFonts w:ascii="宋体" w:hAnsi="宋体" w:cs="宋体" w:eastAsia="宋体" w:hint="default"/>
                <w:sz w:val="18"/>
                <w:szCs w:val="18"/>
              </w:rPr>
            </w:pPr>
            <w:r>
              <w:rPr>
                <w:rFonts w:ascii="宋体" w:hAnsi="宋体" w:cs="宋体" w:eastAsia="宋体" w:hint="default"/>
                <w:b/>
                <w:bCs/>
                <w:sz w:val="18"/>
                <w:szCs w:val="18"/>
              </w:rPr>
              <w:t>第三阶段</w:t>
            </w:r>
            <w:r>
              <w:rPr>
                <w:rFonts w:ascii="宋体" w:hAnsi="宋体" w:cs="宋体" w:eastAsia="宋体" w:hint="default"/>
                <w:sz w:val="18"/>
                <w:szCs w:val="18"/>
              </w:rPr>
            </w:r>
          </w:p>
        </w:tc>
        <w:tc>
          <w:tcPr>
            <w:tcW w:w="1717" w:type="dxa"/>
            <w:vMerge w:val="restart"/>
            <w:tcBorders>
              <w:top w:val="single" w:sz="12" w:space="0" w:color="000000"/>
              <w:left w:val="single" w:sz="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785" w:hRule="exact"/>
        </w:trPr>
        <w:tc>
          <w:tcPr>
            <w:tcW w:w="1925" w:type="dxa"/>
            <w:vMerge/>
            <w:tcBorders>
              <w:left w:val="nil" w:sz="6" w:space="0" w:color="auto"/>
              <w:bottom w:val="single" w:sz="2" w:space="0" w:color="000000"/>
              <w:right w:val="single" w:sz="2" w:space="0" w:color="000000"/>
            </w:tcBorders>
          </w:tcPr>
          <w:p>
            <w:pPr/>
          </w:p>
        </w:tc>
        <w:tc>
          <w:tcPr>
            <w:tcW w:w="1645"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1"/>
              <w:ind w:left="550" w:right="49" w:hanging="495"/>
              <w:jc w:val="left"/>
              <w:rPr>
                <w:rFonts w:ascii="宋体" w:hAnsi="宋体" w:cs="宋体" w:eastAsia="宋体" w:hint="default"/>
                <w:sz w:val="18"/>
                <w:szCs w:val="18"/>
              </w:rPr>
            </w:pPr>
            <w:r>
              <w:rPr>
                <w:rFonts w:ascii="宋体" w:hAnsi="宋体" w:cs="宋体" w:eastAsia="宋体" w:hint="default"/>
                <w:b/>
                <w:bCs/>
                <w:sz w:val="18"/>
                <w:szCs w:val="18"/>
              </w:rPr>
              <w:t>未来</w:t>
            </w:r>
            <w:r>
              <w:rPr>
                <w:rFonts w:ascii="宋体" w:hAnsi="宋体" w:cs="宋体" w:eastAsia="宋体" w:hint="default"/>
                <w:b/>
                <w:bCs/>
                <w:spacing w:val="-48"/>
                <w:sz w:val="18"/>
                <w:szCs w:val="18"/>
              </w:rPr>
              <w:t> </w:t>
            </w:r>
            <w:r>
              <w:rPr>
                <w:rFonts w:ascii="宋体" w:hAnsi="宋体" w:cs="宋体" w:eastAsia="宋体" w:hint="default"/>
                <w:b/>
                <w:bCs/>
                <w:sz w:val="18"/>
                <w:szCs w:val="18"/>
              </w:rPr>
              <w:t>12</w:t>
            </w:r>
            <w:r>
              <w:rPr>
                <w:rFonts w:ascii="宋体" w:hAnsi="宋体" w:cs="宋体" w:eastAsia="宋体" w:hint="default"/>
                <w:b/>
                <w:bCs/>
                <w:spacing w:val="-49"/>
                <w:sz w:val="18"/>
                <w:szCs w:val="18"/>
              </w:rPr>
              <w:t> </w:t>
            </w:r>
            <w:r>
              <w:rPr>
                <w:rFonts w:ascii="宋体" w:hAnsi="宋体" w:cs="宋体" w:eastAsia="宋体" w:hint="default"/>
                <w:b/>
                <w:bCs/>
                <w:sz w:val="18"/>
                <w:szCs w:val="18"/>
              </w:rPr>
              <w:t>个月预期信</w:t>
            </w:r>
            <w:r>
              <w:rPr>
                <w:rFonts w:ascii="宋体" w:hAnsi="宋体" w:cs="宋体" w:eastAsia="宋体" w:hint="default"/>
                <w:b/>
                <w:bCs/>
                <w:w w:val="99"/>
                <w:sz w:val="18"/>
                <w:szCs w:val="18"/>
              </w:rPr>
              <w:t> </w:t>
            </w:r>
            <w:r>
              <w:rPr>
                <w:rFonts w:ascii="宋体" w:hAnsi="宋体" w:cs="宋体" w:eastAsia="宋体" w:hint="default"/>
                <w:b/>
                <w:bCs/>
                <w:sz w:val="18"/>
                <w:szCs w:val="18"/>
              </w:rPr>
              <w:t>用损失</w:t>
            </w:r>
            <w:r>
              <w:rPr>
                <w:rFonts w:ascii="宋体" w:hAnsi="宋体" w:cs="宋体" w:eastAsia="宋体" w:hint="default"/>
                <w:sz w:val="18"/>
                <w:szCs w:val="18"/>
              </w:rPr>
            </w: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90" w:right="84"/>
              <w:jc w:val="center"/>
              <w:rPr>
                <w:rFonts w:ascii="宋体" w:hAnsi="宋体" w:cs="宋体" w:eastAsia="宋体" w:hint="default"/>
                <w:sz w:val="18"/>
                <w:szCs w:val="18"/>
              </w:rPr>
            </w:pPr>
            <w:r>
              <w:rPr>
                <w:rFonts w:ascii="宋体" w:hAnsi="宋体" w:cs="宋体" w:eastAsia="宋体" w:hint="default"/>
                <w:b/>
                <w:bCs/>
                <w:sz w:val="18"/>
                <w:szCs w:val="18"/>
              </w:rPr>
              <w:t>整个存续期预期信</w:t>
            </w:r>
            <w:r>
              <w:rPr>
                <w:rFonts w:ascii="宋体" w:hAnsi="宋体" w:cs="宋体" w:eastAsia="宋体" w:hint="default"/>
                <w:b/>
                <w:bCs/>
                <w:w w:val="99"/>
                <w:sz w:val="18"/>
                <w:szCs w:val="18"/>
              </w:rPr>
              <w:t> </w:t>
            </w:r>
            <w:r>
              <w:rPr>
                <w:rFonts w:ascii="宋体" w:hAnsi="宋体" w:cs="宋体" w:eastAsia="宋体" w:hint="default"/>
                <w:b/>
                <w:bCs/>
                <w:sz w:val="18"/>
                <w:szCs w:val="18"/>
              </w:rPr>
              <w:t>用损失(未发生信用</w:t>
            </w:r>
            <w:r>
              <w:rPr>
                <w:rFonts w:ascii="宋体" w:hAnsi="宋体" w:cs="宋体" w:eastAsia="宋体" w:hint="default"/>
                <w:b/>
                <w:bCs/>
                <w:w w:val="99"/>
                <w:sz w:val="18"/>
                <w:szCs w:val="18"/>
              </w:rPr>
              <w:t> </w:t>
            </w:r>
            <w:r>
              <w:rPr>
                <w:rFonts w:ascii="宋体" w:hAnsi="宋体" w:cs="宋体" w:eastAsia="宋体" w:hint="default"/>
                <w:b/>
                <w:bCs/>
                <w:sz w:val="18"/>
                <w:szCs w:val="18"/>
              </w:rPr>
              <w:t>减值)</w:t>
            </w:r>
            <w:r>
              <w:rPr>
                <w:rFonts w:ascii="宋体" w:hAnsi="宋体" w:cs="宋体" w:eastAsia="宋体" w:hint="default"/>
                <w:sz w:val="18"/>
                <w:szCs w:val="18"/>
              </w:rPr>
            </w: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91" w:right="84"/>
              <w:jc w:val="center"/>
              <w:rPr>
                <w:rFonts w:ascii="宋体" w:hAnsi="宋体" w:cs="宋体" w:eastAsia="宋体" w:hint="default"/>
                <w:sz w:val="18"/>
                <w:szCs w:val="18"/>
              </w:rPr>
            </w:pPr>
            <w:r>
              <w:rPr>
                <w:rFonts w:ascii="宋体" w:hAnsi="宋体" w:cs="宋体" w:eastAsia="宋体" w:hint="default"/>
                <w:b/>
                <w:bCs/>
                <w:sz w:val="18"/>
                <w:szCs w:val="18"/>
              </w:rPr>
              <w:t>整个存续期预期信</w:t>
            </w:r>
            <w:r>
              <w:rPr>
                <w:rFonts w:ascii="宋体" w:hAnsi="宋体" w:cs="宋体" w:eastAsia="宋体" w:hint="default"/>
                <w:b/>
                <w:bCs/>
                <w:w w:val="99"/>
                <w:sz w:val="18"/>
                <w:szCs w:val="18"/>
              </w:rPr>
              <w:t> </w:t>
            </w:r>
            <w:r>
              <w:rPr>
                <w:rFonts w:ascii="宋体" w:hAnsi="宋体" w:cs="宋体" w:eastAsia="宋体" w:hint="default"/>
                <w:b/>
                <w:bCs/>
                <w:sz w:val="18"/>
                <w:szCs w:val="18"/>
              </w:rPr>
              <w:t>用损失(已发生信用</w:t>
            </w:r>
            <w:r>
              <w:rPr>
                <w:rFonts w:ascii="宋体" w:hAnsi="宋体" w:cs="宋体" w:eastAsia="宋体" w:hint="default"/>
                <w:b/>
                <w:bCs/>
                <w:w w:val="99"/>
                <w:sz w:val="18"/>
                <w:szCs w:val="18"/>
              </w:rPr>
              <w:t> </w:t>
            </w:r>
            <w:r>
              <w:rPr>
                <w:rFonts w:ascii="宋体" w:hAnsi="宋体" w:cs="宋体" w:eastAsia="宋体" w:hint="default"/>
                <w:b/>
                <w:bCs/>
                <w:sz w:val="18"/>
                <w:szCs w:val="18"/>
              </w:rPr>
              <w:t>减值)</w:t>
            </w:r>
            <w:r>
              <w:rPr>
                <w:rFonts w:ascii="宋体" w:hAnsi="宋体" w:cs="宋体" w:eastAsia="宋体" w:hint="default"/>
                <w:sz w:val="18"/>
                <w:szCs w:val="18"/>
              </w:rPr>
            </w:r>
          </w:p>
        </w:tc>
        <w:tc>
          <w:tcPr>
            <w:tcW w:w="1717" w:type="dxa"/>
            <w:vMerge/>
            <w:tcBorders>
              <w:left w:val="single" w:sz="2" w:space="0" w:color="000000"/>
              <w:bottom w:val="single" w:sz="2" w:space="0" w:color="000000"/>
              <w:right w:val="nil" w:sz="6" w:space="0" w:color="auto"/>
            </w:tcBorders>
          </w:tcPr>
          <w:p>
            <w:pPr/>
          </w:p>
        </w:tc>
      </w:tr>
      <w:tr>
        <w:trPr>
          <w:trHeight w:val="402" w:hRule="exact"/>
        </w:trPr>
        <w:tc>
          <w:tcPr>
            <w:tcW w:w="19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日余额</w:t>
            </w:r>
          </w:p>
        </w:tc>
        <w:tc>
          <w:tcPr>
            <w:tcW w:w="1645"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20,437,623.70</w:t>
            </w:r>
          </w:p>
        </w:tc>
        <w:tc>
          <w:tcPr>
            <w:tcW w:w="1718" w:type="dxa"/>
            <w:tcBorders>
              <w:top w:val="single" w:sz="2" w:space="0" w:color="000000"/>
              <w:left w:val="single" w:sz="2" w:space="0" w:color="000000"/>
              <w:bottom w:val="single" w:sz="2" w:space="0" w:color="000000"/>
              <w:right w:val="single" w:sz="2" w:space="0" w:color="000000"/>
            </w:tcBorders>
          </w:tcPr>
          <w:p>
            <w:pPr/>
          </w:p>
        </w:tc>
        <w:tc>
          <w:tcPr>
            <w:tcW w:w="17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20,437,623.70</w:t>
            </w:r>
          </w:p>
        </w:tc>
      </w:tr>
      <w:tr>
        <w:trPr>
          <w:trHeight w:val="552" w:hRule="exact"/>
        </w:trPr>
        <w:tc>
          <w:tcPr>
            <w:tcW w:w="1925"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7"/>
              <w:ind w:left="53" w:right="49"/>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1</w:t>
            </w:r>
            <w:r>
              <w:rPr>
                <w:rFonts w:ascii="宋体" w:hAnsi="宋体" w:cs="宋体" w:eastAsia="宋体" w:hint="default"/>
                <w:spacing w:val="-51"/>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宋体" w:hAnsi="宋体" w:cs="宋体" w:eastAsia="宋体" w:hint="default"/>
                <w:sz w:val="18"/>
                <w:szCs w:val="18"/>
              </w:rPr>
              <w:t>1</w:t>
            </w:r>
            <w:r>
              <w:rPr>
                <w:rFonts w:ascii="宋体" w:hAnsi="宋体" w:cs="宋体" w:eastAsia="宋体" w:hint="default"/>
                <w:spacing w:val="-51"/>
                <w:sz w:val="18"/>
                <w:szCs w:val="18"/>
              </w:rPr>
              <w:t> </w:t>
            </w:r>
            <w:r>
              <w:rPr>
                <w:rFonts w:ascii="宋体" w:hAnsi="宋体" w:cs="宋体" w:eastAsia="宋体" w:hint="default"/>
                <w:sz w:val="18"/>
                <w:szCs w:val="18"/>
              </w:rPr>
              <w:t>日其他应</w:t>
            </w:r>
            <w:r>
              <w:rPr>
                <w:rFonts w:ascii="宋体" w:hAnsi="宋体" w:cs="宋体" w:eastAsia="宋体" w:hint="default"/>
                <w:sz w:val="18"/>
                <w:szCs w:val="18"/>
              </w:rPr>
              <w:t> 收款账面余额在本年</w:t>
            </w:r>
          </w:p>
        </w:tc>
        <w:tc>
          <w:tcPr>
            <w:tcW w:w="164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19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1645"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47"/>
              <w:jc w:val="right"/>
              <w:rPr>
                <w:rFonts w:ascii="宋体" w:hAnsi="宋体" w:cs="宋体" w:eastAsia="宋体" w:hint="default"/>
                <w:sz w:val="18"/>
                <w:szCs w:val="18"/>
              </w:rPr>
            </w:pPr>
            <w:r>
              <w:rPr>
                <w:rFonts w:ascii="宋体"/>
                <w:spacing w:val="-1"/>
                <w:sz w:val="18"/>
              </w:rPr>
              <w:t>4,874,617.88</w:t>
            </w:r>
          </w:p>
        </w:tc>
        <w:tc>
          <w:tcPr>
            <w:tcW w:w="1718" w:type="dxa"/>
            <w:tcBorders>
              <w:top w:val="single" w:sz="2" w:space="0" w:color="000000"/>
              <w:left w:val="single" w:sz="2" w:space="0" w:color="000000"/>
              <w:bottom w:val="single" w:sz="2" w:space="0" w:color="000000"/>
              <w:right w:val="single" w:sz="2" w:space="0" w:color="000000"/>
            </w:tcBorders>
          </w:tcPr>
          <w:p>
            <w:pPr/>
          </w:p>
        </w:tc>
        <w:tc>
          <w:tcPr>
            <w:tcW w:w="17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4,874,617.88</w:t>
            </w:r>
          </w:p>
        </w:tc>
      </w:tr>
      <w:tr>
        <w:trPr>
          <w:trHeight w:val="402" w:hRule="exact"/>
        </w:trPr>
        <w:tc>
          <w:tcPr>
            <w:tcW w:w="19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本年转回</w:t>
            </w:r>
          </w:p>
        </w:tc>
        <w:tc>
          <w:tcPr>
            <w:tcW w:w="1645"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
        </w:tc>
        <w:tc>
          <w:tcPr>
            <w:tcW w:w="171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9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本年转销</w:t>
            </w:r>
          </w:p>
        </w:tc>
        <w:tc>
          <w:tcPr>
            <w:tcW w:w="1645"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
        </w:tc>
        <w:tc>
          <w:tcPr>
            <w:tcW w:w="171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9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本年核销</w:t>
            </w:r>
          </w:p>
        </w:tc>
        <w:tc>
          <w:tcPr>
            <w:tcW w:w="1645"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1,865,279.02</w:t>
            </w:r>
          </w:p>
        </w:tc>
        <w:tc>
          <w:tcPr>
            <w:tcW w:w="1718" w:type="dxa"/>
            <w:tcBorders>
              <w:top w:val="single" w:sz="2" w:space="0" w:color="000000"/>
              <w:left w:val="single" w:sz="2" w:space="0" w:color="000000"/>
              <w:bottom w:val="single" w:sz="2" w:space="0" w:color="000000"/>
              <w:right w:val="single" w:sz="2" w:space="0" w:color="000000"/>
            </w:tcBorders>
          </w:tcPr>
          <w:p>
            <w:pPr/>
          </w:p>
        </w:tc>
        <w:tc>
          <w:tcPr>
            <w:tcW w:w="17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1,865,279.02</w:t>
            </w:r>
          </w:p>
        </w:tc>
      </w:tr>
      <w:tr>
        <w:trPr>
          <w:trHeight w:val="402" w:hRule="exact"/>
        </w:trPr>
        <w:tc>
          <w:tcPr>
            <w:tcW w:w="19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645" w:type="dxa"/>
            <w:tcBorders>
              <w:top w:val="single" w:sz="2" w:space="0" w:color="000000"/>
              <w:left w:val="single" w:sz="2" w:space="0" w:color="000000"/>
              <w:bottom w:val="single" w:sz="2" w:space="0" w:color="000000"/>
              <w:right w:val="single" w:sz="2" w:space="0" w:color="000000"/>
            </w:tcBorders>
          </w:tcPr>
          <w:p>
            <w:pPr/>
          </w:p>
        </w:tc>
        <w:tc>
          <w:tcPr>
            <w:tcW w:w="17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47"/>
              <w:jc w:val="right"/>
              <w:rPr>
                <w:rFonts w:ascii="宋体" w:hAnsi="宋体" w:cs="宋体" w:eastAsia="宋体" w:hint="default"/>
                <w:sz w:val="18"/>
                <w:szCs w:val="18"/>
              </w:rPr>
            </w:pPr>
            <w:r>
              <w:rPr>
                <w:rFonts w:ascii="宋体"/>
                <w:spacing w:val="-1"/>
                <w:sz w:val="18"/>
              </w:rPr>
              <w:t>1,449,114.43</w:t>
            </w:r>
          </w:p>
        </w:tc>
        <w:tc>
          <w:tcPr>
            <w:tcW w:w="1718" w:type="dxa"/>
            <w:tcBorders>
              <w:top w:val="single" w:sz="2" w:space="0" w:color="000000"/>
              <w:left w:val="single" w:sz="2" w:space="0" w:color="000000"/>
              <w:bottom w:val="single" w:sz="2" w:space="0" w:color="000000"/>
              <w:right w:val="single" w:sz="2" w:space="0" w:color="000000"/>
            </w:tcBorders>
          </w:tcPr>
          <w:p>
            <w:pPr/>
          </w:p>
        </w:tc>
        <w:tc>
          <w:tcPr>
            <w:tcW w:w="17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1,449,114.43</w:t>
            </w:r>
          </w:p>
        </w:tc>
      </w:tr>
      <w:tr>
        <w:trPr>
          <w:trHeight w:val="414" w:hRule="exact"/>
        </w:trPr>
        <w:tc>
          <w:tcPr>
            <w:tcW w:w="192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宋体" w:hAnsi="宋体" w:cs="宋体" w:eastAsia="宋体" w:hint="default"/>
                <w:sz w:val="18"/>
                <w:szCs w:val="18"/>
              </w:rPr>
              <w:t>12</w:t>
            </w:r>
            <w:r>
              <w:rPr>
                <w:rFonts w:ascii="宋体" w:hAnsi="宋体" w:cs="宋体" w:eastAsia="宋体" w:hint="default"/>
                <w:spacing w:val="-52"/>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宋体" w:hAnsi="宋体" w:cs="宋体" w:eastAsia="宋体" w:hint="default"/>
                <w:sz w:val="18"/>
                <w:szCs w:val="18"/>
              </w:rPr>
              <w:t>31</w:t>
            </w:r>
            <w:r>
              <w:rPr>
                <w:rFonts w:ascii="宋体" w:hAnsi="宋体" w:cs="宋体" w:eastAsia="宋体" w:hint="default"/>
                <w:spacing w:val="-52"/>
                <w:sz w:val="18"/>
                <w:szCs w:val="18"/>
              </w:rPr>
              <w:t> </w:t>
            </w:r>
            <w:r>
              <w:rPr>
                <w:rFonts w:ascii="宋体" w:hAnsi="宋体" w:cs="宋体" w:eastAsia="宋体" w:hint="default"/>
                <w:sz w:val="18"/>
                <w:szCs w:val="18"/>
              </w:rPr>
              <w:t>日余额</w:t>
            </w:r>
          </w:p>
        </w:tc>
        <w:tc>
          <w:tcPr>
            <w:tcW w:w="1645" w:type="dxa"/>
            <w:tcBorders>
              <w:top w:val="single" w:sz="2" w:space="0" w:color="000000"/>
              <w:left w:val="single" w:sz="2" w:space="0" w:color="000000"/>
              <w:bottom w:val="single" w:sz="12" w:space="0" w:color="000000"/>
              <w:right w:val="single" w:sz="2" w:space="0" w:color="000000"/>
            </w:tcBorders>
          </w:tcPr>
          <w:p>
            <w:pPr/>
          </w:p>
        </w:tc>
        <w:tc>
          <w:tcPr>
            <w:tcW w:w="171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21,997,848.13</w:t>
            </w:r>
          </w:p>
        </w:tc>
        <w:tc>
          <w:tcPr>
            <w:tcW w:w="1718" w:type="dxa"/>
            <w:tcBorders>
              <w:top w:val="single" w:sz="2" w:space="0" w:color="000000"/>
              <w:left w:val="single" w:sz="2" w:space="0" w:color="000000"/>
              <w:bottom w:val="single" w:sz="12" w:space="0" w:color="000000"/>
              <w:right w:val="single" w:sz="2" w:space="0" w:color="000000"/>
            </w:tcBorders>
          </w:tcPr>
          <w:p>
            <w:pPr/>
          </w:p>
        </w:tc>
        <w:tc>
          <w:tcPr>
            <w:tcW w:w="171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21,997,848.13</w:t>
            </w:r>
          </w:p>
        </w:tc>
      </w:tr>
    </w:tbl>
    <w:p>
      <w:pPr>
        <w:spacing w:line="240" w:lineRule="auto" w:before="3"/>
        <w:rPr>
          <w:rFonts w:ascii="宋体" w:hAnsi="宋体" w:cs="宋体" w:eastAsia="宋体" w:hint="default"/>
          <w:sz w:val="9"/>
          <w:szCs w:val="9"/>
        </w:rPr>
      </w:pPr>
    </w:p>
    <w:p>
      <w:pPr>
        <w:pStyle w:val="BodyText"/>
        <w:spacing w:line="240" w:lineRule="auto"/>
        <w:ind w:left="666" w:right="1445"/>
        <w:jc w:val="left"/>
      </w:pPr>
      <w:r>
        <w:rPr>
          <w:spacing w:val="-2"/>
        </w:rPr>
        <w:t>（</w:t>
      </w:r>
      <w:r>
        <w:rPr>
          <w:rFonts w:ascii="Times New Roman" w:hAnsi="Times New Roman" w:cs="Times New Roman" w:eastAsia="Times New Roman" w:hint="default"/>
          <w:spacing w:val="-2"/>
        </w:rPr>
        <w:t>3</w:t>
      </w:r>
      <w:r>
        <w:rPr>
          <w:spacing w:val="-2"/>
        </w:rPr>
        <w:t>）</w:t>
      </w:r>
      <w:r>
        <w:rPr>
          <w:spacing w:val="-68"/>
        </w:rPr>
        <w:t> </w:t>
      </w:r>
      <w:bookmarkStart w:name="（3）其他应收款按账龄列示" w:id="256"/>
      <w:bookmarkEnd w:id="256"/>
      <w:r>
        <w:rPr>
          <w:spacing w:val="-2"/>
        </w:rPr>
        <w:t>其</w:t>
      </w:r>
      <w:r>
        <w:rPr>
          <w:spacing w:val="-2"/>
        </w:rPr>
        <w:t>他应收款按账龄列示</w:t>
      </w:r>
    </w:p>
    <w:p>
      <w:pPr>
        <w:spacing w:line="240" w:lineRule="auto" w:before="13"/>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4361"/>
        <w:gridCol w:w="4362"/>
      </w:tblGrid>
      <w:tr>
        <w:trPr>
          <w:trHeight w:val="417" w:hRule="exact"/>
        </w:trPr>
        <w:tc>
          <w:tcPr>
            <w:tcW w:w="436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436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7" w:hRule="exact"/>
        </w:trPr>
        <w:tc>
          <w:tcPr>
            <w:tcW w:w="43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43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98,354,945.22</w:t>
            </w:r>
          </w:p>
        </w:tc>
      </w:tr>
      <w:tr>
        <w:trPr>
          <w:trHeight w:val="407" w:hRule="exact"/>
        </w:trPr>
        <w:tc>
          <w:tcPr>
            <w:tcW w:w="43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3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32,883,251.61</w:t>
            </w:r>
          </w:p>
        </w:tc>
      </w:tr>
      <w:tr>
        <w:trPr>
          <w:trHeight w:val="407" w:hRule="exact"/>
        </w:trPr>
        <w:tc>
          <w:tcPr>
            <w:tcW w:w="43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3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18,718,770.35</w:t>
            </w:r>
          </w:p>
        </w:tc>
      </w:tr>
      <w:tr>
        <w:trPr>
          <w:trHeight w:val="405" w:hRule="exact"/>
        </w:trPr>
        <w:tc>
          <w:tcPr>
            <w:tcW w:w="43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43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6,435,629.57</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1"/>
        <w:rPr>
          <w:rFonts w:ascii="宋体" w:hAnsi="宋体" w:cs="宋体" w:eastAsia="宋体" w:hint="default"/>
          <w:sz w:val="11"/>
          <w:szCs w:val="11"/>
        </w:rPr>
      </w:pPr>
    </w:p>
    <w:tbl>
      <w:tblPr>
        <w:tblW w:w="0" w:type="auto"/>
        <w:jc w:val="left"/>
        <w:tblInd w:w="158" w:type="dxa"/>
        <w:tblLayout w:type="fixed"/>
        <w:tblCellMar>
          <w:top w:w="0" w:type="dxa"/>
          <w:left w:w="0" w:type="dxa"/>
          <w:bottom w:w="0" w:type="dxa"/>
          <w:right w:w="0" w:type="dxa"/>
        </w:tblCellMar>
        <w:tblLook w:val="01E0"/>
      </w:tblPr>
      <w:tblGrid>
        <w:gridCol w:w="4361"/>
        <w:gridCol w:w="4362"/>
      </w:tblGrid>
      <w:tr>
        <w:trPr>
          <w:trHeight w:val="417" w:hRule="exact"/>
        </w:trPr>
        <w:tc>
          <w:tcPr>
            <w:tcW w:w="436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436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17" w:hRule="exact"/>
        </w:trPr>
        <w:tc>
          <w:tcPr>
            <w:tcW w:w="436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36"/>
              <w:ind w:right="100"/>
              <w:jc w:val="right"/>
              <w:rPr>
                <w:rFonts w:ascii="宋体" w:hAnsi="宋体" w:cs="宋体" w:eastAsia="宋体" w:hint="default"/>
                <w:sz w:val="18"/>
                <w:szCs w:val="18"/>
              </w:rPr>
            </w:pPr>
            <w:r>
              <w:rPr>
                <w:rFonts w:ascii="宋体" w:hAnsi="宋体" w:cs="宋体" w:eastAsia="宋体" w:hint="default"/>
                <w:b/>
                <w:bCs/>
                <w:w w:val="95"/>
                <w:sz w:val="18"/>
                <w:szCs w:val="18"/>
              </w:rPr>
              <w:t>合计</w:t>
            </w:r>
            <w:r>
              <w:rPr>
                <w:rFonts w:ascii="宋体" w:hAnsi="宋体" w:cs="宋体" w:eastAsia="宋体" w:hint="default"/>
                <w:sz w:val="18"/>
                <w:szCs w:val="18"/>
              </w:rPr>
            </w:r>
          </w:p>
        </w:tc>
        <w:tc>
          <w:tcPr>
            <w:tcW w:w="436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right="97"/>
              <w:jc w:val="right"/>
              <w:rPr>
                <w:rFonts w:ascii="宋体" w:hAnsi="宋体" w:cs="宋体" w:eastAsia="宋体" w:hint="default"/>
                <w:sz w:val="18"/>
                <w:szCs w:val="18"/>
              </w:rPr>
            </w:pPr>
            <w:r>
              <w:rPr>
                <w:rFonts w:ascii="宋体"/>
                <w:b/>
                <w:w w:val="95"/>
                <w:sz w:val="18"/>
              </w:rPr>
              <w:t>156,392,596.75</w:t>
            </w:r>
            <w:r>
              <w:rPr>
                <w:rFonts w:ascii="宋体"/>
                <w:sz w:val="18"/>
              </w:rPr>
            </w:r>
          </w:p>
        </w:tc>
      </w:tr>
    </w:tbl>
    <w:p>
      <w:pPr>
        <w:spacing w:line="240" w:lineRule="auto" w:before="4"/>
        <w:rPr>
          <w:rFonts w:ascii="宋体" w:hAnsi="宋体" w:cs="宋体" w:eastAsia="宋体" w:hint="default"/>
          <w:sz w:val="9"/>
          <w:szCs w:val="9"/>
        </w:rPr>
      </w:pPr>
    </w:p>
    <w:p>
      <w:pPr>
        <w:pStyle w:val="BodyText"/>
        <w:spacing w:line="240" w:lineRule="auto"/>
        <w:ind w:left="706" w:right="0"/>
        <w:jc w:val="left"/>
      </w:pPr>
      <w:r>
        <w:rPr/>
        <w:pict>
          <v:group style="position:absolute;margin-left:85.050003pt;margin-top:-11.142331pt;width:207.25pt;height:.1pt;mso-position-horizontal-relative:page;mso-position-vertical-relative:paragraph;z-index:-1169968" coordorigin="1701,-223" coordsize="4145,2">
            <v:shape style="position:absolute;left:1701;top:-223;width:4145;height:2" coordorigin="1701,-223" coordsize="4145,0" path="m1701,-223l5846,-223e" filled="false" stroked="true" strokeweight=".72pt" strokecolor="#000000">
              <v:path arrowok="t"/>
            </v:shape>
            <w10:wrap type="none"/>
          </v:group>
        </w:pict>
      </w:r>
      <w:r>
        <w:rPr>
          <w:spacing w:val="-2"/>
        </w:rPr>
        <w:t>（</w:t>
      </w:r>
      <w:r>
        <w:rPr>
          <w:rFonts w:ascii="Times New Roman" w:hAnsi="Times New Roman" w:cs="Times New Roman" w:eastAsia="Times New Roman" w:hint="default"/>
          <w:spacing w:val="-2"/>
        </w:rPr>
        <w:t>4</w:t>
      </w:r>
      <w:r>
        <w:rPr>
          <w:spacing w:val="-2"/>
        </w:rPr>
        <w:t>）</w:t>
      </w:r>
      <w:r>
        <w:rPr>
          <w:spacing w:val="-66"/>
        </w:rPr>
        <w:t> </w:t>
      </w:r>
      <w:bookmarkStart w:name="（4）其他应收款坏账准备情况" w:id="257"/>
      <w:bookmarkEnd w:id="257"/>
      <w:r>
        <w:rPr>
          <w:spacing w:val="-2"/>
        </w:rPr>
        <w:t>其</w:t>
      </w:r>
      <w:r>
        <w:rPr>
          <w:spacing w:val="-2"/>
        </w:rPr>
        <w:t>他应收款坏账准备情况</w:t>
      </w:r>
    </w:p>
    <w:p>
      <w:pPr>
        <w:spacing w:line="240" w:lineRule="auto" w:before="12"/>
        <w:rPr>
          <w:rFonts w:ascii="宋体" w:hAnsi="宋体" w:cs="宋体" w:eastAsia="宋体" w:hint="default"/>
          <w:sz w:val="10"/>
          <w:szCs w:val="10"/>
        </w:rPr>
      </w:pPr>
    </w:p>
    <w:tbl>
      <w:tblPr>
        <w:tblW w:w="0" w:type="auto"/>
        <w:jc w:val="left"/>
        <w:tblInd w:w="158" w:type="dxa"/>
        <w:tblLayout w:type="fixed"/>
        <w:tblCellMar>
          <w:top w:w="0" w:type="dxa"/>
          <w:left w:w="0" w:type="dxa"/>
          <w:bottom w:w="0" w:type="dxa"/>
          <w:right w:w="0" w:type="dxa"/>
        </w:tblCellMar>
        <w:tblLook w:val="01E0"/>
      </w:tblPr>
      <w:tblGrid>
        <w:gridCol w:w="1442"/>
        <w:gridCol w:w="1516"/>
        <w:gridCol w:w="1432"/>
        <w:gridCol w:w="1417"/>
        <w:gridCol w:w="1417"/>
        <w:gridCol w:w="1499"/>
      </w:tblGrid>
      <w:tr>
        <w:trPr>
          <w:trHeight w:val="458" w:hRule="exact"/>
        </w:trPr>
        <w:tc>
          <w:tcPr>
            <w:tcW w:w="1442" w:type="dxa"/>
            <w:vMerge w:val="restart"/>
            <w:tcBorders>
              <w:top w:val="single" w:sz="12" w:space="0" w:color="000000"/>
              <w:left w:val="nil" w:sz="6" w:space="0" w:color="auto"/>
              <w:right w:val="single" w:sz="2"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516" w:type="dxa"/>
            <w:vMerge w:val="restart"/>
            <w:tcBorders>
              <w:top w:val="single" w:sz="12" w:space="0" w:color="000000"/>
              <w:left w:val="single" w:sz="2" w:space="0" w:color="000000"/>
              <w:right w:val="single" w:sz="2"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394"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4266" w:type="dxa"/>
            <w:gridSpan w:val="3"/>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0"/>
              <w:ind w:left="2" w:right="0"/>
              <w:jc w:val="center"/>
              <w:rPr>
                <w:rFonts w:ascii="宋体" w:hAnsi="宋体" w:cs="宋体" w:eastAsia="宋体" w:hint="default"/>
                <w:sz w:val="18"/>
                <w:szCs w:val="18"/>
              </w:rPr>
            </w:pPr>
            <w:r>
              <w:rPr>
                <w:rFonts w:ascii="宋体" w:hAnsi="宋体" w:cs="宋体" w:eastAsia="宋体" w:hint="default"/>
                <w:b/>
                <w:bCs/>
                <w:sz w:val="18"/>
                <w:szCs w:val="18"/>
              </w:rPr>
              <w:t>本年变动金额</w:t>
            </w:r>
            <w:r>
              <w:rPr>
                <w:rFonts w:ascii="宋体" w:hAnsi="宋体" w:cs="宋体" w:eastAsia="宋体" w:hint="default"/>
                <w:sz w:val="18"/>
                <w:szCs w:val="18"/>
              </w:rPr>
            </w:r>
          </w:p>
        </w:tc>
        <w:tc>
          <w:tcPr>
            <w:tcW w:w="1499" w:type="dxa"/>
            <w:vMerge w:val="restart"/>
            <w:tcBorders>
              <w:top w:val="single" w:sz="12" w:space="0" w:color="000000"/>
              <w:left w:val="single" w:sz="2" w:space="0" w:color="000000"/>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45" w:hRule="exact"/>
        </w:trPr>
        <w:tc>
          <w:tcPr>
            <w:tcW w:w="1442" w:type="dxa"/>
            <w:vMerge/>
            <w:tcBorders>
              <w:left w:val="nil" w:sz="6" w:space="0" w:color="auto"/>
              <w:bottom w:val="single" w:sz="2" w:space="0" w:color="000000"/>
              <w:right w:val="single" w:sz="2" w:space="0" w:color="000000"/>
            </w:tcBorders>
          </w:tcPr>
          <w:p>
            <w:pPr/>
          </w:p>
        </w:tc>
        <w:tc>
          <w:tcPr>
            <w:tcW w:w="1516" w:type="dxa"/>
            <w:vMerge/>
            <w:tcBorders>
              <w:left w:val="single" w:sz="2" w:space="0" w:color="000000"/>
              <w:bottom w:val="single" w:sz="2" w:space="0" w:color="000000"/>
              <w:right w:val="single" w:sz="2" w:space="0" w:color="000000"/>
            </w:tcBorders>
          </w:tcPr>
          <w:p>
            <w:pPr/>
          </w:p>
        </w:tc>
        <w:tc>
          <w:tcPr>
            <w:tcW w:w="14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8"/>
              <w:ind w:left="2" w:right="0"/>
              <w:jc w:val="center"/>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8"/>
              <w:ind w:left="254" w:right="0"/>
              <w:jc w:val="left"/>
              <w:rPr>
                <w:rFonts w:ascii="宋体" w:hAnsi="宋体" w:cs="宋体" w:eastAsia="宋体" w:hint="default"/>
                <w:sz w:val="18"/>
                <w:szCs w:val="18"/>
              </w:rPr>
            </w:pPr>
            <w:r>
              <w:rPr>
                <w:rFonts w:ascii="宋体" w:hAnsi="宋体" w:cs="宋体" w:eastAsia="宋体" w:hint="default"/>
                <w:b/>
                <w:bCs/>
                <w:sz w:val="18"/>
                <w:szCs w:val="18"/>
              </w:rPr>
              <w:t>收回或转回</w:t>
            </w:r>
            <w:r>
              <w:rPr>
                <w:rFonts w:ascii="宋体" w:hAnsi="宋体" w:cs="宋体" w:eastAsia="宋体" w:hint="default"/>
                <w:sz w:val="18"/>
                <w:szCs w:val="18"/>
              </w:rPr>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8"/>
              <w:ind w:left="255" w:right="0"/>
              <w:jc w:val="left"/>
              <w:rPr>
                <w:rFonts w:ascii="宋体" w:hAnsi="宋体" w:cs="宋体" w:eastAsia="宋体" w:hint="default"/>
                <w:sz w:val="18"/>
                <w:szCs w:val="18"/>
              </w:rPr>
            </w:pPr>
            <w:r>
              <w:rPr>
                <w:rFonts w:ascii="宋体" w:hAnsi="宋体" w:cs="宋体" w:eastAsia="宋体" w:hint="default"/>
                <w:b/>
                <w:bCs/>
                <w:sz w:val="18"/>
                <w:szCs w:val="18"/>
              </w:rPr>
              <w:t>转销或核销</w:t>
            </w:r>
            <w:r>
              <w:rPr>
                <w:rFonts w:ascii="宋体" w:hAnsi="宋体" w:cs="宋体" w:eastAsia="宋体" w:hint="default"/>
                <w:sz w:val="18"/>
                <w:szCs w:val="18"/>
              </w:rPr>
            </w:r>
          </w:p>
        </w:tc>
        <w:tc>
          <w:tcPr>
            <w:tcW w:w="1499" w:type="dxa"/>
            <w:vMerge/>
            <w:tcBorders>
              <w:left w:val="single" w:sz="2" w:space="0" w:color="000000"/>
              <w:bottom w:val="single" w:sz="2" w:space="0" w:color="000000"/>
              <w:right w:val="nil" w:sz="6" w:space="0" w:color="auto"/>
            </w:tcBorders>
          </w:tcPr>
          <w:p>
            <w:pPr/>
          </w:p>
        </w:tc>
      </w:tr>
      <w:tr>
        <w:trPr>
          <w:trHeight w:val="445" w:hRule="exact"/>
        </w:trPr>
        <w:tc>
          <w:tcPr>
            <w:tcW w:w="1442"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0"/>
              <w:ind w:left="108" w:right="0"/>
              <w:jc w:val="left"/>
              <w:rPr>
                <w:rFonts w:ascii="宋体" w:hAnsi="宋体" w:cs="宋体" w:eastAsia="宋体" w:hint="default"/>
                <w:sz w:val="18"/>
                <w:szCs w:val="18"/>
              </w:rPr>
            </w:pPr>
            <w:r>
              <w:rPr>
                <w:rFonts w:ascii="宋体" w:hAnsi="宋体" w:cs="宋体" w:eastAsia="宋体" w:hint="default"/>
                <w:sz w:val="18"/>
                <w:szCs w:val="18"/>
              </w:rPr>
              <w:t>单项计提</w:t>
            </w:r>
          </w:p>
        </w:tc>
        <w:tc>
          <w:tcPr>
            <w:tcW w:w="1516" w:type="dxa"/>
            <w:tcBorders>
              <w:top w:val="single" w:sz="2" w:space="0" w:color="000000"/>
              <w:left w:val="single" w:sz="2" w:space="0" w:color="000000"/>
              <w:bottom w:val="single" w:sz="2" w:space="0" w:color="000000"/>
              <w:right w:val="single" w:sz="2" w:space="0" w:color="000000"/>
            </w:tcBorders>
          </w:tcPr>
          <w:p>
            <w:pPr/>
          </w:p>
        </w:tc>
        <w:tc>
          <w:tcPr>
            <w:tcW w:w="1432"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
        </w:tc>
        <w:tc>
          <w:tcPr>
            <w:tcW w:w="1499" w:type="dxa"/>
            <w:tcBorders>
              <w:top w:val="single" w:sz="2" w:space="0" w:color="000000"/>
              <w:left w:val="single" w:sz="2" w:space="0" w:color="000000"/>
              <w:bottom w:val="single" w:sz="2" w:space="0" w:color="000000"/>
              <w:right w:val="nil" w:sz="6" w:space="0" w:color="auto"/>
            </w:tcBorders>
          </w:tcPr>
          <w:p>
            <w:pPr/>
          </w:p>
        </w:tc>
      </w:tr>
      <w:tr>
        <w:trPr>
          <w:trHeight w:val="445" w:hRule="exact"/>
        </w:trPr>
        <w:tc>
          <w:tcPr>
            <w:tcW w:w="1442"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19"/>
              <w:ind w:left="108" w:right="0"/>
              <w:jc w:val="left"/>
              <w:rPr>
                <w:rFonts w:ascii="宋体" w:hAnsi="宋体" w:cs="宋体" w:eastAsia="宋体" w:hint="default"/>
                <w:sz w:val="18"/>
                <w:szCs w:val="18"/>
              </w:rPr>
            </w:pPr>
            <w:r>
              <w:rPr>
                <w:rFonts w:ascii="宋体" w:hAnsi="宋体" w:cs="宋体" w:eastAsia="宋体" w:hint="default"/>
                <w:sz w:val="18"/>
                <w:szCs w:val="18"/>
              </w:rPr>
              <w:t>账龄组合计提</w:t>
            </w:r>
          </w:p>
        </w:tc>
        <w:tc>
          <w:tcPr>
            <w:tcW w:w="15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5"/>
              <w:ind w:right="50"/>
              <w:jc w:val="right"/>
              <w:rPr>
                <w:rFonts w:ascii="宋体" w:hAnsi="宋体" w:cs="宋体" w:eastAsia="宋体" w:hint="default"/>
                <w:sz w:val="18"/>
                <w:szCs w:val="18"/>
              </w:rPr>
            </w:pPr>
            <w:r>
              <w:rPr>
                <w:rFonts w:ascii="宋体"/>
                <w:spacing w:val="-1"/>
                <w:sz w:val="18"/>
              </w:rPr>
              <w:t>20,437,623.70</w:t>
            </w:r>
          </w:p>
        </w:tc>
        <w:tc>
          <w:tcPr>
            <w:tcW w:w="14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5"/>
              <w:ind w:right="49"/>
              <w:jc w:val="right"/>
              <w:rPr>
                <w:rFonts w:ascii="宋体" w:hAnsi="宋体" w:cs="宋体" w:eastAsia="宋体" w:hint="default"/>
                <w:sz w:val="18"/>
                <w:szCs w:val="18"/>
              </w:rPr>
            </w:pPr>
            <w:r>
              <w:rPr>
                <w:rFonts w:ascii="宋体"/>
                <w:spacing w:val="-1"/>
                <w:sz w:val="18"/>
              </w:rPr>
              <w:t>4,874,617.88</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5"/>
              <w:ind w:left="281" w:right="0"/>
              <w:jc w:val="left"/>
              <w:rPr>
                <w:rFonts w:ascii="宋体" w:hAnsi="宋体" w:cs="宋体" w:eastAsia="宋体" w:hint="default"/>
                <w:sz w:val="18"/>
                <w:szCs w:val="18"/>
              </w:rPr>
            </w:pPr>
            <w:r>
              <w:rPr>
                <w:rFonts w:ascii="宋体"/>
                <w:sz w:val="18"/>
              </w:rPr>
              <w:t>1,449,114.43</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5"/>
              <w:ind w:left="280" w:right="0"/>
              <w:jc w:val="left"/>
              <w:rPr>
                <w:rFonts w:ascii="宋体" w:hAnsi="宋体" w:cs="宋体" w:eastAsia="宋体" w:hint="default"/>
                <w:sz w:val="18"/>
                <w:szCs w:val="18"/>
              </w:rPr>
            </w:pPr>
            <w:r>
              <w:rPr>
                <w:rFonts w:ascii="宋体"/>
                <w:sz w:val="18"/>
              </w:rPr>
              <w:t>1,865,279.02</w:t>
            </w:r>
          </w:p>
        </w:tc>
        <w:tc>
          <w:tcPr>
            <w:tcW w:w="14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75"/>
              <w:ind w:right="52"/>
              <w:jc w:val="right"/>
              <w:rPr>
                <w:rFonts w:ascii="宋体" w:hAnsi="宋体" w:cs="宋体" w:eastAsia="宋体" w:hint="default"/>
                <w:sz w:val="18"/>
                <w:szCs w:val="18"/>
              </w:rPr>
            </w:pPr>
            <w:r>
              <w:rPr>
                <w:rFonts w:ascii="宋体"/>
                <w:spacing w:val="-1"/>
                <w:sz w:val="18"/>
              </w:rPr>
              <w:t>21,997,848.13</w:t>
            </w:r>
          </w:p>
        </w:tc>
      </w:tr>
      <w:tr>
        <w:trPr>
          <w:trHeight w:val="457" w:hRule="exact"/>
        </w:trPr>
        <w:tc>
          <w:tcPr>
            <w:tcW w:w="1442"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118"/>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1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4"/>
              <w:ind w:right="38"/>
              <w:jc w:val="right"/>
              <w:rPr>
                <w:rFonts w:ascii="宋体" w:hAnsi="宋体" w:cs="宋体" w:eastAsia="宋体" w:hint="default"/>
                <w:sz w:val="18"/>
                <w:szCs w:val="18"/>
              </w:rPr>
            </w:pPr>
            <w:r>
              <w:rPr>
                <w:rFonts w:ascii="宋体"/>
                <w:b/>
                <w:w w:val="95"/>
                <w:sz w:val="18"/>
              </w:rPr>
              <w:t>20,437,623.70</w:t>
            </w:r>
            <w:r>
              <w:rPr>
                <w:rFonts w:ascii="宋体"/>
                <w:sz w:val="18"/>
              </w:rPr>
            </w:r>
          </w:p>
        </w:tc>
        <w:tc>
          <w:tcPr>
            <w:tcW w:w="143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4"/>
              <w:ind w:right="39"/>
              <w:jc w:val="right"/>
              <w:rPr>
                <w:rFonts w:ascii="宋体" w:hAnsi="宋体" w:cs="宋体" w:eastAsia="宋体" w:hint="default"/>
                <w:sz w:val="18"/>
                <w:szCs w:val="18"/>
              </w:rPr>
            </w:pPr>
            <w:r>
              <w:rPr>
                <w:rFonts w:ascii="宋体"/>
                <w:b/>
                <w:w w:val="95"/>
                <w:sz w:val="18"/>
              </w:rPr>
              <w:t>4,874,617.88</w:t>
            </w:r>
            <w:r>
              <w:rPr>
                <w:rFonts w:ascii="宋体"/>
                <w:sz w:val="18"/>
              </w:rPr>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4"/>
              <w:ind w:left="281" w:right="0"/>
              <w:jc w:val="left"/>
              <w:rPr>
                <w:rFonts w:ascii="宋体" w:hAnsi="宋体" w:cs="宋体" w:eastAsia="宋体" w:hint="default"/>
                <w:sz w:val="18"/>
                <w:szCs w:val="18"/>
              </w:rPr>
            </w:pPr>
            <w:r>
              <w:rPr>
                <w:rFonts w:ascii="宋体"/>
                <w:b/>
                <w:sz w:val="18"/>
              </w:rPr>
              <w:t>1,449,114.43</w:t>
            </w:r>
            <w:r>
              <w:rPr>
                <w:rFonts w:ascii="宋体"/>
                <w:sz w:val="18"/>
              </w:rPr>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4"/>
              <w:ind w:left="280" w:right="0"/>
              <w:jc w:val="left"/>
              <w:rPr>
                <w:rFonts w:ascii="宋体" w:hAnsi="宋体" w:cs="宋体" w:eastAsia="宋体" w:hint="default"/>
                <w:sz w:val="18"/>
                <w:szCs w:val="18"/>
              </w:rPr>
            </w:pPr>
            <w:r>
              <w:rPr>
                <w:rFonts w:ascii="宋体"/>
                <w:b/>
                <w:sz w:val="18"/>
              </w:rPr>
              <w:t>1,865,279.02</w:t>
            </w:r>
            <w:r>
              <w:rPr>
                <w:rFonts w:ascii="宋体"/>
                <w:sz w:val="18"/>
              </w:rPr>
            </w:r>
          </w:p>
        </w:tc>
        <w:tc>
          <w:tcPr>
            <w:tcW w:w="149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74"/>
              <w:ind w:right="40"/>
              <w:jc w:val="right"/>
              <w:rPr>
                <w:rFonts w:ascii="宋体" w:hAnsi="宋体" w:cs="宋体" w:eastAsia="宋体" w:hint="default"/>
                <w:sz w:val="18"/>
                <w:szCs w:val="18"/>
              </w:rPr>
            </w:pPr>
            <w:r>
              <w:rPr>
                <w:rFonts w:ascii="宋体"/>
                <w:b/>
                <w:w w:val="95"/>
                <w:sz w:val="18"/>
              </w:rPr>
              <w:t>21,997,848.13</w:t>
            </w:r>
            <w:r>
              <w:rPr>
                <w:rFonts w:ascii="宋体"/>
                <w:sz w:val="18"/>
              </w:rPr>
            </w:r>
          </w:p>
        </w:tc>
      </w:tr>
    </w:tbl>
    <w:p>
      <w:pPr>
        <w:spacing w:line="240" w:lineRule="auto" w:before="4"/>
        <w:rPr>
          <w:rFonts w:ascii="宋体" w:hAnsi="宋体" w:cs="宋体" w:eastAsia="宋体" w:hint="default"/>
          <w:sz w:val="9"/>
          <w:szCs w:val="9"/>
        </w:rPr>
      </w:pPr>
    </w:p>
    <w:p>
      <w:pPr>
        <w:pStyle w:val="BodyText"/>
        <w:spacing w:line="240" w:lineRule="auto"/>
        <w:ind w:left="706" w:right="0"/>
        <w:jc w:val="left"/>
      </w:pPr>
      <w:r>
        <w:rPr>
          <w:spacing w:val="-1"/>
        </w:rPr>
        <w:t>（</w:t>
      </w:r>
      <w:r>
        <w:rPr>
          <w:rFonts w:ascii="Times New Roman" w:hAnsi="Times New Roman" w:cs="Times New Roman" w:eastAsia="Times New Roman" w:hint="default"/>
          <w:spacing w:val="-1"/>
        </w:rPr>
        <w:t>5</w:t>
      </w:r>
      <w:r>
        <w:rPr>
          <w:spacing w:val="-1"/>
        </w:rPr>
        <w:t>）</w:t>
      </w:r>
      <w:r>
        <w:rPr>
          <w:spacing w:val="-67"/>
        </w:rPr>
        <w:t> </w:t>
      </w:r>
      <w:bookmarkStart w:name="（5）本年度实际核销的其他应收款" w:id="258"/>
      <w:bookmarkEnd w:id="258"/>
      <w:r>
        <w:rPr>
          <w:spacing w:val="-2"/>
        </w:rPr>
        <w:t>本</w:t>
      </w:r>
      <w:r>
        <w:rPr>
          <w:spacing w:val="-2"/>
        </w:rPr>
        <w:t>年度实际核销的其他应收款</w:t>
      </w:r>
    </w:p>
    <w:p>
      <w:pPr>
        <w:spacing w:line="240" w:lineRule="auto" w:before="12"/>
        <w:rPr>
          <w:rFonts w:ascii="宋体" w:hAnsi="宋体" w:cs="宋体" w:eastAsia="宋体" w:hint="default"/>
          <w:sz w:val="10"/>
          <w:szCs w:val="10"/>
        </w:rPr>
      </w:pPr>
    </w:p>
    <w:tbl>
      <w:tblPr>
        <w:tblW w:w="0" w:type="auto"/>
        <w:jc w:val="left"/>
        <w:tblInd w:w="158" w:type="dxa"/>
        <w:tblLayout w:type="fixed"/>
        <w:tblCellMar>
          <w:top w:w="0" w:type="dxa"/>
          <w:left w:w="0" w:type="dxa"/>
          <w:bottom w:w="0" w:type="dxa"/>
          <w:right w:w="0" w:type="dxa"/>
        </w:tblCellMar>
        <w:tblLook w:val="01E0"/>
      </w:tblPr>
      <w:tblGrid>
        <w:gridCol w:w="4536"/>
        <w:gridCol w:w="4187"/>
      </w:tblGrid>
      <w:tr>
        <w:trPr>
          <w:trHeight w:val="415" w:hRule="exact"/>
        </w:trPr>
        <w:tc>
          <w:tcPr>
            <w:tcW w:w="453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18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核销金额</w:t>
            </w:r>
            <w:r>
              <w:rPr>
                <w:rFonts w:ascii="宋体" w:hAnsi="宋体" w:cs="宋体" w:eastAsia="宋体" w:hint="default"/>
                <w:sz w:val="18"/>
                <w:szCs w:val="18"/>
              </w:rPr>
            </w:r>
          </w:p>
        </w:tc>
      </w:tr>
      <w:tr>
        <w:trPr>
          <w:trHeight w:val="414" w:hRule="exact"/>
        </w:trPr>
        <w:tc>
          <w:tcPr>
            <w:tcW w:w="453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18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1,865,279.02</w:t>
            </w:r>
          </w:p>
        </w:tc>
      </w:tr>
    </w:tbl>
    <w:p>
      <w:pPr>
        <w:spacing w:line="240" w:lineRule="auto" w:before="10"/>
        <w:rPr>
          <w:rFonts w:ascii="宋体" w:hAnsi="宋体" w:cs="宋体" w:eastAsia="宋体" w:hint="default"/>
          <w:sz w:val="17"/>
          <w:szCs w:val="17"/>
        </w:rPr>
      </w:pPr>
    </w:p>
    <w:p>
      <w:pPr>
        <w:spacing w:before="34"/>
        <w:ind w:left="701" w:right="0" w:firstLine="0"/>
        <w:jc w:val="left"/>
        <w:rPr>
          <w:rFonts w:ascii="宋体" w:hAnsi="宋体" w:cs="宋体" w:eastAsia="宋体" w:hint="default"/>
          <w:sz w:val="21"/>
          <w:szCs w:val="21"/>
        </w:rPr>
      </w:pPr>
      <w:bookmarkStart w:name="（6）按欠款方归集的期末余额前五名的其他应收款情况" w:id="259"/>
      <w:bookmarkEnd w:id="259"/>
      <w:r>
        <w:rPr/>
      </w: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）按欠款方归集的期末余额前五名的其他应收款情况</w:t>
      </w:r>
    </w:p>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939" w:footer="883" w:top="1940" w:bottom="1080" w:left="1420" w:right="0"/>
        </w:sectPr>
      </w:pPr>
    </w:p>
    <w:p>
      <w:pPr>
        <w:spacing w:line="240" w:lineRule="auto" w:before="0"/>
        <w:rPr>
          <w:rFonts w:ascii="宋体" w:hAnsi="宋体" w:cs="宋体" w:eastAsia="宋体" w:hint="default"/>
          <w:sz w:val="18"/>
          <w:szCs w:val="18"/>
        </w:rPr>
      </w:pPr>
    </w:p>
    <w:p>
      <w:pPr>
        <w:spacing w:line="185" w:lineRule="exact" w:before="152"/>
        <w:ind w:left="473" w:right="-20" w:firstLine="0"/>
        <w:jc w:val="left"/>
        <w:rPr>
          <w:rFonts w:ascii="宋体" w:hAnsi="宋体" w:cs="宋体" w:eastAsia="宋体" w:hint="default"/>
          <w:sz w:val="18"/>
          <w:szCs w:val="18"/>
        </w:rPr>
      </w:pPr>
      <w:r>
        <w:rPr>
          <w:rFonts w:ascii="宋体" w:hAnsi="宋体" w:cs="宋体" w:eastAsia="宋体" w:hint="default"/>
          <w:sz w:val="18"/>
          <w:szCs w:val="18"/>
        </w:rPr>
        <w:t>单位</w:t>
      </w:r>
    </w:p>
    <w:p>
      <w:pPr>
        <w:tabs>
          <w:tab w:pos="2995" w:val="left" w:leader="none"/>
          <w:tab w:pos="4767" w:val="left" w:leader="none"/>
        </w:tabs>
        <w:spacing w:line="136" w:lineRule="exact" w:before="0"/>
        <w:ind w:left="1481" w:right="-20" w:firstLine="0"/>
        <w:jc w:val="left"/>
        <w:rPr>
          <w:rFonts w:ascii="宋体" w:hAnsi="宋体" w:cs="宋体" w:eastAsia="宋体" w:hint="default"/>
          <w:sz w:val="18"/>
          <w:szCs w:val="18"/>
        </w:rPr>
      </w:pPr>
      <w:r>
        <w:rPr>
          <w:rFonts w:ascii="宋体" w:hAnsi="宋体" w:cs="宋体" w:eastAsia="宋体" w:hint="default"/>
          <w:sz w:val="18"/>
          <w:szCs w:val="18"/>
        </w:rPr>
        <w:t>款项的性质</w:t>
        <w:tab/>
        <w:t>期末余额</w:t>
        <w:tab/>
        <w:t>账龄</w:t>
      </w:r>
    </w:p>
    <w:p>
      <w:pPr>
        <w:spacing w:line="186" w:lineRule="exact" w:before="0"/>
        <w:ind w:left="473" w:right="-20" w:firstLine="0"/>
        <w:jc w:val="left"/>
        <w:rPr>
          <w:rFonts w:ascii="宋体" w:hAnsi="宋体" w:cs="宋体" w:eastAsia="宋体" w:hint="default"/>
          <w:sz w:val="18"/>
          <w:szCs w:val="18"/>
        </w:rPr>
      </w:pPr>
      <w:r>
        <w:rPr>
          <w:rFonts w:ascii="宋体" w:hAnsi="宋体" w:cs="宋体" w:eastAsia="宋体" w:hint="default"/>
          <w:sz w:val="18"/>
          <w:szCs w:val="18"/>
        </w:rPr>
        <w:t>名称</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2"/>
        <w:rPr>
          <w:rFonts w:ascii="宋体" w:hAnsi="宋体" w:cs="宋体" w:eastAsia="宋体" w:hint="default"/>
          <w:sz w:val="12"/>
          <w:szCs w:val="12"/>
        </w:rPr>
      </w:pPr>
    </w:p>
    <w:p>
      <w:pPr>
        <w:spacing w:before="0"/>
        <w:ind w:left="473" w:right="-20" w:firstLine="0"/>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p>
      <w:pPr>
        <w:spacing w:before="44"/>
        <w:ind w:left="228" w:right="0" w:firstLine="302"/>
        <w:jc w:val="left"/>
        <w:rPr>
          <w:rFonts w:ascii="宋体" w:hAnsi="宋体" w:cs="宋体" w:eastAsia="宋体" w:hint="default"/>
          <w:sz w:val="18"/>
          <w:szCs w:val="18"/>
        </w:rPr>
      </w:pPr>
      <w:r>
        <w:rPr/>
        <w:br w:type="column"/>
      </w:r>
      <w:r>
        <w:rPr>
          <w:rFonts w:ascii="宋体" w:hAnsi="宋体" w:cs="宋体" w:eastAsia="宋体" w:hint="default"/>
          <w:sz w:val="18"/>
          <w:szCs w:val="18"/>
        </w:rPr>
        <w:t>单位：</w:t>
      </w:r>
      <w:r>
        <w:rPr>
          <w:rFonts w:ascii="宋体" w:hAnsi="宋体" w:cs="宋体" w:eastAsia="宋体" w:hint="default"/>
          <w:spacing w:val="-2"/>
          <w:sz w:val="18"/>
          <w:szCs w:val="18"/>
        </w:rPr>
        <w:t> </w:t>
      </w:r>
      <w:r>
        <w:rPr>
          <w:rFonts w:ascii="宋体" w:hAnsi="宋体" w:cs="宋体" w:eastAsia="宋体" w:hint="default"/>
          <w:sz w:val="18"/>
          <w:szCs w:val="18"/>
        </w:rPr>
        <w:t>元</w:t>
      </w:r>
    </w:p>
    <w:p>
      <w:pPr>
        <w:spacing w:before="124"/>
        <w:ind w:left="588" w:right="1713" w:hanging="360"/>
        <w:jc w:val="left"/>
        <w:rPr>
          <w:rFonts w:ascii="宋体" w:hAnsi="宋体" w:cs="宋体" w:eastAsia="宋体" w:hint="default"/>
          <w:sz w:val="18"/>
          <w:szCs w:val="18"/>
        </w:rPr>
      </w:pPr>
      <w:r>
        <w:rPr/>
        <w:pict>
          <v:group style="position:absolute;margin-left:76.260002pt;margin-top:3.27171pt;width:440.35pt;height:1.45pt;mso-position-horizontal-relative:page;mso-position-vertical-relative:paragraph;z-index:1576" coordorigin="1525,65" coordsize="8807,29">
            <v:group style="position:absolute;left:1530;top:70;width:8797;height:2" coordorigin="1530,70" coordsize="8797,2">
              <v:shape style="position:absolute;left:1530;top:70;width:8797;height:2" coordorigin="1530,70" coordsize="8797,0" path="m1530,70l10327,70e" filled="false" stroked="true" strokeweight=".48pt" strokecolor="#000000">
                <v:path arrowok="t"/>
              </v:shape>
            </v:group>
            <v:group style="position:absolute;left:1530;top:89;width:8797;height:2" coordorigin="1530,89" coordsize="8797,2">
              <v:shape style="position:absolute;left:1530;top:89;width:8797;height:2" coordorigin="1530,89" coordsize="8797,0" path="m1530,89l10327,89e" filled="false" stroked="true" strokeweight=".48pt" strokecolor="#000000">
                <v:path arrowok="t"/>
              </v:shape>
            </v:group>
            <w10:wrap type="none"/>
          </v:group>
        </w:pict>
      </w:r>
      <w:r>
        <w:rPr>
          <w:rFonts w:ascii="宋体" w:hAnsi="宋体" w:cs="宋体" w:eastAsia="宋体" w:hint="default"/>
          <w:sz w:val="18"/>
          <w:szCs w:val="18"/>
        </w:rPr>
        <w:t>坏账准备期末 余额</w:t>
      </w:r>
    </w:p>
    <w:p>
      <w:pPr>
        <w:spacing w:after="0"/>
        <w:jc w:val="left"/>
        <w:rPr>
          <w:rFonts w:ascii="宋体" w:hAnsi="宋体" w:cs="宋体" w:eastAsia="宋体" w:hint="default"/>
          <w:sz w:val="18"/>
          <w:szCs w:val="18"/>
        </w:rPr>
        <w:sectPr>
          <w:type w:val="continuous"/>
          <w:pgSz w:w="11910" w:h="16840"/>
          <w:pgMar w:top="660" w:bottom="700" w:left="1420" w:right="0"/>
          <w:cols w:num="3" w:equalWidth="0">
            <w:col w:w="5128" w:space="366"/>
            <w:col w:w="1914" w:space="40"/>
            <w:col w:w="3042"/>
          </w:cols>
        </w:sectPr>
      </w:pPr>
    </w:p>
    <w:p>
      <w:pPr>
        <w:spacing w:line="240" w:lineRule="auto" w:before="8"/>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473"/>
        <w:gridCol w:w="429"/>
        <w:gridCol w:w="1543"/>
        <w:gridCol w:w="1493"/>
        <w:gridCol w:w="2121"/>
        <w:gridCol w:w="1468"/>
        <w:gridCol w:w="1270"/>
      </w:tblGrid>
      <w:tr>
        <w:trPr>
          <w:trHeight w:val="323" w:hRule="exact"/>
        </w:trPr>
        <w:tc>
          <w:tcPr>
            <w:tcW w:w="473" w:type="dxa"/>
            <w:vMerge w:val="restart"/>
            <w:tcBorders>
              <w:top w:val="single" w:sz="4" w:space="0" w:color="000000"/>
              <w:left w:val="nil" w:sz="6" w:space="0" w:color="auto"/>
              <w:right w:val="nil" w:sz="6" w:space="0" w:color="auto"/>
            </w:tcBorders>
          </w:tcPr>
          <w:p>
            <w:pPr/>
          </w:p>
        </w:tc>
        <w:tc>
          <w:tcPr>
            <w:tcW w:w="429"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5" w:right="0"/>
              <w:jc w:val="left"/>
              <w:rPr>
                <w:rFonts w:ascii="Times New Roman" w:hAnsi="Times New Roman" w:cs="Times New Roman" w:eastAsia="Times New Roman" w:hint="default"/>
                <w:sz w:val="18"/>
                <w:szCs w:val="18"/>
              </w:rPr>
            </w:pPr>
            <w:r>
              <w:rPr>
                <w:rFonts w:ascii="Times New Roman"/>
                <w:w w:val="99"/>
                <w:sz w:val="18"/>
              </w:rPr>
              <w:t>A</w:t>
            </w:r>
            <w:r>
              <w:rPr>
                <w:rFonts w:ascii="Times New Roman"/>
                <w:sz w:val="18"/>
              </w:rPr>
            </w:r>
          </w:p>
        </w:tc>
        <w:tc>
          <w:tcPr>
            <w:tcW w:w="1543"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29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1493"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5,736,669.71</w:t>
            </w:r>
          </w:p>
        </w:tc>
        <w:tc>
          <w:tcPr>
            <w:tcW w:w="2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468"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214"/>
              <w:jc w:val="right"/>
              <w:rPr>
                <w:rFonts w:ascii="Times New Roman" w:hAnsi="Times New Roman" w:cs="Times New Roman" w:eastAsia="Times New Roman" w:hint="default"/>
                <w:sz w:val="18"/>
                <w:szCs w:val="18"/>
              </w:rPr>
            </w:pPr>
            <w:r>
              <w:rPr>
                <w:rFonts w:ascii="Times New Roman"/>
                <w:spacing w:val="-1"/>
                <w:sz w:val="18"/>
              </w:rPr>
              <w:t>3.67%</w:t>
            </w:r>
          </w:p>
        </w:tc>
        <w:tc>
          <w:tcPr>
            <w:tcW w:w="1270"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107"/>
              <w:jc w:val="right"/>
              <w:rPr>
                <w:rFonts w:ascii="Times New Roman" w:hAnsi="Times New Roman" w:cs="Times New Roman" w:eastAsia="Times New Roman" w:hint="default"/>
                <w:sz w:val="18"/>
                <w:szCs w:val="18"/>
              </w:rPr>
            </w:pPr>
            <w:r>
              <w:rPr>
                <w:rFonts w:ascii="Times New Roman"/>
                <w:spacing w:val="-1"/>
                <w:sz w:val="18"/>
              </w:rPr>
              <w:t>373,730.55</w:t>
            </w:r>
          </w:p>
        </w:tc>
      </w:tr>
      <w:tr>
        <w:trPr>
          <w:trHeight w:val="324" w:hRule="exact"/>
        </w:trPr>
        <w:tc>
          <w:tcPr>
            <w:tcW w:w="473" w:type="dxa"/>
            <w:vMerge/>
            <w:tcBorders>
              <w:left w:val="nil" w:sz="6" w:space="0" w:color="auto"/>
              <w:right w:val="nil" w:sz="6" w:space="0" w:color="auto"/>
            </w:tcBorders>
          </w:tcPr>
          <w:p>
            <w:pPr/>
          </w:p>
        </w:tc>
        <w:tc>
          <w:tcPr>
            <w:tcW w:w="429" w:type="dxa"/>
            <w:tcBorders>
              <w:top w:val="single" w:sz="4" w:space="0" w:color="000000"/>
              <w:left w:val="nil" w:sz="6" w:space="0" w:color="auto"/>
              <w:bottom w:val="single" w:sz="4" w:space="0" w:color="000000"/>
              <w:right w:val="nil" w:sz="6" w:space="0" w:color="auto"/>
            </w:tcBorders>
          </w:tcPr>
          <w:p>
            <w:pPr>
              <w:pStyle w:val="TableParagraph"/>
              <w:spacing w:line="240" w:lineRule="auto" w:before="53"/>
              <w:ind w:left="10" w:right="0"/>
              <w:jc w:val="left"/>
              <w:rPr>
                <w:rFonts w:ascii="Times New Roman" w:hAnsi="Times New Roman" w:cs="Times New Roman" w:eastAsia="Times New Roman" w:hint="default"/>
                <w:sz w:val="18"/>
                <w:szCs w:val="18"/>
              </w:rPr>
            </w:pPr>
            <w:r>
              <w:rPr>
                <w:rFonts w:ascii="Times New Roman"/>
                <w:w w:val="99"/>
                <w:sz w:val="18"/>
              </w:rPr>
              <w:t>B</w:t>
            </w:r>
            <w:r>
              <w:rPr>
                <w:rFonts w:ascii="Times New Roman"/>
                <w:sz w:val="18"/>
              </w:rPr>
            </w:r>
          </w:p>
        </w:tc>
        <w:tc>
          <w:tcPr>
            <w:tcW w:w="1543"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29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1493" w:type="dxa"/>
            <w:tcBorders>
              <w:top w:val="single" w:sz="4" w:space="0" w:color="000000"/>
              <w:left w:val="nil" w:sz="6" w:space="0" w:color="auto"/>
              <w:bottom w:val="single" w:sz="4" w:space="0" w:color="000000"/>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18"/>
                <w:szCs w:val="18"/>
              </w:rPr>
            </w:pPr>
            <w:r>
              <w:rPr>
                <w:rFonts w:ascii="Times New Roman"/>
                <w:spacing w:val="-1"/>
                <w:sz w:val="18"/>
              </w:rPr>
              <w:t>4,038,364.73</w:t>
            </w:r>
          </w:p>
        </w:tc>
        <w:tc>
          <w:tcPr>
            <w:tcW w:w="2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68" w:type="dxa"/>
            <w:tcBorders>
              <w:top w:val="single" w:sz="4" w:space="0" w:color="000000"/>
              <w:left w:val="nil" w:sz="6" w:space="0" w:color="auto"/>
              <w:bottom w:val="single" w:sz="4" w:space="0" w:color="000000"/>
              <w:right w:val="nil" w:sz="6" w:space="0" w:color="auto"/>
            </w:tcBorders>
          </w:tcPr>
          <w:p>
            <w:pPr>
              <w:pStyle w:val="TableParagraph"/>
              <w:spacing w:line="240" w:lineRule="auto" w:before="53"/>
              <w:ind w:right="214"/>
              <w:jc w:val="right"/>
              <w:rPr>
                <w:rFonts w:ascii="Times New Roman" w:hAnsi="Times New Roman" w:cs="Times New Roman" w:eastAsia="Times New Roman" w:hint="default"/>
                <w:sz w:val="18"/>
                <w:szCs w:val="18"/>
              </w:rPr>
            </w:pPr>
            <w:r>
              <w:rPr>
                <w:rFonts w:ascii="Times New Roman"/>
                <w:spacing w:val="-1"/>
                <w:sz w:val="18"/>
              </w:rPr>
              <w:t>2.58%</w:t>
            </w:r>
          </w:p>
        </w:tc>
        <w:tc>
          <w:tcPr>
            <w:tcW w:w="1270" w:type="dxa"/>
            <w:tcBorders>
              <w:top w:val="single" w:sz="4" w:space="0" w:color="000000"/>
              <w:left w:val="nil" w:sz="6" w:space="0" w:color="auto"/>
              <w:bottom w:val="single" w:sz="4" w:space="0" w:color="000000"/>
              <w:right w:val="nil" w:sz="6" w:space="0" w:color="auto"/>
            </w:tcBorders>
          </w:tcPr>
          <w:p>
            <w:pPr>
              <w:pStyle w:val="TableParagraph"/>
              <w:spacing w:line="240" w:lineRule="auto" w:before="53"/>
              <w:ind w:right="107"/>
              <w:jc w:val="right"/>
              <w:rPr>
                <w:rFonts w:ascii="Times New Roman" w:hAnsi="Times New Roman" w:cs="Times New Roman" w:eastAsia="Times New Roman" w:hint="default"/>
                <w:sz w:val="18"/>
                <w:szCs w:val="18"/>
              </w:rPr>
            </w:pPr>
            <w:r>
              <w:rPr>
                <w:rFonts w:ascii="Times New Roman"/>
                <w:spacing w:val="-1"/>
                <w:sz w:val="18"/>
              </w:rPr>
              <w:t>141,342.77</w:t>
            </w:r>
          </w:p>
        </w:tc>
      </w:tr>
      <w:tr>
        <w:trPr>
          <w:trHeight w:val="323" w:hRule="exact"/>
        </w:trPr>
        <w:tc>
          <w:tcPr>
            <w:tcW w:w="473" w:type="dxa"/>
            <w:vMerge/>
            <w:tcBorders>
              <w:left w:val="nil" w:sz="6" w:space="0" w:color="auto"/>
              <w:right w:val="nil" w:sz="6" w:space="0" w:color="auto"/>
            </w:tcBorders>
          </w:tcPr>
          <w:p>
            <w:pPr/>
          </w:p>
        </w:tc>
        <w:tc>
          <w:tcPr>
            <w:tcW w:w="429"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left="10" w:right="0"/>
              <w:jc w:val="left"/>
              <w:rPr>
                <w:rFonts w:ascii="Times New Roman" w:hAnsi="Times New Roman" w:cs="Times New Roman" w:eastAsia="Times New Roman" w:hint="default"/>
                <w:sz w:val="18"/>
                <w:szCs w:val="18"/>
              </w:rPr>
            </w:pPr>
            <w:r>
              <w:rPr>
                <w:rFonts w:ascii="Times New Roman"/>
                <w:w w:val="99"/>
                <w:sz w:val="18"/>
              </w:rPr>
              <w:t>C</w:t>
            </w:r>
            <w:r>
              <w:rPr>
                <w:rFonts w:ascii="Times New Roman"/>
                <w:sz w:val="18"/>
              </w:rPr>
            </w:r>
          </w:p>
        </w:tc>
        <w:tc>
          <w:tcPr>
            <w:tcW w:w="1543"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292"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493"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4,000,000.00</w:t>
            </w:r>
          </w:p>
        </w:tc>
        <w:tc>
          <w:tcPr>
            <w:tcW w:w="2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68"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right="214"/>
              <w:jc w:val="right"/>
              <w:rPr>
                <w:rFonts w:ascii="Times New Roman" w:hAnsi="Times New Roman" w:cs="Times New Roman" w:eastAsia="Times New Roman" w:hint="default"/>
                <w:sz w:val="18"/>
                <w:szCs w:val="18"/>
              </w:rPr>
            </w:pPr>
            <w:r>
              <w:rPr>
                <w:rFonts w:ascii="Times New Roman"/>
                <w:spacing w:val="-1"/>
                <w:sz w:val="18"/>
              </w:rPr>
              <w:t>2.56%</w:t>
            </w:r>
          </w:p>
        </w:tc>
        <w:tc>
          <w:tcPr>
            <w:tcW w:w="1270"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40,000.00</w:t>
            </w:r>
          </w:p>
        </w:tc>
      </w:tr>
      <w:tr>
        <w:trPr>
          <w:trHeight w:val="324" w:hRule="exact"/>
        </w:trPr>
        <w:tc>
          <w:tcPr>
            <w:tcW w:w="473" w:type="dxa"/>
            <w:vMerge/>
            <w:tcBorders>
              <w:left w:val="nil" w:sz="6" w:space="0" w:color="auto"/>
              <w:right w:val="nil" w:sz="6" w:space="0" w:color="auto"/>
            </w:tcBorders>
          </w:tcPr>
          <w:p>
            <w:pPr/>
          </w:p>
        </w:tc>
        <w:tc>
          <w:tcPr>
            <w:tcW w:w="429"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5" w:right="0"/>
              <w:jc w:val="left"/>
              <w:rPr>
                <w:rFonts w:ascii="Times New Roman" w:hAnsi="Times New Roman" w:cs="Times New Roman" w:eastAsia="Times New Roman" w:hint="default"/>
                <w:sz w:val="18"/>
                <w:szCs w:val="18"/>
              </w:rPr>
            </w:pPr>
            <w:r>
              <w:rPr>
                <w:rFonts w:ascii="Times New Roman"/>
                <w:w w:val="99"/>
                <w:sz w:val="18"/>
              </w:rPr>
              <w:t>D</w:t>
            </w:r>
            <w:r>
              <w:rPr>
                <w:rFonts w:ascii="Times New Roman"/>
                <w:sz w:val="18"/>
              </w:rPr>
            </w:r>
          </w:p>
        </w:tc>
        <w:tc>
          <w:tcPr>
            <w:tcW w:w="1543" w:type="dxa"/>
            <w:tcBorders>
              <w:top w:val="single" w:sz="4" w:space="0" w:color="000000"/>
              <w:left w:val="nil" w:sz="6" w:space="0" w:color="auto"/>
              <w:bottom w:val="single" w:sz="4" w:space="0" w:color="000000"/>
              <w:right w:val="nil" w:sz="6" w:space="0" w:color="auto"/>
            </w:tcBorders>
          </w:tcPr>
          <w:p>
            <w:pPr>
              <w:pStyle w:val="TableParagraph"/>
              <w:spacing w:line="240" w:lineRule="auto" w:before="12"/>
              <w:ind w:left="29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1493"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3,419,506.26</w:t>
            </w:r>
          </w:p>
        </w:tc>
        <w:tc>
          <w:tcPr>
            <w:tcW w:w="2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468"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214"/>
              <w:jc w:val="right"/>
              <w:rPr>
                <w:rFonts w:ascii="Times New Roman" w:hAnsi="Times New Roman" w:cs="Times New Roman" w:eastAsia="Times New Roman" w:hint="default"/>
                <w:sz w:val="18"/>
                <w:szCs w:val="18"/>
              </w:rPr>
            </w:pPr>
            <w:r>
              <w:rPr>
                <w:rFonts w:ascii="Times New Roman"/>
                <w:spacing w:val="-1"/>
                <w:sz w:val="18"/>
              </w:rPr>
              <w:t>2.19%</w:t>
            </w:r>
          </w:p>
        </w:tc>
        <w:tc>
          <w:tcPr>
            <w:tcW w:w="1270"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107"/>
              <w:jc w:val="right"/>
              <w:rPr>
                <w:rFonts w:ascii="Times New Roman" w:hAnsi="Times New Roman" w:cs="Times New Roman" w:eastAsia="Times New Roman" w:hint="default"/>
                <w:sz w:val="18"/>
                <w:szCs w:val="18"/>
              </w:rPr>
            </w:pPr>
            <w:r>
              <w:rPr>
                <w:rFonts w:ascii="Times New Roman"/>
                <w:spacing w:val="-1"/>
                <w:sz w:val="18"/>
              </w:rPr>
              <w:t>431,969.15</w:t>
            </w:r>
          </w:p>
        </w:tc>
      </w:tr>
      <w:tr>
        <w:trPr>
          <w:trHeight w:val="323" w:hRule="exact"/>
        </w:trPr>
        <w:tc>
          <w:tcPr>
            <w:tcW w:w="473" w:type="dxa"/>
            <w:vMerge/>
            <w:tcBorders>
              <w:left w:val="nil" w:sz="6" w:space="0" w:color="auto"/>
              <w:bottom w:val="single" w:sz="4" w:space="0" w:color="000000"/>
              <w:right w:val="nil" w:sz="6" w:space="0" w:color="auto"/>
            </w:tcBorders>
          </w:tcPr>
          <w:p>
            <w:pPr/>
          </w:p>
        </w:tc>
        <w:tc>
          <w:tcPr>
            <w:tcW w:w="429"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15" w:right="0"/>
              <w:jc w:val="left"/>
              <w:rPr>
                <w:rFonts w:ascii="Times New Roman" w:hAnsi="Times New Roman" w:cs="Times New Roman" w:eastAsia="Times New Roman" w:hint="default"/>
                <w:sz w:val="18"/>
                <w:szCs w:val="18"/>
              </w:rPr>
            </w:pPr>
            <w:r>
              <w:rPr>
                <w:rFonts w:ascii="Times New Roman"/>
                <w:w w:val="99"/>
                <w:sz w:val="18"/>
              </w:rPr>
              <w:t>E</w:t>
            </w:r>
            <w:r>
              <w:rPr>
                <w:rFonts w:ascii="Times New Roman"/>
                <w:sz w:val="18"/>
              </w:rPr>
            </w:r>
          </w:p>
        </w:tc>
        <w:tc>
          <w:tcPr>
            <w:tcW w:w="1543"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292" w:right="0"/>
              <w:jc w:val="left"/>
              <w:rPr>
                <w:rFonts w:ascii="宋体" w:hAnsi="宋体" w:cs="宋体" w:eastAsia="宋体" w:hint="default"/>
                <w:sz w:val="18"/>
                <w:szCs w:val="18"/>
              </w:rPr>
            </w:pPr>
            <w:r>
              <w:rPr>
                <w:rFonts w:ascii="宋体" w:hAnsi="宋体" w:cs="宋体" w:eastAsia="宋体" w:hint="default"/>
                <w:sz w:val="18"/>
                <w:szCs w:val="18"/>
              </w:rPr>
              <w:t>残疾人退税</w:t>
            </w:r>
          </w:p>
        </w:tc>
        <w:tc>
          <w:tcPr>
            <w:tcW w:w="1493"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3,362,400.00</w:t>
            </w:r>
          </w:p>
        </w:tc>
        <w:tc>
          <w:tcPr>
            <w:tcW w:w="2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68"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214"/>
              <w:jc w:val="right"/>
              <w:rPr>
                <w:rFonts w:ascii="Times New Roman" w:hAnsi="Times New Roman" w:cs="Times New Roman" w:eastAsia="Times New Roman" w:hint="default"/>
                <w:sz w:val="18"/>
                <w:szCs w:val="18"/>
              </w:rPr>
            </w:pPr>
            <w:r>
              <w:rPr>
                <w:rFonts w:ascii="Times New Roman"/>
                <w:spacing w:val="-1"/>
                <w:sz w:val="18"/>
              </w:rPr>
              <w:t>2.15%</w:t>
            </w:r>
          </w:p>
        </w:tc>
        <w:tc>
          <w:tcPr>
            <w:tcW w:w="1270"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117,684.00</w:t>
            </w:r>
          </w:p>
        </w:tc>
      </w:tr>
      <w:tr>
        <w:trPr>
          <w:trHeight w:val="333" w:hRule="exact"/>
        </w:trPr>
        <w:tc>
          <w:tcPr>
            <w:tcW w:w="473" w:type="dxa"/>
            <w:tcBorders>
              <w:top w:val="single" w:sz="4" w:space="0" w:color="000000"/>
              <w:left w:val="nil" w:sz="6" w:space="0" w:color="auto"/>
              <w:bottom w:val="single" w:sz="12" w:space="0" w:color="000000"/>
              <w:right w:val="nil" w:sz="6" w:space="0" w:color="auto"/>
            </w:tcBorders>
          </w:tcPr>
          <w:p>
            <w:pPr>
              <w:pStyle w:val="TableParagraph"/>
              <w:spacing w:line="240" w:lineRule="auto" w:before="11"/>
              <w:ind w:left="10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29" w:type="dxa"/>
            <w:tcBorders>
              <w:top w:val="single" w:sz="4" w:space="0" w:color="000000"/>
              <w:left w:val="nil" w:sz="6" w:space="0" w:color="auto"/>
              <w:bottom w:val="single" w:sz="12" w:space="0" w:color="000000"/>
              <w:right w:val="nil" w:sz="6" w:space="0" w:color="auto"/>
            </w:tcBorders>
          </w:tcPr>
          <w:p>
            <w:pPr/>
          </w:p>
        </w:tc>
        <w:tc>
          <w:tcPr>
            <w:tcW w:w="1543"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left="299" w:right="0"/>
              <w:jc w:val="center"/>
              <w:rPr>
                <w:rFonts w:ascii="Times New Roman" w:hAnsi="Times New Roman" w:cs="Times New Roman" w:eastAsia="Times New Roman" w:hint="default"/>
                <w:sz w:val="18"/>
                <w:szCs w:val="18"/>
              </w:rPr>
            </w:pPr>
            <w:r>
              <w:rPr>
                <w:rFonts w:ascii="Times New Roman"/>
                <w:sz w:val="18"/>
              </w:rPr>
              <w:t>--</w:t>
            </w:r>
          </w:p>
        </w:tc>
        <w:tc>
          <w:tcPr>
            <w:tcW w:w="1493"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18"/>
                <w:szCs w:val="18"/>
              </w:rPr>
            </w:pPr>
            <w:r>
              <w:rPr>
                <w:rFonts w:ascii="Times New Roman"/>
                <w:spacing w:val="-1"/>
                <w:sz w:val="18"/>
              </w:rPr>
              <w:t>20,556,940.70</w:t>
            </w:r>
          </w:p>
        </w:tc>
        <w:tc>
          <w:tcPr>
            <w:tcW w:w="2121"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right="320"/>
              <w:jc w:val="center"/>
              <w:rPr>
                <w:rFonts w:ascii="Times New Roman" w:hAnsi="Times New Roman" w:cs="Times New Roman" w:eastAsia="Times New Roman" w:hint="default"/>
                <w:sz w:val="18"/>
                <w:szCs w:val="18"/>
              </w:rPr>
            </w:pPr>
            <w:r>
              <w:rPr>
                <w:rFonts w:ascii="Times New Roman"/>
                <w:sz w:val="18"/>
              </w:rPr>
              <w:t>--</w:t>
            </w:r>
          </w:p>
        </w:tc>
        <w:tc>
          <w:tcPr>
            <w:tcW w:w="1468"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right="214"/>
              <w:jc w:val="right"/>
              <w:rPr>
                <w:rFonts w:ascii="Times New Roman" w:hAnsi="Times New Roman" w:cs="Times New Roman" w:eastAsia="Times New Roman" w:hint="default"/>
                <w:sz w:val="18"/>
                <w:szCs w:val="18"/>
              </w:rPr>
            </w:pPr>
            <w:r>
              <w:rPr>
                <w:rFonts w:ascii="Times New Roman"/>
                <w:spacing w:val="-1"/>
                <w:sz w:val="18"/>
              </w:rPr>
              <w:t>13.14%</w:t>
            </w:r>
          </w:p>
        </w:tc>
        <w:tc>
          <w:tcPr>
            <w:tcW w:w="1270" w:type="dxa"/>
            <w:tcBorders>
              <w:top w:val="single" w:sz="4" w:space="0" w:color="000000"/>
              <w:left w:val="nil" w:sz="6" w:space="0" w:color="auto"/>
              <w:bottom w:val="single" w:sz="12" w:space="0" w:color="000000"/>
              <w:right w:val="nil" w:sz="6" w:space="0" w:color="auto"/>
            </w:tcBorders>
          </w:tcPr>
          <w:p>
            <w:pPr>
              <w:pStyle w:val="TableParagraph"/>
              <w:spacing w:line="240" w:lineRule="auto" w:before="53"/>
              <w:ind w:right="104"/>
              <w:jc w:val="right"/>
              <w:rPr>
                <w:rFonts w:ascii="Times New Roman" w:hAnsi="Times New Roman" w:cs="Times New Roman" w:eastAsia="Times New Roman" w:hint="default"/>
                <w:sz w:val="18"/>
                <w:szCs w:val="18"/>
              </w:rPr>
            </w:pPr>
            <w:r>
              <w:rPr>
                <w:rFonts w:ascii="Times New Roman"/>
                <w:spacing w:val="-1"/>
                <w:sz w:val="18"/>
              </w:rPr>
              <w:t>1,104,726.47</w:t>
            </w:r>
          </w:p>
        </w:tc>
      </w:tr>
    </w:tbl>
    <w:p>
      <w:pPr>
        <w:spacing w:line="240" w:lineRule="auto" w:before="0"/>
        <w:rPr>
          <w:rFonts w:ascii="宋体" w:hAnsi="宋体" w:cs="宋体" w:eastAsia="宋体" w:hint="default"/>
          <w:sz w:val="8"/>
          <w:szCs w:val="8"/>
        </w:rPr>
      </w:pPr>
    </w:p>
    <w:p>
      <w:pPr>
        <w:pStyle w:val="BodyText"/>
        <w:spacing w:line="240" w:lineRule="auto"/>
        <w:ind w:left="684" w:right="0"/>
        <w:jc w:val="left"/>
      </w:pPr>
      <w:r>
        <w:rPr/>
        <w:t>8.</w:t>
      </w:r>
      <w:r>
        <w:rPr>
          <w:spacing w:val="66"/>
        </w:rPr>
        <w:t> </w:t>
      </w:r>
      <w:bookmarkStart w:name="8.存货" w:id="260"/>
      <w:bookmarkEnd w:id="260"/>
      <w:r>
        <w:rPr/>
        <w:t>存</w:t>
      </w:r>
      <w:r>
        <w:rPr/>
        <w:t>货</w:t>
      </w:r>
    </w:p>
    <w:p>
      <w:pPr>
        <w:spacing w:before="133"/>
        <w:ind w:left="281" w:right="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35"/>
        <w:ind w:left="281" w:right="0"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11"/>
        <w:rPr>
          <w:rFonts w:ascii="宋体" w:hAnsi="宋体" w:cs="宋体" w:eastAsia="宋体" w:hint="default"/>
          <w:sz w:val="13"/>
          <w:szCs w:val="13"/>
        </w:rPr>
      </w:pPr>
    </w:p>
    <w:p>
      <w:pPr>
        <w:pStyle w:val="BodyText"/>
        <w:spacing w:line="240" w:lineRule="auto" w:before="0"/>
        <w:ind w:left="706" w:right="0"/>
        <w:jc w:val="left"/>
      </w:pPr>
      <w:r>
        <w:rPr/>
        <w:t>（</w:t>
      </w:r>
      <w:r>
        <w:rPr>
          <w:rFonts w:ascii="Times New Roman" w:hAnsi="Times New Roman" w:cs="Times New Roman" w:eastAsia="Times New Roman" w:hint="default"/>
        </w:rPr>
        <w:t>1</w:t>
      </w:r>
      <w:r>
        <w:rPr/>
        <w:t>）</w:t>
      </w:r>
      <w:r>
        <w:rPr>
          <w:spacing w:val="20"/>
        </w:rPr>
        <w:t> </w:t>
      </w:r>
      <w:bookmarkStart w:name="（1） 存货分类" w:id="261"/>
      <w:bookmarkEnd w:id="261"/>
      <w:r>
        <w:rPr/>
        <w:t>存</w:t>
      </w:r>
      <w:r>
        <w:rPr/>
        <w:t>货分类</w:t>
      </w:r>
    </w:p>
    <w:p>
      <w:pPr>
        <w:spacing w:line="240" w:lineRule="auto" w:before="12"/>
        <w:rPr>
          <w:rFonts w:ascii="宋体" w:hAnsi="宋体" w:cs="宋体" w:eastAsia="宋体" w:hint="default"/>
          <w:sz w:val="10"/>
          <w:szCs w:val="10"/>
        </w:rPr>
      </w:pPr>
    </w:p>
    <w:tbl>
      <w:tblPr>
        <w:tblW w:w="0" w:type="auto"/>
        <w:jc w:val="left"/>
        <w:tblInd w:w="151" w:type="dxa"/>
        <w:tblLayout w:type="fixed"/>
        <w:tblCellMar>
          <w:top w:w="0" w:type="dxa"/>
          <w:left w:w="0" w:type="dxa"/>
          <w:bottom w:w="0" w:type="dxa"/>
          <w:right w:w="0" w:type="dxa"/>
        </w:tblCellMar>
        <w:tblLook w:val="01E0"/>
      </w:tblPr>
      <w:tblGrid>
        <w:gridCol w:w="2377"/>
        <w:gridCol w:w="2266"/>
        <w:gridCol w:w="1985"/>
        <w:gridCol w:w="2095"/>
      </w:tblGrid>
      <w:tr>
        <w:trPr>
          <w:trHeight w:val="425" w:hRule="exact"/>
        </w:trPr>
        <w:tc>
          <w:tcPr>
            <w:tcW w:w="2377" w:type="dxa"/>
            <w:vMerge w:val="restart"/>
            <w:tcBorders>
              <w:top w:val="single" w:sz="17"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6346" w:type="dxa"/>
            <w:gridSpan w:val="3"/>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407" w:hRule="exact"/>
        </w:trPr>
        <w:tc>
          <w:tcPr>
            <w:tcW w:w="2377" w:type="dxa"/>
            <w:vMerge/>
            <w:tcBorders>
              <w:left w:val="nil" w:sz="6" w:space="0" w:color="auto"/>
              <w:bottom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627" w:right="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c>
        <w:tc>
          <w:tcPr>
            <w:tcW w:w="20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left="682"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07" w:hRule="exact"/>
        </w:trPr>
        <w:tc>
          <w:tcPr>
            <w:tcW w:w="23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宋体" w:hAnsi="宋体" w:cs="宋体" w:eastAsia="宋体" w:hint="default"/>
                <w:sz w:val="18"/>
                <w:szCs w:val="18"/>
              </w:rPr>
            </w:pPr>
            <w:r>
              <w:rPr>
                <w:rFonts w:ascii="宋体"/>
                <w:spacing w:val="-1"/>
                <w:sz w:val="18"/>
              </w:rPr>
              <w:t>119,798,778.31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18"/>
                <w:szCs w:val="18"/>
              </w:rPr>
            </w:pPr>
            <w:r>
              <w:rPr>
                <w:rFonts w:ascii="宋体"/>
                <w:spacing w:val="-1"/>
                <w:sz w:val="18"/>
              </w:rPr>
              <w:t>2,293,230.24</w:t>
            </w:r>
          </w:p>
        </w:tc>
        <w:tc>
          <w:tcPr>
            <w:tcW w:w="20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117,505,548.07</w:t>
            </w:r>
          </w:p>
        </w:tc>
      </w:tr>
      <w:tr>
        <w:trPr>
          <w:trHeight w:val="407" w:hRule="exact"/>
        </w:trPr>
        <w:tc>
          <w:tcPr>
            <w:tcW w:w="23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165,079,873.20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2,028,810.75</w:t>
            </w:r>
          </w:p>
        </w:tc>
        <w:tc>
          <w:tcPr>
            <w:tcW w:w="20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163,051,062.45</w:t>
            </w:r>
          </w:p>
        </w:tc>
      </w:tr>
      <w:tr>
        <w:trPr>
          <w:trHeight w:val="407" w:hRule="exact"/>
        </w:trPr>
        <w:tc>
          <w:tcPr>
            <w:tcW w:w="23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pacing w:val="-1"/>
                <w:sz w:val="18"/>
              </w:rPr>
              <w:t>389,935,891.69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5,468,486.33</w:t>
            </w:r>
          </w:p>
        </w:tc>
        <w:tc>
          <w:tcPr>
            <w:tcW w:w="20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384,467,405.36</w:t>
            </w:r>
          </w:p>
        </w:tc>
      </w:tr>
      <w:tr>
        <w:trPr>
          <w:trHeight w:val="405" w:hRule="exact"/>
        </w:trPr>
        <w:tc>
          <w:tcPr>
            <w:tcW w:w="23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6,337,531.14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164,455.97</w:t>
            </w:r>
          </w:p>
        </w:tc>
        <w:tc>
          <w:tcPr>
            <w:tcW w:w="20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6,173,075.17</w:t>
            </w:r>
          </w:p>
        </w:tc>
      </w:tr>
    </w:tbl>
    <w:p>
      <w:pPr>
        <w:spacing w:after="0" w:line="240" w:lineRule="auto"/>
        <w:jc w:val="right"/>
        <w:rPr>
          <w:rFonts w:ascii="宋体" w:hAnsi="宋体" w:cs="宋体" w:eastAsia="宋体" w:hint="default"/>
          <w:sz w:val="18"/>
          <w:szCs w:val="18"/>
        </w:rPr>
        <w:sectPr>
          <w:type w:val="continuous"/>
          <w:pgSz w:w="11910" w:h="16840"/>
          <w:pgMar w:top="660" w:bottom="700" w:left="1420" w:right="0"/>
        </w:sectPr>
      </w:pPr>
    </w:p>
    <w:p>
      <w:pPr>
        <w:spacing w:line="240" w:lineRule="auto" w:before="11"/>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377"/>
        <w:gridCol w:w="2266"/>
        <w:gridCol w:w="1985"/>
        <w:gridCol w:w="2095"/>
      </w:tblGrid>
      <w:tr>
        <w:trPr>
          <w:trHeight w:val="425" w:hRule="exact"/>
        </w:trPr>
        <w:tc>
          <w:tcPr>
            <w:tcW w:w="2377" w:type="dxa"/>
            <w:vMerge w:val="restart"/>
            <w:tcBorders>
              <w:top w:val="single" w:sz="17"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6346" w:type="dxa"/>
            <w:gridSpan w:val="3"/>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407" w:hRule="exact"/>
        </w:trPr>
        <w:tc>
          <w:tcPr>
            <w:tcW w:w="2377" w:type="dxa"/>
            <w:vMerge/>
            <w:tcBorders>
              <w:left w:val="nil" w:sz="6" w:space="0" w:color="auto"/>
              <w:bottom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627" w:right="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c>
        <w:tc>
          <w:tcPr>
            <w:tcW w:w="20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left="682"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24" w:hRule="exact"/>
        </w:trPr>
        <w:tc>
          <w:tcPr>
            <w:tcW w:w="2377"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66"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4"/>
              <w:ind w:left="892" w:right="0"/>
              <w:jc w:val="left"/>
              <w:rPr>
                <w:rFonts w:ascii="宋体" w:hAnsi="宋体" w:cs="宋体" w:eastAsia="宋体" w:hint="default"/>
                <w:sz w:val="18"/>
                <w:szCs w:val="18"/>
              </w:rPr>
            </w:pPr>
            <w:r>
              <w:rPr>
                <w:rFonts w:ascii="宋体"/>
                <w:b/>
                <w:sz w:val="18"/>
              </w:rPr>
              <w:t>681,152,074.34</w:t>
            </w:r>
            <w:r>
              <w:rPr>
                <w:rFonts w:ascii="宋体"/>
                <w:sz w:val="18"/>
              </w:rPr>
            </w:r>
          </w:p>
        </w:tc>
        <w:tc>
          <w:tcPr>
            <w:tcW w:w="1985"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4"/>
              <w:ind w:left="791" w:right="0"/>
              <w:jc w:val="left"/>
              <w:rPr>
                <w:rFonts w:ascii="宋体" w:hAnsi="宋体" w:cs="宋体" w:eastAsia="宋体" w:hint="default"/>
                <w:sz w:val="18"/>
                <w:szCs w:val="18"/>
              </w:rPr>
            </w:pPr>
            <w:r>
              <w:rPr>
                <w:rFonts w:ascii="宋体"/>
                <w:b/>
                <w:sz w:val="18"/>
              </w:rPr>
              <w:t>9,954,983.29</w:t>
            </w:r>
            <w:r>
              <w:rPr>
                <w:rFonts w:ascii="宋体"/>
                <w:sz w:val="18"/>
              </w:rPr>
            </w:r>
          </w:p>
        </w:tc>
        <w:tc>
          <w:tcPr>
            <w:tcW w:w="2095"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4"/>
              <w:ind w:left="721" w:right="0"/>
              <w:jc w:val="left"/>
              <w:rPr>
                <w:rFonts w:ascii="宋体" w:hAnsi="宋体" w:cs="宋体" w:eastAsia="宋体" w:hint="default"/>
                <w:sz w:val="18"/>
                <w:szCs w:val="18"/>
              </w:rPr>
            </w:pPr>
            <w:r>
              <w:rPr>
                <w:rFonts w:ascii="宋体"/>
                <w:b/>
                <w:sz w:val="18"/>
              </w:rPr>
              <w:t>671,197,091.05</w:t>
            </w:r>
            <w:r>
              <w:rPr>
                <w:rFonts w:ascii="宋体"/>
                <w:sz w:val="18"/>
              </w:rPr>
            </w:r>
          </w:p>
        </w:tc>
      </w:tr>
    </w:tbl>
    <w:p>
      <w:pPr>
        <w:spacing w:line="240" w:lineRule="auto" w:before="4"/>
        <w:rPr>
          <w:rFonts w:ascii="宋体" w:hAnsi="宋体" w:cs="宋体" w:eastAsia="宋体" w:hint="default"/>
          <w:sz w:val="9"/>
          <w:szCs w:val="9"/>
        </w:rPr>
      </w:pPr>
    </w:p>
    <w:p>
      <w:pPr>
        <w:pStyle w:val="BodyText"/>
        <w:spacing w:line="240" w:lineRule="auto"/>
        <w:ind w:left="680" w:right="1445"/>
        <w:jc w:val="left"/>
      </w:pPr>
      <w:r>
        <w:rPr/>
        <w:t>（续表）</w:t>
      </w:r>
    </w:p>
    <w:p>
      <w:pPr>
        <w:spacing w:line="240" w:lineRule="auto" w:before="2"/>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2374"/>
        <w:gridCol w:w="2270"/>
        <w:gridCol w:w="1985"/>
        <w:gridCol w:w="2094"/>
      </w:tblGrid>
      <w:tr>
        <w:trPr>
          <w:trHeight w:val="397" w:hRule="exact"/>
        </w:trPr>
        <w:tc>
          <w:tcPr>
            <w:tcW w:w="2374" w:type="dxa"/>
            <w:vMerge w:val="restart"/>
            <w:tcBorders>
              <w:top w:val="single" w:sz="17"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6349" w:type="dxa"/>
            <w:gridSpan w:val="3"/>
            <w:tcBorders>
              <w:top w:val="single" w:sz="17" w:space="0" w:color="000000"/>
              <w:left w:val="single" w:sz="4" w:space="0" w:color="000000"/>
              <w:bottom w:val="single" w:sz="4" w:space="0" w:color="000000"/>
              <w:right w:val="nil" w:sz="6" w:space="0" w:color="auto"/>
            </w:tcBorders>
          </w:tcPr>
          <w:p>
            <w:pPr>
              <w:pStyle w:val="TableParagraph"/>
              <w:spacing w:line="240" w:lineRule="auto" w:before="41"/>
              <w:ind w:right="3"/>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79" w:hRule="exact"/>
        </w:trPr>
        <w:tc>
          <w:tcPr>
            <w:tcW w:w="2374" w:type="dxa"/>
            <w:vMerge/>
            <w:tcBorders>
              <w:left w:val="nil" w:sz="6" w:space="0" w:color="auto"/>
              <w:bottom w:val="single" w:sz="4" w:space="0" w:color="000000"/>
              <w:right w:val="single" w:sz="4" w:space="0" w:color="000000"/>
            </w:tcBorders>
          </w:tcPr>
          <w:p>
            <w:pP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626" w:right="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c>
        <w:tc>
          <w:tcPr>
            <w:tcW w:w="20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0"/>
              <w:ind w:left="681"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79" w:hRule="exact"/>
        </w:trPr>
        <w:tc>
          <w:tcPr>
            <w:tcW w:w="23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宋体" w:hAnsi="宋体" w:cs="宋体" w:eastAsia="宋体" w:hint="default"/>
                <w:sz w:val="18"/>
                <w:szCs w:val="18"/>
              </w:rPr>
            </w:pPr>
            <w:r>
              <w:rPr>
                <w:rFonts w:ascii="宋体"/>
                <w:spacing w:val="-1"/>
                <w:sz w:val="18"/>
              </w:rPr>
              <w:t>155,159,841.10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宋体" w:hAnsi="宋体" w:cs="宋体" w:eastAsia="宋体" w:hint="default"/>
                <w:sz w:val="18"/>
                <w:szCs w:val="18"/>
              </w:rPr>
            </w:pPr>
            <w:r>
              <w:rPr>
                <w:rFonts w:ascii="宋体"/>
                <w:spacing w:val="-1"/>
                <w:sz w:val="18"/>
              </w:rPr>
              <w:t>1,999,739.04</w:t>
            </w:r>
          </w:p>
        </w:tc>
        <w:tc>
          <w:tcPr>
            <w:tcW w:w="20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pacing w:val="-1"/>
                <w:sz w:val="18"/>
              </w:rPr>
              <w:t>153,160,102.06</w:t>
            </w:r>
          </w:p>
        </w:tc>
      </w:tr>
      <w:tr>
        <w:trPr>
          <w:trHeight w:val="379" w:hRule="exact"/>
        </w:trPr>
        <w:tc>
          <w:tcPr>
            <w:tcW w:w="23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18"/>
                <w:szCs w:val="18"/>
              </w:rPr>
            </w:pPr>
            <w:r>
              <w:rPr>
                <w:rFonts w:ascii="宋体"/>
                <w:spacing w:val="-1"/>
                <w:sz w:val="18"/>
              </w:rPr>
              <w:t>228,099,142.95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18"/>
                <w:szCs w:val="18"/>
              </w:rPr>
            </w:pPr>
            <w:r>
              <w:rPr>
                <w:rFonts w:ascii="宋体"/>
                <w:spacing w:val="-1"/>
                <w:sz w:val="18"/>
              </w:rPr>
              <w:t>2,599,927.76</w:t>
            </w:r>
          </w:p>
        </w:tc>
        <w:tc>
          <w:tcPr>
            <w:tcW w:w="20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5"/>
              <w:jc w:val="right"/>
              <w:rPr>
                <w:rFonts w:ascii="宋体" w:hAnsi="宋体" w:cs="宋体" w:eastAsia="宋体" w:hint="default"/>
                <w:sz w:val="18"/>
                <w:szCs w:val="18"/>
              </w:rPr>
            </w:pPr>
            <w:r>
              <w:rPr>
                <w:rFonts w:ascii="宋体"/>
                <w:spacing w:val="-1"/>
                <w:sz w:val="18"/>
              </w:rPr>
              <w:t>225,499,215.19</w:t>
            </w:r>
          </w:p>
        </w:tc>
      </w:tr>
      <w:tr>
        <w:trPr>
          <w:trHeight w:val="379" w:hRule="exact"/>
        </w:trPr>
        <w:tc>
          <w:tcPr>
            <w:tcW w:w="23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18"/>
                <w:szCs w:val="18"/>
              </w:rPr>
            </w:pPr>
            <w:r>
              <w:rPr>
                <w:rFonts w:ascii="宋体"/>
                <w:spacing w:val="-1"/>
                <w:sz w:val="18"/>
              </w:rPr>
              <w:t>495,163,390.77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18"/>
                <w:szCs w:val="18"/>
              </w:rPr>
            </w:pPr>
            <w:r>
              <w:rPr>
                <w:rFonts w:ascii="宋体"/>
                <w:spacing w:val="-1"/>
                <w:sz w:val="18"/>
              </w:rPr>
              <w:t>5,543,141.43</w:t>
            </w:r>
          </w:p>
        </w:tc>
        <w:tc>
          <w:tcPr>
            <w:tcW w:w="20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5"/>
              <w:jc w:val="right"/>
              <w:rPr>
                <w:rFonts w:ascii="宋体" w:hAnsi="宋体" w:cs="宋体" w:eastAsia="宋体" w:hint="default"/>
                <w:sz w:val="18"/>
                <w:szCs w:val="18"/>
              </w:rPr>
            </w:pPr>
            <w:r>
              <w:rPr>
                <w:rFonts w:ascii="宋体"/>
                <w:spacing w:val="-1"/>
                <w:sz w:val="18"/>
              </w:rPr>
              <w:t>489,620,249.34</w:t>
            </w:r>
          </w:p>
        </w:tc>
      </w:tr>
      <w:tr>
        <w:trPr>
          <w:trHeight w:val="379" w:hRule="exact"/>
        </w:trPr>
        <w:tc>
          <w:tcPr>
            <w:tcW w:w="23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2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18"/>
                <w:szCs w:val="18"/>
              </w:rPr>
            </w:pPr>
            <w:r>
              <w:rPr>
                <w:rFonts w:ascii="宋体"/>
                <w:spacing w:val="-1"/>
                <w:sz w:val="18"/>
              </w:rPr>
              <w:t>4,770,775.25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宋体" w:hAnsi="宋体" w:cs="宋体" w:eastAsia="宋体" w:hint="default"/>
                <w:sz w:val="18"/>
                <w:szCs w:val="18"/>
              </w:rPr>
            </w:pPr>
            <w:r>
              <w:rPr>
                <w:rFonts w:ascii="宋体"/>
                <w:spacing w:val="-1"/>
                <w:sz w:val="18"/>
              </w:rPr>
              <w:t>116,714.28</w:t>
            </w:r>
          </w:p>
        </w:tc>
        <w:tc>
          <w:tcPr>
            <w:tcW w:w="20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5"/>
              <w:jc w:val="right"/>
              <w:rPr>
                <w:rFonts w:ascii="宋体" w:hAnsi="宋体" w:cs="宋体" w:eastAsia="宋体" w:hint="default"/>
                <w:sz w:val="18"/>
                <w:szCs w:val="18"/>
              </w:rPr>
            </w:pPr>
            <w:r>
              <w:rPr>
                <w:rFonts w:ascii="宋体"/>
                <w:spacing w:val="-1"/>
                <w:sz w:val="18"/>
              </w:rPr>
              <w:t>4,654,060.97</w:t>
            </w:r>
          </w:p>
        </w:tc>
      </w:tr>
      <w:tr>
        <w:trPr>
          <w:trHeight w:val="396" w:hRule="exact"/>
        </w:trPr>
        <w:tc>
          <w:tcPr>
            <w:tcW w:w="2374"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7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38"/>
              <w:ind w:right="87"/>
              <w:jc w:val="right"/>
              <w:rPr>
                <w:rFonts w:ascii="宋体" w:hAnsi="宋体" w:cs="宋体" w:eastAsia="宋体" w:hint="default"/>
                <w:sz w:val="18"/>
                <w:szCs w:val="18"/>
              </w:rPr>
            </w:pPr>
            <w:r>
              <w:rPr>
                <w:rFonts w:ascii="宋体"/>
                <w:b/>
                <w:sz w:val="18"/>
              </w:rPr>
              <w:t>883,193,150.07</w:t>
            </w:r>
            <w:r>
              <w:rPr>
                <w:rFonts w:ascii="宋体"/>
                <w:sz w:val="18"/>
              </w:rPr>
            </w:r>
          </w:p>
        </w:tc>
        <w:tc>
          <w:tcPr>
            <w:tcW w:w="1985"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38"/>
              <w:ind w:right="90"/>
              <w:jc w:val="right"/>
              <w:rPr>
                <w:rFonts w:ascii="宋体" w:hAnsi="宋体" w:cs="宋体" w:eastAsia="宋体" w:hint="default"/>
                <w:sz w:val="18"/>
                <w:szCs w:val="18"/>
              </w:rPr>
            </w:pPr>
            <w:r>
              <w:rPr>
                <w:rFonts w:ascii="宋体"/>
                <w:b/>
                <w:w w:val="95"/>
                <w:sz w:val="18"/>
              </w:rPr>
              <w:t>10,259,522.51</w:t>
            </w:r>
            <w:r>
              <w:rPr>
                <w:rFonts w:ascii="宋体"/>
                <w:sz w:val="18"/>
              </w:rPr>
            </w:r>
          </w:p>
        </w:tc>
        <w:tc>
          <w:tcPr>
            <w:tcW w:w="2094"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38"/>
              <w:ind w:right="93"/>
              <w:jc w:val="right"/>
              <w:rPr>
                <w:rFonts w:ascii="宋体" w:hAnsi="宋体" w:cs="宋体" w:eastAsia="宋体" w:hint="default"/>
                <w:sz w:val="18"/>
                <w:szCs w:val="18"/>
              </w:rPr>
            </w:pPr>
            <w:r>
              <w:rPr>
                <w:rFonts w:ascii="宋体"/>
                <w:b/>
                <w:sz w:val="18"/>
              </w:rPr>
              <w:t>872,933,627.56</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92"/>
        </w:rPr>
        <w:t> </w:t>
      </w:r>
      <w:bookmarkStart w:name="（2）存货跌价准备" w:id="262"/>
      <w:bookmarkEnd w:id="262"/>
      <w:r>
        <w:rPr/>
        <w:t>存</w:t>
      </w:r>
      <w:r>
        <w:rPr/>
        <w:t>货跌价准备</w:t>
      </w:r>
    </w:p>
    <w:p>
      <w:pPr>
        <w:spacing w:line="240" w:lineRule="auto" w:before="0"/>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139"/>
        <w:gridCol w:w="1527"/>
        <w:gridCol w:w="1527"/>
        <w:gridCol w:w="611"/>
        <w:gridCol w:w="1527"/>
        <w:gridCol w:w="865"/>
        <w:gridCol w:w="1527"/>
      </w:tblGrid>
      <w:tr>
        <w:trPr>
          <w:trHeight w:val="387" w:hRule="exact"/>
        </w:trPr>
        <w:tc>
          <w:tcPr>
            <w:tcW w:w="1139"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27" w:type="dxa"/>
            <w:vMerge w:val="restart"/>
            <w:tcBorders>
              <w:top w:val="single" w:sz="12" w:space="0" w:color="000000"/>
              <w:left w:val="single" w:sz="2" w:space="0" w:color="000000"/>
              <w:right w:val="single" w:sz="2"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2138"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39"/>
              <w:ind w:left="706"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2392"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39"/>
              <w:ind w:left="3" w:right="0"/>
              <w:jc w:val="center"/>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527" w:type="dxa"/>
            <w:vMerge w:val="restart"/>
            <w:tcBorders>
              <w:top w:val="single" w:sz="12" w:space="0" w:color="000000"/>
              <w:left w:val="single" w:sz="2"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74" w:hRule="exact"/>
        </w:trPr>
        <w:tc>
          <w:tcPr>
            <w:tcW w:w="1139" w:type="dxa"/>
            <w:vMerge/>
            <w:tcBorders>
              <w:left w:val="nil" w:sz="6" w:space="0" w:color="auto"/>
              <w:bottom w:val="single" w:sz="2" w:space="0" w:color="000000"/>
              <w:right w:val="single" w:sz="2" w:space="0" w:color="000000"/>
            </w:tcBorders>
          </w:tcPr>
          <w:p>
            <w:pPr/>
          </w:p>
        </w:tc>
        <w:tc>
          <w:tcPr>
            <w:tcW w:w="1527" w:type="dxa"/>
            <w:vMerge/>
            <w:tcBorders>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8"/>
              <w:ind w:right="1"/>
              <w:jc w:val="center"/>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61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8"/>
              <w:ind w:left="310" w:right="0"/>
              <w:jc w:val="left"/>
              <w:rPr>
                <w:rFonts w:ascii="宋体" w:hAnsi="宋体" w:cs="宋体" w:eastAsia="宋体" w:hint="default"/>
                <w:sz w:val="18"/>
                <w:szCs w:val="18"/>
              </w:rPr>
            </w:pPr>
            <w:r>
              <w:rPr>
                <w:rFonts w:ascii="宋体" w:hAnsi="宋体" w:cs="宋体" w:eastAsia="宋体" w:hint="default"/>
                <w:b/>
                <w:bCs/>
                <w:sz w:val="18"/>
                <w:szCs w:val="18"/>
              </w:rPr>
              <w:t>转回或转销</w:t>
            </w:r>
            <w:r>
              <w:rPr>
                <w:rFonts w:ascii="宋体" w:hAnsi="宋体" w:cs="宋体" w:eastAsia="宋体" w:hint="default"/>
                <w:sz w:val="18"/>
                <w:szCs w:val="18"/>
              </w:rPr>
            </w:r>
          </w:p>
        </w:tc>
        <w:tc>
          <w:tcPr>
            <w:tcW w:w="86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8"/>
              <w:ind w:left="70" w:right="0"/>
              <w:jc w:val="left"/>
              <w:rPr>
                <w:rFonts w:ascii="宋体" w:hAnsi="宋体" w:cs="宋体" w:eastAsia="宋体" w:hint="default"/>
                <w:sz w:val="18"/>
                <w:szCs w:val="18"/>
              </w:rPr>
            </w:pPr>
            <w:r>
              <w:rPr>
                <w:rFonts w:ascii="宋体" w:hAnsi="宋体" w:cs="宋体" w:eastAsia="宋体" w:hint="default"/>
                <w:b/>
                <w:bCs/>
                <w:sz w:val="18"/>
                <w:szCs w:val="18"/>
              </w:rPr>
              <w:t>其他转出</w:t>
            </w:r>
            <w:r>
              <w:rPr>
                <w:rFonts w:ascii="宋体" w:hAnsi="宋体" w:cs="宋体" w:eastAsia="宋体" w:hint="default"/>
                <w:sz w:val="18"/>
                <w:szCs w:val="18"/>
              </w:rPr>
            </w:r>
          </w:p>
        </w:tc>
        <w:tc>
          <w:tcPr>
            <w:tcW w:w="1527" w:type="dxa"/>
            <w:vMerge/>
            <w:tcBorders>
              <w:left w:val="single" w:sz="2" w:space="0" w:color="000000"/>
              <w:bottom w:val="single" w:sz="2" w:space="0" w:color="000000"/>
              <w:right w:val="nil" w:sz="6" w:space="0" w:color="auto"/>
            </w:tcBorders>
          </w:tcPr>
          <w:p>
            <w:pPr/>
          </w:p>
        </w:tc>
      </w:tr>
      <w:tr>
        <w:trPr>
          <w:trHeight w:val="374" w:hRule="exact"/>
        </w:trPr>
        <w:tc>
          <w:tcPr>
            <w:tcW w:w="113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1,999,739.04</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9"/>
              <w:ind w:right="102"/>
              <w:jc w:val="right"/>
              <w:rPr>
                <w:rFonts w:ascii="宋体" w:hAnsi="宋体" w:cs="宋体" w:eastAsia="宋体" w:hint="default"/>
                <w:sz w:val="18"/>
                <w:szCs w:val="18"/>
              </w:rPr>
            </w:pPr>
            <w:r>
              <w:rPr>
                <w:rFonts w:ascii="宋体"/>
                <w:spacing w:val="-1"/>
                <w:sz w:val="18"/>
              </w:rPr>
              <w:t>2,296,325.33</w:t>
            </w:r>
          </w:p>
        </w:tc>
        <w:tc>
          <w:tcPr>
            <w:tcW w:w="611"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2,002,834.13</w:t>
            </w:r>
          </w:p>
        </w:tc>
        <w:tc>
          <w:tcPr>
            <w:tcW w:w="865"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pacing w:val="-1"/>
                <w:sz w:val="18"/>
              </w:rPr>
              <w:t>2,293,230.24</w:t>
            </w:r>
          </w:p>
        </w:tc>
      </w:tr>
      <w:tr>
        <w:trPr>
          <w:trHeight w:val="374" w:hRule="exact"/>
        </w:trPr>
        <w:tc>
          <w:tcPr>
            <w:tcW w:w="113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2,599,927.76</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9"/>
              <w:ind w:right="102"/>
              <w:jc w:val="right"/>
              <w:rPr>
                <w:rFonts w:ascii="宋体" w:hAnsi="宋体" w:cs="宋体" w:eastAsia="宋体" w:hint="default"/>
                <w:sz w:val="18"/>
                <w:szCs w:val="18"/>
              </w:rPr>
            </w:pPr>
            <w:r>
              <w:rPr>
                <w:rFonts w:ascii="宋体"/>
                <w:spacing w:val="-1"/>
                <w:sz w:val="18"/>
              </w:rPr>
              <w:t>2,028,810.75</w:t>
            </w:r>
          </w:p>
        </w:tc>
        <w:tc>
          <w:tcPr>
            <w:tcW w:w="611"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2,599,927.76</w:t>
            </w:r>
          </w:p>
        </w:tc>
        <w:tc>
          <w:tcPr>
            <w:tcW w:w="865"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pacing w:val="-1"/>
                <w:sz w:val="18"/>
              </w:rPr>
              <w:t>2,028,810.75</w:t>
            </w:r>
          </w:p>
        </w:tc>
      </w:tr>
      <w:tr>
        <w:trPr>
          <w:trHeight w:val="374" w:hRule="exact"/>
        </w:trPr>
        <w:tc>
          <w:tcPr>
            <w:tcW w:w="113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0"/>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0"/>
              <w:ind w:right="101"/>
              <w:jc w:val="right"/>
              <w:rPr>
                <w:rFonts w:ascii="宋体" w:hAnsi="宋体" w:cs="宋体" w:eastAsia="宋体" w:hint="default"/>
                <w:sz w:val="18"/>
                <w:szCs w:val="18"/>
              </w:rPr>
            </w:pPr>
            <w:r>
              <w:rPr>
                <w:rFonts w:ascii="宋体"/>
                <w:spacing w:val="-1"/>
                <w:sz w:val="18"/>
              </w:rPr>
              <w:t>5,543,141.43</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0"/>
              <w:ind w:right="102"/>
              <w:jc w:val="right"/>
              <w:rPr>
                <w:rFonts w:ascii="宋体" w:hAnsi="宋体" w:cs="宋体" w:eastAsia="宋体" w:hint="default"/>
                <w:sz w:val="18"/>
                <w:szCs w:val="18"/>
              </w:rPr>
            </w:pPr>
            <w:r>
              <w:rPr>
                <w:rFonts w:ascii="宋体"/>
                <w:spacing w:val="-1"/>
                <w:sz w:val="18"/>
              </w:rPr>
              <w:t>5,473,704.72</w:t>
            </w:r>
          </w:p>
        </w:tc>
        <w:tc>
          <w:tcPr>
            <w:tcW w:w="611"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0"/>
              <w:ind w:right="101"/>
              <w:jc w:val="right"/>
              <w:rPr>
                <w:rFonts w:ascii="宋体" w:hAnsi="宋体" w:cs="宋体" w:eastAsia="宋体" w:hint="default"/>
                <w:sz w:val="18"/>
                <w:szCs w:val="18"/>
              </w:rPr>
            </w:pPr>
            <w:r>
              <w:rPr>
                <w:rFonts w:ascii="宋体"/>
                <w:spacing w:val="-1"/>
                <w:sz w:val="18"/>
              </w:rPr>
              <w:t>5,548,359.82</w:t>
            </w:r>
          </w:p>
        </w:tc>
        <w:tc>
          <w:tcPr>
            <w:tcW w:w="865"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pacing w:val="-1"/>
                <w:sz w:val="18"/>
              </w:rPr>
              <w:t>5,468,486.33</w:t>
            </w:r>
          </w:p>
        </w:tc>
      </w:tr>
      <w:tr>
        <w:trPr>
          <w:trHeight w:val="374" w:hRule="exact"/>
        </w:trPr>
        <w:tc>
          <w:tcPr>
            <w:tcW w:w="113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pacing w:val="-1"/>
                <w:sz w:val="18"/>
              </w:rPr>
              <w:t>116,714.28</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8"/>
              <w:ind w:right="102"/>
              <w:jc w:val="right"/>
              <w:rPr>
                <w:rFonts w:ascii="宋体" w:hAnsi="宋体" w:cs="宋体" w:eastAsia="宋体" w:hint="default"/>
                <w:sz w:val="18"/>
                <w:szCs w:val="18"/>
              </w:rPr>
            </w:pPr>
            <w:r>
              <w:rPr>
                <w:rFonts w:ascii="宋体"/>
                <w:spacing w:val="-1"/>
                <w:sz w:val="18"/>
              </w:rPr>
              <w:t>164,455.97</w:t>
            </w:r>
          </w:p>
        </w:tc>
        <w:tc>
          <w:tcPr>
            <w:tcW w:w="611"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pacing w:val="-1"/>
                <w:sz w:val="18"/>
              </w:rPr>
              <w:t>116,714.28</w:t>
            </w:r>
          </w:p>
        </w:tc>
        <w:tc>
          <w:tcPr>
            <w:tcW w:w="865" w:type="dxa"/>
            <w:tcBorders>
              <w:top w:val="single" w:sz="2" w:space="0" w:color="000000"/>
              <w:left w:val="single" w:sz="2" w:space="0" w:color="000000"/>
              <w:bottom w:val="single" w:sz="2" w:space="0" w:color="000000"/>
              <w:right w:val="single" w:sz="2" w:space="0" w:color="000000"/>
            </w:tcBorders>
          </w:tcPr>
          <w:p>
            <w:pP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8"/>
              <w:ind w:right="105"/>
              <w:jc w:val="right"/>
              <w:rPr>
                <w:rFonts w:ascii="宋体" w:hAnsi="宋体" w:cs="宋体" w:eastAsia="宋体" w:hint="default"/>
                <w:sz w:val="18"/>
                <w:szCs w:val="18"/>
              </w:rPr>
            </w:pPr>
            <w:r>
              <w:rPr>
                <w:rFonts w:ascii="宋体"/>
                <w:spacing w:val="-1"/>
                <w:sz w:val="18"/>
              </w:rPr>
              <w:t>164,455.97</w:t>
            </w:r>
          </w:p>
        </w:tc>
      </w:tr>
      <w:tr>
        <w:trPr>
          <w:trHeight w:val="386" w:hRule="exact"/>
        </w:trPr>
        <w:tc>
          <w:tcPr>
            <w:tcW w:w="113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38"/>
              <w:ind w:right="91"/>
              <w:jc w:val="right"/>
              <w:rPr>
                <w:rFonts w:ascii="宋体" w:hAnsi="宋体" w:cs="宋体" w:eastAsia="宋体" w:hint="default"/>
                <w:sz w:val="18"/>
                <w:szCs w:val="18"/>
              </w:rPr>
            </w:pPr>
            <w:r>
              <w:rPr>
                <w:rFonts w:ascii="宋体"/>
                <w:b/>
                <w:w w:val="95"/>
                <w:sz w:val="18"/>
              </w:rPr>
              <w:t>10,259,522.51</w:t>
            </w:r>
            <w:r>
              <w:rPr>
                <w:rFonts w:ascii="宋体"/>
                <w:sz w:val="18"/>
              </w:rPr>
            </w:r>
          </w:p>
        </w:tc>
        <w:tc>
          <w:tcPr>
            <w:tcW w:w="15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38"/>
              <w:ind w:right="92"/>
              <w:jc w:val="right"/>
              <w:rPr>
                <w:rFonts w:ascii="宋体" w:hAnsi="宋体" w:cs="宋体" w:eastAsia="宋体" w:hint="default"/>
                <w:sz w:val="18"/>
                <w:szCs w:val="18"/>
              </w:rPr>
            </w:pPr>
            <w:r>
              <w:rPr>
                <w:rFonts w:ascii="宋体"/>
                <w:b/>
                <w:w w:val="95"/>
                <w:sz w:val="18"/>
              </w:rPr>
              <w:t>9,963,296.77</w:t>
            </w:r>
            <w:r>
              <w:rPr>
                <w:rFonts w:ascii="宋体"/>
                <w:sz w:val="18"/>
              </w:rPr>
            </w:r>
          </w:p>
        </w:tc>
        <w:tc>
          <w:tcPr>
            <w:tcW w:w="611" w:type="dxa"/>
            <w:tcBorders>
              <w:top w:val="single" w:sz="2" w:space="0" w:color="000000"/>
              <w:left w:val="single" w:sz="2" w:space="0" w:color="000000"/>
              <w:bottom w:val="single" w:sz="12" w:space="0" w:color="000000"/>
              <w:right w:val="single" w:sz="2" w:space="0" w:color="000000"/>
            </w:tcBorders>
          </w:tcPr>
          <w:p>
            <w:pPr/>
          </w:p>
        </w:tc>
        <w:tc>
          <w:tcPr>
            <w:tcW w:w="15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38"/>
              <w:ind w:right="92"/>
              <w:jc w:val="right"/>
              <w:rPr>
                <w:rFonts w:ascii="宋体" w:hAnsi="宋体" w:cs="宋体" w:eastAsia="宋体" w:hint="default"/>
                <w:sz w:val="18"/>
                <w:szCs w:val="18"/>
              </w:rPr>
            </w:pPr>
            <w:r>
              <w:rPr>
                <w:rFonts w:ascii="宋体"/>
                <w:b/>
                <w:w w:val="95"/>
                <w:sz w:val="18"/>
              </w:rPr>
              <w:t>10,267,835.99</w:t>
            </w:r>
            <w:r>
              <w:rPr>
                <w:rFonts w:ascii="宋体"/>
                <w:sz w:val="18"/>
              </w:rPr>
            </w:r>
          </w:p>
        </w:tc>
        <w:tc>
          <w:tcPr>
            <w:tcW w:w="865" w:type="dxa"/>
            <w:tcBorders>
              <w:top w:val="single" w:sz="2" w:space="0" w:color="000000"/>
              <w:left w:val="single" w:sz="2" w:space="0" w:color="000000"/>
              <w:bottom w:val="single" w:sz="12" w:space="0" w:color="000000"/>
              <w:right w:val="single" w:sz="2" w:space="0" w:color="000000"/>
            </w:tcBorders>
          </w:tcPr>
          <w:p>
            <w:pPr/>
          </w:p>
        </w:tc>
        <w:tc>
          <w:tcPr>
            <w:tcW w:w="152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38"/>
              <w:ind w:right="96"/>
              <w:jc w:val="right"/>
              <w:rPr>
                <w:rFonts w:ascii="宋体" w:hAnsi="宋体" w:cs="宋体" w:eastAsia="宋体" w:hint="default"/>
                <w:sz w:val="18"/>
                <w:szCs w:val="18"/>
              </w:rPr>
            </w:pPr>
            <w:r>
              <w:rPr>
                <w:rFonts w:ascii="宋体"/>
                <w:b/>
                <w:w w:val="95"/>
                <w:sz w:val="18"/>
              </w:rPr>
              <w:t>9,954,983.29</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740" w:right="1445"/>
        <w:jc w:val="left"/>
      </w:pPr>
      <w:r>
        <w:rPr/>
        <w:t>（</w:t>
      </w:r>
      <w:r>
        <w:rPr>
          <w:rFonts w:ascii="Times New Roman" w:hAnsi="Times New Roman" w:cs="Times New Roman" w:eastAsia="Times New Roman" w:hint="default"/>
        </w:rPr>
        <w:t>3</w:t>
      </w:r>
      <w:r>
        <w:rPr/>
        <w:t>）</w:t>
      </w:r>
      <w:r>
        <w:rPr>
          <w:spacing w:val="-65"/>
        </w:rPr>
        <w:t> </w:t>
      </w:r>
      <w:bookmarkStart w:name="（3）存货跌价准备计提" w:id="263"/>
      <w:bookmarkEnd w:id="263"/>
      <w:r>
        <w:rPr/>
        <w:t>存</w:t>
      </w:r>
      <w:r>
        <w:rPr/>
        <w:t>货跌价准备计提</w:t>
      </w:r>
    </w:p>
    <w:p>
      <w:pPr>
        <w:spacing w:line="240" w:lineRule="auto" w:before="13"/>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236"/>
        <w:gridCol w:w="3244"/>
        <w:gridCol w:w="3243"/>
      </w:tblGrid>
      <w:tr>
        <w:trPr>
          <w:trHeight w:val="415" w:hRule="exact"/>
        </w:trPr>
        <w:tc>
          <w:tcPr>
            <w:tcW w:w="223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24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5" w:right="0"/>
              <w:jc w:val="center"/>
              <w:rPr>
                <w:rFonts w:ascii="宋体" w:hAnsi="宋体" w:cs="宋体" w:eastAsia="宋体" w:hint="default"/>
                <w:sz w:val="18"/>
                <w:szCs w:val="18"/>
              </w:rPr>
            </w:pPr>
            <w:r>
              <w:rPr>
                <w:rFonts w:ascii="宋体" w:hAnsi="宋体" w:cs="宋体" w:eastAsia="宋体" w:hint="default"/>
                <w:b/>
                <w:bCs/>
                <w:sz w:val="18"/>
                <w:szCs w:val="18"/>
              </w:rPr>
              <w:t>确定可变现净值的具体依据</w:t>
            </w:r>
            <w:r>
              <w:rPr>
                <w:rFonts w:ascii="宋体" w:hAnsi="宋体" w:cs="宋体" w:eastAsia="宋体" w:hint="default"/>
                <w:sz w:val="18"/>
                <w:szCs w:val="18"/>
              </w:rPr>
            </w:r>
          </w:p>
        </w:tc>
        <w:tc>
          <w:tcPr>
            <w:tcW w:w="324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left="1" w:right="0"/>
              <w:jc w:val="center"/>
              <w:rPr>
                <w:rFonts w:ascii="宋体" w:hAnsi="宋体" w:cs="宋体" w:eastAsia="宋体" w:hint="default"/>
                <w:sz w:val="18"/>
                <w:szCs w:val="18"/>
              </w:rPr>
            </w:pPr>
            <w:r>
              <w:rPr>
                <w:rFonts w:ascii="宋体" w:hAnsi="宋体" w:cs="宋体" w:eastAsia="宋体" w:hint="default"/>
                <w:b/>
                <w:bCs/>
                <w:sz w:val="18"/>
                <w:szCs w:val="18"/>
              </w:rPr>
              <w:t>本年转回或转销原因</w:t>
            </w:r>
            <w:r>
              <w:rPr>
                <w:rFonts w:ascii="宋体" w:hAnsi="宋体" w:cs="宋体" w:eastAsia="宋体" w:hint="default"/>
                <w:sz w:val="18"/>
                <w:szCs w:val="18"/>
              </w:rPr>
            </w:r>
          </w:p>
        </w:tc>
      </w:tr>
      <w:tr>
        <w:trPr>
          <w:trHeight w:val="402" w:hRule="exact"/>
        </w:trPr>
        <w:tc>
          <w:tcPr>
            <w:tcW w:w="223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32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可变现净值低于账面余额</w:t>
            </w:r>
          </w:p>
        </w:tc>
        <w:tc>
          <w:tcPr>
            <w:tcW w:w="32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相关的存货领用或实现销售</w:t>
            </w:r>
          </w:p>
        </w:tc>
      </w:tr>
      <w:tr>
        <w:trPr>
          <w:trHeight w:val="402" w:hRule="exact"/>
        </w:trPr>
        <w:tc>
          <w:tcPr>
            <w:tcW w:w="223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32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可变现净值低于账面余额</w:t>
            </w:r>
          </w:p>
        </w:tc>
        <w:tc>
          <w:tcPr>
            <w:tcW w:w="32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相关的存货领用或实现销售</w:t>
            </w:r>
          </w:p>
        </w:tc>
      </w:tr>
      <w:tr>
        <w:trPr>
          <w:trHeight w:val="402" w:hRule="exact"/>
        </w:trPr>
        <w:tc>
          <w:tcPr>
            <w:tcW w:w="223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32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可变现净值低于账面余额</w:t>
            </w:r>
          </w:p>
        </w:tc>
        <w:tc>
          <w:tcPr>
            <w:tcW w:w="32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相关的存货实现销售</w:t>
            </w:r>
          </w:p>
        </w:tc>
      </w:tr>
      <w:tr>
        <w:trPr>
          <w:trHeight w:val="414" w:hRule="exact"/>
        </w:trPr>
        <w:tc>
          <w:tcPr>
            <w:tcW w:w="223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324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可变现净值低于账面余额</w:t>
            </w:r>
          </w:p>
        </w:tc>
        <w:tc>
          <w:tcPr>
            <w:tcW w:w="324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相关的存货领用或实现销售</w:t>
            </w:r>
          </w:p>
        </w:tc>
      </w:tr>
    </w:tbl>
    <w:p>
      <w:pPr>
        <w:spacing w:line="240" w:lineRule="auto" w:before="4"/>
        <w:rPr>
          <w:rFonts w:ascii="宋体" w:hAnsi="宋体" w:cs="宋体" w:eastAsia="宋体" w:hint="default"/>
          <w:sz w:val="9"/>
          <w:szCs w:val="9"/>
        </w:rPr>
      </w:pPr>
    </w:p>
    <w:p>
      <w:pPr>
        <w:pStyle w:val="BodyText"/>
        <w:spacing w:line="240" w:lineRule="auto"/>
        <w:ind w:left="644" w:right="1445"/>
        <w:jc w:val="left"/>
      </w:pPr>
      <w:r>
        <w:rPr/>
        <w:t>9.</w:t>
      </w:r>
      <w:r>
        <w:rPr>
          <w:spacing w:val="62"/>
        </w:rPr>
        <w:t> </w:t>
      </w:r>
      <w:bookmarkStart w:name="9.其他流动资产" w:id="264"/>
      <w:bookmarkEnd w:id="264"/>
      <w:r>
        <w:rPr/>
        <w:t>其</w:t>
      </w:r>
      <w:r>
        <w:rPr/>
        <w:t>他流动资产</w:t>
      </w:r>
    </w:p>
    <w:p>
      <w:pPr>
        <w:spacing w:before="131"/>
        <w:ind w:left="241" w:right="1445"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38"/>
        <w:ind w:left="241" w:right="1445"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2907"/>
        <w:gridCol w:w="2908"/>
        <w:gridCol w:w="2908"/>
      </w:tblGrid>
      <w:tr>
        <w:trPr>
          <w:trHeight w:val="415" w:hRule="exact"/>
        </w:trPr>
        <w:tc>
          <w:tcPr>
            <w:tcW w:w="290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银行理财</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105,493,761.98</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170,574,540.33</w:t>
            </w:r>
          </w:p>
        </w:tc>
      </w:tr>
      <w:tr>
        <w:trPr>
          <w:trHeight w:val="400"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58,426,147.40</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45,751,222.20</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5"/>
        <w:rPr>
          <w:rFonts w:ascii="Times New Roman" w:hAnsi="Times New Roman" w:cs="Times New Roman" w:eastAsia="Times New Roman" w:hint="default"/>
          <w:sz w:val="13"/>
          <w:szCs w:val="13"/>
        </w:rPr>
      </w:pPr>
    </w:p>
    <w:tbl>
      <w:tblPr>
        <w:tblW w:w="0" w:type="auto"/>
        <w:jc w:val="left"/>
        <w:tblInd w:w="118" w:type="dxa"/>
        <w:tblLayout w:type="fixed"/>
        <w:tblCellMar>
          <w:top w:w="0" w:type="dxa"/>
          <w:left w:w="0" w:type="dxa"/>
          <w:bottom w:w="0" w:type="dxa"/>
          <w:right w:w="0" w:type="dxa"/>
        </w:tblCellMar>
        <w:tblLook w:val="01E0"/>
      </w:tblPr>
      <w:tblGrid>
        <w:gridCol w:w="2907"/>
        <w:gridCol w:w="2908"/>
        <w:gridCol w:w="2908"/>
      </w:tblGrid>
      <w:tr>
        <w:trPr>
          <w:trHeight w:val="415" w:hRule="exact"/>
        </w:trPr>
        <w:tc>
          <w:tcPr>
            <w:tcW w:w="290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9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预缴所得税</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16,444,709.76</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11,522,749.42</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待摊费用</w:t>
            </w:r>
          </w:p>
        </w:tc>
        <w:tc>
          <w:tcPr>
            <w:tcW w:w="29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9,001,364.96</w:t>
            </w: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6,666,826.35</w:t>
            </w:r>
          </w:p>
        </w:tc>
      </w:tr>
      <w:tr>
        <w:trPr>
          <w:trHeight w:val="402" w:hRule="exact"/>
        </w:trPr>
        <w:tc>
          <w:tcPr>
            <w:tcW w:w="29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908" w:type="dxa"/>
            <w:tcBorders>
              <w:top w:val="single" w:sz="2" w:space="0" w:color="000000"/>
              <w:left w:val="single" w:sz="2" w:space="0" w:color="000000"/>
              <w:bottom w:val="single" w:sz="2" w:space="0" w:color="000000"/>
              <w:right w:val="single" w:sz="2" w:space="0" w:color="000000"/>
            </w:tcBorders>
          </w:tcPr>
          <w:p>
            <w:pPr/>
          </w:p>
        </w:tc>
        <w:tc>
          <w:tcPr>
            <w:tcW w:w="29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32.86</w:t>
            </w:r>
          </w:p>
        </w:tc>
      </w:tr>
      <w:tr>
        <w:trPr>
          <w:trHeight w:val="414" w:hRule="exact"/>
        </w:trPr>
        <w:tc>
          <w:tcPr>
            <w:tcW w:w="290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90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w w:val="95"/>
                <w:sz w:val="18"/>
              </w:rPr>
              <w:t>189,365,984.10</w:t>
            </w:r>
            <w:r>
              <w:rPr>
                <w:rFonts w:ascii="宋体"/>
                <w:sz w:val="18"/>
              </w:rPr>
            </w:r>
          </w:p>
        </w:tc>
        <w:tc>
          <w:tcPr>
            <w:tcW w:w="290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234,515,371.16</w:t>
            </w:r>
            <w:r>
              <w:rPr>
                <w:rFonts w:ascii="宋体"/>
                <w:sz w:val="18"/>
              </w:rPr>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pStyle w:val="Heading4"/>
        <w:spacing w:line="240" w:lineRule="auto" w:before="3"/>
        <w:ind w:left="238" w:right="0"/>
        <w:jc w:val="left"/>
        <w:rPr>
          <w:b w:val="0"/>
          <w:bCs w:val="0"/>
        </w:rPr>
      </w:pPr>
      <w:r>
        <w:rPr/>
        <w:pict>
          <v:shape style="position:absolute;margin-left:589.160217pt;margin-top:570.55481pt;width:42.077306pt;height:18.950848pt;mso-position-horizontal-relative:page;mso-position-vertical-relative:page;z-index:1624" type="#_x0000_t75" stroked="false">
            <v:imagedata r:id="rId48" o:title=""/>
          </v:shape>
        </w:pict>
      </w:r>
      <w:r>
        <w:rPr/>
        <w:t>浙江万马股份有限公司财务报表附注</w:t>
      </w:r>
      <w:r>
        <w:rPr>
          <w:b w:val="0"/>
          <w:bCs w:val="0"/>
        </w:rPr>
      </w:r>
    </w:p>
    <w:p>
      <w:pPr>
        <w:spacing w:before="109"/>
        <w:ind w:left="238"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38"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p>
      <w:pPr>
        <w:spacing w:line="240" w:lineRule="auto" w:before="1"/>
        <w:rPr>
          <w:rFonts w:ascii="宋体" w:hAnsi="宋体" w:cs="宋体" w:eastAsia="宋体" w:hint="default"/>
          <w:sz w:val="11"/>
          <w:szCs w:val="11"/>
        </w:rPr>
      </w:pPr>
    </w:p>
    <w:p>
      <w:pPr>
        <w:spacing w:line="20" w:lineRule="exact"/>
        <w:ind w:left="233" w:right="0" w:firstLine="0"/>
        <w:rPr>
          <w:rFonts w:ascii="宋体" w:hAnsi="宋体" w:cs="宋体" w:eastAsia="宋体" w:hint="default"/>
          <w:sz w:val="2"/>
          <w:szCs w:val="2"/>
        </w:rPr>
      </w:pPr>
      <w:r>
        <w:rPr>
          <w:rFonts w:ascii="宋体" w:hAnsi="宋体" w:cs="宋体" w:eastAsia="宋体" w:hint="default"/>
          <w:sz w:val="2"/>
          <w:szCs w:val="2"/>
        </w:rPr>
        <w:pict>
          <v:group style="width:700.3pt;height:.75pt;mso-position-horizontal-relative:char;mso-position-vertical-relative:line" coordorigin="0,0" coordsize="14006,15">
            <v:group style="position:absolute;left:8;top:8;width:13991;height:2" coordorigin="8,8" coordsize="13991,2">
              <v:shape style="position:absolute;left:8;top:8;width:13991;height:2" coordorigin="8,8" coordsize="13991,0" path="m8,8l13999,8e" filled="false" stroked="true" strokeweight=".75pt" strokecolor="#000000">
                <v:path arrowok="t"/>
              </v:shape>
            </v:group>
          </v:group>
        </w:pict>
      </w:r>
      <w:r>
        <w:rPr>
          <w:rFonts w:ascii="宋体" w:hAnsi="宋体" w:cs="宋体" w:eastAsia="宋体" w:hint="default"/>
          <w:sz w:val="2"/>
          <w:szCs w:val="2"/>
        </w:rPr>
      </w:r>
    </w:p>
    <w:p>
      <w:pPr>
        <w:spacing w:line="240" w:lineRule="auto" w:before="13"/>
        <w:rPr>
          <w:rFonts w:ascii="宋体" w:hAnsi="宋体" w:cs="宋体" w:eastAsia="宋体" w:hint="default"/>
          <w:sz w:val="7"/>
          <w:szCs w:val="7"/>
        </w:rPr>
      </w:pPr>
    </w:p>
    <w:p>
      <w:pPr>
        <w:pStyle w:val="BodyText"/>
        <w:spacing w:line="240" w:lineRule="auto"/>
        <w:ind w:left="641" w:right="0"/>
        <w:jc w:val="left"/>
      </w:pPr>
      <w:r>
        <w:rPr/>
        <w:t>10.</w:t>
      </w:r>
      <w:r>
        <w:rPr>
          <w:spacing w:val="-50"/>
        </w:rPr>
        <w:t> </w:t>
      </w:r>
      <w:bookmarkStart w:name="10.长期股权投资" w:id="265"/>
      <w:bookmarkEnd w:id="265"/>
      <w:r>
        <w:rPr/>
        <w:t>长</w:t>
      </w:r>
      <w:r>
        <w:rPr/>
        <w:t>期股权投资</w:t>
      </w:r>
    </w:p>
    <w:p>
      <w:pPr>
        <w:spacing w:line="240" w:lineRule="auto" w:before="2"/>
        <w:rPr>
          <w:rFonts w:ascii="宋体" w:hAnsi="宋体" w:cs="宋体" w:eastAsia="宋体" w:hint="default"/>
          <w:sz w:val="12"/>
          <w:szCs w:val="12"/>
        </w:rPr>
      </w:pPr>
    </w:p>
    <w:tbl>
      <w:tblPr>
        <w:tblW w:w="0" w:type="auto"/>
        <w:jc w:val="left"/>
        <w:tblInd w:w="115" w:type="dxa"/>
        <w:tblLayout w:type="fixed"/>
        <w:tblCellMar>
          <w:top w:w="0" w:type="dxa"/>
          <w:left w:w="0" w:type="dxa"/>
          <w:bottom w:w="0" w:type="dxa"/>
          <w:right w:w="0" w:type="dxa"/>
        </w:tblCellMar>
        <w:tblLook w:val="01E0"/>
      </w:tblPr>
      <w:tblGrid>
        <w:gridCol w:w="1807"/>
        <w:gridCol w:w="1561"/>
        <w:gridCol w:w="1419"/>
        <w:gridCol w:w="1276"/>
        <w:gridCol w:w="1558"/>
        <w:gridCol w:w="992"/>
        <w:gridCol w:w="708"/>
        <w:gridCol w:w="992"/>
        <w:gridCol w:w="711"/>
        <w:gridCol w:w="992"/>
        <w:gridCol w:w="1561"/>
        <w:gridCol w:w="637"/>
      </w:tblGrid>
      <w:tr>
        <w:trPr>
          <w:trHeight w:val="415" w:hRule="exact"/>
        </w:trPr>
        <w:tc>
          <w:tcPr>
            <w:tcW w:w="1807" w:type="dxa"/>
            <w:vMerge w:val="restart"/>
            <w:tcBorders>
              <w:top w:val="single" w:sz="12" w:space="0" w:color="000000"/>
              <w:left w:val="nil" w:sz="6" w:space="0" w:color="auto"/>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561" w:type="dxa"/>
            <w:vMerge w:val="restart"/>
            <w:tcBorders>
              <w:top w:val="single" w:sz="12" w:space="0" w:color="000000"/>
              <w:left w:val="single" w:sz="2" w:space="0" w:color="000000"/>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41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8648" w:type="dxa"/>
            <w:gridSpan w:val="8"/>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本年增减变动</w:t>
            </w:r>
            <w:r>
              <w:rPr>
                <w:rFonts w:ascii="宋体" w:hAnsi="宋体" w:cs="宋体" w:eastAsia="宋体" w:hint="default"/>
                <w:sz w:val="18"/>
                <w:szCs w:val="18"/>
              </w:rPr>
            </w:r>
          </w:p>
        </w:tc>
        <w:tc>
          <w:tcPr>
            <w:tcW w:w="1561" w:type="dxa"/>
            <w:vMerge w:val="restart"/>
            <w:tcBorders>
              <w:top w:val="single" w:sz="12" w:space="0" w:color="000000"/>
              <w:left w:val="single" w:sz="2" w:space="0" w:color="000000"/>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41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637" w:type="dxa"/>
            <w:vMerge w:val="restart"/>
            <w:tcBorders>
              <w:top w:val="single" w:sz="12" w:space="0" w:color="000000"/>
              <w:left w:val="single" w:sz="2" w:space="0" w:color="000000"/>
              <w:right w:val="nil" w:sz="6" w:space="0" w:color="auto"/>
            </w:tcBorders>
          </w:tcPr>
          <w:p>
            <w:pPr>
              <w:pStyle w:val="TableParagraph"/>
              <w:spacing w:line="237" w:lineRule="auto" w:before="98"/>
              <w:ind w:left="134" w:right="139"/>
              <w:jc w:val="both"/>
              <w:rPr>
                <w:rFonts w:ascii="宋体" w:hAnsi="宋体" w:cs="宋体" w:eastAsia="宋体" w:hint="default"/>
                <w:sz w:val="18"/>
                <w:szCs w:val="18"/>
              </w:rPr>
            </w:pPr>
            <w:r>
              <w:rPr>
                <w:rFonts w:ascii="宋体" w:hAnsi="宋体" w:cs="宋体" w:eastAsia="宋体" w:hint="default"/>
                <w:b/>
                <w:bCs/>
                <w:sz w:val="18"/>
                <w:szCs w:val="18"/>
              </w:rPr>
              <w:t>减值</w:t>
            </w:r>
            <w:r>
              <w:rPr>
                <w:rFonts w:ascii="宋体" w:hAnsi="宋体" w:cs="宋体" w:eastAsia="宋体" w:hint="default"/>
                <w:b/>
                <w:bCs/>
                <w:w w:val="99"/>
                <w:sz w:val="18"/>
                <w:szCs w:val="18"/>
              </w:rPr>
              <w:t> </w:t>
            </w:r>
            <w:r>
              <w:rPr>
                <w:rFonts w:ascii="宋体" w:hAnsi="宋体" w:cs="宋体" w:eastAsia="宋体" w:hint="default"/>
                <w:b/>
                <w:bCs/>
                <w:sz w:val="18"/>
                <w:szCs w:val="18"/>
              </w:rPr>
              <w:t>准备</w:t>
            </w:r>
            <w:r>
              <w:rPr>
                <w:rFonts w:ascii="宋体" w:hAnsi="宋体" w:cs="宋体" w:eastAsia="宋体" w:hint="default"/>
                <w:b/>
                <w:bCs/>
                <w:w w:val="99"/>
                <w:sz w:val="18"/>
                <w:szCs w:val="18"/>
              </w:rPr>
              <w:t> </w:t>
            </w:r>
            <w:r>
              <w:rPr>
                <w:rFonts w:ascii="宋体" w:hAnsi="宋体" w:cs="宋体" w:eastAsia="宋体" w:hint="default"/>
                <w:b/>
                <w:bCs/>
                <w:sz w:val="18"/>
                <w:szCs w:val="18"/>
              </w:rPr>
              <w:t>年末</w:t>
            </w:r>
            <w:r>
              <w:rPr>
                <w:rFonts w:ascii="宋体" w:hAnsi="宋体" w:cs="宋体" w:eastAsia="宋体" w:hint="default"/>
                <w:b/>
                <w:bCs/>
                <w:w w:val="99"/>
                <w:sz w:val="18"/>
                <w:szCs w:val="18"/>
              </w:rPr>
              <w:t> </w:t>
            </w:r>
            <w:r>
              <w:rPr>
                <w:rFonts w:ascii="宋体" w:hAnsi="宋体" w:cs="宋体" w:eastAsia="宋体" w:hint="default"/>
                <w:b/>
                <w:bCs/>
                <w:sz w:val="18"/>
                <w:szCs w:val="18"/>
              </w:rPr>
              <w:t>余额</w:t>
            </w:r>
            <w:r>
              <w:rPr>
                <w:rFonts w:ascii="宋体" w:hAnsi="宋体" w:cs="宋体" w:eastAsia="宋体" w:hint="default"/>
                <w:sz w:val="18"/>
                <w:szCs w:val="18"/>
              </w:rPr>
            </w:r>
          </w:p>
        </w:tc>
      </w:tr>
      <w:tr>
        <w:trPr>
          <w:trHeight w:val="785" w:hRule="exact"/>
        </w:trPr>
        <w:tc>
          <w:tcPr>
            <w:tcW w:w="1807" w:type="dxa"/>
            <w:vMerge/>
            <w:tcBorders>
              <w:left w:val="nil" w:sz="6" w:space="0" w:color="auto"/>
              <w:bottom w:val="single" w:sz="2" w:space="0" w:color="000000"/>
              <w:right w:val="single" w:sz="2" w:space="0" w:color="000000"/>
            </w:tcBorders>
          </w:tcPr>
          <w:p>
            <w:pPr/>
          </w:p>
        </w:tc>
        <w:tc>
          <w:tcPr>
            <w:tcW w:w="1561" w:type="dxa"/>
            <w:vMerge/>
            <w:tcBorders>
              <w:left w:val="single" w:sz="2" w:space="0" w:color="000000"/>
              <w:bottom w:val="single" w:sz="2" w:space="0" w:color="000000"/>
              <w:right w:val="single" w:sz="2" w:space="0" w:color="000000"/>
            </w:tcBorders>
          </w:tcPr>
          <w:p>
            <w:pP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b/>
                <w:bCs/>
                <w:sz w:val="18"/>
                <w:szCs w:val="18"/>
              </w:rPr>
              <w:t>追加投资</w:t>
            </w:r>
            <w:r>
              <w:rPr>
                <w:rFonts w:ascii="宋体" w:hAnsi="宋体" w:cs="宋体" w:eastAsia="宋体" w:hint="default"/>
                <w:sz w:val="18"/>
                <w:szCs w:val="18"/>
              </w:rPr>
            </w:r>
          </w:p>
        </w:tc>
        <w:tc>
          <w:tcPr>
            <w:tcW w:w="12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75" w:right="0"/>
              <w:jc w:val="left"/>
              <w:rPr>
                <w:rFonts w:ascii="宋体" w:hAnsi="宋体" w:cs="宋体" w:eastAsia="宋体" w:hint="default"/>
                <w:sz w:val="18"/>
                <w:szCs w:val="18"/>
              </w:rPr>
            </w:pPr>
            <w:r>
              <w:rPr>
                <w:rFonts w:ascii="宋体" w:hAnsi="宋体" w:cs="宋体" w:eastAsia="宋体" w:hint="default"/>
                <w:b/>
                <w:bCs/>
                <w:sz w:val="18"/>
                <w:szCs w:val="18"/>
              </w:rPr>
              <w:t>减少投资</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2"/>
              <w:ind w:left="506" w:right="49" w:hanging="449"/>
              <w:jc w:val="left"/>
              <w:rPr>
                <w:rFonts w:ascii="宋体" w:hAnsi="宋体" w:cs="宋体" w:eastAsia="宋体" w:hint="default"/>
                <w:sz w:val="18"/>
                <w:szCs w:val="18"/>
              </w:rPr>
            </w:pPr>
            <w:r>
              <w:rPr>
                <w:rFonts w:ascii="宋体" w:hAnsi="宋体" w:cs="宋体" w:eastAsia="宋体" w:hint="default"/>
                <w:b/>
                <w:bCs/>
                <w:sz w:val="18"/>
                <w:szCs w:val="18"/>
              </w:rPr>
              <w:t>权益法下确认的投</w:t>
            </w:r>
            <w:r>
              <w:rPr>
                <w:rFonts w:ascii="宋体" w:hAnsi="宋体" w:cs="宋体" w:eastAsia="宋体" w:hint="default"/>
                <w:b/>
                <w:bCs/>
                <w:w w:val="99"/>
                <w:sz w:val="18"/>
                <w:szCs w:val="18"/>
              </w:rPr>
              <w:t> </w:t>
            </w:r>
            <w:r>
              <w:rPr>
                <w:rFonts w:ascii="宋体" w:hAnsi="宋体" w:cs="宋体" w:eastAsia="宋体" w:hint="default"/>
                <w:b/>
                <w:bCs/>
                <w:sz w:val="18"/>
                <w:szCs w:val="18"/>
              </w:rPr>
              <w:t>资损益</w:t>
            </w:r>
            <w:r>
              <w:rPr>
                <w:rFonts w:ascii="宋体" w:hAnsi="宋体" w:cs="宋体" w:eastAsia="宋体" w:hint="default"/>
                <w:sz w:val="18"/>
                <w:szCs w:val="18"/>
              </w:rPr>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2"/>
              <w:ind w:left="133" w:right="129"/>
              <w:jc w:val="left"/>
              <w:rPr>
                <w:rFonts w:ascii="宋体" w:hAnsi="宋体" w:cs="宋体" w:eastAsia="宋体" w:hint="default"/>
                <w:sz w:val="18"/>
                <w:szCs w:val="18"/>
              </w:rPr>
            </w:pPr>
            <w:r>
              <w:rPr>
                <w:rFonts w:ascii="宋体" w:hAnsi="宋体" w:cs="宋体" w:eastAsia="宋体" w:hint="default"/>
                <w:b/>
                <w:bCs/>
                <w:sz w:val="18"/>
                <w:szCs w:val="18"/>
              </w:rPr>
              <w:t>其他综合</w:t>
            </w:r>
            <w:r>
              <w:rPr>
                <w:rFonts w:ascii="宋体" w:hAnsi="宋体" w:cs="宋体" w:eastAsia="宋体" w:hint="default"/>
                <w:b/>
                <w:bCs/>
                <w:w w:val="99"/>
                <w:sz w:val="18"/>
                <w:szCs w:val="18"/>
              </w:rPr>
              <w:t> </w:t>
            </w:r>
            <w:r>
              <w:rPr>
                <w:rFonts w:ascii="宋体" w:hAnsi="宋体" w:cs="宋体" w:eastAsia="宋体" w:hint="default"/>
                <w:b/>
                <w:bCs/>
                <w:sz w:val="18"/>
                <w:szCs w:val="18"/>
              </w:rPr>
              <w:t>收益调整</w:t>
            </w:r>
            <w:r>
              <w:rPr>
                <w:rFonts w:ascii="宋体" w:hAnsi="宋体" w:cs="宋体" w:eastAsia="宋体" w:hint="default"/>
                <w:sz w:val="18"/>
                <w:szCs w:val="18"/>
              </w:rPr>
            </w: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2"/>
              <w:ind w:left="82" w:right="76"/>
              <w:jc w:val="left"/>
              <w:rPr>
                <w:rFonts w:ascii="宋体" w:hAnsi="宋体" w:cs="宋体" w:eastAsia="宋体" w:hint="default"/>
                <w:sz w:val="18"/>
                <w:szCs w:val="18"/>
              </w:rPr>
            </w:pPr>
            <w:r>
              <w:rPr>
                <w:rFonts w:ascii="宋体" w:hAnsi="宋体" w:cs="宋体" w:eastAsia="宋体" w:hint="default"/>
                <w:b/>
                <w:bCs/>
                <w:sz w:val="18"/>
                <w:szCs w:val="18"/>
              </w:rPr>
              <w:t>其他权</w:t>
            </w:r>
            <w:r>
              <w:rPr>
                <w:rFonts w:ascii="宋体" w:hAnsi="宋体" w:cs="宋体" w:eastAsia="宋体" w:hint="default"/>
                <w:b/>
                <w:bCs/>
                <w:w w:val="99"/>
                <w:sz w:val="18"/>
                <w:szCs w:val="18"/>
              </w:rPr>
              <w:t> </w:t>
            </w:r>
            <w:r>
              <w:rPr>
                <w:rFonts w:ascii="宋体" w:hAnsi="宋体" w:cs="宋体" w:eastAsia="宋体" w:hint="default"/>
                <w:b/>
                <w:bCs/>
                <w:sz w:val="18"/>
                <w:szCs w:val="18"/>
              </w:rPr>
              <w:t>益变动</w:t>
            </w:r>
            <w:r>
              <w:rPr>
                <w:rFonts w:ascii="宋体" w:hAnsi="宋体" w:cs="宋体" w:eastAsia="宋体" w:hint="default"/>
                <w:sz w:val="18"/>
                <w:szCs w:val="18"/>
              </w:rPr>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133" w:right="129"/>
              <w:jc w:val="both"/>
              <w:rPr>
                <w:rFonts w:ascii="宋体" w:hAnsi="宋体" w:cs="宋体" w:eastAsia="宋体" w:hint="default"/>
                <w:sz w:val="18"/>
                <w:szCs w:val="18"/>
              </w:rPr>
            </w:pPr>
            <w:r>
              <w:rPr>
                <w:rFonts w:ascii="宋体" w:hAnsi="宋体" w:cs="宋体" w:eastAsia="宋体" w:hint="default"/>
                <w:b/>
                <w:bCs/>
                <w:sz w:val="18"/>
                <w:szCs w:val="18"/>
              </w:rPr>
              <w:t>宣告发放</w:t>
            </w:r>
            <w:r>
              <w:rPr>
                <w:rFonts w:ascii="宋体" w:hAnsi="宋体" w:cs="宋体" w:eastAsia="宋体" w:hint="default"/>
                <w:b/>
                <w:bCs/>
                <w:w w:val="99"/>
                <w:sz w:val="18"/>
                <w:szCs w:val="18"/>
              </w:rPr>
              <w:t> </w:t>
            </w:r>
            <w:r>
              <w:rPr>
                <w:rFonts w:ascii="宋体" w:hAnsi="宋体" w:cs="宋体" w:eastAsia="宋体" w:hint="default"/>
                <w:b/>
                <w:bCs/>
                <w:sz w:val="18"/>
                <w:szCs w:val="18"/>
              </w:rPr>
              <w:t>现金股利</w:t>
            </w:r>
            <w:r>
              <w:rPr>
                <w:rFonts w:ascii="宋体" w:hAnsi="宋体" w:cs="宋体" w:eastAsia="宋体" w:hint="default"/>
                <w:b/>
                <w:bCs/>
                <w:w w:val="99"/>
                <w:sz w:val="18"/>
                <w:szCs w:val="18"/>
              </w:rPr>
              <w:t> </w:t>
            </w:r>
            <w:r>
              <w:rPr>
                <w:rFonts w:ascii="宋体" w:hAnsi="宋体" w:cs="宋体" w:eastAsia="宋体" w:hint="default"/>
                <w:b/>
                <w:bCs/>
                <w:sz w:val="18"/>
                <w:szCs w:val="18"/>
              </w:rPr>
              <w:t>或利润</w:t>
            </w:r>
            <w:r>
              <w:rPr>
                <w:rFonts w:ascii="宋体" w:hAnsi="宋体" w:cs="宋体" w:eastAsia="宋体" w:hint="default"/>
                <w:sz w:val="18"/>
                <w:szCs w:val="18"/>
              </w:rPr>
            </w:r>
          </w:p>
        </w:tc>
        <w:tc>
          <w:tcPr>
            <w:tcW w:w="711"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2"/>
              <w:ind w:left="81" w:right="80"/>
              <w:jc w:val="left"/>
              <w:rPr>
                <w:rFonts w:ascii="宋体" w:hAnsi="宋体" w:cs="宋体" w:eastAsia="宋体" w:hint="default"/>
                <w:sz w:val="18"/>
                <w:szCs w:val="18"/>
              </w:rPr>
            </w:pPr>
            <w:r>
              <w:rPr>
                <w:rFonts w:ascii="宋体" w:hAnsi="宋体" w:cs="宋体" w:eastAsia="宋体" w:hint="default"/>
                <w:b/>
                <w:bCs/>
                <w:sz w:val="18"/>
                <w:szCs w:val="18"/>
              </w:rPr>
              <w:t>计提减</w:t>
            </w:r>
            <w:r>
              <w:rPr>
                <w:rFonts w:ascii="宋体" w:hAnsi="宋体" w:cs="宋体" w:eastAsia="宋体" w:hint="default"/>
                <w:b/>
                <w:bCs/>
                <w:w w:val="99"/>
                <w:sz w:val="18"/>
                <w:szCs w:val="18"/>
              </w:rPr>
              <w:t> </w:t>
            </w:r>
            <w:r>
              <w:rPr>
                <w:rFonts w:ascii="宋体" w:hAnsi="宋体" w:cs="宋体" w:eastAsia="宋体" w:hint="default"/>
                <w:b/>
                <w:bCs/>
                <w:sz w:val="18"/>
                <w:szCs w:val="18"/>
              </w:rPr>
              <w:t>值准备</w:t>
            </w:r>
            <w:r>
              <w:rPr>
                <w:rFonts w:ascii="宋体" w:hAnsi="宋体" w:cs="宋体" w:eastAsia="宋体" w:hint="default"/>
                <w:sz w:val="18"/>
                <w:szCs w:val="18"/>
              </w:rPr>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13"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561" w:type="dxa"/>
            <w:vMerge/>
            <w:tcBorders>
              <w:left w:val="single" w:sz="2" w:space="0" w:color="000000"/>
              <w:bottom w:val="single" w:sz="2" w:space="0" w:color="000000"/>
              <w:right w:val="single" w:sz="2" w:space="0" w:color="000000"/>
            </w:tcBorders>
          </w:tcPr>
          <w:p>
            <w:pPr/>
          </w:p>
        </w:tc>
        <w:tc>
          <w:tcPr>
            <w:tcW w:w="637" w:type="dxa"/>
            <w:vMerge/>
            <w:tcBorders>
              <w:left w:val="single" w:sz="2" w:space="0" w:color="000000"/>
              <w:bottom w:val="single" w:sz="2" w:space="0" w:color="000000"/>
              <w:right w:val="nil" w:sz="6" w:space="0" w:color="auto"/>
            </w:tcBorders>
          </w:tcPr>
          <w:p>
            <w:pPr/>
          </w:p>
        </w:tc>
      </w:tr>
      <w:tr>
        <w:trPr>
          <w:trHeight w:val="402" w:hRule="exact"/>
        </w:trPr>
        <w:tc>
          <w:tcPr>
            <w:tcW w:w="18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合营企业：</w:t>
            </w:r>
            <w:r>
              <w:rPr>
                <w:rFonts w:ascii="宋体" w:hAnsi="宋体" w:cs="宋体" w:eastAsia="宋体" w:hint="default"/>
                <w:sz w:val="18"/>
                <w:szCs w:val="18"/>
              </w:rPr>
            </w:r>
          </w:p>
        </w:tc>
        <w:tc>
          <w:tcPr>
            <w:tcW w:w="1561" w:type="dxa"/>
            <w:tcBorders>
              <w:top w:val="single" w:sz="2" w:space="0" w:color="000000"/>
              <w:left w:val="single" w:sz="2" w:space="0" w:color="000000"/>
              <w:bottom w:val="single" w:sz="2" w:space="0" w:color="000000"/>
              <w:right w:val="single" w:sz="2" w:space="0" w:color="000000"/>
            </w:tcBorders>
          </w:tcPr>
          <w:p>
            <w:pPr/>
          </w:p>
        </w:tc>
        <w:tc>
          <w:tcPr>
            <w:tcW w:w="1419" w:type="dxa"/>
            <w:tcBorders>
              <w:top w:val="single" w:sz="2" w:space="0" w:color="000000"/>
              <w:left w:val="single" w:sz="2" w:space="0" w:color="000000"/>
              <w:bottom w:val="single" w:sz="2" w:space="0" w:color="000000"/>
              <w:right w:val="single" w:sz="2" w:space="0" w:color="000000"/>
            </w:tcBorders>
          </w:tcPr>
          <w:p>
            <w:pPr/>
          </w:p>
        </w:tc>
        <w:tc>
          <w:tcPr>
            <w:tcW w:w="1276" w:type="dxa"/>
            <w:tcBorders>
              <w:top w:val="single" w:sz="2" w:space="0" w:color="000000"/>
              <w:left w:val="single" w:sz="2" w:space="0" w:color="000000"/>
              <w:bottom w:val="single" w:sz="2" w:space="0" w:color="000000"/>
              <w:right w:val="single" w:sz="2" w:space="0" w:color="000000"/>
            </w:tcBorders>
          </w:tcPr>
          <w:p>
            <w:pPr/>
          </w:p>
        </w:tc>
        <w:tc>
          <w:tcPr>
            <w:tcW w:w="155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11"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
        </w:tc>
        <w:tc>
          <w:tcPr>
            <w:tcW w:w="637" w:type="dxa"/>
            <w:tcBorders>
              <w:top w:val="single" w:sz="2" w:space="0" w:color="000000"/>
              <w:left w:val="single" w:sz="2" w:space="0" w:color="000000"/>
              <w:bottom w:val="single" w:sz="2" w:space="0" w:color="000000"/>
              <w:right w:val="nil" w:sz="6" w:space="0" w:color="auto"/>
            </w:tcBorders>
          </w:tcPr>
          <w:p>
            <w:pPr/>
          </w:p>
        </w:tc>
      </w:tr>
      <w:tr>
        <w:trPr>
          <w:trHeight w:val="552" w:hRule="exact"/>
        </w:trPr>
        <w:tc>
          <w:tcPr>
            <w:tcW w:w="180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50"/>
              <w:jc w:val="left"/>
              <w:rPr>
                <w:rFonts w:ascii="宋体" w:hAnsi="宋体" w:cs="宋体" w:eastAsia="宋体" w:hint="default"/>
                <w:sz w:val="18"/>
                <w:szCs w:val="18"/>
              </w:rPr>
            </w:pPr>
            <w:r>
              <w:rPr>
                <w:rFonts w:ascii="宋体" w:hAnsi="宋体" w:cs="宋体" w:eastAsia="宋体" w:hint="default"/>
                <w:spacing w:val="8"/>
                <w:sz w:val="18"/>
                <w:szCs w:val="18"/>
              </w:rPr>
              <w:t>浙江万马海立斯新能</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源有限公司</w:t>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102"/>
              <w:jc w:val="right"/>
              <w:rPr>
                <w:rFonts w:ascii="宋体" w:hAnsi="宋体" w:cs="宋体" w:eastAsia="宋体" w:hint="default"/>
                <w:sz w:val="18"/>
                <w:szCs w:val="18"/>
              </w:rPr>
            </w:pPr>
            <w:r>
              <w:rPr>
                <w:rFonts w:ascii="宋体"/>
                <w:spacing w:val="-1"/>
                <w:sz w:val="18"/>
              </w:rPr>
              <w:t>3,257,064.30</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282" w:right="0"/>
              <w:jc w:val="left"/>
              <w:rPr>
                <w:rFonts w:ascii="宋体" w:hAnsi="宋体" w:cs="宋体" w:eastAsia="宋体" w:hint="default"/>
                <w:sz w:val="18"/>
                <w:szCs w:val="18"/>
              </w:rPr>
            </w:pPr>
            <w:r>
              <w:rPr>
                <w:rFonts w:ascii="宋体"/>
                <w:sz w:val="18"/>
              </w:rPr>
              <w:t>2,000,000.00</w:t>
            </w:r>
          </w:p>
        </w:tc>
        <w:tc>
          <w:tcPr>
            <w:tcW w:w="1276" w:type="dxa"/>
            <w:tcBorders>
              <w:top w:val="single" w:sz="2" w:space="0" w:color="000000"/>
              <w:left w:val="single" w:sz="2" w:space="0" w:color="000000"/>
              <w:bottom w:val="single" w:sz="2" w:space="0" w:color="000000"/>
              <w:right w:val="single" w:sz="2" w:space="0" w:color="000000"/>
            </w:tcBorders>
          </w:tcPr>
          <w:p>
            <w:pP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50"/>
              <w:jc w:val="right"/>
              <w:rPr>
                <w:rFonts w:ascii="宋体" w:hAnsi="宋体" w:cs="宋体" w:eastAsia="宋体" w:hint="default"/>
                <w:sz w:val="18"/>
                <w:szCs w:val="18"/>
              </w:rPr>
            </w:pPr>
            <w:r>
              <w:rPr>
                <w:rFonts w:ascii="宋体"/>
                <w:spacing w:val="-1"/>
                <w:sz w:val="18"/>
              </w:rPr>
              <w:t>-4,002,770.34</w:t>
            </w:r>
          </w:p>
        </w:tc>
        <w:tc>
          <w:tcPr>
            <w:tcW w:w="992"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11"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370" w:right="0"/>
              <w:jc w:val="left"/>
              <w:rPr>
                <w:rFonts w:ascii="宋体" w:hAnsi="宋体" w:cs="宋体" w:eastAsia="宋体" w:hint="default"/>
                <w:sz w:val="18"/>
                <w:szCs w:val="18"/>
              </w:rPr>
            </w:pPr>
            <w:r>
              <w:rPr>
                <w:rFonts w:ascii="宋体"/>
                <w:sz w:val="18"/>
              </w:rPr>
              <w:t>1,254,293.96</w:t>
            </w:r>
          </w:p>
        </w:tc>
        <w:tc>
          <w:tcPr>
            <w:tcW w:w="63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8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38"/>
              <w:jc w:val="right"/>
              <w:rPr>
                <w:rFonts w:ascii="宋体" w:hAnsi="宋体" w:cs="宋体" w:eastAsia="宋体" w:hint="default"/>
                <w:sz w:val="18"/>
                <w:szCs w:val="18"/>
              </w:rPr>
            </w:pPr>
            <w:r>
              <w:rPr>
                <w:rFonts w:ascii="宋体"/>
                <w:b/>
                <w:w w:val="95"/>
                <w:sz w:val="18"/>
              </w:rPr>
              <w:t>3,257,064.30</w:t>
            </w:r>
            <w:r>
              <w:rPr>
                <w:rFonts w:ascii="宋体"/>
                <w:sz w:val="18"/>
              </w:rPr>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282" w:right="0"/>
              <w:jc w:val="left"/>
              <w:rPr>
                <w:rFonts w:ascii="宋体" w:hAnsi="宋体" w:cs="宋体" w:eastAsia="宋体" w:hint="default"/>
                <w:sz w:val="18"/>
                <w:szCs w:val="18"/>
              </w:rPr>
            </w:pPr>
            <w:r>
              <w:rPr>
                <w:rFonts w:ascii="宋体"/>
                <w:b/>
                <w:sz w:val="18"/>
              </w:rPr>
              <w:t>2,000,000.00</w:t>
            </w:r>
            <w:r>
              <w:rPr>
                <w:rFonts w:ascii="宋体"/>
                <w:sz w:val="18"/>
              </w:rPr>
            </w:r>
          </w:p>
        </w:tc>
        <w:tc>
          <w:tcPr>
            <w:tcW w:w="1276" w:type="dxa"/>
            <w:tcBorders>
              <w:top w:val="single" w:sz="2" w:space="0" w:color="000000"/>
              <w:left w:val="single" w:sz="2" w:space="0" w:color="000000"/>
              <w:bottom w:val="single" w:sz="2" w:space="0" w:color="000000"/>
              <w:right w:val="single" w:sz="2" w:space="0" w:color="000000"/>
            </w:tcBorders>
          </w:tcPr>
          <w:p>
            <w:pP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38"/>
              <w:jc w:val="right"/>
              <w:rPr>
                <w:rFonts w:ascii="宋体" w:hAnsi="宋体" w:cs="宋体" w:eastAsia="宋体" w:hint="default"/>
                <w:sz w:val="18"/>
                <w:szCs w:val="18"/>
              </w:rPr>
            </w:pPr>
            <w:r>
              <w:rPr>
                <w:rFonts w:ascii="宋体"/>
                <w:b/>
                <w:w w:val="95"/>
                <w:sz w:val="18"/>
              </w:rPr>
              <w:t>-4,002,770.34</w:t>
            </w:r>
            <w:r>
              <w:rPr>
                <w:rFonts w:ascii="宋体"/>
                <w:sz w:val="18"/>
              </w:rPr>
            </w:r>
          </w:p>
        </w:tc>
        <w:tc>
          <w:tcPr>
            <w:tcW w:w="992"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11"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39"/>
              <w:jc w:val="right"/>
              <w:rPr>
                <w:rFonts w:ascii="宋体" w:hAnsi="宋体" w:cs="宋体" w:eastAsia="宋体" w:hint="default"/>
                <w:sz w:val="18"/>
                <w:szCs w:val="18"/>
              </w:rPr>
            </w:pPr>
            <w:r>
              <w:rPr>
                <w:rFonts w:ascii="宋体"/>
                <w:b/>
                <w:w w:val="95"/>
                <w:sz w:val="18"/>
              </w:rPr>
              <w:t>1,254,293.96</w:t>
            </w:r>
            <w:r>
              <w:rPr>
                <w:rFonts w:ascii="宋体"/>
                <w:sz w:val="18"/>
              </w:rPr>
            </w:r>
          </w:p>
        </w:tc>
        <w:tc>
          <w:tcPr>
            <w:tcW w:w="63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8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tc>
        <w:tc>
          <w:tcPr>
            <w:tcW w:w="1561" w:type="dxa"/>
            <w:tcBorders>
              <w:top w:val="single" w:sz="2" w:space="0" w:color="000000"/>
              <w:left w:val="single" w:sz="2" w:space="0" w:color="000000"/>
              <w:bottom w:val="single" w:sz="2" w:space="0" w:color="000000"/>
              <w:right w:val="single" w:sz="2" w:space="0" w:color="000000"/>
            </w:tcBorders>
          </w:tcPr>
          <w:p>
            <w:pPr/>
          </w:p>
        </w:tc>
        <w:tc>
          <w:tcPr>
            <w:tcW w:w="1419" w:type="dxa"/>
            <w:tcBorders>
              <w:top w:val="single" w:sz="2" w:space="0" w:color="000000"/>
              <w:left w:val="single" w:sz="2" w:space="0" w:color="000000"/>
              <w:bottom w:val="single" w:sz="2" w:space="0" w:color="000000"/>
              <w:right w:val="single" w:sz="2" w:space="0" w:color="000000"/>
            </w:tcBorders>
          </w:tcPr>
          <w:p>
            <w:pPr/>
          </w:p>
        </w:tc>
        <w:tc>
          <w:tcPr>
            <w:tcW w:w="1276" w:type="dxa"/>
            <w:tcBorders>
              <w:top w:val="single" w:sz="2" w:space="0" w:color="000000"/>
              <w:left w:val="single" w:sz="2" w:space="0" w:color="000000"/>
              <w:bottom w:val="single" w:sz="2" w:space="0" w:color="000000"/>
              <w:right w:val="single" w:sz="2" w:space="0" w:color="000000"/>
            </w:tcBorders>
          </w:tcPr>
          <w:p>
            <w:pPr/>
          </w:p>
        </w:tc>
        <w:tc>
          <w:tcPr>
            <w:tcW w:w="155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11"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
        </w:tc>
        <w:tc>
          <w:tcPr>
            <w:tcW w:w="637" w:type="dxa"/>
            <w:tcBorders>
              <w:top w:val="single" w:sz="2" w:space="0" w:color="000000"/>
              <w:left w:val="single" w:sz="2" w:space="0" w:color="000000"/>
              <w:bottom w:val="single" w:sz="2" w:space="0" w:color="000000"/>
              <w:right w:val="nil" w:sz="6" w:space="0" w:color="auto"/>
            </w:tcBorders>
          </w:tcPr>
          <w:p>
            <w:pPr/>
          </w:p>
        </w:tc>
      </w:tr>
      <w:tr>
        <w:trPr>
          <w:trHeight w:val="552" w:hRule="exact"/>
        </w:trPr>
        <w:tc>
          <w:tcPr>
            <w:tcW w:w="180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50"/>
              <w:jc w:val="left"/>
              <w:rPr>
                <w:rFonts w:ascii="宋体" w:hAnsi="宋体" w:cs="宋体" w:eastAsia="宋体" w:hint="default"/>
                <w:sz w:val="18"/>
                <w:szCs w:val="18"/>
              </w:rPr>
            </w:pPr>
            <w:r>
              <w:rPr>
                <w:rFonts w:ascii="宋体" w:hAnsi="宋体" w:cs="宋体" w:eastAsia="宋体" w:hint="default"/>
                <w:spacing w:val="8"/>
                <w:sz w:val="18"/>
                <w:szCs w:val="18"/>
              </w:rPr>
              <w:t>浙江电腾云光伏科技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有限公司</w:t>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102"/>
              <w:jc w:val="right"/>
              <w:rPr>
                <w:rFonts w:ascii="宋体" w:hAnsi="宋体" w:cs="宋体" w:eastAsia="宋体" w:hint="default"/>
                <w:sz w:val="18"/>
                <w:szCs w:val="18"/>
              </w:rPr>
            </w:pPr>
            <w:r>
              <w:rPr>
                <w:rFonts w:ascii="宋体"/>
                <w:spacing w:val="-1"/>
                <w:sz w:val="18"/>
              </w:rPr>
              <w:t>9,467,772.10</w:t>
            </w:r>
          </w:p>
        </w:tc>
        <w:tc>
          <w:tcPr>
            <w:tcW w:w="1419" w:type="dxa"/>
            <w:tcBorders>
              <w:top w:val="single" w:sz="2" w:space="0" w:color="000000"/>
              <w:left w:val="single" w:sz="2" w:space="0" w:color="000000"/>
              <w:bottom w:val="single" w:sz="2" w:space="0" w:color="000000"/>
              <w:right w:val="single" w:sz="2" w:space="0" w:color="000000"/>
            </w:tcBorders>
          </w:tcPr>
          <w:p>
            <w:pPr/>
          </w:p>
        </w:tc>
        <w:tc>
          <w:tcPr>
            <w:tcW w:w="1276" w:type="dxa"/>
            <w:tcBorders>
              <w:top w:val="single" w:sz="2" w:space="0" w:color="000000"/>
              <w:left w:val="single" w:sz="2" w:space="0" w:color="000000"/>
              <w:bottom w:val="single" w:sz="2" w:space="0" w:color="000000"/>
              <w:right w:val="single" w:sz="2" w:space="0" w:color="000000"/>
            </w:tcBorders>
          </w:tcPr>
          <w:p>
            <w:pP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103"/>
              <w:jc w:val="right"/>
              <w:rPr>
                <w:rFonts w:ascii="宋体" w:hAnsi="宋体" w:cs="宋体" w:eastAsia="宋体" w:hint="default"/>
                <w:sz w:val="18"/>
                <w:szCs w:val="18"/>
              </w:rPr>
            </w:pPr>
            <w:r>
              <w:rPr>
                <w:rFonts w:ascii="宋体"/>
                <w:spacing w:val="-1"/>
                <w:sz w:val="18"/>
              </w:rPr>
              <w:t>38,649.88</w:t>
            </w:r>
          </w:p>
        </w:tc>
        <w:tc>
          <w:tcPr>
            <w:tcW w:w="992"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11"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370" w:right="0"/>
              <w:jc w:val="left"/>
              <w:rPr>
                <w:rFonts w:ascii="宋体" w:hAnsi="宋体" w:cs="宋体" w:eastAsia="宋体" w:hint="default"/>
                <w:sz w:val="18"/>
                <w:szCs w:val="18"/>
              </w:rPr>
            </w:pPr>
            <w:r>
              <w:rPr>
                <w:rFonts w:ascii="宋体"/>
                <w:sz w:val="18"/>
              </w:rPr>
              <w:t>9,506,421.98</w:t>
            </w:r>
          </w:p>
        </w:tc>
        <w:tc>
          <w:tcPr>
            <w:tcW w:w="637" w:type="dxa"/>
            <w:tcBorders>
              <w:top w:val="single" w:sz="2" w:space="0" w:color="000000"/>
              <w:left w:val="single" w:sz="2" w:space="0" w:color="000000"/>
              <w:bottom w:val="single" w:sz="2" w:space="0" w:color="000000"/>
              <w:right w:val="nil" w:sz="6" w:space="0" w:color="auto"/>
            </w:tcBorders>
          </w:tcPr>
          <w:p>
            <w:pPr/>
          </w:p>
        </w:tc>
      </w:tr>
      <w:tr>
        <w:trPr>
          <w:trHeight w:val="552" w:hRule="exact"/>
        </w:trPr>
        <w:tc>
          <w:tcPr>
            <w:tcW w:w="180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50"/>
              <w:jc w:val="left"/>
              <w:rPr>
                <w:rFonts w:ascii="宋体" w:hAnsi="宋体" w:cs="宋体" w:eastAsia="宋体" w:hint="default"/>
                <w:sz w:val="18"/>
                <w:szCs w:val="18"/>
              </w:rPr>
            </w:pPr>
            <w:r>
              <w:rPr>
                <w:rFonts w:ascii="宋体" w:hAnsi="宋体" w:cs="宋体" w:eastAsia="宋体" w:hint="default"/>
                <w:spacing w:val="8"/>
                <w:sz w:val="18"/>
                <w:szCs w:val="18"/>
              </w:rPr>
              <w:t>山东万恩新能源科技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有限公司</w:t>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102"/>
              <w:jc w:val="right"/>
              <w:rPr>
                <w:rFonts w:ascii="宋体" w:hAnsi="宋体" w:cs="宋体" w:eastAsia="宋体" w:hint="default"/>
                <w:sz w:val="18"/>
                <w:szCs w:val="18"/>
              </w:rPr>
            </w:pPr>
            <w:r>
              <w:rPr>
                <w:rFonts w:ascii="宋体"/>
                <w:spacing w:val="-1"/>
                <w:sz w:val="18"/>
              </w:rPr>
              <w:t>12,088,700.81</w:t>
            </w:r>
          </w:p>
        </w:tc>
        <w:tc>
          <w:tcPr>
            <w:tcW w:w="1419" w:type="dxa"/>
            <w:tcBorders>
              <w:top w:val="single" w:sz="2" w:space="0" w:color="000000"/>
              <w:left w:val="single" w:sz="2" w:space="0" w:color="000000"/>
              <w:bottom w:val="single" w:sz="2" w:space="0" w:color="000000"/>
              <w:right w:val="single" w:sz="2" w:space="0" w:color="000000"/>
            </w:tcBorders>
          </w:tcPr>
          <w:p>
            <w:pPr/>
          </w:p>
        </w:tc>
        <w:tc>
          <w:tcPr>
            <w:tcW w:w="1276" w:type="dxa"/>
            <w:tcBorders>
              <w:top w:val="single" w:sz="2" w:space="0" w:color="000000"/>
              <w:left w:val="single" w:sz="2" w:space="0" w:color="000000"/>
              <w:bottom w:val="single" w:sz="2" w:space="0" w:color="000000"/>
              <w:right w:val="single" w:sz="2" w:space="0" w:color="000000"/>
            </w:tcBorders>
          </w:tcPr>
          <w:p>
            <w:pP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103"/>
              <w:jc w:val="right"/>
              <w:rPr>
                <w:rFonts w:ascii="宋体" w:hAnsi="宋体" w:cs="宋体" w:eastAsia="宋体" w:hint="default"/>
                <w:sz w:val="18"/>
                <w:szCs w:val="18"/>
              </w:rPr>
            </w:pPr>
            <w:r>
              <w:rPr>
                <w:rFonts w:ascii="宋体"/>
                <w:spacing w:val="-1"/>
                <w:sz w:val="18"/>
              </w:rPr>
              <w:t>-214,433.18</w:t>
            </w:r>
          </w:p>
        </w:tc>
        <w:tc>
          <w:tcPr>
            <w:tcW w:w="992"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11"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279" w:right="0"/>
              <w:jc w:val="left"/>
              <w:rPr>
                <w:rFonts w:ascii="宋体" w:hAnsi="宋体" w:cs="宋体" w:eastAsia="宋体" w:hint="default"/>
                <w:sz w:val="18"/>
                <w:szCs w:val="18"/>
              </w:rPr>
            </w:pPr>
            <w:r>
              <w:rPr>
                <w:rFonts w:ascii="宋体"/>
                <w:sz w:val="18"/>
              </w:rPr>
              <w:t>11,874,267.63</w:t>
            </w:r>
          </w:p>
        </w:tc>
        <w:tc>
          <w:tcPr>
            <w:tcW w:w="63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8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w w:val="95"/>
                <w:sz w:val="18"/>
              </w:rPr>
              <w:t>21,556,472.91</w:t>
            </w:r>
            <w:r>
              <w:rPr>
                <w:rFonts w:ascii="宋体"/>
                <w:sz w:val="18"/>
              </w:rPr>
            </w:r>
          </w:p>
        </w:tc>
        <w:tc>
          <w:tcPr>
            <w:tcW w:w="1419" w:type="dxa"/>
            <w:tcBorders>
              <w:top w:val="single" w:sz="2" w:space="0" w:color="000000"/>
              <w:left w:val="single" w:sz="2" w:space="0" w:color="000000"/>
              <w:bottom w:val="single" w:sz="2" w:space="0" w:color="000000"/>
              <w:right w:val="single" w:sz="2" w:space="0" w:color="000000"/>
            </w:tcBorders>
          </w:tcPr>
          <w:p>
            <w:pPr/>
          </w:p>
        </w:tc>
        <w:tc>
          <w:tcPr>
            <w:tcW w:w="1276" w:type="dxa"/>
            <w:tcBorders>
              <w:top w:val="single" w:sz="2" w:space="0" w:color="000000"/>
              <w:left w:val="single" w:sz="2" w:space="0" w:color="000000"/>
              <w:bottom w:val="single" w:sz="2" w:space="0" w:color="000000"/>
              <w:right w:val="single" w:sz="2" w:space="0" w:color="000000"/>
            </w:tcBorders>
          </w:tcPr>
          <w:p>
            <w:pP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0"/>
              <w:jc w:val="right"/>
              <w:rPr>
                <w:rFonts w:ascii="宋体" w:hAnsi="宋体" w:cs="宋体" w:eastAsia="宋体" w:hint="default"/>
                <w:sz w:val="18"/>
                <w:szCs w:val="18"/>
              </w:rPr>
            </w:pPr>
            <w:r>
              <w:rPr>
                <w:rFonts w:ascii="宋体"/>
                <w:b/>
                <w:w w:val="95"/>
                <w:sz w:val="18"/>
              </w:rPr>
              <w:t>-175,783.30</w:t>
            </w:r>
            <w:r>
              <w:rPr>
                <w:rFonts w:ascii="宋体"/>
                <w:sz w:val="18"/>
              </w:rPr>
            </w:r>
          </w:p>
        </w:tc>
        <w:tc>
          <w:tcPr>
            <w:tcW w:w="992"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711"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37"/>
              <w:jc w:val="right"/>
              <w:rPr>
                <w:rFonts w:ascii="宋体" w:hAnsi="宋体" w:cs="宋体" w:eastAsia="宋体" w:hint="default"/>
                <w:sz w:val="18"/>
                <w:szCs w:val="18"/>
              </w:rPr>
            </w:pPr>
            <w:r>
              <w:rPr>
                <w:rFonts w:ascii="宋体"/>
                <w:b/>
                <w:w w:val="95"/>
                <w:sz w:val="18"/>
              </w:rPr>
              <w:t>21,380,689.61</w:t>
            </w:r>
            <w:r>
              <w:rPr>
                <w:rFonts w:ascii="宋体"/>
                <w:sz w:val="18"/>
              </w:rPr>
            </w:r>
          </w:p>
        </w:tc>
        <w:tc>
          <w:tcPr>
            <w:tcW w:w="637"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180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6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0"/>
              <w:jc w:val="right"/>
              <w:rPr>
                <w:rFonts w:ascii="宋体" w:hAnsi="宋体" w:cs="宋体" w:eastAsia="宋体" w:hint="default"/>
                <w:sz w:val="18"/>
                <w:szCs w:val="18"/>
              </w:rPr>
            </w:pPr>
            <w:r>
              <w:rPr>
                <w:rFonts w:ascii="宋体"/>
                <w:b/>
                <w:w w:val="95"/>
                <w:sz w:val="18"/>
              </w:rPr>
              <w:t>24,813,537.21</w:t>
            </w:r>
            <w:r>
              <w:rPr>
                <w:rFonts w:ascii="宋体"/>
                <w:sz w:val="18"/>
              </w:rPr>
            </w:r>
          </w:p>
        </w:tc>
        <w:tc>
          <w:tcPr>
            <w:tcW w:w="141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left="282" w:right="0"/>
              <w:jc w:val="left"/>
              <w:rPr>
                <w:rFonts w:ascii="宋体" w:hAnsi="宋体" w:cs="宋体" w:eastAsia="宋体" w:hint="default"/>
                <w:sz w:val="18"/>
                <w:szCs w:val="18"/>
              </w:rPr>
            </w:pPr>
            <w:r>
              <w:rPr>
                <w:rFonts w:ascii="宋体"/>
                <w:b/>
                <w:sz w:val="18"/>
              </w:rPr>
              <w:t>2,000,000.00</w:t>
            </w:r>
            <w:r>
              <w:rPr>
                <w:rFonts w:ascii="宋体"/>
                <w:sz w:val="18"/>
              </w:rPr>
            </w:r>
          </w:p>
        </w:tc>
        <w:tc>
          <w:tcPr>
            <w:tcW w:w="1276" w:type="dxa"/>
            <w:tcBorders>
              <w:top w:val="single" w:sz="2" w:space="0" w:color="000000"/>
              <w:left w:val="single" w:sz="2" w:space="0" w:color="000000"/>
              <w:bottom w:val="single" w:sz="12" w:space="0" w:color="000000"/>
              <w:right w:val="single" w:sz="2" w:space="0" w:color="000000"/>
            </w:tcBorders>
          </w:tcPr>
          <w:p>
            <w:pPr/>
          </w:p>
        </w:tc>
        <w:tc>
          <w:tcPr>
            <w:tcW w:w="15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38"/>
              <w:jc w:val="right"/>
              <w:rPr>
                <w:rFonts w:ascii="宋体" w:hAnsi="宋体" w:cs="宋体" w:eastAsia="宋体" w:hint="default"/>
                <w:sz w:val="18"/>
                <w:szCs w:val="18"/>
              </w:rPr>
            </w:pPr>
            <w:r>
              <w:rPr>
                <w:rFonts w:ascii="宋体"/>
                <w:b/>
                <w:w w:val="95"/>
                <w:sz w:val="18"/>
              </w:rPr>
              <w:t>-4,178,553.64</w:t>
            </w:r>
            <w:r>
              <w:rPr>
                <w:rFonts w:ascii="宋体"/>
                <w:sz w:val="18"/>
              </w:rPr>
            </w:r>
          </w:p>
        </w:tc>
        <w:tc>
          <w:tcPr>
            <w:tcW w:w="992" w:type="dxa"/>
            <w:tcBorders>
              <w:top w:val="single" w:sz="2" w:space="0" w:color="000000"/>
              <w:left w:val="single" w:sz="2" w:space="0" w:color="000000"/>
              <w:bottom w:val="single" w:sz="12" w:space="0" w:color="000000"/>
              <w:right w:val="single" w:sz="2" w:space="0" w:color="000000"/>
            </w:tcBorders>
          </w:tcPr>
          <w:p>
            <w:pPr/>
          </w:p>
        </w:tc>
        <w:tc>
          <w:tcPr>
            <w:tcW w:w="708" w:type="dxa"/>
            <w:tcBorders>
              <w:top w:val="single" w:sz="2" w:space="0" w:color="000000"/>
              <w:left w:val="single" w:sz="2" w:space="0" w:color="000000"/>
              <w:bottom w:val="single" w:sz="12" w:space="0" w:color="000000"/>
              <w:right w:val="single" w:sz="2" w:space="0" w:color="000000"/>
            </w:tcBorders>
          </w:tcPr>
          <w:p>
            <w:pPr/>
          </w:p>
        </w:tc>
        <w:tc>
          <w:tcPr>
            <w:tcW w:w="992" w:type="dxa"/>
            <w:tcBorders>
              <w:top w:val="single" w:sz="2" w:space="0" w:color="000000"/>
              <w:left w:val="single" w:sz="2" w:space="0" w:color="000000"/>
              <w:bottom w:val="single" w:sz="12" w:space="0" w:color="000000"/>
              <w:right w:val="single" w:sz="2" w:space="0" w:color="000000"/>
            </w:tcBorders>
          </w:tcPr>
          <w:p>
            <w:pPr/>
          </w:p>
        </w:tc>
        <w:tc>
          <w:tcPr>
            <w:tcW w:w="711" w:type="dxa"/>
            <w:tcBorders>
              <w:top w:val="single" w:sz="2" w:space="0" w:color="000000"/>
              <w:left w:val="single" w:sz="2" w:space="0" w:color="000000"/>
              <w:bottom w:val="single" w:sz="12" w:space="0" w:color="000000"/>
              <w:right w:val="single" w:sz="2" w:space="0" w:color="000000"/>
            </w:tcBorders>
          </w:tcPr>
          <w:p>
            <w:pPr/>
          </w:p>
        </w:tc>
        <w:tc>
          <w:tcPr>
            <w:tcW w:w="992" w:type="dxa"/>
            <w:tcBorders>
              <w:top w:val="single" w:sz="2" w:space="0" w:color="000000"/>
              <w:left w:val="single" w:sz="2" w:space="0" w:color="000000"/>
              <w:bottom w:val="single" w:sz="12" w:space="0" w:color="000000"/>
              <w:right w:val="single" w:sz="2" w:space="0" w:color="000000"/>
            </w:tcBorders>
          </w:tcPr>
          <w:p>
            <w:pPr/>
          </w:p>
        </w:tc>
        <w:tc>
          <w:tcPr>
            <w:tcW w:w="156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37"/>
              <w:jc w:val="right"/>
              <w:rPr>
                <w:rFonts w:ascii="宋体" w:hAnsi="宋体" w:cs="宋体" w:eastAsia="宋体" w:hint="default"/>
                <w:sz w:val="18"/>
                <w:szCs w:val="18"/>
              </w:rPr>
            </w:pPr>
            <w:r>
              <w:rPr>
                <w:rFonts w:ascii="宋体"/>
                <w:b/>
                <w:w w:val="95"/>
                <w:sz w:val="18"/>
              </w:rPr>
              <w:t>22,634,983.57</w:t>
            </w:r>
            <w:r>
              <w:rPr>
                <w:rFonts w:ascii="宋体"/>
                <w:sz w:val="18"/>
              </w:rPr>
            </w:r>
          </w:p>
        </w:tc>
        <w:tc>
          <w:tcPr>
            <w:tcW w:w="637" w:type="dxa"/>
            <w:tcBorders>
              <w:top w:val="single" w:sz="2" w:space="0" w:color="000000"/>
              <w:left w:val="single" w:sz="2" w:space="0" w:color="000000"/>
              <w:bottom w:val="single" w:sz="12" w:space="0" w:color="000000"/>
              <w:right w:val="nil" w:sz="6" w:space="0" w:color="auto"/>
            </w:tcBorders>
          </w:tcPr>
          <w:p>
            <w:pPr/>
          </w:p>
        </w:tc>
      </w:tr>
    </w:tbl>
    <w:p>
      <w:pPr>
        <w:spacing w:after="0"/>
        <w:sectPr>
          <w:headerReference w:type="default" r:id="rId46"/>
          <w:footerReference w:type="default" r:id="rId47"/>
          <w:pgSz w:w="16840" w:h="11910" w:orient="landscape"/>
          <w:pgMar w:header="0" w:footer="886" w:top="860" w:bottom="1080" w:left="1180" w:right="1180"/>
        </w:sectPr>
      </w:pPr>
    </w:p>
    <w:p>
      <w:pPr>
        <w:spacing w:line="240" w:lineRule="auto" w:before="7"/>
        <w:rPr>
          <w:rFonts w:ascii="宋体" w:hAnsi="宋体" w:cs="宋体" w:eastAsia="宋体" w:hint="default"/>
          <w:sz w:val="21"/>
          <w:szCs w:val="21"/>
        </w:rPr>
      </w:pPr>
      <w:r>
        <w:rPr/>
        <w:pict>
          <v:shape style="position:absolute;margin-left:535.638184pt;margin-top:806.509705pt;width:59.477876pt;height:26.787746pt;mso-position-horizontal-relative:page;mso-position-vertical-relative:page;z-index:1672" type="#_x0000_t75" stroked="false">
            <v:imagedata r:id="rId48" o:title=""/>
          </v:shape>
        </w:pict>
      </w:r>
    </w:p>
    <w:p>
      <w:pPr>
        <w:pStyle w:val="BodyText"/>
        <w:spacing w:line="240" w:lineRule="auto"/>
        <w:ind w:left="644" w:right="1445"/>
        <w:jc w:val="left"/>
      </w:pPr>
      <w:r>
        <w:rPr/>
        <w:pict>
          <v:group style="position:absolute;margin-left:78.800003pt;margin-top:-9.452356pt;width:516.65pt;height:.1pt;mso-position-horizontal-relative:page;mso-position-vertical-relative:paragraph;z-index:1648" coordorigin="1576,-189" coordsize="10333,2">
            <v:shape style="position:absolute;left:1576;top:-189;width:10333;height:2" coordorigin="1576,-189" coordsize="10333,0" path="m1576,-189l11909,-189e" filled="false" stroked="true" strokeweight=".75pt" strokecolor="#000000">
              <v:path arrowok="t"/>
            </v:shape>
            <w10:wrap type="none"/>
          </v:group>
        </w:pict>
      </w:r>
      <w:r>
        <w:rPr/>
        <w:t>11.</w:t>
      </w:r>
      <w:r>
        <w:rPr>
          <w:spacing w:val="-52"/>
        </w:rPr>
        <w:t> </w:t>
      </w:r>
      <w:bookmarkStart w:name="11.其他非流动金融资产" w:id="266"/>
      <w:bookmarkEnd w:id="266"/>
      <w:r>
        <w:rPr/>
        <w:t>其</w:t>
      </w:r>
      <w:r>
        <w:rPr/>
        <w:t>他非流动金融资产</w:t>
      </w:r>
    </w:p>
    <w:p>
      <w:pPr>
        <w:spacing w:line="240" w:lineRule="auto" w:before="7"/>
        <w:rPr>
          <w:rFonts w:ascii="宋体" w:hAnsi="宋体" w:cs="宋体" w:eastAsia="宋体" w:hint="default"/>
          <w:sz w:val="22"/>
          <w:szCs w:val="22"/>
        </w:rPr>
      </w:pPr>
    </w:p>
    <w:tbl>
      <w:tblPr>
        <w:tblW w:w="0" w:type="auto"/>
        <w:jc w:val="left"/>
        <w:tblInd w:w="118" w:type="dxa"/>
        <w:tblLayout w:type="fixed"/>
        <w:tblCellMar>
          <w:top w:w="0" w:type="dxa"/>
          <w:left w:w="0" w:type="dxa"/>
          <w:bottom w:w="0" w:type="dxa"/>
          <w:right w:w="0" w:type="dxa"/>
        </w:tblCellMar>
        <w:tblLook w:val="01E0"/>
      </w:tblPr>
      <w:tblGrid>
        <w:gridCol w:w="4218"/>
        <w:gridCol w:w="2268"/>
        <w:gridCol w:w="2237"/>
      </w:tblGrid>
      <w:tr>
        <w:trPr>
          <w:trHeight w:val="417" w:hRule="exact"/>
        </w:trPr>
        <w:tc>
          <w:tcPr>
            <w:tcW w:w="42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23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7"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浙江联飞光纤光缆有限公司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8"/>
              <w:jc w:val="right"/>
              <w:rPr>
                <w:rFonts w:ascii="宋体" w:hAnsi="宋体" w:cs="宋体" w:eastAsia="宋体" w:hint="default"/>
                <w:sz w:val="18"/>
                <w:szCs w:val="18"/>
              </w:rPr>
            </w:pPr>
            <w:r>
              <w:rPr>
                <w:rFonts w:ascii="宋体"/>
                <w:spacing w:val="-1"/>
                <w:sz w:val="18"/>
              </w:rPr>
              <w:t>19,539,765.00</w:t>
            </w:r>
          </w:p>
        </w:tc>
        <w:tc>
          <w:tcPr>
            <w:tcW w:w="223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33"/>
              <w:jc w:val="right"/>
              <w:rPr>
                <w:rFonts w:ascii="宋体" w:hAnsi="宋体" w:cs="宋体" w:eastAsia="宋体" w:hint="default"/>
                <w:sz w:val="18"/>
                <w:szCs w:val="18"/>
              </w:rPr>
            </w:pPr>
            <w:r>
              <w:rPr>
                <w:rFonts w:ascii="宋体"/>
                <w:spacing w:val="-1"/>
                <w:sz w:val="18"/>
              </w:rPr>
              <w:t>19,539,765.00</w:t>
            </w:r>
          </w:p>
        </w:tc>
      </w:tr>
      <w:tr>
        <w:trPr>
          <w:trHeight w:val="407"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浙江临安中信村镇银行股份有限公司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8"/>
              <w:jc w:val="right"/>
              <w:rPr>
                <w:rFonts w:ascii="宋体" w:hAnsi="宋体" w:cs="宋体" w:eastAsia="宋体" w:hint="default"/>
                <w:sz w:val="18"/>
                <w:szCs w:val="18"/>
              </w:rPr>
            </w:pPr>
            <w:r>
              <w:rPr>
                <w:rFonts w:ascii="宋体"/>
                <w:spacing w:val="-1"/>
                <w:sz w:val="18"/>
              </w:rPr>
              <w:t>7,000,000.00</w:t>
            </w:r>
          </w:p>
        </w:tc>
        <w:tc>
          <w:tcPr>
            <w:tcW w:w="223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pacing w:val="-1"/>
                <w:sz w:val="18"/>
              </w:rPr>
              <w:t>7,000,000.00</w:t>
            </w:r>
          </w:p>
        </w:tc>
      </w:tr>
      <w:tr>
        <w:trPr>
          <w:trHeight w:val="407"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之江商学（杭州）创业服务有限公司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8"/>
              <w:jc w:val="right"/>
              <w:rPr>
                <w:rFonts w:ascii="宋体" w:hAnsi="宋体" w:cs="宋体" w:eastAsia="宋体" w:hint="default"/>
                <w:sz w:val="18"/>
                <w:szCs w:val="18"/>
              </w:rPr>
            </w:pPr>
            <w:r>
              <w:rPr>
                <w:rFonts w:ascii="宋体"/>
                <w:spacing w:val="-1"/>
                <w:sz w:val="18"/>
              </w:rPr>
              <w:t>500,000.00</w:t>
            </w:r>
          </w:p>
        </w:tc>
        <w:tc>
          <w:tcPr>
            <w:tcW w:w="223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33"/>
              <w:jc w:val="right"/>
              <w:rPr>
                <w:rFonts w:ascii="宋体" w:hAnsi="宋体" w:cs="宋体" w:eastAsia="宋体" w:hint="default"/>
                <w:sz w:val="18"/>
                <w:szCs w:val="18"/>
              </w:rPr>
            </w:pPr>
            <w:r>
              <w:rPr>
                <w:rFonts w:ascii="宋体"/>
                <w:spacing w:val="-1"/>
                <w:sz w:val="18"/>
              </w:rPr>
              <w:t>500,000.00</w:t>
            </w:r>
          </w:p>
        </w:tc>
      </w:tr>
      <w:tr>
        <w:trPr>
          <w:trHeight w:val="417" w:hRule="exact"/>
        </w:trPr>
        <w:tc>
          <w:tcPr>
            <w:tcW w:w="42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6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6"/>
              <w:jc w:val="right"/>
              <w:rPr>
                <w:rFonts w:ascii="宋体" w:hAnsi="宋体" w:cs="宋体" w:eastAsia="宋体" w:hint="default"/>
                <w:sz w:val="18"/>
                <w:szCs w:val="18"/>
              </w:rPr>
            </w:pPr>
            <w:r>
              <w:rPr>
                <w:rFonts w:ascii="宋体"/>
                <w:b/>
                <w:w w:val="95"/>
                <w:sz w:val="18"/>
              </w:rPr>
              <w:t>27,039,765.00</w:t>
            </w:r>
            <w:r>
              <w:rPr>
                <w:rFonts w:ascii="宋体"/>
                <w:sz w:val="18"/>
              </w:rPr>
            </w:r>
          </w:p>
        </w:tc>
        <w:tc>
          <w:tcPr>
            <w:tcW w:w="223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2"/>
              <w:ind w:right="21"/>
              <w:jc w:val="right"/>
              <w:rPr>
                <w:rFonts w:ascii="宋体" w:hAnsi="宋体" w:cs="宋体" w:eastAsia="宋体" w:hint="default"/>
                <w:sz w:val="18"/>
                <w:szCs w:val="18"/>
              </w:rPr>
            </w:pPr>
            <w:r>
              <w:rPr>
                <w:rFonts w:ascii="宋体"/>
                <w:b/>
                <w:w w:val="95"/>
                <w:sz w:val="18"/>
              </w:rPr>
              <w:t>27,039,765.00</w:t>
            </w:r>
            <w:r>
              <w:rPr>
                <w:rFonts w:ascii="宋体"/>
                <w:sz w:val="18"/>
              </w:rPr>
            </w:r>
          </w:p>
        </w:tc>
      </w:tr>
    </w:tbl>
    <w:p>
      <w:pPr>
        <w:spacing w:line="240" w:lineRule="auto" w:before="3"/>
        <w:rPr>
          <w:rFonts w:ascii="宋体" w:hAnsi="宋体" w:cs="宋体" w:eastAsia="宋体" w:hint="default"/>
          <w:sz w:val="9"/>
          <w:szCs w:val="9"/>
        </w:rPr>
      </w:pPr>
    </w:p>
    <w:p>
      <w:pPr>
        <w:pStyle w:val="BodyText"/>
        <w:spacing w:line="300" w:lineRule="auto"/>
        <w:ind w:left="241" w:right="1697" w:firstLine="439"/>
        <w:jc w:val="both"/>
      </w:pPr>
      <w:r>
        <w:rPr>
          <w:spacing w:val="-8"/>
        </w:rPr>
        <w:t>注：本集团于</w:t>
      </w:r>
      <w:r>
        <w:rPr>
          <w:spacing w:val="-49"/>
        </w:rPr>
        <w:t> </w:t>
      </w:r>
      <w:r>
        <w:rPr/>
        <w:t>2019</w:t>
      </w:r>
      <w:r>
        <w:rPr>
          <w:spacing w:val="-52"/>
        </w:rPr>
        <w:t> </w:t>
      </w:r>
      <w:r>
        <w:rPr/>
        <w:t>年</w:t>
      </w:r>
      <w:r>
        <w:rPr>
          <w:spacing w:val="-52"/>
        </w:rPr>
        <w:t> </w:t>
      </w:r>
      <w:r>
        <w:rPr/>
        <w:t>1</w:t>
      </w:r>
      <w:r>
        <w:rPr>
          <w:spacing w:val="13"/>
        </w:rPr>
        <w:t> </w:t>
      </w:r>
      <w:r>
        <w:rPr/>
        <w:t>月</w:t>
      </w:r>
      <w:r>
        <w:rPr>
          <w:spacing w:val="-49"/>
        </w:rPr>
        <w:t> </w:t>
      </w:r>
      <w:r>
        <w:rPr/>
        <w:t>1</w:t>
      </w:r>
      <w:r>
        <w:rPr>
          <w:spacing w:val="10"/>
        </w:rPr>
        <w:t> </w:t>
      </w:r>
      <w:r>
        <w:rPr>
          <w:spacing w:val="-4"/>
        </w:rPr>
        <w:t>日执行新金融工具准则，将原在可供出售金融资产中列</w:t>
      </w:r>
      <w:r>
        <w:rPr>
          <w:w w:val="100"/>
        </w:rPr>
        <w:t> </w:t>
      </w:r>
      <w:r>
        <w:rPr>
          <w:spacing w:val="-4"/>
        </w:rPr>
        <w:t>报并按成本计量的上述投资，调整至以公允价值计量且其变动计入当期损益的“其他非流</w:t>
      </w:r>
      <w:r>
        <w:rPr>
          <w:spacing w:val="-51"/>
        </w:rPr>
        <w:t> </w:t>
      </w:r>
      <w:r>
        <w:rPr>
          <w:spacing w:val="-51"/>
        </w:rPr>
      </w:r>
      <w:r>
        <w:rPr/>
        <w:t>动金融资产”列报。</w:t>
      </w:r>
    </w:p>
    <w:p>
      <w:pPr>
        <w:pStyle w:val="BodyText"/>
        <w:spacing w:line="400" w:lineRule="auto" w:before="137"/>
        <w:ind w:left="817" w:right="5633" w:hanging="173"/>
        <w:jc w:val="left"/>
      </w:pPr>
      <w:r>
        <w:rPr/>
        <w:t>12.</w:t>
      </w:r>
      <w:r>
        <w:rPr>
          <w:spacing w:val="-47"/>
        </w:rPr>
        <w:t> </w:t>
      </w:r>
      <w:bookmarkStart w:name="12.投资性房地产" w:id="267"/>
      <w:bookmarkEnd w:id="267"/>
      <w:r>
        <w:rPr/>
        <w:t>投</w:t>
      </w:r>
      <w:r>
        <w:rPr/>
        <w:t>资性房地产</w:t>
      </w:r>
      <w:r>
        <w:rPr>
          <w:w w:val="100"/>
        </w:rPr>
        <w:t> </w:t>
      </w:r>
      <w:r>
        <w:rPr>
          <w:spacing w:val="-2"/>
        </w:rPr>
        <w:t>采用成本计量模式的投资性房地产：</w:t>
      </w:r>
    </w:p>
    <w:tbl>
      <w:tblPr>
        <w:tblW w:w="0" w:type="auto"/>
        <w:jc w:val="left"/>
        <w:tblInd w:w="118" w:type="dxa"/>
        <w:tblLayout w:type="fixed"/>
        <w:tblCellMar>
          <w:top w:w="0" w:type="dxa"/>
          <w:left w:w="0" w:type="dxa"/>
          <w:bottom w:w="0" w:type="dxa"/>
          <w:right w:w="0" w:type="dxa"/>
        </w:tblCellMar>
        <w:tblLook w:val="01E0"/>
      </w:tblPr>
      <w:tblGrid>
        <w:gridCol w:w="3227"/>
        <w:gridCol w:w="1984"/>
        <w:gridCol w:w="1842"/>
        <w:gridCol w:w="1670"/>
      </w:tblGrid>
      <w:tr>
        <w:trPr>
          <w:trHeight w:val="415" w:hRule="exact"/>
        </w:trPr>
        <w:tc>
          <w:tcPr>
            <w:tcW w:w="322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450" w:right="0"/>
              <w:jc w:val="left"/>
              <w:rPr>
                <w:rFonts w:ascii="宋体" w:hAnsi="宋体" w:cs="宋体" w:eastAsia="宋体" w:hint="default"/>
                <w:sz w:val="18"/>
                <w:szCs w:val="18"/>
              </w:rPr>
            </w:pPr>
            <w:r>
              <w:rPr>
                <w:rFonts w:ascii="宋体" w:hAnsi="宋体" w:cs="宋体" w:eastAsia="宋体" w:hint="default"/>
                <w:b/>
                <w:bCs/>
                <w:sz w:val="18"/>
                <w:szCs w:val="18"/>
              </w:rPr>
              <w:t>房屋、建筑物</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468" w:right="0"/>
              <w:jc w:val="left"/>
              <w:rPr>
                <w:rFonts w:ascii="宋体" w:hAnsi="宋体" w:cs="宋体" w:eastAsia="宋体" w:hint="default"/>
                <w:sz w:val="18"/>
                <w:szCs w:val="18"/>
              </w:rPr>
            </w:pPr>
            <w:r>
              <w:rPr>
                <w:rFonts w:ascii="宋体" w:hAnsi="宋体" w:cs="宋体" w:eastAsia="宋体" w:hint="default"/>
                <w:b/>
                <w:bCs/>
                <w:sz w:val="18"/>
                <w:szCs w:val="18"/>
              </w:rPr>
              <w:t>土地使用权</w:t>
            </w:r>
            <w:r>
              <w:rPr>
                <w:rFonts w:ascii="宋体" w:hAnsi="宋体" w:cs="宋体" w:eastAsia="宋体" w:hint="default"/>
                <w:sz w:val="18"/>
                <w:szCs w:val="18"/>
              </w:rPr>
            </w:r>
          </w:p>
        </w:tc>
        <w:tc>
          <w:tcPr>
            <w:tcW w:w="1670"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46"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18,251,492.81</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9,212,558.45</w:t>
            </w: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27,464,051.26</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46"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46"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46"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18,251,492.81</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9,212,558.45</w:t>
            </w: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27,464,051.26</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二、累计折旧和累计摊销</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9,544,203.79</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1,899,264.43</w:t>
            </w: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11,443,468.22</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960,543.50</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213,526.83</w:t>
            </w: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1,174,070.33</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（1）计提或摊销</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960,543.50</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213,526.83</w:t>
            </w: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1,174,070.33</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10,504,747.29</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2,112,791.26</w:t>
            </w: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12,617,538.55</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86,037.77</w:t>
            </w: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86,037.77</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86,037.77</w:t>
            </w: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86,037.77</w:t>
            </w: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84"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7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2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1.年末账面价值</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7,660,707.75</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7,099,767.19</w:t>
            </w:r>
          </w:p>
        </w:tc>
        <w:tc>
          <w:tcPr>
            <w:tcW w:w="167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14,760,474.94</w:t>
            </w:r>
          </w:p>
        </w:tc>
      </w:tr>
      <w:tr>
        <w:trPr>
          <w:trHeight w:val="414" w:hRule="exact"/>
        </w:trPr>
        <w:tc>
          <w:tcPr>
            <w:tcW w:w="322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2.年初账面价值</w:t>
            </w:r>
          </w:p>
        </w:tc>
        <w:tc>
          <w:tcPr>
            <w:tcW w:w="198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8,621,251.25</w:t>
            </w:r>
          </w:p>
        </w:tc>
        <w:tc>
          <w:tcPr>
            <w:tcW w:w="184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7,313,294.02</w:t>
            </w:r>
          </w:p>
        </w:tc>
        <w:tc>
          <w:tcPr>
            <w:tcW w:w="1670"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15,934,545.27</w:t>
            </w:r>
          </w:p>
        </w:tc>
      </w:tr>
    </w:tbl>
    <w:p>
      <w:pPr>
        <w:spacing w:after="0" w:line="240" w:lineRule="auto"/>
        <w:jc w:val="right"/>
        <w:rPr>
          <w:rFonts w:ascii="宋体" w:hAnsi="宋体" w:cs="宋体" w:eastAsia="宋体" w:hint="default"/>
          <w:sz w:val="18"/>
          <w:szCs w:val="18"/>
        </w:rPr>
        <w:sectPr>
          <w:headerReference w:type="default" r:id="rId49"/>
          <w:footerReference w:type="default" r:id="rId50"/>
          <w:pgSz w:w="11910" w:h="16840"/>
          <w:pgMar w:header="939" w:footer="886" w:top="1840" w:bottom="1080" w:left="1460" w:right="0"/>
        </w:sectPr>
      </w:pPr>
    </w:p>
    <w:p>
      <w:pPr>
        <w:spacing w:line="240" w:lineRule="auto" w:before="13"/>
        <w:rPr>
          <w:rFonts w:ascii="宋体" w:hAnsi="宋体" w:cs="宋体" w:eastAsia="宋体" w:hint="default"/>
          <w:sz w:val="12"/>
          <w:szCs w:val="12"/>
        </w:rPr>
      </w:pPr>
    </w:p>
    <w:p>
      <w:pPr>
        <w:pStyle w:val="BodyText"/>
        <w:spacing w:line="300" w:lineRule="auto"/>
        <w:ind w:left="321" w:right="1699" w:firstLine="439"/>
        <w:jc w:val="both"/>
      </w:pPr>
      <w:r>
        <w:rPr>
          <w:spacing w:val="-5"/>
        </w:rPr>
        <w:t>注：本公司之子公司浙江万马集团特种电子电缆有限公司于</w:t>
      </w:r>
      <w:r>
        <w:rPr>
          <w:spacing w:val="-47"/>
        </w:rPr>
        <w:t> </w:t>
      </w:r>
      <w:r>
        <w:rPr/>
        <w:t>2018</w:t>
      </w:r>
      <w:r>
        <w:rPr>
          <w:spacing w:val="-50"/>
        </w:rPr>
        <w:t> </w:t>
      </w:r>
      <w:r>
        <w:rPr/>
        <w:t>年</w:t>
      </w:r>
      <w:r>
        <w:rPr>
          <w:spacing w:val="-47"/>
        </w:rPr>
        <w:t> </w:t>
      </w:r>
      <w:r>
        <w:rPr/>
        <w:t>10</w:t>
      </w:r>
      <w:r>
        <w:rPr>
          <w:spacing w:val="-50"/>
        </w:rPr>
        <w:t> </w:t>
      </w:r>
      <w:r>
        <w:rPr/>
        <w:t>月整体搬迁至</w:t>
      </w:r>
      <w:r>
        <w:rPr>
          <w:w w:val="100"/>
        </w:rPr>
        <w:t> </w:t>
      </w:r>
      <w:r>
        <w:rPr>
          <w:spacing w:val="-4"/>
        </w:rPr>
        <w:t>浙江省杭州市临安区太湖源镇金岫村新建高端工业电子线项目厂房，原临安区青山湖街道</w:t>
      </w:r>
      <w:r>
        <w:rPr>
          <w:spacing w:val="-53"/>
        </w:rPr>
        <w:t> </w:t>
      </w:r>
      <w:r>
        <w:rPr>
          <w:spacing w:val="-53"/>
        </w:rPr>
      </w:r>
      <w:r>
        <w:rPr/>
        <w:t>景观大道</w:t>
      </w:r>
      <w:r>
        <w:rPr>
          <w:spacing w:val="-68"/>
        </w:rPr>
        <w:t> </w:t>
      </w:r>
      <w:r>
        <w:rPr/>
        <w:t>81</w:t>
      </w:r>
      <w:r>
        <w:rPr>
          <w:spacing w:val="-66"/>
        </w:rPr>
        <w:t> </w:t>
      </w:r>
      <w:r>
        <w:rPr/>
        <w:t>号的厂房及土地使用权停止自用，用于对外出租，转换为投资性房地产。</w:t>
      </w:r>
    </w:p>
    <w:p>
      <w:pPr>
        <w:pStyle w:val="BodyText"/>
        <w:spacing w:line="240" w:lineRule="auto" w:before="137"/>
        <w:ind w:left="724" w:right="508"/>
        <w:jc w:val="left"/>
      </w:pPr>
      <w:r>
        <w:rPr/>
        <w:t>13.</w:t>
      </w:r>
      <w:r>
        <w:rPr>
          <w:spacing w:val="-48"/>
        </w:rPr>
        <w:t> </w:t>
      </w:r>
      <w:bookmarkStart w:name="13.固定资产" w:id="268"/>
      <w:bookmarkEnd w:id="268"/>
      <w:r>
        <w:rPr/>
        <w:t>固</w:t>
      </w:r>
      <w:r>
        <w:rPr/>
        <w:t>定资产</w:t>
      </w:r>
    </w:p>
    <w:p>
      <w:pPr>
        <w:spacing w:line="240" w:lineRule="auto" w:before="2"/>
        <w:rPr>
          <w:rFonts w:ascii="宋体" w:hAnsi="宋体" w:cs="宋体" w:eastAsia="宋体" w:hint="default"/>
          <w:sz w:val="12"/>
          <w:szCs w:val="12"/>
        </w:rPr>
      </w:pPr>
    </w:p>
    <w:tbl>
      <w:tblPr>
        <w:tblW w:w="0" w:type="auto"/>
        <w:jc w:val="left"/>
        <w:tblInd w:w="198" w:type="dxa"/>
        <w:tblLayout w:type="fixed"/>
        <w:tblCellMar>
          <w:top w:w="0" w:type="dxa"/>
          <w:left w:w="0" w:type="dxa"/>
          <w:bottom w:w="0" w:type="dxa"/>
          <w:right w:w="0" w:type="dxa"/>
        </w:tblCellMar>
        <w:tblLook w:val="01E0"/>
      </w:tblPr>
      <w:tblGrid>
        <w:gridCol w:w="3086"/>
        <w:gridCol w:w="2818"/>
        <w:gridCol w:w="2819"/>
      </w:tblGrid>
      <w:tr>
        <w:trPr>
          <w:trHeight w:val="417" w:hRule="exact"/>
        </w:trPr>
        <w:tc>
          <w:tcPr>
            <w:tcW w:w="308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865" w:right="0"/>
              <w:jc w:val="left"/>
              <w:rPr>
                <w:rFonts w:ascii="宋体" w:hAnsi="宋体" w:cs="宋体" w:eastAsia="宋体" w:hint="default"/>
                <w:sz w:val="18"/>
                <w:szCs w:val="18"/>
              </w:rPr>
            </w:pPr>
            <w:r>
              <w:rPr>
                <w:rFonts w:ascii="宋体" w:hAnsi="宋体" w:cs="宋体" w:eastAsia="宋体" w:hint="default"/>
                <w:b/>
                <w:bCs/>
                <w:sz w:val="18"/>
                <w:szCs w:val="18"/>
              </w:rPr>
              <w:t>年末账面价值</w:t>
            </w:r>
            <w:r>
              <w:rPr>
                <w:rFonts w:ascii="宋体" w:hAnsi="宋体" w:cs="宋体" w:eastAsia="宋体" w:hint="default"/>
                <w:sz w:val="18"/>
                <w:szCs w:val="18"/>
              </w:rPr>
            </w:r>
          </w:p>
        </w:tc>
        <w:tc>
          <w:tcPr>
            <w:tcW w:w="281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left="864" w:right="0"/>
              <w:jc w:val="left"/>
              <w:rPr>
                <w:rFonts w:ascii="宋体" w:hAnsi="宋体" w:cs="宋体" w:eastAsia="宋体" w:hint="default"/>
                <w:sz w:val="18"/>
                <w:szCs w:val="18"/>
              </w:rPr>
            </w:pPr>
            <w:r>
              <w:rPr>
                <w:rFonts w:ascii="宋体" w:hAnsi="宋体" w:cs="宋体" w:eastAsia="宋体" w:hint="default"/>
                <w:b/>
                <w:bCs/>
                <w:sz w:val="18"/>
                <w:szCs w:val="18"/>
              </w:rPr>
              <w:t>年初账面价值</w:t>
            </w:r>
            <w:r>
              <w:rPr>
                <w:rFonts w:ascii="宋体" w:hAnsi="宋体" w:cs="宋体" w:eastAsia="宋体" w:hint="default"/>
                <w:sz w:val="18"/>
                <w:szCs w:val="18"/>
              </w:rPr>
            </w:r>
          </w:p>
        </w:tc>
      </w:tr>
      <w:tr>
        <w:trPr>
          <w:trHeight w:val="407" w:hRule="exact"/>
        </w:trPr>
        <w:tc>
          <w:tcPr>
            <w:tcW w:w="30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宋体" w:hAnsi="宋体" w:cs="宋体" w:eastAsia="宋体" w:hint="default"/>
                <w:sz w:val="18"/>
                <w:szCs w:val="18"/>
              </w:rPr>
            </w:pPr>
            <w:r>
              <w:rPr>
                <w:rFonts w:ascii="宋体"/>
                <w:spacing w:val="-1"/>
                <w:sz w:val="18"/>
              </w:rPr>
              <w:t>1,039,842,652.21</w:t>
            </w:r>
          </w:p>
        </w:tc>
        <w:tc>
          <w:tcPr>
            <w:tcW w:w="28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953,397,942.10</w:t>
            </w:r>
          </w:p>
        </w:tc>
      </w:tr>
      <w:tr>
        <w:trPr>
          <w:trHeight w:val="407" w:hRule="exact"/>
        </w:trPr>
        <w:tc>
          <w:tcPr>
            <w:tcW w:w="30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2818" w:type="dxa"/>
            <w:tcBorders>
              <w:top w:val="single" w:sz="4" w:space="0" w:color="000000"/>
              <w:left w:val="single" w:sz="4" w:space="0" w:color="000000"/>
              <w:bottom w:val="single" w:sz="4" w:space="0" w:color="000000"/>
              <w:right w:val="single" w:sz="4" w:space="0" w:color="000000"/>
            </w:tcBorders>
          </w:tcPr>
          <w:p>
            <w:pPr/>
          </w:p>
        </w:tc>
        <w:tc>
          <w:tcPr>
            <w:tcW w:w="2819" w:type="dxa"/>
            <w:tcBorders>
              <w:top w:val="single" w:sz="4" w:space="0" w:color="000000"/>
              <w:left w:val="single" w:sz="4" w:space="0" w:color="000000"/>
              <w:bottom w:val="single" w:sz="4" w:space="0" w:color="000000"/>
              <w:right w:val="nil" w:sz="6" w:space="0" w:color="auto"/>
            </w:tcBorders>
          </w:tcPr>
          <w:p>
            <w:pPr/>
          </w:p>
        </w:tc>
      </w:tr>
      <w:tr>
        <w:trPr>
          <w:trHeight w:val="417" w:hRule="exact"/>
        </w:trPr>
        <w:tc>
          <w:tcPr>
            <w:tcW w:w="308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99"/>
              <w:jc w:val="right"/>
              <w:rPr>
                <w:rFonts w:ascii="宋体" w:hAnsi="宋体" w:cs="宋体" w:eastAsia="宋体" w:hint="default"/>
                <w:sz w:val="18"/>
                <w:szCs w:val="18"/>
              </w:rPr>
            </w:pPr>
            <w:r>
              <w:rPr>
                <w:rFonts w:ascii="宋体"/>
                <w:spacing w:val="-1"/>
                <w:sz w:val="18"/>
              </w:rPr>
              <w:t>1,039,842,652.21</w:t>
            </w:r>
          </w:p>
        </w:tc>
        <w:tc>
          <w:tcPr>
            <w:tcW w:w="281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953,397,942.10</w:t>
            </w:r>
          </w:p>
        </w:tc>
      </w:tr>
    </w:tbl>
    <w:p>
      <w:pPr>
        <w:spacing w:line="240" w:lineRule="auto" w:before="3"/>
        <w:rPr>
          <w:rFonts w:ascii="宋体" w:hAnsi="宋体" w:cs="宋体" w:eastAsia="宋体" w:hint="default"/>
          <w:sz w:val="9"/>
          <w:szCs w:val="9"/>
        </w:rPr>
      </w:pPr>
    </w:p>
    <w:p>
      <w:pPr>
        <w:pStyle w:val="BodyText"/>
        <w:spacing w:line="240" w:lineRule="auto"/>
        <w:ind w:left="760" w:right="508"/>
        <w:jc w:val="left"/>
      </w:pPr>
      <w:bookmarkStart w:name="（1）固定资产" w:id="269"/>
      <w:bookmarkEnd w:id="269"/>
      <w:r>
        <w:rPr/>
      </w:r>
      <w:r>
        <w:rPr/>
        <w:t>（1）固定资产</w:t>
      </w:r>
    </w:p>
    <w:p>
      <w:pPr>
        <w:spacing w:line="240" w:lineRule="auto" w:before="2"/>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1384"/>
        <w:gridCol w:w="1505"/>
        <w:gridCol w:w="1648"/>
        <w:gridCol w:w="1326"/>
        <w:gridCol w:w="1326"/>
        <w:gridCol w:w="1708"/>
      </w:tblGrid>
      <w:tr>
        <w:trPr>
          <w:trHeight w:val="409" w:hRule="exact"/>
        </w:trPr>
        <w:tc>
          <w:tcPr>
            <w:tcW w:w="138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0"/>
              <w:ind w:left="54"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0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0"/>
              <w:ind w:left="299" w:right="0"/>
              <w:jc w:val="left"/>
              <w:rPr>
                <w:rFonts w:ascii="宋体" w:hAnsi="宋体" w:cs="宋体" w:eastAsia="宋体" w:hint="default"/>
                <w:sz w:val="18"/>
                <w:szCs w:val="18"/>
              </w:rPr>
            </w:pPr>
            <w:r>
              <w:rPr>
                <w:rFonts w:ascii="宋体" w:hAnsi="宋体" w:cs="宋体" w:eastAsia="宋体" w:hint="default"/>
                <w:b/>
                <w:bCs/>
                <w:sz w:val="18"/>
                <w:szCs w:val="18"/>
              </w:rPr>
              <w:t>房屋建筑物</w:t>
            </w:r>
            <w:r>
              <w:rPr>
                <w:rFonts w:ascii="宋体" w:hAnsi="宋体" w:cs="宋体" w:eastAsia="宋体" w:hint="default"/>
                <w:sz w:val="18"/>
                <w:szCs w:val="18"/>
              </w:rPr>
            </w:r>
          </w:p>
        </w:tc>
        <w:tc>
          <w:tcPr>
            <w:tcW w:w="164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b/>
                <w:bCs/>
                <w:sz w:val="18"/>
                <w:szCs w:val="18"/>
              </w:rPr>
              <w:t>机器设备</w:t>
            </w:r>
            <w:r>
              <w:rPr>
                <w:rFonts w:ascii="宋体" w:hAnsi="宋体" w:cs="宋体" w:eastAsia="宋体" w:hint="default"/>
                <w:sz w:val="18"/>
                <w:szCs w:val="18"/>
              </w:rPr>
            </w:r>
          </w:p>
        </w:tc>
        <w:tc>
          <w:tcPr>
            <w:tcW w:w="132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0"/>
              <w:ind w:left="300" w:right="0"/>
              <w:jc w:val="left"/>
              <w:rPr>
                <w:rFonts w:ascii="宋体" w:hAnsi="宋体" w:cs="宋体" w:eastAsia="宋体" w:hint="default"/>
                <w:sz w:val="18"/>
                <w:szCs w:val="18"/>
              </w:rPr>
            </w:pPr>
            <w:r>
              <w:rPr>
                <w:rFonts w:ascii="宋体" w:hAnsi="宋体" w:cs="宋体" w:eastAsia="宋体" w:hint="default"/>
                <w:b/>
                <w:bCs/>
                <w:sz w:val="18"/>
                <w:szCs w:val="18"/>
              </w:rPr>
              <w:t>运输设备</w:t>
            </w:r>
            <w:r>
              <w:rPr>
                <w:rFonts w:ascii="宋体" w:hAnsi="宋体" w:cs="宋体" w:eastAsia="宋体" w:hint="default"/>
                <w:sz w:val="18"/>
                <w:szCs w:val="18"/>
              </w:rPr>
            </w:r>
          </w:p>
        </w:tc>
        <w:tc>
          <w:tcPr>
            <w:tcW w:w="132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0"/>
              <w:ind w:left="301" w:right="0"/>
              <w:jc w:val="left"/>
              <w:rPr>
                <w:rFonts w:ascii="宋体" w:hAnsi="宋体" w:cs="宋体" w:eastAsia="宋体" w:hint="default"/>
                <w:sz w:val="18"/>
                <w:szCs w:val="18"/>
              </w:rPr>
            </w:pPr>
            <w:r>
              <w:rPr>
                <w:rFonts w:ascii="宋体" w:hAnsi="宋体" w:cs="宋体" w:eastAsia="宋体" w:hint="default"/>
                <w:b/>
                <w:bCs/>
                <w:sz w:val="18"/>
                <w:szCs w:val="18"/>
              </w:rPr>
              <w:t>办公设备</w:t>
            </w:r>
            <w:r>
              <w:rPr>
                <w:rFonts w:ascii="宋体" w:hAnsi="宋体" w:cs="宋体" w:eastAsia="宋体" w:hint="default"/>
                <w:sz w:val="18"/>
                <w:szCs w:val="18"/>
              </w:rPr>
            </w:r>
          </w:p>
        </w:tc>
        <w:tc>
          <w:tcPr>
            <w:tcW w:w="17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1"/>
              <w:jc w:val="right"/>
              <w:rPr>
                <w:rFonts w:ascii="宋体" w:hAnsi="宋体" w:cs="宋体" w:eastAsia="宋体" w:hint="default"/>
                <w:sz w:val="18"/>
                <w:szCs w:val="18"/>
              </w:rPr>
            </w:pPr>
            <w:r>
              <w:rPr>
                <w:rFonts w:ascii="宋体"/>
                <w:spacing w:val="-1"/>
                <w:sz w:val="18"/>
              </w:rPr>
              <w:t>551,421,871.21</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1,065,021,349.30</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61,217,910.90</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49,362,743.62</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51"/>
              <w:jc w:val="right"/>
              <w:rPr>
                <w:rFonts w:ascii="宋体" w:hAnsi="宋体" w:cs="宋体" w:eastAsia="宋体" w:hint="default"/>
                <w:sz w:val="18"/>
                <w:szCs w:val="18"/>
              </w:rPr>
            </w:pPr>
            <w:r>
              <w:rPr>
                <w:rFonts w:ascii="宋体"/>
                <w:spacing w:val="-1"/>
                <w:sz w:val="18"/>
              </w:rPr>
              <w:t>1,727,023,875.03</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61,093,458.65</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183,376,478.63</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2"/>
              <w:jc w:val="right"/>
              <w:rPr>
                <w:rFonts w:ascii="宋体" w:hAnsi="宋体" w:cs="宋体" w:eastAsia="宋体" w:hint="default"/>
                <w:sz w:val="18"/>
                <w:szCs w:val="18"/>
              </w:rPr>
            </w:pPr>
            <w:r>
              <w:rPr>
                <w:rFonts w:ascii="宋体"/>
                <w:spacing w:val="-1"/>
                <w:sz w:val="18"/>
              </w:rPr>
              <w:t>1,047,424.16</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7,135,739.72</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252,653,101.16</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(1)购置</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14,760,599.39</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28,402,566.53</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2"/>
              <w:jc w:val="right"/>
              <w:rPr>
                <w:rFonts w:ascii="宋体" w:hAnsi="宋体" w:cs="宋体" w:eastAsia="宋体" w:hint="default"/>
                <w:sz w:val="18"/>
                <w:szCs w:val="18"/>
              </w:rPr>
            </w:pPr>
            <w:r>
              <w:rPr>
                <w:rFonts w:ascii="宋体"/>
                <w:spacing w:val="-1"/>
                <w:sz w:val="18"/>
              </w:rPr>
              <w:t>992,474.81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4,840,883.67</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48,996,524.40</w:t>
            </w:r>
          </w:p>
        </w:tc>
      </w:tr>
      <w:tr>
        <w:trPr>
          <w:trHeight w:val="552"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54" w:right="51"/>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70"/>
                <w:sz w:val="18"/>
                <w:szCs w:val="18"/>
              </w:rPr>
              <w:t> </w:t>
            </w:r>
            <w:r>
              <w:rPr>
                <w:rFonts w:ascii="宋体" w:hAnsi="宋体" w:cs="宋体" w:eastAsia="宋体" w:hint="default"/>
                <w:spacing w:val="16"/>
                <w:sz w:val="18"/>
                <w:szCs w:val="18"/>
              </w:rPr>
              <w:t>在建工程转</w:t>
            </w:r>
            <w:r>
              <w:rPr>
                <w:rFonts w:ascii="宋体" w:hAnsi="宋体" w:cs="宋体" w:eastAsia="宋体" w:hint="default"/>
                <w:sz w:val="18"/>
                <w:szCs w:val="18"/>
              </w:rPr>
              <w:t> 入</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74"/>
              <w:jc w:val="right"/>
              <w:rPr>
                <w:rFonts w:ascii="宋体" w:hAnsi="宋体" w:cs="宋体" w:eastAsia="宋体" w:hint="default"/>
                <w:sz w:val="18"/>
                <w:szCs w:val="18"/>
              </w:rPr>
            </w:pPr>
            <w:r>
              <w:rPr>
                <w:rFonts w:ascii="宋体"/>
                <w:spacing w:val="-1"/>
                <w:sz w:val="18"/>
              </w:rPr>
              <w:t>46,332,859.26</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73"/>
              <w:jc w:val="right"/>
              <w:rPr>
                <w:rFonts w:ascii="宋体" w:hAnsi="宋体" w:cs="宋体" w:eastAsia="宋体" w:hint="default"/>
                <w:sz w:val="18"/>
                <w:szCs w:val="18"/>
              </w:rPr>
            </w:pPr>
            <w:r>
              <w:rPr>
                <w:rFonts w:ascii="宋体"/>
                <w:spacing w:val="-1"/>
                <w:sz w:val="18"/>
              </w:rPr>
              <w:t>154,973,912.10</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74"/>
              <w:jc w:val="right"/>
              <w:rPr>
                <w:rFonts w:ascii="宋体" w:hAnsi="宋体" w:cs="宋体" w:eastAsia="宋体" w:hint="default"/>
                <w:sz w:val="18"/>
                <w:szCs w:val="18"/>
              </w:rPr>
            </w:pPr>
            <w:r>
              <w:rPr>
                <w:rFonts w:ascii="宋体"/>
                <w:spacing w:val="-1"/>
                <w:sz w:val="18"/>
              </w:rPr>
              <w:t>54,949.35</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73"/>
              <w:jc w:val="right"/>
              <w:rPr>
                <w:rFonts w:ascii="宋体" w:hAnsi="宋体" w:cs="宋体" w:eastAsia="宋体" w:hint="default"/>
                <w:sz w:val="18"/>
                <w:szCs w:val="18"/>
              </w:rPr>
            </w:pPr>
            <w:r>
              <w:rPr>
                <w:rFonts w:ascii="宋体"/>
                <w:spacing w:val="-1"/>
                <w:sz w:val="18"/>
              </w:rPr>
              <w:t>2,294,856.05</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75"/>
              <w:jc w:val="right"/>
              <w:rPr>
                <w:rFonts w:ascii="宋体" w:hAnsi="宋体" w:cs="宋体" w:eastAsia="宋体" w:hint="default"/>
                <w:sz w:val="18"/>
                <w:szCs w:val="18"/>
              </w:rPr>
            </w:pPr>
            <w:r>
              <w:rPr>
                <w:rFonts w:ascii="宋体"/>
                <w:spacing w:val="-1"/>
                <w:sz w:val="18"/>
              </w:rPr>
              <w:t>203,656,576.76</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26,318,793.53</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24,712,354.31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1,853,484.62</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52,884,632.46</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(1)处置或报废</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26,162,416.36</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24,712,354.31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1,853,484.62</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52,728,255.29</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(2)其他</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9"/>
              <w:jc w:val="right"/>
              <w:rPr>
                <w:rFonts w:ascii="宋体" w:hAnsi="宋体" w:cs="宋体" w:eastAsia="宋体" w:hint="default"/>
                <w:sz w:val="18"/>
                <w:szCs w:val="18"/>
              </w:rPr>
            </w:pPr>
            <w:r>
              <w:rPr>
                <w:rFonts w:ascii="宋体"/>
                <w:spacing w:val="-1"/>
                <w:sz w:val="18"/>
              </w:rPr>
              <w:t>156,377.17</w:t>
            </w:r>
          </w:p>
        </w:tc>
        <w:tc>
          <w:tcPr>
            <w:tcW w:w="1326"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51"/>
              <w:jc w:val="right"/>
              <w:rPr>
                <w:rFonts w:ascii="宋体" w:hAnsi="宋体" w:cs="宋体" w:eastAsia="宋体" w:hint="default"/>
                <w:sz w:val="18"/>
                <w:szCs w:val="18"/>
              </w:rPr>
            </w:pPr>
            <w:r>
              <w:rPr>
                <w:rFonts w:ascii="宋体"/>
                <w:spacing w:val="-1"/>
                <w:sz w:val="18"/>
              </w:rPr>
              <w:t>156,377.17</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1"/>
              <w:jc w:val="right"/>
              <w:rPr>
                <w:rFonts w:ascii="宋体" w:hAnsi="宋体" w:cs="宋体" w:eastAsia="宋体" w:hint="default"/>
                <w:sz w:val="18"/>
                <w:szCs w:val="18"/>
              </w:rPr>
            </w:pPr>
            <w:r>
              <w:rPr>
                <w:rFonts w:ascii="宋体"/>
                <w:spacing w:val="-1"/>
                <w:sz w:val="18"/>
              </w:rPr>
              <w:t>612,515,329.86</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1,222,079,034.40</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37,552,980.75</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54,644,998.72</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51"/>
              <w:jc w:val="right"/>
              <w:rPr>
                <w:rFonts w:ascii="宋体" w:hAnsi="宋体" w:cs="宋体" w:eastAsia="宋体" w:hint="default"/>
                <w:sz w:val="18"/>
                <w:szCs w:val="18"/>
              </w:rPr>
            </w:pPr>
            <w:r>
              <w:rPr>
                <w:rFonts w:ascii="宋体"/>
                <w:spacing w:val="-1"/>
                <w:sz w:val="18"/>
              </w:rPr>
              <w:t>1,926,792,343.73</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7"/>
              <w:jc w:val="right"/>
              <w:rPr>
                <w:rFonts w:ascii="宋体" w:hAnsi="宋体" w:cs="宋体" w:eastAsia="宋体" w:hint="default"/>
                <w:sz w:val="18"/>
                <w:szCs w:val="18"/>
              </w:rPr>
            </w:pPr>
            <w:r>
              <w:rPr>
                <w:rFonts w:ascii="宋体"/>
                <w:spacing w:val="-1"/>
                <w:sz w:val="18"/>
              </w:rPr>
              <w:t>192,809,253.77</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9"/>
              <w:jc w:val="right"/>
              <w:rPr>
                <w:rFonts w:ascii="宋体" w:hAnsi="宋体" w:cs="宋体" w:eastAsia="宋体" w:hint="default"/>
                <w:sz w:val="18"/>
                <w:szCs w:val="18"/>
              </w:rPr>
            </w:pPr>
            <w:r>
              <w:rPr>
                <w:rFonts w:ascii="宋体"/>
                <w:spacing w:val="-1"/>
                <w:sz w:val="18"/>
              </w:rPr>
              <w:t>530,086,305.19</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50"/>
              <w:jc w:val="right"/>
              <w:rPr>
                <w:rFonts w:ascii="宋体" w:hAnsi="宋体" w:cs="宋体" w:eastAsia="宋体" w:hint="default"/>
                <w:sz w:val="18"/>
                <w:szCs w:val="18"/>
              </w:rPr>
            </w:pPr>
            <w:r>
              <w:rPr>
                <w:rFonts w:ascii="宋体"/>
                <w:spacing w:val="-1"/>
                <w:sz w:val="18"/>
              </w:rPr>
              <w:t>17,470,207.58</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9"/>
              <w:jc w:val="right"/>
              <w:rPr>
                <w:rFonts w:ascii="宋体" w:hAnsi="宋体" w:cs="宋体" w:eastAsia="宋体" w:hint="default"/>
                <w:sz w:val="18"/>
                <w:szCs w:val="18"/>
              </w:rPr>
            </w:pPr>
            <w:r>
              <w:rPr>
                <w:rFonts w:ascii="宋体"/>
                <w:spacing w:val="-1"/>
                <w:sz w:val="18"/>
              </w:rPr>
              <w:t>31,985,309.96</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51"/>
              <w:jc w:val="right"/>
              <w:rPr>
                <w:rFonts w:ascii="宋体" w:hAnsi="宋体" w:cs="宋体" w:eastAsia="宋体" w:hint="default"/>
                <w:sz w:val="18"/>
                <w:szCs w:val="18"/>
              </w:rPr>
            </w:pPr>
            <w:r>
              <w:rPr>
                <w:rFonts w:ascii="宋体"/>
                <w:spacing w:val="-1"/>
                <w:sz w:val="18"/>
              </w:rPr>
              <w:t>772,351,076.50</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30,093,093.86</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9"/>
              <w:jc w:val="right"/>
              <w:rPr>
                <w:rFonts w:ascii="宋体" w:hAnsi="宋体" w:cs="宋体" w:eastAsia="宋体" w:hint="default"/>
                <w:sz w:val="18"/>
                <w:szCs w:val="18"/>
              </w:rPr>
            </w:pPr>
            <w:r>
              <w:rPr>
                <w:rFonts w:ascii="宋体"/>
                <w:spacing w:val="-1"/>
                <w:sz w:val="18"/>
              </w:rPr>
              <w:t>88,622,686.11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50"/>
              <w:jc w:val="right"/>
              <w:rPr>
                <w:rFonts w:ascii="宋体" w:hAnsi="宋体" w:cs="宋体" w:eastAsia="宋体" w:hint="default"/>
                <w:sz w:val="18"/>
                <w:szCs w:val="18"/>
              </w:rPr>
            </w:pPr>
            <w:r>
              <w:rPr>
                <w:rFonts w:ascii="宋体"/>
                <w:spacing w:val="-1"/>
                <w:sz w:val="18"/>
              </w:rPr>
              <w:t>10,172,511.11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9"/>
              <w:jc w:val="right"/>
              <w:rPr>
                <w:rFonts w:ascii="宋体" w:hAnsi="宋体" w:cs="宋体" w:eastAsia="宋体" w:hint="default"/>
                <w:sz w:val="18"/>
                <w:szCs w:val="18"/>
              </w:rPr>
            </w:pPr>
            <w:r>
              <w:rPr>
                <w:rFonts w:ascii="宋体"/>
                <w:spacing w:val="-1"/>
                <w:sz w:val="18"/>
              </w:rPr>
              <w:t>5,259,741.74</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51"/>
              <w:jc w:val="right"/>
              <w:rPr>
                <w:rFonts w:ascii="宋体" w:hAnsi="宋体" w:cs="宋体" w:eastAsia="宋体" w:hint="default"/>
                <w:sz w:val="18"/>
                <w:szCs w:val="18"/>
              </w:rPr>
            </w:pPr>
            <w:r>
              <w:rPr>
                <w:rFonts w:ascii="宋体"/>
                <w:spacing w:val="-1"/>
                <w:sz w:val="18"/>
              </w:rPr>
              <w:t>134,148,032.82</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(1)计提</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30,093,093.86</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9"/>
              <w:jc w:val="right"/>
              <w:rPr>
                <w:rFonts w:ascii="宋体" w:hAnsi="宋体" w:cs="宋体" w:eastAsia="宋体" w:hint="default"/>
                <w:sz w:val="18"/>
                <w:szCs w:val="18"/>
              </w:rPr>
            </w:pPr>
            <w:r>
              <w:rPr>
                <w:rFonts w:ascii="宋体"/>
                <w:spacing w:val="-1"/>
                <w:sz w:val="18"/>
              </w:rPr>
              <w:t>88,622,686.11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50"/>
              <w:jc w:val="right"/>
              <w:rPr>
                <w:rFonts w:ascii="宋体" w:hAnsi="宋体" w:cs="宋体" w:eastAsia="宋体" w:hint="default"/>
                <w:sz w:val="18"/>
                <w:szCs w:val="18"/>
              </w:rPr>
            </w:pPr>
            <w:r>
              <w:rPr>
                <w:rFonts w:ascii="宋体"/>
                <w:spacing w:val="-1"/>
                <w:sz w:val="18"/>
              </w:rPr>
              <w:t>10,172,511.11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49"/>
              <w:jc w:val="right"/>
              <w:rPr>
                <w:rFonts w:ascii="宋体" w:hAnsi="宋体" w:cs="宋体" w:eastAsia="宋体" w:hint="default"/>
                <w:sz w:val="18"/>
                <w:szCs w:val="18"/>
              </w:rPr>
            </w:pPr>
            <w:r>
              <w:rPr>
                <w:rFonts w:ascii="宋体"/>
                <w:spacing w:val="-1"/>
                <w:sz w:val="18"/>
              </w:rPr>
              <w:t>5,259,741.74</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51"/>
              <w:jc w:val="right"/>
              <w:rPr>
                <w:rFonts w:ascii="宋体" w:hAnsi="宋体" w:cs="宋体" w:eastAsia="宋体" w:hint="default"/>
                <w:sz w:val="18"/>
                <w:szCs w:val="18"/>
              </w:rPr>
            </w:pPr>
            <w:r>
              <w:rPr>
                <w:rFonts w:ascii="宋体"/>
                <w:spacing w:val="-1"/>
                <w:sz w:val="18"/>
              </w:rPr>
              <w:t>134,148,032.82</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13,256,445.65</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2"/>
              <w:jc w:val="right"/>
              <w:rPr>
                <w:rFonts w:ascii="宋体" w:hAnsi="宋体" w:cs="宋体" w:eastAsia="宋体" w:hint="default"/>
                <w:sz w:val="18"/>
                <w:szCs w:val="18"/>
              </w:rPr>
            </w:pPr>
            <w:r>
              <w:rPr>
                <w:rFonts w:ascii="宋体"/>
                <w:spacing w:val="-1"/>
                <w:sz w:val="18"/>
              </w:rPr>
              <w:t>8,539,918.28</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1,507,479.44</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23,303,843.37</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(1)处置或报废</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13,256,445.65</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2"/>
              <w:jc w:val="right"/>
              <w:rPr>
                <w:rFonts w:ascii="宋体" w:hAnsi="宋体" w:cs="宋体" w:eastAsia="宋体" w:hint="default"/>
                <w:sz w:val="18"/>
                <w:szCs w:val="18"/>
              </w:rPr>
            </w:pPr>
            <w:r>
              <w:rPr>
                <w:rFonts w:ascii="宋体"/>
                <w:spacing w:val="-1"/>
                <w:sz w:val="18"/>
              </w:rPr>
              <w:t>8,539,918.28</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1,507,479.44</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23,303,843.37</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1"/>
              <w:jc w:val="right"/>
              <w:rPr>
                <w:rFonts w:ascii="宋体" w:hAnsi="宋体" w:cs="宋体" w:eastAsia="宋体" w:hint="default"/>
                <w:sz w:val="18"/>
                <w:szCs w:val="18"/>
              </w:rPr>
            </w:pPr>
            <w:r>
              <w:rPr>
                <w:rFonts w:ascii="宋体"/>
                <w:spacing w:val="-1"/>
                <w:sz w:val="18"/>
              </w:rPr>
              <w:t>222,902,347.63</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605,452,545.65</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4"/>
              <w:jc w:val="right"/>
              <w:rPr>
                <w:rFonts w:ascii="宋体" w:hAnsi="宋体" w:cs="宋体" w:eastAsia="宋体" w:hint="default"/>
                <w:sz w:val="18"/>
                <w:szCs w:val="18"/>
              </w:rPr>
            </w:pPr>
            <w:r>
              <w:rPr>
                <w:rFonts w:ascii="宋体"/>
                <w:spacing w:val="-1"/>
                <w:sz w:val="18"/>
              </w:rPr>
              <w:t>19,102,800.41</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35,737,572.26</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51"/>
              <w:jc w:val="right"/>
              <w:rPr>
                <w:rFonts w:ascii="宋体" w:hAnsi="宋体" w:cs="宋体" w:eastAsia="宋体" w:hint="default"/>
                <w:sz w:val="18"/>
                <w:szCs w:val="18"/>
              </w:rPr>
            </w:pPr>
            <w:r>
              <w:rPr>
                <w:rFonts w:ascii="宋体"/>
                <w:spacing w:val="-1"/>
                <w:sz w:val="18"/>
              </w:rPr>
              <w:t>883,195,265.95</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1,069,625.95</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2"/>
              <w:jc w:val="right"/>
              <w:rPr>
                <w:rFonts w:ascii="宋体" w:hAnsi="宋体" w:cs="宋体" w:eastAsia="宋体" w:hint="default"/>
                <w:sz w:val="18"/>
                <w:szCs w:val="18"/>
              </w:rPr>
            </w:pPr>
            <w:r>
              <w:rPr>
                <w:rFonts w:ascii="宋体"/>
                <w:spacing w:val="-1"/>
                <w:sz w:val="18"/>
              </w:rPr>
              <w:t>5,654.35</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199,576.13</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1,274,856.43</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2"/>
              <w:jc w:val="right"/>
              <w:rPr>
                <w:rFonts w:ascii="宋体" w:hAnsi="宋体" w:cs="宋体" w:eastAsia="宋体" w:hint="default"/>
                <w:sz w:val="18"/>
                <w:szCs w:val="18"/>
              </w:rPr>
            </w:pPr>
            <w:r>
              <w:rPr>
                <w:rFonts w:ascii="宋体"/>
                <w:spacing w:val="-1"/>
                <w:sz w:val="18"/>
              </w:rPr>
              <w:t>2,546,943.02</w:t>
            </w: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2,546,943.02</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(1)计提</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2"/>
              <w:jc w:val="right"/>
              <w:rPr>
                <w:rFonts w:ascii="宋体" w:hAnsi="宋体" w:cs="宋体" w:eastAsia="宋体" w:hint="default"/>
                <w:sz w:val="18"/>
                <w:szCs w:val="18"/>
              </w:rPr>
            </w:pPr>
            <w:r>
              <w:rPr>
                <w:rFonts w:ascii="宋体"/>
                <w:spacing w:val="-1"/>
                <w:sz w:val="18"/>
              </w:rPr>
              <w:t>2,546,943.02</w:t>
            </w: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2,546,943.02</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67,373.88</w:t>
            </w:r>
          </w:p>
        </w:tc>
        <w:tc>
          <w:tcPr>
            <w:tcW w:w="1326"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67,373.88</w:t>
            </w:r>
          </w:p>
        </w:tc>
      </w:tr>
      <w:tr>
        <w:trPr>
          <w:trHeight w:val="394"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49"/>
              <w:ind w:left="54" w:right="0"/>
              <w:jc w:val="left"/>
              <w:rPr>
                <w:rFonts w:ascii="宋体" w:hAnsi="宋体" w:cs="宋体" w:eastAsia="宋体" w:hint="default"/>
                <w:sz w:val="18"/>
                <w:szCs w:val="18"/>
              </w:rPr>
            </w:pPr>
            <w:r>
              <w:rPr>
                <w:rFonts w:ascii="宋体" w:hAnsi="宋体" w:cs="宋体" w:eastAsia="宋体" w:hint="default"/>
                <w:sz w:val="18"/>
                <w:szCs w:val="18"/>
              </w:rPr>
              <w:t>(1)处置或报废</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49"/>
              <w:ind w:right="73"/>
              <w:jc w:val="right"/>
              <w:rPr>
                <w:rFonts w:ascii="宋体" w:hAnsi="宋体" w:cs="宋体" w:eastAsia="宋体" w:hint="default"/>
                <w:sz w:val="18"/>
                <w:szCs w:val="18"/>
              </w:rPr>
            </w:pPr>
            <w:r>
              <w:rPr>
                <w:rFonts w:ascii="宋体"/>
                <w:spacing w:val="-1"/>
                <w:sz w:val="18"/>
              </w:rPr>
              <w:t>67,373.88</w:t>
            </w:r>
          </w:p>
        </w:tc>
        <w:tc>
          <w:tcPr>
            <w:tcW w:w="1326"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49"/>
              <w:ind w:right="75"/>
              <w:jc w:val="right"/>
              <w:rPr>
                <w:rFonts w:ascii="宋体" w:hAnsi="宋体" w:cs="宋体" w:eastAsia="宋体" w:hint="default"/>
                <w:sz w:val="18"/>
                <w:szCs w:val="18"/>
              </w:rPr>
            </w:pPr>
            <w:r>
              <w:rPr>
                <w:rFonts w:ascii="宋体"/>
                <w:spacing w:val="-1"/>
                <w:sz w:val="18"/>
              </w:rPr>
              <w:t>67,373.88</w:t>
            </w:r>
          </w:p>
        </w:tc>
      </w:tr>
    </w:tbl>
    <w:p>
      <w:pPr>
        <w:spacing w:after="0" w:line="240" w:lineRule="auto"/>
        <w:jc w:val="right"/>
        <w:rPr>
          <w:rFonts w:ascii="宋体" w:hAnsi="宋体" w:cs="宋体" w:eastAsia="宋体" w:hint="default"/>
          <w:sz w:val="18"/>
          <w:szCs w:val="18"/>
        </w:rPr>
        <w:sectPr>
          <w:headerReference w:type="default" r:id="rId51"/>
          <w:footerReference w:type="default" r:id="rId52"/>
          <w:pgSz w:w="11910" w:h="16840"/>
          <w:pgMar w:header="939" w:footer="883" w:top="1940" w:bottom="1080" w:left="1380" w:right="0"/>
          <w:pgNumType w:start="127"/>
        </w:sectPr>
      </w:pPr>
    </w:p>
    <w:p>
      <w:pPr>
        <w:spacing w:line="240" w:lineRule="auto" w:before="12"/>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1384"/>
        <w:gridCol w:w="1505"/>
        <w:gridCol w:w="1648"/>
        <w:gridCol w:w="1326"/>
        <w:gridCol w:w="1326"/>
        <w:gridCol w:w="1708"/>
      </w:tblGrid>
      <w:tr>
        <w:trPr>
          <w:trHeight w:val="409" w:hRule="exact"/>
        </w:trPr>
        <w:tc>
          <w:tcPr>
            <w:tcW w:w="138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1"/>
              <w:ind w:left="54"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0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b/>
                <w:bCs/>
                <w:sz w:val="18"/>
                <w:szCs w:val="18"/>
              </w:rPr>
              <w:t>房屋建筑物</w:t>
            </w:r>
            <w:r>
              <w:rPr>
                <w:rFonts w:ascii="宋体" w:hAnsi="宋体" w:cs="宋体" w:eastAsia="宋体" w:hint="default"/>
                <w:sz w:val="18"/>
                <w:szCs w:val="18"/>
              </w:rPr>
            </w:r>
          </w:p>
        </w:tc>
        <w:tc>
          <w:tcPr>
            <w:tcW w:w="164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b/>
                <w:bCs/>
                <w:sz w:val="18"/>
                <w:szCs w:val="18"/>
              </w:rPr>
              <w:t>机器设备</w:t>
            </w:r>
            <w:r>
              <w:rPr>
                <w:rFonts w:ascii="宋体" w:hAnsi="宋体" w:cs="宋体" w:eastAsia="宋体" w:hint="default"/>
                <w:sz w:val="18"/>
                <w:szCs w:val="18"/>
              </w:rPr>
            </w:r>
          </w:p>
        </w:tc>
        <w:tc>
          <w:tcPr>
            <w:tcW w:w="132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b/>
                <w:bCs/>
                <w:sz w:val="18"/>
                <w:szCs w:val="18"/>
              </w:rPr>
              <w:t>运输设备</w:t>
            </w:r>
            <w:r>
              <w:rPr>
                <w:rFonts w:ascii="宋体" w:hAnsi="宋体" w:cs="宋体" w:eastAsia="宋体" w:hint="default"/>
                <w:sz w:val="18"/>
                <w:szCs w:val="18"/>
              </w:rPr>
            </w:r>
          </w:p>
        </w:tc>
        <w:tc>
          <w:tcPr>
            <w:tcW w:w="132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1"/>
              <w:ind w:left="301" w:right="0"/>
              <w:jc w:val="left"/>
              <w:rPr>
                <w:rFonts w:ascii="宋体" w:hAnsi="宋体" w:cs="宋体" w:eastAsia="宋体" w:hint="default"/>
                <w:sz w:val="18"/>
                <w:szCs w:val="18"/>
              </w:rPr>
            </w:pPr>
            <w:r>
              <w:rPr>
                <w:rFonts w:ascii="宋体" w:hAnsi="宋体" w:cs="宋体" w:eastAsia="宋体" w:hint="default"/>
                <w:b/>
                <w:bCs/>
                <w:sz w:val="18"/>
                <w:szCs w:val="18"/>
              </w:rPr>
              <w:t>办公设备</w:t>
            </w:r>
            <w:r>
              <w:rPr>
                <w:rFonts w:ascii="宋体" w:hAnsi="宋体" w:cs="宋体" w:eastAsia="宋体" w:hint="default"/>
                <w:sz w:val="18"/>
                <w:szCs w:val="18"/>
              </w:rPr>
            </w:r>
          </w:p>
        </w:tc>
        <w:tc>
          <w:tcPr>
            <w:tcW w:w="17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left="54"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102"/>
              <w:jc w:val="right"/>
              <w:rPr>
                <w:rFonts w:ascii="宋体" w:hAnsi="宋体" w:cs="宋体" w:eastAsia="宋体" w:hint="default"/>
                <w:sz w:val="18"/>
                <w:szCs w:val="18"/>
              </w:rPr>
            </w:pPr>
            <w:r>
              <w:rPr>
                <w:rFonts w:ascii="宋体"/>
                <w:spacing w:val="-1"/>
                <w:sz w:val="18"/>
              </w:rPr>
              <w:t>1,002,252.07</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29" w:right="0"/>
              <w:jc w:val="center"/>
              <w:rPr>
                <w:rFonts w:ascii="宋体" w:hAnsi="宋体" w:cs="宋体" w:eastAsia="宋体" w:hint="default"/>
                <w:sz w:val="18"/>
                <w:szCs w:val="18"/>
              </w:rPr>
            </w:pPr>
            <w:r>
              <w:rPr>
                <w:rFonts w:ascii="宋体"/>
                <w:sz w:val="18"/>
              </w:rPr>
              <w:t>2,552,597.37</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102"/>
              <w:jc w:val="right"/>
              <w:rPr>
                <w:rFonts w:ascii="宋体" w:hAnsi="宋体" w:cs="宋体" w:eastAsia="宋体" w:hint="default"/>
                <w:sz w:val="18"/>
                <w:szCs w:val="18"/>
              </w:rPr>
            </w:pPr>
            <w:r>
              <w:rPr>
                <w:rFonts w:ascii="宋体"/>
                <w:spacing w:val="-1"/>
                <w:sz w:val="18"/>
              </w:rPr>
              <w:t>199,576.13</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0"/>
              <w:ind w:right="75"/>
              <w:jc w:val="right"/>
              <w:rPr>
                <w:rFonts w:ascii="宋体" w:hAnsi="宋体" w:cs="宋体" w:eastAsia="宋体" w:hint="default"/>
                <w:sz w:val="18"/>
                <w:szCs w:val="18"/>
              </w:rPr>
            </w:pPr>
            <w:r>
              <w:rPr>
                <w:rFonts w:ascii="宋体"/>
                <w:spacing w:val="-1"/>
                <w:sz w:val="18"/>
              </w:rPr>
              <w:t>3,754,425.57</w:t>
            </w: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left="5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05" w:type="dxa"/>
            <w:tcBorders>
              <w:top w:val="single" w:sz="2" w:space="0" w:color="000000"/>
              <w:left w:val="single" w:sz="2" w:space="0" w:color="000000"/>
              <w:bottom w:val="single" w:sz="2" w:space="0" w:color="000000"/>
              <w:right w:val="single" w:sz="2" w:space="0" w:color="000000"/>
            </w:tcBorders>
          </w:tcPr>
          <w:p>
            <w:pPr/>
          </w:p>
        </w:tc>
        <w:tc>
          <w:tcPr>
            <w:tcW w:w="1648"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08" w:type="dxa"/>
            <w:tcBorders>
              <w:top w:val="single" w:sz="2" w:space="0" w:color="000000"/>
              <w:left w:val="single" w:sz="2" w:space="0" w:color="000000"/>
              <w:bottom w:val="single" w:sz="2" w:space="0" w:color="000000"/>
              <w:right w:val="nil" w:sz="6" w:space="0" w:color="auto"/>
            </w:tcBorders>
          </w:tcPr>
          <w:p>
            <w:pPr/>
          </w:p>
        </w:tc>
      </w:tr>
      <w:tr>
        <w:trPr>
          <w:trHeight w:val="396" w:hRule="exact"/>
        </w:trPr>
        <w:tc>
          <w:tcPr>
            <w:tcW w:w="13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left="54" w:right="0"/>
              <w:jc w:val="left"/>
              <w:rPr>
                <w:rFonts w:ascii="宋体" w:hAnsi="宋体" w:cs="宋体" w:eastAsia="宋体" w:hint="default"/>
                <w:sz w:val="18"/>
                <w:szCs w:val="18"/>
              </w:rPr>
            </w:pPr>
            <w:r>
              <w:rPr>
                <w:rFonts w:ascii="宋体" w:hAnsi="宋体" w:cs="宋体" w:eastAsia="宋体" w:hint="default"/>
                <w:sz w:val="18"/>
                <w:szCs w:val="18"/>
              </w:rPr>
              <w:t>1.年末账面价值</w:t>
            </w:r>
          </w:p>
        </w:tc>
        <w:tc>
          <w:tcPr>
            <w:tcW w:w="150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91" w:right="0"/>
              <w:jc w:val="center"/>
              <w:rPr>
                <w:rFonts w:ascii="宋体" w:hAnsi="宋体" w:cs="宋体" w:eastAsia="宋体" w:hint="default"/>
                <w:sz w:val="18"/>
                <w:szCs w:val="18"/>
              </w:rPr>
            </w:pPr>
            <w:r>
              <w:rPr>
                <w:rFonts w:ascii="宋体"/>
                <w:sz w:val="18"/>
              </w:rPr>
              <w:t>389,612,982.23</w:t>
            </w:r>
          </w:p>
        </w:tc>
        <w:tc>
          <w:tcPr>
            <w:tcW w:w="16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73"/>
              <w:jc w:val="right"/>
              <w:rPr>
                <w:rFonts w:ascii="宋体" w:hAnsi="宋体" w:cs="宋体" w:eastAsia="宋体" w:hint="default"/>
                <w:sz w:val="18"/>
                <w:szCs w:val="18"/>
              </w:rPr>
            </w:pPr>
            <w:r>
              <w:rPr>
                <w:rFonts w:ascii="宋体"/>
                <w:spacing w:val="-1"/>
                <w:sz w:val="18"/>
              </w:rPr>
              <w:t>615,624,236.68</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sz w:val="18"/>
              </w:rPr>
              <w:t>15,897,582.97</w:t>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73"/>
              <w:jc w:val="right"/>
              <w:rPr>
                <w:rFonts w:ascii="宋体" w:hAnsi="宋体" w:cs="宋体" w:eastAsia="宋体" w:hint="default"/>
                <w:sz w:val="18"/>
                <w:szCs w:val="18"/>
              </w:rPr>
            </w:pPr>
            <w:r>
              <w:rPr>
                <w:rFonts w:ascii="宋体"/>
                <w:spacing w:val="-1"/>
                <w:sz w:val="18"/>
              </w:rPr>
              <w:t>18,707,850.33</w:t>
            </w:r>
          </w:p>
        </w:tc>
        <w:tc>
          <w:tcPr>
            <w:tcW w:w="1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0"/>
              <w:ind w:right="75"/>
              <w:jc w:val="right"/>
              <w:rPr>
                <w:rFonts w:ascii="宋体" w:hAnsi="宋体" w:cs="宋体" w:eastAsia="宋体" w:hint="default"/>
                <w:sz w:val="18"/>
                <w:szCs w:val="18"/>
              </w:rPr>
            </w:pPr>
            <w:r>
              <w:rPr>
                <w:rFonts w:ascii="宋体"/>
                <w:spacing w:val="-1"/>
                <w:sz w:val="18"/>
              </w:rPr>
              <w:t>1,039,842,652.21</w:t>
            </w:r>
          </w:p>
        </w:tc>
      </w:tr>
      <w:tr>
        <w:trPr>
          <w:trHeight w:val="408" w:hRule="exact"/>
        </w:trPr>
        <w:tc>
          <w:tcPr>
            <w:tcW w:w="138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0"/>
              <w:ind w:left="54" w:right="0"/>
              <w:jc w:val="left"/>
              <w:rPr>
                <w:rFonts w:ascii="宋体" w:hAnsi="宋体" w:cs="宋体" w:eastAsia="宋体" w:hint="default"/>
                <w:sz w:val="18"/>
                <w:szCs w:val="18"/>
              </w:rPr>
            </w:pPr>
            <w:r>
              <w:rPr>
                <w:rFonts w:ascii="宋体" w:hAnsi="宋体" w:cs="宋体" w:eastAsia="宋体" w:hint="default"/>
                <w:sz w:val="18"/>
                <w:szCs w:val="18"/>
              </w:rPr>
              <w:t>2.年初账面价值</w:t>
            </w:r>
          </w:p>
        </w:tc>
        <w:tc>
          <w:tcPr>
            <w:tcW w:w="150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left="91" w:right="0"/>
              <w:jc w:val="center"/>
              <w:rPr>
                <w:rFonts w:ascii="宋体" w:hAnsi="宋体" w:cs="宋体" w:eastAsia="宋体" w:hint="default"/>
                <w:sz w:val="18"/>
                <w:szCs w:val="18"/>
              </w:rPr>
            </w:pPr>
            <w:r>
              <w:rPr>
                <w:rFonts w:ascii="宋体"/>
                <w:sz w:val="18"/>
              </w:rPr>
              <w:t>358,612,617.44</w:t>
            </w:r>
          </w:p>
        </w:tc>
        <w:tc>
          <w:tcPr>
            <w:tcW w:w="164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73"/>
              <w:jc w:val="right"/>
              <w:rPr>
                <w:rFonts w:ascii="宋体" w:hAnsi="宋体" w:cs="宋体" w:eastAsia="宋体" w:hint="default"/>
                <w:sz w:val="18"/>
                <w:szCs w:val="18"/>
              </w:rPr>
            </w:pPr>
            <w:r>
              <w:rPr>
                <w:rFonts w:ascii="宋体"/>
                <w:spacing w:val="-1"/>
                <w:sz w:val="18"/>
              </w:rPr>
              <w:t>533,865,418.16</w:t>
            </w:r>
          </w:p>
        </w:tc>
        <w:tc>
          <w:tcPr>
            <w:tcW w:w="132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sz w:val="18"/>
              </w:rPr>
              <w:t>43,742,048.97</w:t>
            </w:r>
          </w:p>
        </w:tc>
        <w:tc>
          <w:tcPr>
            <w:tcW w:w="132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73"/>
              <w:jc w:val="right"/>
              <w:rPr>
                <w:rFonts w:ascii="宋体" w:hAnsi="宋体" w:cs="宋体" w:eastAsia="宋体" w:hint="default"/>
                <w:sz w:val="18"/>
                <w:szCs w:val="18"/>
              </w:rPr>
            </w:pPr>
            <w:r>
              <w:rPr>
                <w:rFonts w:ascii="宋体"/>
                <w:spacing w:val="-1"/>
                <w:sz w:val="18"/>
              </w:rPr>
              <w:t>17,177,857.53</w:t>
            </w:r>
          </w:p>
        </w:tc>
        <w:tc>
          <w:tcPr>
            <w:tcW w:w="170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0"/>
              <w:ind w:right="75"/>
              <w:jc w:val="right"/>
              <w:rPr>
                <w:rFonts w:ascii="宋体" w:hAnsi="宋体" w:cs="宋体" w:eastAsia="宋体" w:hint="default"/>
                <w:sz w:val="18"/>
                <w:szCs w:val="18"/>
              </w:rPr>
            </w:pPr>
            <w:r>
              <w:rPr>
                <w:rFonts w:ascii="宋体"/>
                <w:spacing w:val="-1"/>
                <w:sz w:val="18"/>
              </w:rPr>
              <w:t>953,397,942.10</w:t>
            </w:r>
          </w:p>
        </w:tc>
      </w:tr>
    </w:tbl>
    <w:p>
      <w:pPr>
        <w:spacing w:line="240" w:lineRule="auto" w:before="10"/>
        <w:rPr>
          <w:rFonts w:ascii="宋体" w:hAnsi="宋体" w:cs="宋体" w:eastAsia="宋体" w:hint="default"/>
          <w:sz w:val="11"/>
          <w:szCs w:val="11"/>
        </w:rPr>
      </w:pPr>
    </w:p>
    <w:p>
      <w:pPr>
        <w:spacing w:line="367" w:lineRule="auto" w:before="44"/>
        <w:ind w:left="321" w:right="508" w:firstLine="360"/>
        <w:jc w:val="left"/>
        <w:rPr>
          <w:rFonts w:ascii="宋体" w:hAnsi="宋体" w:cs="宋体" w:eastAsia="宋体" w:hint="default"/>
          <w:sz w:val="18"/>
          <w:szCs w:val="18"/>
        </w:rPr>
      </w:pPr>
      <w:r>
        <w:rPr>
          <w:rFonts w:ascii="宋体" w:hAnsi="宋体" w:cs="宋体" w:eastAsia="宋体" w:hint="default"/>
          <w:sz w:val="18"/>
          <w:szCs w:val="18"/>
        </w:rPr>
        <w:t>注：已设定抵押的固定资产明细详见本附注“八、20.短期借款”及“八、54.所有权或使用权受到限制 的资产”所述。</w:t>
      </w:r>
    </w:p>
    <w:p>
      <w:pPr>
        <w:pStyle w:val="BodyText"/>
        <w:spacing w:line="240" w:lineRule="auto" w:before="102"/>
        <w:ind w:left="746" w:right="508"/>
        <w:jc w:val="left"/>
      </w:pPr>
      <w:bookmarkStart w:name="（2）未办妥产权证书的固定资产" w:id="270"/>
      <w:bookmarkEnd w:id="270"/>
      <w:r>
        <w:rPr/>
      </w:r>
      <w:r>
        <w:rPr/>
        <w:t>（2）未办妥产权证书的固定资产</w:t>
      </w:r>
    </w:p>
    <w:p>
      <w:pPr>
        <w:spacing w:line="240" w:lineRule="auto" w:before="4"/>
        <w:rPr>
          <w:rFonts w:ascii="宋体" w:hAnsi="宋体" w:cs="宋体" w:eastAsia="宋体" w:hint="default"/>
          <w:sz w:val="12"/>
          <w:szCs w:val="12"/>
        </w:rPr>
      </w:pPr>
    </w:p>
    <w:tbl>
      <w:tblPr>
        <w:tblW w:w="0" w:type="auto"/>
        <w:jc w:val="left"/>
        <w:tblInd w:w="198" w:type="dxa"/>
        <w:tblLayout w:type="fixed"/>
        <w:tblCellMar>
          <w:top w:w="0" w:type="dxa"/>
          <w:left w:w="0" w:type="dxa"/>
          <w:bottom w:w="0" w:type="dxa"/>
          <w:right w:w="0" w:type="dxa"/>
        </w:tblCellMar>
        <w:tblLook w:val="01E0"/>
      </w:tblPr>
      <w:tblGrid>
        <w:gridCol w:w="1809"/>
        <w:gridCol w:w="1842"/>
        <w:gridCol w:w="5072"/>
      </w:tblGrid>
      <w:tr>
        <w:trPr>
          <w:trHeight w:val="415" w:hRule="exact"/>
        </w:trPr>
        <w:tc>
          <w:tcPr>
            <w:tcW w:w="180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58"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507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未办妥产权证书原因</w:t>
            </w:r>
            <w:r>
              <w:rPr>
                <w:rFonts w:ascii="宋体" w:hAnsi="宋体" w:cs="宋体" w:eastAsia="宋体" w:hint="default"/>
                <w:sz w:val="18"/>
                <w:szCs w:val="18"/>
              </w:rPr>
            </w:r>
          </w:p>
        </w:tc>
      </w:tr>
      <w:tr>
        <w:trPr>
          <w:trHeight w:val="414" w:hRule="exact"/>
        </w:trPr>
        <w:tc>
          <w:tcPr>
            <w:tcW w:w="180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84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560" w:right="0"/>
              <w:jc w:val="left"/>
              <w:rPr>
                <w:rFonts w:ascii="宋体" w:hAnsi="宋体" w:cs="宋体" w:eastAsia="宋体" w:hint="default"/>
                <w:sz w:val="18"/>
                <w:szCs w:val="18"/>
              </w:rPr>
            </w:pPr>
            <w:r>
              <w:rPr>
                <w:rFonts w:ascii="宋体"/>
                <w:sz w:val="18"/>
              </w:rPr>
              <w:t>21,205,990.62</w:t>
            </w:r>
          </w:p>
        </w:tc>
        <w:tc>
          <w:tcPr>
            <w:tcW w:w="507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附属楼转固，拟于主楼峻工后一并办理产权证书</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pStyle w:val="BodyText"/>
        <w:spacing w:line="240" w:lineRule="auto"/>
        <w:ind w:left="724" w:right="508"/>
        <w:jc w:val="left"/>
      </w:pPr>
      <w:r>
        <w:rPr/>
        <w:t>14.</w:t>
      </w:r>
      <w:r>
        <w:rPr>
          <w:spacing w:val="-48"/>
        </w:rPr>
        <w:t> </w:t>
      </w:r>
      <w:bookmarkStart w:name="14.在建工程" w:id="271"/>
      <w:bookmarkEnd w:id="271"/>
      <w:r>
        <w:rPr/>
        <w:t>在</w:t>
      </w:r>
      <w:r>
        <w:rPr/>
        <w:t>建工程</w:t>
      </w:r>
    </w:p>
    <w:p>
      <w:pPr>
        <w:spacing w:line="240" w:lineRule="auto" w:before="4"/>
        <w:rPr>
          <w:rFonts w:ascii="宋体" w:hAnsi="宋体" w:cs="宋体" w:eastAsia="宋体" w:hint="default"/>
          <w:sz w:val="12"/>
          <w:szCs w:val="12"/>
        </w:rPr>
      </w:pPr>
    </w:p>
    <w:tbl>
      <w:tblPr>
        <w:tblW w:w="0" w:type="auto"/>
        <w:jc w:val="left"/>
        <w:tblInd w:w="198" w:type="dxa"/>
        <w:tblLayout w:type="fixed"/>
        <w:tblCellMar>
          <w:top w:w="0" w:type="dxa"/>
          <w:left w:w="0" w:type="dxa"/>
          <w:bottom w:w="0" w:type="dxa"/>
          <w:right w:w="0" w:type="dxa"/>
        </w:tblCellMar>
        <w:tblLook w:val="01E0"/>
      </w:tblPr>
      <w:tblGrid>
        <w:gridCol w:w="3086"/>
        <w:gridCol w:w="2818"/>
        <w:gridCol w:w="2819"/>
      </w:tblGrid>
      <w:tr>
        <w:trPr>
          <w:trHeight w:val="417" w:hRule="exact"/>
        </w:trPr>
        <w:tc>
          <w:tcPr>
            <w:tcW w:w="308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865" w:right="0"/>
              <w:jc w:val="left"/>
              <w:rPr>
                <w:rFonts w:ascii="宋体" w:hAnsi="宋体" w:cs="宋体" w:eastAsia="宋体" w:hint="default"/>
                <w:sz w:val="18"/>
                <w:szCs w:val="18"/>
              </w:rPr>
            </w:pPr>
            <w:r>
              <w:rPr>
                <w:rFonts w:ascii="宋体" w:hAnsi="宋体" w:cs="宋体" w:eastAsia="宋体" w:hint="default"/>
                <w:b/>
                <w:bCs/>
                <w:sz w:val="18"/>
                <w:szCs w:val="18"/>
              </w:rPr>
              <w:t>年末账面价值</w:t>
            </w:r>
            <w:r>
              <w:rPr>
                <w:rFonts w:ascii="宋体" w:hAnsi="宋体" w:cs="宋体" w:eastAsia="宋体" w:hint="default"/>
                <w:sz w:val="18"/>
                <w:szCs w:val="18"/>
              </w:rPr>
            </w:r>
          </w:p>
        </w:tc>
        <w:tc>
          <w:tcPr>
            <w:tcW w:w="281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left="864" w:right="0"/>
              <w:jc w:val="left"/>
              <w:rPr>
                <w:rFonts w:ascii="宋体" w:hAnsi="宋体" w:cs="宋体" w:eastAsia="宋体" w:hint="default"/>
                <w:sz w:val="18"/>
                <w:szCs w:val="18"/>
              </w:rPr>
            </w:pPr>
            <w:r>
              <w:rPr>
                <w:rFonts w:ascii="宋体" w:hAnsi="宋体" w:cs="宋体" w:eastAsia="宋体" w:hint="default"/>
                <w:b/>
                <w:bCs/>
                <w:sz w:val="18"/>
                <w:szCs w:val="18"/>
              </w:rPr>
              <w:t>年初账面价值</w:t>
            </w:r>
            <w:r>
              <w:rPr>
                <w:rFonts w:ascii="宋体" w:hAnsi="宋体" w:cs="宋体" w:eastAsia="宋体" w:hint="default"/>
                <w:sz w:val="18"/>
                <w:szCs w:val="18"/>
              </w:rPr>
            </w:r>
          </w:p>
        </w:tc>
      </w:tr>
      <w:tr>
        <w:trPr>
          <w:trHeight w:val="407" w:hRule="exact"/>
        </w:trPr>
        <w:tc>
          <w:tcPr>
            <w:tcW w:w="30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宋体" w:hAnsi="宋体" w:cs="宋体" w:eastAsia="宋体" w:hint="default"/>
                <w:sz w:val="18"/>
                <w:szCs w:val="18"/>
              </w:rPr>
            </w:pPr>
            <w:r>
              <w:rPr>
                <w:rFonts w:ascii="宋体"/>
                <w:spacing w:val="-1"/>
                <w:sz w:val="18"/>
              </w:rPr>
              <w:t>129,087,757.02</w:t>
            </w:r>
          </w:p>
        </w:tc>
        <w:tc>
          <w:tcPr>
            <w:tcW w:w="28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88,500,765.51</w:t>
            </w:r>
          </w:p>
        </w:tc>
      </w:tr>
      <w:tr>
        <w:trPr>
          <w:trHeight w:val="407" w:hRule="exact"/>
        </w:trPr>
        <w:tc>
          <w:tcPr>
            <w:tcW w:w="30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39,819,597.20</w:t>
            </w:r>
          </w:p>
        </w:tc>
        <w:tc>
          <w:tcPr>
            <w:tcW w:w="28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66,690,920.12</w:t>
            </w:r>
          </w:p>
        </w:tc>
      </w:tr>
      <w:tr>
        <w:trPr>
          <w:trHeight w:val="417" w:hRule="exact"/>
        </w:trPr>
        <w:tc>
          <w:tcPr>
            <w:tcW w:w="308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87"/>
              <w:jc w:val="right"/>
              <w:rPr>
                <w:rFonts w:ascii="宋体" w:hAnsi="宋体" w:cs="宋体" w:eastAsia="宋体" w:hint="default"/>
                <w:sz w:val="18"/>
                <w:szCs w:val="18"/>
              </w:rPr>
            </w:pPr>
            <w:r>
              <w:rPr>
                <w:rFonts w:ascii="宋体"/>
                <w:b/>
                <w:sz w:val="18"/>
              </w:rPr>
              <w:t>168,907,354.22</w:t>
            </w:r>
            <w:r>
              <w:rPr>
                <w:rFonts w:ascii="宋体"/>
                <w:sz w:val="18"/>
              </w:rPr>
            </w:r>
          </w:p>
        </w:tc>
        <w:tc>
          <w:tcPr>
            <w:tcW w:w="281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155,191,685.63</w:t>
            </w:r>
            <w:r>
              <w:rPr>
                <w:rFonts w:ascii="宋体"/>
                <w:sz w:val="18"/>
              </w:rPr>
            </w:r>
          </w:p>
        </w:tc>
      </w:tr>
    </w:tbl>
    <w:p>
      <w:pPr>
        <w:spacing w:line="240" w:lineRule="auto" w:before="4"/>
        <w:rPr>
          <w:rFonts w:ascii="宋体" w:hAnsi="宋体" w:cs="宋体" w:eastAsia="宋体" w:hint="default"/>
          <w:sz w:val="13"/>
          <w:szCs w:val="13"/>
        </w:rPr>
      </w:pPr>
    </w:p>
    <w:p>
      <w:pPr>
        <w:pStyle w:val="BodyText"/>
        <w:spacing w:line="240" w:lineRule="auto"/>
        <w:ind w:left="724" w:right="508"/>
        <w:jc w:val="left"/>
      </w:pPr>
      <w:bookmarkStart w:name="14.1在建工程" w:id="272"/>
      <w:bookmarkEnd w:id="272"/>
      <w:r>
        <w:rPr/>
      </w:r>
      <w:r>
        <w:rPr/>
        <w:t>14.1</w:t>
      </w:r>
      <w:r>
        <w:rPr>
          <w:spacing w:val="-60"/>
        </w:rPr>
        <w:t> </w:t>
      </w:r>
      <w:r>
        <w:rPr/>
        <w:t>在建工程</w:t>
      </w:r>
    </w:p>
    <w:p>
      <w:pPr>
        <w:spacing w:line="240" w:lineRule="auto" w:before="10"/>
        <w:rPr>
          <w:rFonts w:ascii="宋体" w:hAnsi="宋体" w:cs="宋体" w:eastAsia="宋体" w:hint="default"/>
          <w:sz w:val="24"/>
          <w:szCs w:val="24"/>
        </w:rPr>
      </w:pPr>
    </w:p>
    <w:p>
      <w:pPr>
        <w:pStyle w:val="BodyText"/>
        <w:spacing w:line="240" w:lineRule="auto" w:before="0"/>
        <w:ind w:left="746" w:right="508"/>
        <w:jc w:val="left"/>
      </w:pPr>
      <w:r>
        <w:rPr/>
        <w:t>（</w:t>
      </w:r>
      <w:r>
        <w:rPr>
          <w:rFonts w:ascii="Times New Roman" w:hAnsi="Times New Roman" w:cs="Times New Roman" w:eastAsia="Times New Roman" w:hint="default"/>
        </w:rPr>
        <w:t>1</w:t>
      </w:r>
      <w:r>
        <w:rPr/>
        <w:t>）</w:t>
      </w:r>
      <w:r>
        <w:rPr>
          <w:spacing w:val="9"/>
        </w:rPr>
        <w:t> </w:t>
      </w:r>
      <w:bookmarkStart w:name="（1）在建工程明细表" w:id="273"/>
      <w:bookmarkEnd w:id="273"/>
      <w:r>
        <w:rPr/>
        <w:t>在</w:t>
      </w:r>
      <w:r>
        <w:rPr/>
        <w:t>建工程明细表</w:t>
      </w:r>
    </w:p>
    <w:p>
      <w:pPr>
        <w:spacing w:line="240" w:lineRule="auto" w:before="2"/>
        <w:rPr>
          <w:rFonts w:ascii="宋体" w:hAnsi="宋体" w:cs="宋体" w:eastAsia="宋体" w:hint="default"/>
          <w:sz w:val="11"/>
          <w:szCs w:val="11"/>
        </w:rPr>
      </w:pPr>
    </w:p>
    <w:tbl>
      <w:tblPr>
        <w:tblW w:w="0" w:type="auto"/>
        <w:jc w:val="left"/>
        <w:tblInd w:w="102" w:type="dxa"/>
        <w:tblLayout w:type="fixed"/>
        <w:tblCellMar>
          <w:top w:w="0" w:type="dxa"/>
          <w:left w:w="0" w:type="dxa"/>
          <w:bottom w:w="0" w:type="dxa"/>
          <w:right w:w="0" w:type="dxa"/>
        </w:tblCellMar>
        <w:tblLook w:val="01E0"/>
      </w:tblPr>
      <w:tblGrid>
        <w:gridCol w:w="2111"/>
        <w:gridCol w:w="1418"/>
        <w:gridCol w:w="567"/>
        <w:gridCol w:w="1417"/>
        <w:gridCol w:w="1418"/>
        <w:gridCol w:w="567"/>
        <w:gridCol w:w="1417"/>
      </w:tblGrid>
      <w:tr>
        <w:trPr>
          <w:trHeight w:val="417" w:hRule="exact"/>
        </w:trPr>
        <w:tc>
          <w:tcPr>
            <w:tcW w:w="2111" w:type="dxa"/>
            <w:vMerge w:val="restart"/>
            <w:tcBorders>
              <w:top w:val="single" w:sz="12" w:space="0" w:color="000000"/>
              <w:left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53" w:right="0"/>
              <w:jc w:val="left"/>
              <w:rPr>
                <w:rFonts w:ascii="宋体" w:hAnsi="宋体" w:cs="宋体" w:eastAsia="宋体" w:hint="default"/>
                <w:sz w:val="18"/>
                <w:szCs w:val="18"/>
              </w:rPr>
            </w:pPr>
            <w:bookmarkStart w:name="项目" w:id="274"/>
            <w:bookmarkEnd w:id="274"/>
            <w:r>
              <w:rPr/>
            </w:r>
            <w:r>
              <w:rPr>
                <w:rFonts w:ascii="宋体" w:hAnsi="宋体" w:cs="宋体" w:eastAsia="宋体" w:hint="default"/>
                <w:b/>
                <w:bCs/>
                <w:sz w:val="18"/>
                <w:szCs w:val="18"/>
              </w:rPr>
              <w:t>项目</w:t>
            </w:r>
            <w:r>
              <w:rPr>
                <w:rFonts w:ascii="宋体" w:hAnsi="宋体" w:cs="宋体" w:eastAsia="宋体" w:hint="default"/>
                <w:sz w:val="18"/>
                <w:szCs w:val="18"/>
              </w:rPr>
            </w:r>
          </w:p>
        </w:tc>
        <w:tc>
          <w:tcPr>
            <w:tcW w:w="3402"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bookmarkStart w:name="年末金额" w:id="275"/>
            <w:bookmarkEnd w:id="275"/>
            <w:r>
              <w:rPr/>
            </w:r>
            <w:r>
              <w:rPr>
                <w:rFonts w:ascii="宋体" w:hAnsi="宋体" w:cs="宋体" w:eastAsia="宋体" w:hint="default"/>
                <w:b/>
                <w:bCs/>
                <w:sz w:val="18"/>
                <w:szCs w:val="18"/>
              </w:rPr>
              <w:t>年末金额</w:t>
            </w:r>
            <w:r>
              <w:rPr>
                <w:rFonts w:ascii="宋体" w:hAnsi="宋体" w:cs="宋体" w:eastAsia="宋体" w:hint="default"/>
                <w:sz w:val="18"/>
                <w:szCs w:val="18"/>
              </w:rPr>
            </w:r>
          </w:p>
        </w:tc>
        <w:tc>
          <w:tcPr>
            <w:tcW w:w="3402"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bookmarkStart w:name="年初金额" w:id="276"/>
            <w:bookmarkEnd w:id="276"/>
            <w:r>
              <w:rPr/>
            </w: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557" w:hRule="exact"/>
        </w:trPr>
        <w:tc>
          <w:tcPr>
            <w:tcW w:w="2111" w:type="dxa"/>
            <w:vMerge/>
            <w:tcBorders>
              <w:left w:val="nil" w:sz="6" w:space="0" w:color="auto"/>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44"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6"/>
              <w:ind w:left="97" w:right="97"/>
              <w:jc w:val="left"/>
              <w:rPr>
                <w:rFonts w:ascii="宋体" w:hAnsi="宋体" w:cs="宋体" w:eastAsia="宋体" w:hint="default"/>
                <w:sz w:val="18"/>
                <w:szCs w:val="18"/>
              </w:rPr>
            </w:pPr>
            <w:r>
              <w:rPr>
                <w:rFonts w:ascii="宋体" w:hAnsi="宋体" w:cs="宋体" w:eastAsia="宋体" w:hint="default"/>
                <w:b/>
                <w:bCs/>
                <w:sz w:val="18"/>
                <w:szCs w:val="18"/>
              </w:rPr>
              <w:t>减值</w:t>
            </w:r>
            <w:r>
              <w:rPr>
                <w:rFonts w:ascii="宋体" w:hAnsi="宋体" w:cs="宋体" w:eastAsia="宋体" w:hint="default"/>
                <w:b/>
                <w:bCs/>
                <w:w w:val="99"/>
                <w:sz w:val="18"/>
                <w:szCs w:val="18"/>
              </w:rPr>
              <w:t> </w:t>
            </w:r>
            <w:r>
              <w:rPr>
                <w:rFonts w:ascii="宋体" w:hAnsi="宋体" w:cs="宋体" w:eastAsia="宋体" w:hint="default"/>
                <w:b/>
                <w:bCs/>
                <w:sz w:val="18"/>
                <w:szCs w:val="18"/>
              </w:rPr>
              <w:t>准备</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42"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343"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6"/>
              <w:ind w:left="99" w:right="96"/>
              <w:jc w:val="left"/>
              <w:rPr>
                <w:rFonts w:ascii="宋体" w:hAnsi="宋体" w:cs="宋体" w:eastAsia="宋体" w:hint="default"/>
                <w:sz w:val="18"/>
                <w:szCs w:val="18"/>
              </w:rPr>
            </w:pPr>
            <w:r>
              <w:rPr>
                <w:rFonts w:ascii="宋体" w:hAnsi="宋体" w:cs="宋体" w:eastAsia="宋体" w:hint="default"/>
                <w:b/>
                <w:bCs/>
                <w:sz w:val="18"/>
                <w:szCs w:val="18"/>
              </w:rPr>
              <w:t>减值</w:t>
            </w:r>
            <w:r>
              <w:rPr>
                <w:rFonts w:ascii="宋体" w:hAnsi="宋体" w:cs="宋体" w:eastAsia="宋体" w:hint="default"/>
                <w:b/>
                <w:bCs/>
                <w:w w:val="99"/>
                <w:sz w:val="18"/>
                <w:szCs w:val="18"/>
              </w:rPr>
              <w:t> </w:t>
            </w:r>
            <w:r>
              <w:rPr>
                <w:rFonts w:ascii="宋体" w:hAnsi="宋体" w:cs="宋体" w:eastAsia="宋体" w:hint="default"/>
                <w:b/>
                <w:bCs/>
                <w:sz w:val="18"/>
                <w:szCs w:val="18"/>
              </w:rPr>
              <w:t>准备</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left="343"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万马智慧充电创新基地</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75,315,051.91</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75,315,051.91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49,132,865.63</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49,132,865.63</w:t>
            </w: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宋体" w:hAnsi="宋体" w:cs="宋体" w:eastAsia="宋体" w:hint="default"/>
                <w:sz w:val="18"/>
                <w:szCs w:val="18"/>
              </w:rPr>
              <w:t>7.5</w:t>
            </w:r>
            <w:r>
              <w:rPr>
                <w:rFonts w:ascii="宋体" w:hAnsi="宋体" w:cs="宋体" w:eastAsia="宋体" w:hint="default"/>
                <w:spacing w:val="-47"/>
                <w:sz w:val="18"/>
                <w:szCs w:val="18"/>
              </w:rPr>
              <w:t> </w:t>
            </w:r>
            <w:r>
              <w:rPr>
                <w:rFonts w:ascii="宋体" w:hAnsi="宋体" w:cs="宋体" w:eastAsia="宋体" w:hint="default"/>
                <w:sz w:val="18"/>
                <w:szCs w:val="18"/>
              </w:rPr>
              <w:t>万吨电缆料项目</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32,420,216.09</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32,420,216.09</w:t>
            </w:r>
          </w:p>
        </w:tc>
        <w:tc>
          <w:tcPr>
            <w:tcW w:w="141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充电桩项目</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8,428,989.41</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pacing w:val="-1"/>
                <w:sz w:val="18"/>
              </w:rPr>
              <w:t>8,428,989.41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12,310,076.07</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12,310,076.07</w:t>
            </w: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硅烷</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线</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pacing w:val="-1"/>
                <w:sz w:val="18"/>
              </w:rPr>
              <w:t>3,996,575.79</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宋体" w:hAnsi="宋体" w:cs="宋体" w:eastAsia="宋体" w:hint="default"/>
                <w:sz w:val="18"/>
                <w:szCs w:val="18"/>
              </w:rPr>
            </w:pPr>
            <w:r>
              <w:rPr>
                <w:rFonts w:ascii="宋体"/>
                <w:spacing w:val="-1"/>
                <w:sz w:val="18"/>
              </w:rPr>
              <w:t>3,996,575.79</w:t>
            </w:r>
          </w:p>
        </w:tc>
        <w:tc>
          <w:tcPr>
            <w:tcW w:w="141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技改工程</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1,607,498.93</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1,607,498.93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6,303,827.94</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6,303,827.94</w:t>
            </w: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35kV</w:t>
            </w:r>
            <w:r>
              <w:rPr>
                <w:rFonts w:ascii="宋体" w:hAnsi="宋体" w:cs="宋体" w:eastAsia="宋体" w:hint="default"/>
                <w:spacing w:val="-46"/>
                <w:sz w:val="18"/>
                <w:szCs w:val="18"/>
              </w:rPr>
              <w:t> </w:t>
            </w:r>
            <w:r>
              <w:rPr>
                <w:rFonts w:ascii="宋体" w:hAnsi="宋体" w:cs="宋体" w:eastAsia="宋体" w:hint="default"/>
                <w:sz w:val="18"/>
                <w:szCs w:val="18"/>
              </w:rPr>
              <w:t>万马高分子变电站</w:t>
            </w:r>
          </w:p>
        </w:tc>
        <w:tc>
          <w:tcPr>
            <w:tcW w:w="141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pacing w:val="-1"/>
                <w:sz w:val="18"/>
              </w:rPr>
              <w:t>5,479,307.73</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5,479,307.73</w:t>
            </w: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光伏主钢架加固项目</w:t>
            </w:r>
          </w:p>
        </w:tc>
        <w:tc>
          <w:tcPr>
            <w:tcW w:w="141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3,801,391.61</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3,801,391.61</w:t>
            </w:r>
          </w:p>
        </w:tc>
      </w:tr>
      <w:tr>
        <w:trPr>
          <w:trHeight w:val="407"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布电线生产线</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445,558.53</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pacing w:val="-1"/>
                <w:sz w:val="18"/>
              </w:rPr>
              <w:t>445,558.53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pacing w:val="-1"/>
                <w:sz w:val="18"/>
              </w:rPr>
              <w:t>2,095,131.17</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2,095,131.17</w:t>
            </w:r>
          </w:p>
        </w:tc>
      </w:tr>
      <w:tr>
        <w:trPr>
          <w:trHeight w:val="405" w:hRule="exact"/>
        </w:trPr>
        <w:tc>
          <w:tcPr>
            <w:tcW w:w="21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其他零星工程</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6,873,866.36</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6,873,866.36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pacing w:val="-1"/>
                <w:sz w:val="18"/>
              </w:rPr>
              <w:t>9,378,165.36</w:t>
            </w:r>
          </w:p>
        </w:tc>
        <w:tc>
          <w:tcPr>
            <w:tcW w:w="56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9,378,165.36</w:t>
            </w:r>
          </w:p>
        </w:tc>
      </w:tr>
    </w:tbl>
    <w:p>
      <w:pPr>
        <w:spacing w:after="0" w:line="240" w:lineRule="auto"/>
        <w:jc w:val="right"/>
        <w:rPr>
          <w:rFonts w:ascii="宋体" w:hAnsi="宋体" w:cs="宋体" w:eastAsia="宋体" w:hint="default"/>
          <w:sz w:val="18"/>
          <w:szCs w:val="18"/>
        </w:rPr>
        <w:sectPr>
          <w:pgSz w:w="11910" w:h="16840"/>
          <w:pgMar w:header="939" w:footer="883" w:top="1940" w:bottom="1080" w:left="1380" w:right="0"/>
        </w:sectPr>
      </w:pPr>
    </w:p>
    <w:p>
      <w:pPr>
        <w:spacing w:line="240" w:lineRule="auto" w:before="12"/>
        <w:rPr>
          <w:rFonts w:ascii="宋体" w:hAnsi="宋体" w:cs="宋体" w:eastAsia="宋体" w:hint="default"/>
          <w:sz w:val="12"/>
          <w:szCs w:val="12"/>
        </w:rPr>
      </w:pPr>
    </w:p>
    <w:tbl>
      <w:tblPr>
        <w:tblW w:w="0" w:type="auto"/>
        <w:jc w:val="left"/>
        <w:tblInd w:w="122" w:type="dxa"/>
        <w:tblLayout w:type="fixed"/>
        <w:tblCellMar>
          <w:top w:w="0" w:type="dxa"/>
          <w:left w:w="0" w:type="dxa"/>
          <w:bottom w:w="0" w:type="dxa"/>
          <w:right w:w="0" w:type="dxa"/>
        </w:tblCellMar>
        <w:tblLook w:val="01E0"/>
      </w:tblPr>
      <w:tblGrid>
        <w:gridCol w:w="2111"/>
        <w:gridCol w:w="1418"/>
        <w:gridCol w:w="567"/>
        <w:gridCol w:w="1417"/>
        <w:gridCol w:w="1418"/>
        <w:gridCol w:w="567"/>
        <w:gridCol w:w="1417"/>
      </w:tblGrid>
      <w:tr>
        <w:trPr>
          <w:trHeight w:val="417" w:hRule="exact"/>
        </w:trPr>
        <w:tc>
          <w:tcPr>
            <w:tcW w:w="2111" w:type="dxa"/>
            <w:vMerge w:val="restart"/>
            <w:tcBorders>
              <w:top w:val="single" w:sz="12"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402"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3402"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557" w:hRule="exact"/>
        </w:trPr>
        <w:tc>
          <w:tcPr>
            <w:tcW w:w="2111" w:type="dxa"/>
            <w:vMerge/>
            <w:tcBorders>
              <w:left w:val="nil" w:sz="6" w:space="0" w:color="auto"/>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7"/>
              <w:ind w:left="97" w:right="97"/>
              <w:jc w:val="left"/>
              <w:rPr>
                <w:rFonts w:ascii="宋体" w:hAnsi="宋体" w:cs="宋体" w:eastAsia="宋体" w:hint="default"/>
                <w:sz w:val="18"/>
                <w:szCs w:val="18"/>
              </w:rPr>
            </w:pPr>
            <w:r>
              <w:rPr>
                <w:rFonts w:ascii="宋体" w:hAnsi="宋体" w:cs="宋体" w:eastAsia="宋体" w:hint="default"/>
                <w:b/>
                <w:bCs/>
                <w:sz w:val="18"/>
                <w:szCs w:val="18"/>
              </w:rPr>
              <w:t>减值</w:t>
            </w:r>
            <w:r>
              <w:rPr>
                <w:rFonts w:ascii="宋体" w:hAnsi="宋体" w:cs="宋体" w:eastAsia="宋体" w:hint="default"/>
                <w:b/>
                <w:bCs/>
                <w:w w:val="99"/>
                <w:sz w:val="18"/>
                <w:szCs w:val="18"/>
              </w:rPr>
              <w:t> </w:t>
            </w:r>
            <w:r>
              <w:rPr>
                <w:rFonts w:ascii="宋体" w:hAnsi="宋体" w:cs="宋体" w:eastAsia="宋体" w:hint="default"/>
                <w:b/>
                <w:bCs/>
                <w:sz w:val="18"/>
                <w:szCs w:val="18"/>
              </w:rPr>
              <w:t>准备</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343"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7"/>
              <w:ind w:left="99" w:right="96"/>
              <w:jc w:val="left"/>
              <w:rPr>
                <w:rFonts w:ascii="宋体" w:hAnsi="宋体" w:cs="宋体" w:eastAsia="宋体" w:hint="default"/>
                <w:sz w:val="18"/>
                <w:szCs w:val="18"/>
              </w:rPr>
            </w:pPr>
            <w:r>
              <w:rPr>
                <w:rFonts w:ascii="宋体" w:hAnsi="宋体" w:cs="宋体" w:eastAsia="宋体" w:hint="default"/>
                <w:b/>
                <w:bCs/>
                <w:sz w:val="18"/>
                <w:szCs w:val="18"/>
              </w:rPr>
              <w:t>减值</w:t>
            </w:r>
            <w:r>
              <w:rPr>
                <w:rFonts w:ascii="宋体" w:hAnsi="宋体" w:cs="宋体" w:eastAsia="宋体" w:hint="default"/>
                <w:b/>
                <w:bCs/>
                <w:w w:val="99"/>
                <w:sz w:val="18"/>
                <w:szCs w:val="18"/>
              </w:rPr>
              <w:t> </w:t>
            </w:r>
            <w:r>
              <w:rPr>
                <w:rFonts w:ascii="宋体" w:hAnsi="宋体" w:cs="宋体" w:eastAsia="宋体" w:hint="default"/>
                <w:b/>
                <w:bCs/>
                <w:sz w:val="18"/>
                <w:szCs w:val="18"/>
              </w:rPr>
              <w:t>准备</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left="343"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17" w:hRule="exact"/>
        </w:trPr>
        <w:tc>
          <w:tcPr>
            <w:tcW w:w="21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62" w:right="0"/>
              <w:jc w:val="center"/>
              <w:rPr>
                <w:rFonts w:ascii="宋体" w:hAnsi="宋体" w:cs="宋体" w:eastAsia="宋体" w:hint="default"/>
                <w:sz w:val="18"/>
                <w:szCs w:val="18"/>
              </w:rPr>
            </w:pPr>
            <w:r>
              <w:rPr>
                <w:rFonts w:ascii="宋体"/>
                <w:b/>
                <w:sz w:val="18"/>
              </w:rPr>
              <w:t>129,087,757.02</w:t>
            </w:r>
            <w:r>
              <w:rPr>
                <w:rFonts w:ascii="宋体"/>
                <w:sz w:val="18"/>
              </w:rPr>
            </w:r>
          </w:p>
        </w:tc>
        <w:tc>
          <w:tcPr>
            <w:tcW w:w="567" w:type="dxa"/>
            <w:tcBorders>
              <w:top w:val="single" w:sz="4" w:space="0" w:color="000000"/>
              <w:left w:val="single" w:sz="4" w:space="0" w:color="000000"/>
              <w:bottom w:val="single" w:sz="12" w:space="0" w:color="000000"/>
              <w:right w:val="single" w:sz="4" w:space="0" w:color="000000"/>
            </w:tcBorders>
          </w:tcPr>
          <w:p>
            <w:pPr/>
          </w:p>
        </w:tc>
        <w:tc>
          <w:tcPr>
            <w:tcW w:w="141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60" w:right="0"/>
              <w:jc w:val="center"/>
              <w:rPr>
                <w:rFonts w:ascii="宋体" w:hAnsi="宋体" w:cs="宋体" w:eastAsia="宋体" w:hint="default"/>
                <w:sz w:val="18"/>
                <w:szCs w:val="18"/>
              </w:rPr>
            </w:pPr>
            <w:r>
              <w:rPr>
                <w:rFonts w:ascii="宋体"/>
                <w:b/>
                <w:sz w:val="18"/>
              </w:rPr>
              <w:t>129,087,757.02</w:t>
            </w:r>
            <w:r>
              <w:rPr>
                <w:rFonts w:ascii="宋体"/>
                <w:sz w:val="18"/>
              </w:rPr>
            </w:r>
          </w:p>
        </w:tc>
        <w:tc>
          <w:tcPr>
            <w:tcW w:w="14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90" w:right="0"/>
              <w:jc w:val="left"/>
              <w:rPr>
                <w:rFonts w:ascii="宋体" w:hAnsi="宋体" w:cs="宋体" w:eastAsia="宋体" w:hint="default"/>
                <w:sz w:val="18"/>
                <w:szCs w:val="18"/>
              </w:rPr>
            </w:pPr>
            <w:r>
              <w:rPr>
                <w:rFonts w:ascii="宋体"/>
                <w:b/>
                <w:sz w:val="18"/>
              </w:rPr>
              <w:t>88,500,765.51</w:t>
            </w:r>
            <w:r>
              <w:rPr>
                <w:rFonts w:ascii="宋体"/>
                <w:sz w:val="18"/>
              </w:rPr>
            </w:r>
          </w:p>
        </w:tc>
        <w:tc>
          <w:tcPr>
            <w:tcW w:w="567" w:type="dxa"/>
            <w:tcBorders>
              <w:top w:val="single" w:sz="4" w:space="0" w:color="000000"/>
              <w:left w:val="single" w:sz="4" w:space="0" w:color="000000"/>
              <w:bottom w:val="single" w:sz="12" w:space="0" w:color="000000"/>
              <w:right w:val="single" w:sz="4" w:space="0" w:color="000000"/>
            </w:tcBorders>
          </w:tcPr>
          <w:p>
            <w:pPr/>
          </w:p>
        </w:tc>
        <w:tc>
          <w:tcPr>
            <w:tcW w:w="141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1"/>
              <w:ind w:left="187" w:right="0"/>
              <w:jc w:val="left"/>
              <w:rPr>
                <w:rFonts w:ascii="宋体" w:hAnsi="宋体" w:cs="宋体" w:eastAsia="宋体" w:hint="default"/>
                <w:sz w:val="18"/>
                <w:szCs w:val="18"/>
              </w:rPr>
            </w:pPr>
            <w:r>
              <w:rPr>
                <w:rFonts w:ascii="宋体"/>
                <w:b/>
                <w:sz w:val="18"/>
              </w:rPr>
              <w:t>88,500,765.51</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766" w:right="0"/>
        <w:jc w:val="left"/>
      </w:pPr>
      <w:r>
        <w:rPr/>
        <w:t>（</w:t>
      </w:r>
      <w:r>
        <w:rPr>
          <w:rFonts w:ascii="Times New Roman" w:hAnsi="Times New Roman" w:cs="Times New Roman" w:eastAsia="Times New Roman" w:hint="default"/>
        </w:rPr>
        <w:t>2</w:t>
      </w:r>
      <w:r>
        <w:rPr/>
        <w:t>）</w:t>
      </w:r>
      <w:r>
        <w:rPr>
          <w:spacing w:val="5"/>
        </w:rPr>
        <w:t> </w:t>
      </w:r>
      <w:bookmarkStart w:name="（2）重大在建工程项目变动情况" w:id="277"/>
      <w:bookmarkEnd w:id="277"/>
      <w:r>
        <w:rPr/>
        <w:t>重</w:t>
      </w:r>
      <w:r>
        <w:rPr/>
        <w:t>大在建工程项目变动情况</w:t>
      </w:r>
    </w:p>
    <w:p>
      <w:pPr>
        <w:spacing w:line="240" w:lineRule="auto" w:before="1"/>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2114"/>
        <w:gridCol w:w="1394"/>
        <w:gridCol w:w="1415"/>
        <w:gridCol w:w="1417"/>
        <w:gridCol w:w="1185"/>
        <w:gridCol w:w="1374"/>
      </w:tblGrid>
      <w:tr>
        <w:trPr>
          <w:trHeight w:val="415" w:hRule="exact"/>
        </w:trPr>
        <w:tc>
          <w:tcPr>
            <w:tcW w:w="2114" w:type="dxa"/>
            <w:vMerge w:val="restart"/>
            <w:tcBorders>
              <w:top w:val="single" w:sz="12" w:space="0" w:color="000000"/>
              <w:left w:val="nil" w:sz="6" w:space="0" w:color="auto"/>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b/>
                <w:bCs/>
                <w:sz w:val="18"/>
                <w:szCs w:val="18"/>
              </w:rPr>
              <w:t>工程名称</w:t>
            </w:r>
            <w:r>
              <w:rPr>
                <w:rFonts w:ascii="宋体" w:hAnsi="宋体" w:cs="宋体" w:eastAsia="宋体" w:hint="default"/>
                <w:sz w:val="18"/>
                <w:szCs w:val="18"/>
              </w:rPr>
            </w:r>
          </w:p>
        </w:tc>
        <w:tc>
          <w:tcPr>
            <w:tcW w:w="1394" w:type="dxa"/>
            <w:vMerge w:val="restart"/>
            <w:tcBorders>
              <w:top w:val="single" w:sz="12" w:space="0" w:color="000000"/>
              <w:left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33"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415" w:type="dxa"/>
            <w:vMerge w:val="restart"/>
            <w:tcBorders>
              <w:top w:val="single" w:sz="12" w:space="0" w:color="000000"/>
              <w:left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2602"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374" w:type="dxa"/>
            <w:vMerge w:val="restart"/>
            <w:tcBorders>
              <w:top w:val="single" w:sz="12" w:space="0" w:color="000000"/>
              <w:left w:val="single" w:sz="2" w:space="0" w:color="000000"/>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25"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2114" w:type="dxa"/>
            <w:vMerge/>
            <w:tcBorders>
              <w:left w:val="nil" w:sz="6" w:space="0" w:color="auto"/>
              <w:bottom w:val="single" w:sz="2" w:space="0" w:color="000000"/>
              <w:right w:val="single" w:sz="2" w:space="0" w:color="000000"/>
            </w:tcBorders>
          </w:tcPr>
          <w:p>
            <w:pPr/>
          </w:p>
        </w:tc>
        <w:tc>
          <w:tcPr>
            <w:tcW w:w="1394" w:type="dxa"/>
            <w:vMerge/>
            <w:tcBorders>
              <w:left w:val="single" w:sz="2" w:space="0" w:color="000000"/>
              <w:bottom w:val="single" w:sz="2" w:space="0" w:color="000000"/>
              <w:right w:val="single" w:sz="2" w:space="0" w:color="000000"/>
            </w:tcBorders>
          </w:tcPr>
          <w:p>
            <w:pPr/>
          </w:p>
        </w:tc>
        <w:tc>
          <w:tcPr>
            <w:tcW w:w="1415" w:type="dxa"/>
            <w:vMerge/>
            <w:tcBorders>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64" w:right="0"/>
              <w:jc w:val="left"/>
              <w:rPr>
                <w:rFonts w:ascii="宋体" w:hAnsi="宋体" w:cs="宋体" w:eastAsia="宋体" w:hint="default"/>
                <w:sz w:val="18"/>
                <w:szCs w:val="18"/>
              </w:rPr>
            </w:pPr>
            <w:r>
              <w:rPr>
                <w:rFonts w:ascii="宋体" w:hAnsi="宋体" w:cs="宋体" w:eastAsia="宋体" w:hint="default"/>
                <w:b/>
                <w:bCs/>
                <w:sz w:val="18"/>
                <w:szCs w:val="18"/>
              </w:rPr>
              <w:t>转入固定资产</w:t>
            </w:r>
            <w:r>
              <w:rPr>
                <w:rFonts w:ascii="宋体" w:hAnsi="宋体" w:cs="宋体" w:eastAsia="宋体" w:hint="default"/>
                <w:sz w:val="18"/>
                <w:szCs w:val="18"/>
              </w:rPr>
            </w:r>
          </w:p>
        </w:tc>
        <w:tc>
          <w:tcPr>
            <w:tcW w:w="11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228" w:right="0"/>
              <w:jc w:val="left"/>
              <w:rPr>
                <w:rFonts w:ascii="宋体" w:hAnsi="宋体" w:cs="宋体" w:eastAsia="宋体" w:hint="default"/>
                <w:sz w:val="18"/>
                <w:szCs w:val="18"/>
              </w:rPr>
            </w:pPr>
            <w:r>
              <w:rPr>
                <w:rFonts w:ascii="宋体" w:hAnsi="宋体" w:cs="宋体" w:eastAsia="宋体" w:hint="default"/>
                <w:b/>
                <w:bCs/>
                <w:sz w:val="18"/>
                <w:szCs w:val="18"/>
              </w:rPr>
              <w:t>其他减少</w:t>
            </w:r>
            <w:r>
              <w:rPr>
                <w:rFonts w:ascii="宋体" w:hAnsi="宋体" w:cs="宋体" w:eastAsia="宋体" w:hint="default"/>
                <w:sz w:val="18"/>
                <w:szCs w:val="18"/>
              </w:rPr>
            </w:r>
          </w:p>
        </w:tc>
        <w:tc>
          <w:tcPr>
            <w:tcW w:w="1374" w:type="dxa"/>
            <w:vMerge/>
            <w:tcBorders>
              <w:left w:val="single" w:sz="2" w:space="0" w:color="000000"/>
              <w:bottom w:val="single" w:sz="2" w:space="0" w:color="000000"/>
              <w:right w:val="nil" w:sz="6" w:space="0" w:color="auto"/>
            </w:tcBorders>
          </w:tcPr>
          <w:p>
            <w:pP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5" w:right="0"/>
              <w:jc w:val="left"/>
              <w:rPr>
                <w:rFonts w:ascii="宋体" w:hAnsi="宋体" w:cs="宋体" w:eastAsia="宋体" w:hint="default"/>
                <w:sz w:val="18"/>
                <w:szCs w:val="18"/>
              </w:rPr>
            </w:pPr>
            <w:r>
              <w:rPr>
                <w:rFonts w:ascii="宋体" w:hAnsi="宋体" w:cs="宋体" w:eastAsia="宋体" w:hint="default"/>
                <w:sz w:val="18"/>
                <w:szCs w:val="18"/>
              </w:rPr>
              <w:t>万马智慧充电创新基地</w:t>
            </w:r>
          </w:p>
        </w:tc>
        <w:tc>
          <w:tcPr>
            <w:tcW w:w="1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49,132,865.63</w:t>
            </w: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47,388,176.90</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21,205,990.62</w:t>
            </w: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75,315,051.91</w:t>
            </w: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5"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8"/>
                <w:sz w:val="18"/>
                <w:szCs w:val="18"/>
              </w:rPr>
              <w:t> </w:t>
            </w:r>
            <w:r>
              <w:rPr>
                <w:rFonts w:ascii="宋体" w:hAnsi="宋体" w:cs="宋体" w:eastAsia="宋体" w:hint="default"/>
                <w:sz w:val="18"/>
                <w:szCs w:val="18"/>
              </w:rPr>
              <w:t>7.5</w:t>
            </w:r>
            <w:r>
              <w:rPr>
                <w:rFonts w:ascii="宋体" w:hAnsi="宋体" w:cs="宋体" w:eastAsia="宋体" w:hint="default"/>
                <w:spacing w:val="-45"/>
                <w:sz w:val="18"/>
                <w:szCs w:val="18"/>
              </w:rPr>
              <w:t> </w:t>
            </w:r>
            <w:r>
              <w:rPr>
                <w:rFonts w:ascii="宋体" w:hAnsi="宋体" w:cs="宋体" w:eastAsia="宋体" w:hint="default"/>
                <w:sz w:val="18"/>
                <w:szCs w:val="18"/>
              </w:rPr>
              <w:t>万吨电缆料项目</w:t>
            </w:r>
          </w:p>
        </w:tc>
        <w:tc>
          <w:tcPr>
            <w:tcW w:w="1394" w:type="dxa"/>
            <w:tcBorders>
              <w:top w:val="single" w:sz="2" w:space="0" w:color="000000"/>
              <w:left w:val="single" w:sz="2" w:space="0" w:color="000000"/>
              <w:bottom w:val="single" w:sz="2" w:space="0" w:color="000000"/>
              <w:right w:val="single" w:sz="2" w:space="0" w:color="000000"/>
            </w:tcBorders>
          </w:tcPr>
          <w:p>
            <w:pP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32,420,216.09</w:t>
            </w:r>
          </w:p>
        </w:tc>
        <w:tc>
          <w:tcPr>
            <w:tcW w:w="1417" w:type="dxa"/>
            <w:tcBorders>
              <w:top w:val="single" w:sz="2" w:space="0" w:color="000000"/>
              <w:left w:val="single" w:sz="2" w:space="0" w:color="000000"/>
              <w:bottom w:val="single" w:sz="2" w:space="0" w:color="000000"/>
              <w:right w:val="single" w:sz="2" w:space="0" w:color="000000"/>
            </w:tcBorders>
          </w:tcPr>
          <w:p>
            <w:pP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32,420,216.09</w:t>
            </w:r>
          </w:p>
        </w:tc>
      </w:tr>
      <w:tr>
        <w:trPr>
          <w:trHeight w:val="55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55" w:right="0"/>
              <w:jc w:val="left"/>
              <w:rPr>
                <w:rFonts w:ascii="宋体" w:hAnsi="宋体" w:cs="宋体" w:eastAsia="宋体" w:hint="default"/>
                <w:sz w:val="18"/>
                <w:szCs w:val="18"/>
              </w:rPr>
            </w:pPr>
            <w:r>
              <w:rPr>
                <w:rFonts w:ascii="宋体" w:hAnsi="宋体" w:cs="宋体" w:eastAsia="宋体" w:hint="default"/>
                <w:sz w:val="18"/>
                <w:szCs w:val="18"/>
              </w:rPr>
              <w:t>充电桩项目</w:t>
            </w:r>
          </w:p>
        </w:tc>
        <w:tc>
          <w:tcPr>
            <w:tcW w:w="1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9"/>
              <w:jc w:val="right"/>
              <w:rPr>
                <w:rFonts w:ascii="宋体" w:hAnsi="宋体" w:cs="宋体" w:eastAsia="宋体" w:hint="default"/>
                <w:sz w:val="18"/>
                <w:szCs w:val="18"/>
              </w:rPr>
            </w:pPr>
            <w:r>
              <w:rPr>
                <w:rFonts w:ascii="宋体"/>
                <w:spacing w:val="-1"/>
                <w:sz w:val="18"/>
              </w:rPr>
              <w:t>12,310,076.07</w:t>
            </w: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8"/>
              <w:jc w:val="right"/>
              <w:rPr>
                <w:rFonts w:ascii="宋体" w:hAnsi="宋体" w:cs="宋体" w:eastAsia="宋体" w:hint="default"/>
                <w:sz w:val="18"/>
                <w:szCs w:val="18"/>
              </w:rPr>
            </w:pPr>
            <w:r>
              <w:rPr>
                <w:rFonts w:ascii="宋体"/>
                <w:spacing w:val="-1"/>
                <w:sz w:val="18"/>
              </w:rPr>
              <w:t>133,155,256.55</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9"/>
              <w:jc w:val="right"/>
              <w:rPr>
                <w:rFonts w:ascii="宋体" w:hAnsi="宋体" w:cs="宋体" w:eastAsia="宋体" w:hint="default"/>
                <w:sz w:val="18"/>
                <w:szCs w:val="18"/>
              </w:rPr>
            </w:pPr>
            <w:r>
              <w:rPr>
                <w:rFonts w:ascii="宋体"/>
                <w:spacing w:val="-1"/>
                <w:sz w:val="18"/>
              </w:rPr>
              <w:t>134,759,529.52</w:t>
            </w:r>
          </w:p>
        </w:tc>
        <w:tc>
          <w:tcPr>
            <w:tcW w:w="1185" w:type="dxa"/>
            <w:tcBorders>
              <w:top w:val="single" w:sz="2" w:space="0" w:color="000000"/>
              <w:left w:val="single" w:sz="2" w:space="0" w:color="000000"/>
              <w:bottom w:val="single" w:sz="2" w:space="0" w:color="000000"/>
              <w:right w:val="single" w:sz="2" w:space="0" w:color="000000"/>
            </w:tcBorders>
          </w:tcPr>
          <w:p>
            <w:pPr>
              <w:pStyle w:val="TableParagraph"/>
              <w:spacing w:line="234" w:lineRule="exact" w:before="11"/>
              <w:ind w:right="50"/>
              <w:jc w:val="right"/>
              <w:rPr>
                <w:rFonts w:ascii="宋体" w:hAnsi="宋体" w:cs="宋体" w:eastAsia="宋体" w:hint="default"/>
                <w:sz w:val="18"/>
                <w:szCs w:val="18"/>
              </w:rPr>
            </w:pPr>
            <w:r>
              <w:rPr>
                <w:rFonts w:ascii="宋体"/>
                <w:spacing w:val="-1"/>
                <w:sz w:val="18"/>
              </w:rPr>
              <w:t>2,276,813.6</w:t>
            </w:r>
          </w:p>
          <w:p>
            <w:pPr>
              <w:pStyle w:val="TableParagraph"/>
              <w:spacing w:line="234" w:lineRule="exact"/>
              <w:ind w:right="50"/>
              <w:jc w:val="right"/>
              <w:rPr>
                <w:rFonts w:ascii="宋体" w:hAnsi="宋体" w:cs="宋体" w:eastAsia="宋体" w:hint="default"/>
                <w:sz w:val="18"/>
                <w:szCs w:val="18"/>
              </w:rPr>
            </w:pPr>
            <w:r>
              <w:rPr>
                <w:rFonts w:ascii="宋体"/>
                <w:sz w:val="18"/>
              </w:rPr>
              <w:t>9</w:t>
            </w:r>
          </w:p>
        </w:tc>
        <w:tc>
          <w:tcPr>
            <w:tcW w:w="137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52"/>
              <w:jc w:val="right"/>
              <w:rPr>
                <w:rFonts w:ascii="宋体" w:hAnsi="宋体" w:cs="宋体" w:eastAsia="宋体" w:hint="default"/>
                <w:sz w:val="18"/>
                <w:szCs w:val="18"/>
              </w:rPr>
            </w:pPr>
            <w:r>
              <w:rPr>
                <w:rFonts w:ascii="宋体"/>
                <w:spacing w:val="-1"/>
                <w:sz w:val="18"/>
              </w:rPr>
              <w:t>8,428,989.41</w:t>
            </w: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5" w:right="0"/>
              <w:jc w:val="left"/>
              <w:rPr>
                <w:rFonts w:ascii="宋体" w:hAnsi="宋体" w:cs="宋体" w:eastAsia="宋体" w:hint="default"/>
                <w:sz w:val="18"/>
                <w:szCs w:val="18"/>
              </w:rPr>
            </w:pPr>
            <w:r>
              <w:rPr>
                <w:rFonts w:ascii="宋体" w:hAnsi="宋体" w:cs="宋体" w:eastAsia="宋体" w:hint="default"/>
                <w:sz w:val="18"/>
                <w:szCs w:val="18"/>
              </w:rPr>
              <w:t>硅烷</w:t>
            </w:r>
            <w:r>
              <w:rPr>
                <w:rFonts w:ascii="宋体" w:hAnsi="宋体" w:cs="宋体" w:eastAsia="宋体" w:hint="default"/>
                <w:spacing w:val="-47"/>
                <w:sz w:val="18"/>
                <w:szCs w:val="18"/>
              </w:rPr>
              <w:t> </w:t>
            </w:r>
            <w:r>
              <w:rPr>
                <w:rFonts w:ascii="宋体" w:hAnsi="宋体" w:cs="宋体" w:eastAsia="宋体" w:hint="default"/>
                <w:sz w:val="18"/>
                <w:szCs w:val="18"/>
              </w:rPr>
              <w:t>9</w:t>
            </w:r>
            <w:r>
              <w:rPr>
                <w:rFonts w:ascii="宋体" w:hAnsi="宋体" w:cs="宋体" w:eastAsia="宋体" w:hint="default"/>
                <w:spacing w:val="-44"/>
                <w:sz w:val="18"/>
                <w:szCs w:val="18"/>
              </w:rPr>
              <w:t> </w:t>
            </w:r>
            <w:r>
              <w:rPr>
                <w:rFonts w:ascii="宋体" w:hAnsi="宋体" w:cs="宋体" w:eastAsia="宋体" w:hint="default"/>
                <w:sz w:val="18"/>
                <w:szCs w:val="18"/>
              </w:rPr>
              <w:t>线</w:t>
            </w:r>
          </w:p>
        </w:tc>
        <w:tc>
          <w:tcPr>
            <w:tcW w:w="1394" w:type="dxa"/>
            <w:tcBorders>
              <w:top w:val="single" w:sz="2" w:space="0" w:color="000000"/>
              <w:left w:val="single" w:sz="2" w:space="0" w:color="000000"/>
              <w:bottom w:val="single" w:sz="2" w:space="0" w:color="000000"/>
              <w:right w:val="single" w:sz="2" w:space="0" w:color="000000"/>
            </w:tcBorders>
          </w:tcPr>
          <w:p>
            <w:pP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3,996,575.79</w:t>
            </w:r>
          </w:p>
        </w:tc>
        <w:tc>
          <w:tcPr>
            <w:tcW w:w="1417" w:type="dxa"/>
            <w:tcBorders>
              <w:top w:val="single" w:sz="2" w:space="0" w:color="000000"/>
              <w:left w:val="single" w:sz="2" w:space="0" w:color="000000"/>
              <w:bottom w:val="single" w:sz="2" w:space="0" w:color="000000"/>
              <w:right w:val="single" w:sz="2" w:space="0" w:color="000000"/>
            </w:tcBorders>
          </w:tcPr>
          <w:p>
            <w:pP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3,996,575.79</w:t>
            </w: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5" w:right="0"/>
              <w:jc w:val="left"/>
              <w:rPr>
                <w:rFonts w:ascii="宋体" w:hAnsi="宋体" w:cs="宋体" w:eastAsia="宋体" w:hint="default"/>
                <w:sz w:val="18"/>
                <w:szCs w:val="18"/>
              </w:rPr>
            </w:pPr>
            <w:r>
              <w:rPr>
                <w:rFonts w:ascii="宋体" w:hAnsi="宋体" w:cs="宋体" w:eastAsia="宋体" w:hint="default"/>
                <w:sz w:val="18"/>
                <w:szCs w:val="18"/>
              </w:rPr>
              <w:t>技改工程</w:t>
            </w:r>
          </w:p>
        </w:tc>
        <w:tc>
          <w:tcPr>
            <w:tcW w:w="1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204" w:right="0"/>
              <w:jc w:val="left"/>
              <w:rPr>
                <w:rFonts w:ascii="宋体" w:hAnsi="宋体" w:cs="宋体" w:eastAsia="宋体" w:hint="default"/>
                <w:sz w:val="18"/>
                <w:szCs w:val="18"/>
              </w:rPr>
            </w:pPr>
            <w:r>
              <w:rPr>
                <w:rFonts w:ascii="宋体"/>
                <w:sz w:val="18"/>
              </w:rPr>
              <w:t>6,303,827.94</w:t>
            </w: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4,356,444.10</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9,052,773.11</w:t>
            </w: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1,607,498.93</w:t>
            </w: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5" w:right="0"/>
              <w:jc w:val="left"/>
              <w:rPr>
                <w:rFonts w:ascii="宋体" w:hAnsi="宋体" w:cs="宋体" w:eastAsia="宋体" w:hint="default"/>
                <w:sz w:val="18"/>
                <w:szCs w:val="18"/>
              </w:rPr>
            </w:pPr>
            <w:r>
              <w:rPr>
                <w:rFonts w:ascii="宋体" w:hAnsi="宋体" w:cs="宋体" w:eastAsia="宋体" w:hint="default"/>
                <w:sz w:val="18"/>
                <w:szCs w:val="18"/>
              </w:rPr>
              <w:t>35kV</w:t>
            </w:r>
            <w:r>
              <w:rPr>
                <w:rFonts w:ascii="宋体" w:hAnsi="宋体" w:cs="宋体" w:eastAsia="宋体" w:hint="default"/>
                <w:spacing w:val="-48"/>
                <w:sz w:val="18"/>
                <w:szCs w:val="18"/>
              </w:rPr>
              <w:t> </w:t>
            </w:r>
            <w:r>
              <w:rPr>
                <w:rFonts w:ascii="宋体" w:hAnsi="宋体" w:cs="宋体" w:eastAsia="宋体" w:hint="default"/>
                <w:sz w:val="18"/>
                <w:szCs w:val="18"/>
              </w:rPr>
              <w:t>万马高分子变电站</w:t>
            </w:r>
          </w:p>
        </w:tc>
        <w:tc>
          <w:tcPr>
            <w:tcW w:w="1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5,479,307.73</w:t>
            </w: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6,823,123.41</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12,302,431.14</w:t>
            </w: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5" w:right="0"/>
              <w:jc w:val="left"/>
              <w:rPr>
                <w:rFonts w:ascii="宋体" w:hAnsi="宋体" w:cs="宋体" w:eastAsia="宋体" w:hint="default"/>
                <w:sz w:val="18"/>
                <w:szCs w:val="18"/>
              </w:rPr>
            </w:pPr>
            <w:r>
              <w:rPr>
                <w:rFonts w:ascii="宋体" w:hAnsi="宋体" w:cs="宋体" w:eastAsia="宋体" w:hint="default"/>
                <w:sz w:val="18"/>
                <w:szCs w:val="18"/>
              </w:rPr>
              <w:t>光伏主钢架加固项目</w:t>
            </w:r>
          </w:p>
        </w:tc>
        <w:tc>
          <w:tcPr>
            <w:tcW w:w="1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3,801,391.61</w:t>
            </w: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241,435.46</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4,042,827.07</w:t>
            </w: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5" w:right="0"/>
              <w:jc w:val="left"/>
              <w:rPr>
                <w:rFonts w:ascii="宋体" w:hAnsi="宋体" w:cs="宋体" w:eastAsia="宋体" w:hint="default"/>
                <w:sz w:val="18"/>
                <w:szCs w:val="18"/>
              </w:rPr>
            </w:pPr>
            <w:r>
              <w:rPr>
                <w:rFonts w:ascii="宋体" w:hAnsi="宋体" w:cs="宋体" w:eastAsia="宋体" w:hint="default"/>
                <w:sz w:val="18"/>
                <w:szCs w:val="18"/>
              </w:rPr>
              <w:t>布电线生产线</w:t>
            </w:r>
          </w:p>
        </w:tc>
        <w:tc>
          <w:tcPr>
            <w:tcW w:w="1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2,095,131.17</w:t>
            </w:r>
          </w:p>
        </w:tc>
        <w:tc>
          <w:tcPr>
            <w:tcW w:w="1415"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1,649,572.64</w:t>
            </w: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445,558.53</w:t>
            </w:r>
          </w:p>
        </w:tc>
      </w:tr>
      <w:tr>
        <w:trPr>
          <w:trHeight w:val="402" w:hRule="exact"/>
        </w:trPr>
        <w:tc>
          <w:tcPr>
            <w:tcW w:w="21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5" w:right="0"/>
              <w:jc w:val="left"/>
              <w:rPr>
                <w:rFonts w:ascii="宋体" w:hAnsi="宋体" w:cs="宋体" w:eastAsia="宋体" w:hint="default"/>
                <w:sz w:val="18"/>
                <w:szCs w:val="18"/>
              </w:rPr>
            </w:pPr>
            <w:r>
              <w:rPr>
                <w:rFonts w:ascii="宋体" w:hAnsi="宋体" w:cs="宋体" w:eastAsia="宋体" w:hint="default"/>
                <w:sz w:val="18"/>
                <w:szCs w:val="18"/>
              </w:rPr>
              <w:t>PVC</w:t>
            </w:r>
            <w:r>
              <w:rPr>
                <w:rFonts w:ascii="宋体" w:hAnsi="宋体" w:cs="宋体" w:eastAsia="宋体" w:hint="default"/>
                <w:spacing w:val="-47"/>
                <w:sz w:val="18"/>
                <w:szCs w:val="18"/>
              </w:rPr>
              <w:t> </w:t>
            </w:r>
            <w:r>
              <w:rPr>
                <w:rFonts w:ascii="宋体" w:hAnsi="宋体" w:cs="宋体" w:eastAsia="宋体" w:hint="default"/>
                <w:sz w:val="18"/>
                <w:szCs w:val="18"/>
              </w:rPr>
              <w:t>线缆工程</w:t>
            </w:r>
          </w:p>
        </w:tc>
        <w:tc>
          <w:tcPr>
            <w:tcW w:w="1394" w:type="dxa"/>
            <w:tcBorders>
              <w:top w:val="single" w:sz="2" w:space="0" w:color="000000"/>
              <w:left w:val="single" w:sz="2" w:space="0" w:color="000000"/>
              <w:bottom w:val="single" w:sz="2" w:space="0" w:color="000000"/>
              <w:right w:val="single" w:sz="2" w:space="0" w:color="000000"/>
            </w:tcBorders>
          </w:tcPr>
          <w:p>
            <w:pP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10,774,384.40</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10,774,384.40</w:t>
            </w:r>
          </w:p>
        </w:tc>
        <w:tc>
          <w:tcPr>
            <w:tcW w:w="1185" w:type="dxa"/>
            <w:tcBorders>
              <w:top w:val="single" w:sz="2" w:space="0" w:color="000000"/>
              <w:left w:val="single" w:sz="2" w:space="0" w:color="000000"/>
              <w:bottom w:val="single" w:sz="2" w:space="0" w:color="000000"/>
              <w:right w:val="single" w:sz="2" w:space="0" w:color="000000"/>
            </w:tcBorders>
          </w:tcPr>
          <w:p>
            <w:pPr/>
          </w:p>
        </w:tc>
        <w:tc>
          <w:tcPr>
            <w:tcW w:w="1374" w:type="dxa"/>
            <w:tcBorders>
              <w:top w:val="single" w:sz="2" w:space="0" w:color="000000"/>
              <w:left w:val="single" w:sz="2" w:space="0" w:color="000000"/>
              <w:bottom w:val="single" w:sz="2" w:space="0" w:color="000000"/>
              <w:right w:val="nil" w:sz="6" w:space="0" w:color="auto"/>
            </w:tcBorders>
          </w:tcPr>
          <w:p>
            <w:pPr/>
          </w:p>
        </w:tc>
      </w:tr>
      <w:tr>
        <w:trPr>
          <w:trHeight w:val="564" w:hRule="exact"/>
        </w:trPr>
        <w:tc>
          <w:tcPr>
            <w:tcW w:w="211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126"/>
              <w:ind w:left="5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9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37"/>
              <w:jc w:val="right"/>
              <w:rPr>
                <w:rFonts w:ascii="宋体" w:hAnsi="宋体" w:cs="宋体" w:eastAsia="宋体" w:hint="default"/>
                <w:sz w:val="18"/>
                <w:szCs w:val="18"/>
              </w:rPr>
            </w:pPr>
            <w:r>
              <w:rPr>
                <w:rFonts w:ascii="宋体"/>
                <w:b/>
                <w:w w:val="95"/>
                <w:sz w:val="18"/>
              </w:rPr>
              <w:t>79,122,600.15</w:t>
            </w:r>
            <w:r>
              <w:rPr>
                <w:rFonts w:ascii="宋体"/>
                <w:sz w:val="18"/>
              </w:rPr>
            </w:r>
          </w:p>
        </w:tc>
        <w:tc>
          <w:tcPr>
            <w:tcW w:w="141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36"/>
              <w:jc w:val="right"/>
              <w:rPr>
                <w:rFonts w:ascii="宋体" w:hAnsi="宋体" w:cs="宋体" w:eastAsia="宋体" w:hint="default"/>
                <w:sz w:val="18"/>
                <w:szCs w:val="18"/>
              </w:rPr>
            </w:pPr>
            <w:r>
              <w:rPr>
                <w:rFonts w:ascii="宋体"/>
                <w:b/>
                <w:sz w:val="18"/>
              </w:rPr>
              <w:t>239,155,612.70</w:t>
            </w:r>
            <w:r>
              <w:rPr>
                <w:rFonts w:ascii="宋体"/>
                <w:sz w:val="18"/>
              </w:rPr>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37"/>
              <w:jc w:val="right"/>
              <w:rPr>
                <w:rFonts w:ascii="宋体" w:hAnsi="宋体" w:cs="宋体" w:eastAsia="宋体" w:hint="default"/>
                <w:sz w:val="18"/>
                <w:szCs w:val="18"/>
              </w:rPr>
            </w:pPr>
            <w:r>
              <w:rPr>
                <w:rFonts w:ascii="宋体"/>
                <w:b/>
                <w:sz w:val="18"/>
              </w:rPr>
              <w:t>193,787,508.50</w:t>
            </w:r>
            <w:r>
              <w:rPr>
                <w:rFonts w:ascii="宋体"/>
                <w:sz w:val="18"/>
              </w:rPr>
            </w:r>
          </w:p>
        </w:tc>
        <w:tc>
          <w:tcPr>
            <w:tcW w:w="1185" w:type="dxa"/>
            <w:tcBorders>
              <w:top w:val="single" w:sz="2" w:space="0" w:color="000000"/>
              <w:left w:val="single" w:sz="2" w:space="0" w:color="000000"/>
              <w:bottom w:val="single" w:sz="12" w:space="0" w:color="000000"/>
              <w:right w:val="single" w:sz="2" w:space="0" w:color="000000"/>
            </w:tcBorders>
          </w:tcPr>
          <w:p>
            <w:pPr>
              <w:pStyle w:val="TableParagraph"/>
              <w:spacing w:line="234" w:lineRule="exact" w:before="11"/>
              <w:ind w:right="41"/>
              <w:jc w:val="right"/>
              <w:rPr>
                <w:rFonts w:ascii="宋体" w:hAnsi="宋体" w:cs="宋体" w:eastAsia="宋体" w:hint="default"/>
                <w:sz w:val="18"/>
                <w:szCs w:val="18"/>
              </w:rPr>
            </w:pPr>
            <w:r>
              <w:rPr>
                <w:rFonts w:ascii="宋体"/>
                <w:b/>
                <w:w w:val="95"/>
                <w:sz w:val="18"/>
              </w:rPr>
              <w:t>2,276,813.6</w:t>
            </w:r>
            <w:r>
              <w:rPr>
                <w:rFonts w:ascii="宋体"/>
                <w:sz w:val="18"/>
              </w:rPr>
            </w:r>
          </w:p>
          <w:p>
            <w:pPr>
              <w:pStyle w:val="TableParagraph"/>
              <w:spacing w:line="234" w:lineRule="exact"/>
              <w:ind w:right="50"/>
              <w:jc w:val="right"/>
              <w:rPr>
                <w:rFonts w:ascii="宋体" w:hAnsi="宋体" w:cs="宋体" w:eastAsia="宋体" w:hint="default"/>
                <w:sz w:val="18"/>
                <w:szCs w:val="18"/>
              </w:rPr>
            </w:pPr>
            <w:r>
              <w:rPr>
                <w:rFonts w:ascii="宋体"/>
                <w:b/>
                <w:w w:val="99"/>
                <w:sz w:val="18"/>
              </w:rPr>
              <w:t>9</w:t>
            </w:r>
            <w:r>
              <w:rPr>
                <w:rFonts w:ascii="宋体"/>
                <w:sz w:val="18"/>
              </w:rPr>
            </w:r>
          </w:p>
        </w:tc>
        <w:tc>
          <w:tcPr>
            <w:tcW w:w="1374" w:type="dxa"/>
            <w:tcBorders>
              <w:top w:val="single" w:sz="2" w:space="0" w:color="000000"/>
              <w:left w:val="single" w:sz="2" w:space="0" w:color="000000"/>
              <w:bottom w:val="single" w:sz="12" w:space="0" w:color="000000"/>
              <w:right w:val="nil" w:sz="6" w:space="0" w:color="auto"/>
            </w:tcBorders>
          </w:tcPr>
          <w:p>
            <w:pPr>
              <w:pStyle w:val="TableParagraph"/>
              <w:spacing w:line="234" w:lineRule="exact" w:before="11"/>
              <w:ind w:right="40"/>
              <w:jc w:val="right"/>
              <w:rPr>
                <w:rFonts w:ascii="宋体" w:hAnsi="宋体" w:cs="宋体" w:eastAsia="宋体" w:hint="default"/>
                <w:sz w:val="18"/>
                <w:szCs w:val="18"/>
              </w:rPr>
            </w:pPr>
            <w:r>
              <w:rPr>
                <w:rFonts w:ascii="宋体"/>
                <w:b/>
                <w:w w:val="95"/>
                <w:sz w:val="18"/>
              </w:rPr>
              <w:t>122,213,890.6</w:t>
            </w:r>
            <w:r>
              <w:rPr>
                <w:rFonts w:ascii="宋体"/>
                <w:sz w:val="18"/>
              </w:rPr>
            </w:r>
          </w:p>
          <w:p>
            <w:pPr>
              <w:pStyle w:val="TableParagraph"/>
              <w:spacing w:line="234" w:lineRule="exact"/>
              <w:ind w:right="53"/>
              <w:jc w:val="right"/>
              <w:rPr>
                <w:rFonts w:ascii="宋体" w:hAnsi="宋体" w:cs="宋体" w:eastAsia="宋体" w:hint="default"/>
                <w:sz w:val="18"/>
                <w:szCs w:val="18"/>
              </w:rPr>
            </w:pPr>
            <w:r>
              <w:rPr>
                <w:rFonts w:ascii="宋体"/>
                <w:b/>
                <w:w w:val="99"/>
                <w:sz w:val="18"/>
              </w:rPr>
              <w:t>6</w:t>
            </w:r>
            <w:r>
              <w:rPr>
                <w:rFonts w:ascii="宋体"/>
                <w:sz w:val="18"/>
              </w:rPr>
            </w:r>
          </w:p>
        </w:tc>
      </w:tr>
    </w:tbl>
    <w:p>
      <w:pPr>
        <w:spacing w:line="240" w:lineRule="auto" w:before="10"/>
        <w:rPr>
          <w:rFonts w:ascii="宋体" w:hAnsi="宋体" w:cs="宋体" w:eastAsia="宋体" w:hint="default"/>
          <w:sz w:val="7"/>
          <w:szCs w:val="7"/>
        </w:rPr>
      </w:pPr>
    </w:p>
    <w:p>
      <w:pPr>
        <w:pStyle w:val="BodyText"/>
        <w:spacing w:line="240" w:lineRule="auto"/>
        <w:ind w:left="341" w:right="0"/>
        <w:jc w:val="left"/>
      </w:pPr>
      <w:r>
        <w:rPr/>
        <w:t>（续表）</w:t>
      </w:r>
    </w:p>
    <w:p>
      <w:pPr>
        <w:spacing w:line="240" w:lineRule="auto" w:before="1"/>
        <w:rPr>
          <w:rFonts w:ascii="宋体" w:hAnsi="宋体" w:cs="宋体" w:eastAsia="宋体" w:hint="default"/>
          <w:sz w:val="12"/>
          <w:szCs w:val="12"/>
        </w:rPr>
      </w:pPr>
    </w:p>
    <w:tbl>
      <w:tblPr>
        <w:tblW w:w="0" w:type="auto"/>
        <w:jc w:val="left"/>
        <w:tblInd w:w="117" w:type="dxa"/>
        <w:tblLayout w:type="fixed"/>
        <w:tblCellMar>
          <w:top w:w="0" w:type="dxa"/>
          <w:left w:w="0" w:type="dxa"/>
          <w:bottom w:w="0" w:type="dxa"/>
          <w:right w:w="0" w:type="dxa"/>
        </w:tblCellMar>
        <w:tblLook w:val="01E0"/>
      </w:tblPr>
      <w:tblGrid>
        <w:gridCol w:w="2133"/>
        <w:gridCol w:w="1135"/>
        <w:gridCol w:w="1135"/>
        <w:gridCol w:w="992"/>
        <w:gridCol w:w="996"/>
        <w:gridCol w:w="850"/>
        <w:gridCol w:w="851"/>
        <w:gridCol w:w="832"/>
      </w:tblGrid>
      <w:tr>
        <w:trPr>
          <w:trHeight w:val="798" w:hRule="exact"/>
        </w:trPr>
        <w:tc>
          <w:tcPr>
            <w:tcW w:w="213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工程名称</w:t>
            </w:r>
            <w:r>
              <w:rPr>
                <w:rFonts w:ascii="宋体" w:hAnsi="宋体" w:cs="宋体" w:eastAsia="宋体" w:hint="default"/>
                <w:sz w:val="18"/>
                <w:szCs w:val="18"/>
              </w:rPr>
            </w:r>
          </w:p>
        </w:tc>
        <w:tc>
          <w:tcPr>
            <w:tcW w:w="1135" w:type="dxa"/>
            <w:tcBorders>
              <w:top w:val="single" w:sz="12" w:space="0" w:color="000000"/>
              <w:left w:val="single" w:sz="2" w:space="0" w:color="000000"/>
              <w:bottom w:val="single" w:sz="2" w:space="0" w:color="000000"/>
              <w:right w:val="single" w:sz="2" w:space="0" w:color="000000"/>
            </w:tcBorders>
          </w:tcPr>
          <w:p>
            <w:pPr>
              <w:pStyle w:val="TableParagraph"/>
              <w:spacing w:line="278" w:lineRule="auto" w:before="107"/>
              <w:ind w:left="294" w:right="291"/>
              <w:jc w:val="left"/>
              <w:rPr>
                <w:rFonts w:ascii="宋体" w:hAnsi="宋体" w:cs="宋体" w:eastAsia="宋体" w:hint="default"/>
                <w:sz w:val="18"/>
                <w:szCs w:val="18"/>
              </w:rPr>
            </w:pPr>
            <w:r>
              <w:rPr>
                <w:rFonts w:ascii="宋体" w:hAnsi="宋体" w:cs="宋体" w:eastAsia="宋体" w:hint="default"/>
                <w:b/>
                <w:bCs/>
                <w:sz w:val="18"/>
                <w:szCs w:val="18"/>
              </w:rPr>
              <w:t>预算数</w:t>
            </w:r>
            <w:r>
              <w:rPr>
                <w:rFonts w:ascii="宋体" w:hAnsi="宋体" w:cs="宋体" w:eastAsia="宋体" w:hint="default"/>
                <w:b/>
                <w:bCs/>
                <w:w w:val="99"/>
                <w:sz w:val="18"/>
                <w:szCs w:val="18"/>
              </w:rPr>
              <w:t> </w:t>
            </w:r>
            <w:r>
              <w:rPr>
                <w:rFonts w:ascii="宋体" w:hAnsi="宋体" w:cs="宋体" w:eastAsia="宋体" w:hint="default"/>
                <w:b/>
                <w:bCs/>
                <w:sz w:val="18"/>
                <w:szCs w:val="18"/>
              </w:rPr>
              <w:t>(万元)</w:t>
            </w:r>
            <w:r>
              <w:rPr>
                <w:rFonts w:ascii="宋体" w:hAnsi="宋体" w:cs="宋体" w:eastAsia="宋体" w:hint="default"/>
                <w:sz w:val="18"/>
                <w:szCs w:val="18"/>
              </w:rPr>
            </w:r>
          </w:p>
        </w:tc>
        <w:tc>
          <w:tcPr>
            <w:tcW w:w="1135" w:type="dxa"/>
            <w:tcBorders>
              <w:top w:val="single" w:sz="12" w:space="0" w:color="000000"/>
              <w:left w:val="single" w:sz="2" w:space="0" w:color="000000"/>
              <w:bottom w:val="single" w:sz="2" w:space="0" w:color="000000"/>
              <w:right w:val="single" w:sz="2" w:space="0" w:color="000000"/>
            </w:tcBorders>
          </w:tcPr>
          <w:p>
            <w:pPr>
              <w:pStyle w:val="TableParagraph"/>
              <w:spacing w:line="237" w:lineRule="auto" w:before="13"/>
              <w:ind w:left="114" w:right="111"/>
              <w:jc w:val="center"/>
              <w:rPr>
                <w:rFonts w:ascii="宋体" w:hAnsi="宋体" w:cs="宋体" w:eastAsia="宋体" w:hint="default"/>
                <w:sz w:val="18"/>
                <w:szCs w:val="18"/>
              </w:rPr>
            </w:pPr>
            <w:r>
              <w:rPr>
                <w:rFonts w:ascii="宋体" w:hAnsi="宋体" w:cs="宋体" w:eastAsia="宋体" w:hint="default"/>
                <w:b/>
                <w:bCs/>
                <w:sz w:val="18"/>
                <w:szCs w:val="18"/>
              </w:rPr>
              <w:t>工程累计投</w:t>
            </w:r>
            <w:r>
              <w:rPr>
                <w:rFonts w:ascii="宋体" w:hAnsi="宋体" w:cs="宋体" w:eastAsia="宋体" w:hint="default"/>
                <w:b/>
                <w:bCs/>
                <w:w w:val="99"/>
                <w:sz w:val="18"/>
                <w:szCs w:val="18"/>
              </w:rPr>
              <w:t> </w:t>
            </w:r>
            <w:r>
              <w:rPr>
                <w:rFonts w:ascii="宋体" w:hAnsi="宋体" w:cs="宋体" w:eastAsia="宋体" w:hint="default"/>
                <w:b/>
                <w:bCs/>
                <w:sz w:val="18"/>
                <w:szCs w:val="18"/>
              </w:rPr>
              <w:t>入占预算比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99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工程进度</w:t>
            </w:r>
            <w:r>
              <w:rPr>
                <w:rFonts w:ascii="宋体" w:hAnsi="宋体" w:cs="宋体" w:eastAsia="宋体" w:hint="default"/>
                <w:sz w:val="18"/>
                <w:szCs w:val="18"/>
              </w:rPr>
            </w:r>
          </w:p>
        </w:tc>
        <w:tc>
          <w:tcPr>
            <w:tcW w:w="996" w:type="dxa"/>
            <w:tcBorders>
              <w:top w:val="single" w:sz="12" w:space="0" w:color="000000"/>
              <w:left w:val="single" w:sz="2" w:space="0" w:color="000000"/>
              <w:bottom w:val="single" w:sz="2" w:space="0" w:color="000000"/>
              <w:right w:val="single" w:sz="2" w:space="0" w:color="000000"/>
            </w:tcBorders>
          </w:tcPr>
          <w:p>
            <w:pPr>
              <w:pStyle w:val="TableParagraph"/>
              <w:spacing w:line="237" w:lineRule="auto" w:before="13"/>
              <w:ind w:left="135" w:right="131"/>
              <w:jc w:val="both"/>
              <w:rPr>
                <w:rFonts w:ascii="宋体" w:hAnsi="宋体" w:cs="宋体" w:eastAsia="宋体" w:hint="default"/>
                <w:sz w:val="18"/>
                <w:szCs w:val="18"/>
              </w:rPr>
            </w:pPr>
            <w:r>
              <w:rPr>
                <w:rFonts w:ascii="宋体" w:hAnsi="宋体" w:cs="宋体" w:eastAsia="宋体" w:hint="default"/>
                <w:b/>
                <w:bCs/>
                <w:sz w:val="18"/>
                <w:szCs w:val="18"/>
              </w:rPr>
              <w:t>利息资本</w:t>
            </w:r>
            <w:r>
              <w:rPr>
                <w:rFonts w:ascii="宋体" w:hAnsi="宋体" w:cs="宋体" w:eastAsia="宋体" w:hint="default"/>
                <w:b/>
                <w:bCs/>
                <w:w w:val="99"/>
                <w:sz w:val="18"/>
                <w:szCs w:val="18"/>
              </w:rPr>
              <w:t> </w:t>
            </w:r>
            <w:r>
              <w:rPr>
                <w:rFonts w:ascii="宋体" w:hAnsi="宋体" w:cs="宋体" w:eastAsia="宋体" w:hint="default"/>
                <w:b/>
                <w:bCs/>
                <w:sz w:val="18"/>
                <w:szCs w:val="18"/>
              </w:rPr>
              <w:t>化累计金</w:t>
            </w:r>
            <w:r>
              <w:rPr>
                <w:rFonts w:ascii="宋体" w:hAnsi="宋体" w:cs="宋体" w:eastAsia="宋体" w:hint="default"/>
                <w:b/>
                <w:bCs/>
                <w:w w:val="99"/>
                <w:sz w:val="18"/>
                <w:szCs w:val="18"/>
              </w:rPr>
              <w:t> </w:t>
            </w:r>
            <w:r>
              <w:rPr>
                <w:rFonts w:ascii="宋体" w:hAnsi="宋体" w:cs="宋体" w:eastAsia="宋体" w:hint="default"/>
                <w:b/>
                <w:bCs/>
                <w:sz w:val="18"/>
                <w:szCs w:val="18"/>
              </w:rPr>
              <w:t>额(万元)</w:t>
            </w:r>
            <w:r>
              <w:rPr>
                <w:rFonts w:ascii="宋体" w:hAnsi="宋体" w:cs="宋体" w:eastAsia="宋体" w:hint="default"/>
                <w:sz w:val="18"/>
                <w:szCs w:val="18"/>
              </w:rPr>
            </w:r>
          </w:p>
        </w:tc>
        <w:tc>
          <w:tcPr>
            <w:tcW w:w="850" w:type="dxa"/>
            <w:tcBorders>
              <w:top w:val="single" w:sz="12" w:space="0" w:color="000000"/>
              <w:left w:val="single" w:sz="2" w:space="0" w:color="000000"/>
              <w:bottom w:val="single" w:sz="2" w:space="0" w:color="000000"/>
              <w:right w:val="single" w:sz="2" w:space="0" w:color="000000"/>
            </w:tcBorders>
          </w:tcPr>
          <w:p>
            <w:pPr>
              <w:pStyle w:val="TableParagraph"/>
              <w:spacing w:line="237" w:lineRule="auto" w:before="13"/>
              <w:ind w:left="63" w:right="57"/>
              <w:jc w:val="both"/>
              <w:rPr>
                <w:rFonts w:ascii="宋体" w:hAnsi="宋体" w:cs="宋体" w:eastAsia="宋体" w:hint="default"/>
                <w:sz w:val="18"/>
                <w:szCs w:val="18"/>
              </w:rPr>
            </w:pPr>
            <w:r>
              <w:rPr>
                <w:rFonts w:ascii="宋体" w:hAnsi="宋体" w:cs="宋体" w:eastAsia="宋体" w:hint="default"/>
                <w:b/>
                <w:bCs/>
                <w:sz w:val="18"/>
                <w:szCs w:val="18"/>
              </w:rPr>
              <w:t>其中：本</w:t>
            </w:r>
            <w:r>
              <w:rPr>
                <w:rFonts w:ascii="宋体" w:hAnsi="宋体" w:cs="宋体" w:eastAsia="宋体" w:hint="default"/>
                <w:b/>
                <w:bCs/>
                <w:w w:val="99"/>
                <w:sz w:val="18"/>
                <w:szCs w:val="18"/>
              </w:rPr>
              <w:t> </w:t>
            </w:r>
            <w:r>
              <w:rPr>
                <w:rFonts w:ascii="宋体" w:hAnsi="宋体" w:cs="宋体" w:eastAsia="宋体" w:hint="default"/>
                <w:b/>
                <w:bCs/>
                <w:sz w:val="18"/>
                <w:szCs w:val="18"/>
              </w:rPr>
              <w:t>年利息资</w:t>
            </w:r>
            <w:r>
              <w:rPr>
                <w:rFonts w:ascii="宋体" w:hAnsi="宋体" w:cs="宋体" w:eastAsia="宋体" w:hint="default"/>
                <w:b/>
                <w:bCs/>
                <w:w w:val="99"/>
                <w:sz w:val="18"/>
                <w:szCs w:val="18"/>
              </w:rPr>
              <w:t> </w:t>
            </w:r>
            <w:r>
              <w:rPr>
                <w:rFonts w:ascii="宋体" w:hAnsi="宋体" w:cs="宋体" w:eastAsia="宋体" w:hint="default"/>
                <w:b/>
                <w:bCs/>
                <w:sz w:val="18"/>
                <w:szCs w:val="18"/>
              </w:rPr>
              <w:t>本化金额</w:t>
            </w:r>
            <w:r>
              <w:rPr>
                <w:rFonts w:ascii="宋体" w:hAnsi="宋体" w:cs="宋体" w:eastAsia="宋体" w:hint="default"/>
                <w:sz w:val="18"/>
                <w:szCs w:val="18"/>
              </w:rPr>
            </w:r>
          </w:p>
        </w:tc>
        <w:tc>
          <w:tcPr>
            <w:tcW w:w="851" w:type="dxa"/>
            <w:tcBorders>
              <w:top w:val="single" w:sz="12" w:space="0" w:color="000000"/>
              <w:left w:val="single" w:sz="2" w:space="0" w:color="000000"/>
              <w:bottom w:val="single" w:sz="2" w:space="0" w:color="000000"/>
              <w:right w:val="single" w:sz="2" w:space="0" w:color="000000"/>
            </w:tcBorders>
          </w:tcPr>
          <w:p>
            <w:pPr>
              <w:pStyle w:val="TableParagraph"/>
              <w:spacing w:line="237" w:lineRule="auto" w:before="13"/>
              <w:ind w:left="62" w:right="58"/>
              <w:jc w:val="center"/>
              <w:rPr>
                <w:rFonts w:ascii="宋体" w:hAnsi="宋体" w:cs="宋体" w:eastAsia="宋体" w:hint="default"/>
                <w:sz w:val="18"/>
                <w:szCs w:val="18"/>
              </w:rPr>
            </w:pPr>
            <w:r>
              <w:rPr>
                <w:rFonts w:ascii="宋体" w:hAnsi="宋体" w:cs="宋体" w:eastAsia="宋体" w:hint="default"/>
                <w:b/>
                <w:bCs/>
                <w:sz w:val="18"/>
                <w:szCs w:val="18"/>
              </w:rPr>
              <w:t>本年利息</w:t>
            </w:r>
            <w:r>
              <w:rPr>
                <w:rFonts w:ascii="宋体" w:hAnsi="宋体" w:cs="宋体" w:eastAsia="宋体" w:hint="default"/>
                <w:b/>
                <w:bCs/>
                <w:w w:val="99"/>
                <w:sz w:val="18"/>
                <w:szCs w:val="18"/>
              </w:rPr>
              <w:t> </w:t>
            </w:r>
            <w:r>
              <w:rPr>
                <w:rFonts w:ascii="宋体" w:hAnsi="宋体" w:cs="宋体" w:eastAsia="宋体" w:hint="default"/>
                <w:b/>
                <w:bCs/>
                <w:sz w:val="18"/>
                <w:szCs w:val="18"/>
              </w:rPr>
              <w:t>资本化率</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83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0"/>
              <w:jc w:val="right"/>
              <w:rPr>
                <w:rFonts w:ascii="宋体" w:hAnsi="宋体" w:cs="宋体" w:eastAsia="宋体" w:hint="default"/>
                <w:sz w:val="18"/>
                <w:szCs w:val="18"/>
              </w:rPr>
            </w:pPr>
            <w:r>
              <w:rPr>
                <w:rFonts w:ascii="宋体" w:hAnsi="宋体" w:cs="宋体" w:eastAsia="宋体" w:hint="default"/>
                <w:b/>
                <w:bCs/>
                <w:w w:val="95"/>
                <w:sz w:val="18"/>
                <w:szCs w:val="18"/>
              </w:rPr>
              <w:t>资金来源</w:t>
            </w:r>
            <w:r>
              <w:rPr>
                <w:rFonts w:ascii="宋体" w:hAnsi="宋体" w:cs="宋体" w:eastAsia="宋体" w:hint="default"/>
                <w:sz w:val="18"/>
                <w:szCs w:val="18"/>
              </w:rPr>
            </w:r>
          </w:p>
        </w:tc>
      </w:tr>
      <w:tr>
        <w:trPr>
          <w:trHeight w:val="592"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46"/>
              <w:ind w:left="53" w:right="0"/>
              <w:jc w:val="left"/>
              <w:rPr>
                <w:rFonts w:ascii="宋体" w:hAnsi="宋体" w:cs="宋体" w:eastAsia="宋体" w:hint="default"/>
                <w:sz w:val="18"/>
                <w:szCs w:val="18"/>
              </w:rPr>
            </w:pPr>
            <w:r>
              <w:rPr>
                <w:rFonts w:ascii="宋体" w:hAnsi="宋体" w:cs="宋体" w:eastAsia="宋体" w:hint="default"/>
                <w:sz w:val="18"/>
                <w:szCs w:val="18"/>
              </w:rPr>
              <w:t>万马智慧充电创新基地</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right="50"/>
              <w:jc w:val="right"/>
              <w:rPr>
                <w:rFonts w:ascii="宋体" w:hAnsi="宋体" w:cs="宋体" w:eastAsia="宋体" w:hint="default"/>
                <w:sz w:val="18"/>
                <w:szCs w:val="18"/>
              </w:rPr>
            </w:pPr>
            <w:r>
              <w:rPr>
                <w:rFonts w:ascii="宋体"/>
                <w:spacing w:val="-1"/>
                <w:sz w:val="18"/>
              </w:rPr>
              <w:t>21,508.32</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right="47"/>
              <w:jc w:val="right"/>
              <w:rPr>
                <w:rFonts w:ascii="宋体" w:hAnsi="宋体" w:cs="宋体" w:eastAsia="宋体" w:hint="default"/>
                <w:sz w:val="18"/>
                <w:szCs w:val="18"/>
              </w:rPr>
            </w:pPr>
            <w:r>
              <w:rPr>
                <w:rFonts w:ascii="宋体"/>
                <w:spacing w:val="-1"/>
                <w:sz w:val="18"/>
              </w:rPr>
              <w:t>70.01%</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right="1"/>
              <w:jc w:val="center"/>
              <w:rPr>
                <w:rFonts w:ascii="宋体" w:hAnsi="宋体" w:cs="宋体" w:eastAsia="宋体" w:hint="default"/>
                <w:sz w:val="18"/>
                <w:szCs w:val="18"/>
              </w:rPr>
            </w:pPr>
            <w:r>
              <w:rPr>
                <w:rFonts w:ascii="宋体" w:hAnsi="宋体" w:cs="宋体" w:eastAsia="宋体" w:hint="default"/>
                <w:sz w:val="18"/>
                <w:szCs w:val="18"/>
              </w:rPr>
              <w:t>未完工</w:t>
            </w:r>
          </w:p>
        </w:tc>
        <w:tc>
          <w:tcPr>
            <w:tcW w:w="9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46"/>
              <w:ind w:right="48"/>
              <w:jc w:val="right"/>
              <w:rPr>
                <w:rFonts w:ascii="宋体" w:hAnsi="宋体" w:cs="宋体" w:eastAsia="宋体" w:hint="default"/>
                <w:sz w:val="18"/>
                <w:szCs w:val="18"/>
              </w:rPr>
            </w:pPr>
            <w:r>
              <w:rPr>
                <w:rFonts w:ascii="宋体"/>
                <w:spacing w:val="-1"/>
                <w:sz w:val="18"/>
              </w:rPr>
              <w:t>261.41</w:t>
            </w: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78" w:lineRule="auto" w:before="9"/>
              <w:ind w:left="54" w:right="53"/>
              <w:jc w:val="left"/>
              <w:rPr>
                <w:rFonts w:ascii="宋体" w:hAnsi="宋体" w:cs="宋体" w:eastAsia="宋体" w:hint="default"/>
                <w:sz w:val="18"/>
                <w:szCs w:val="18"/>
              </w:rPr>
            </w:pPr>
            <w:r>
              <w:rPr>
                <w:rFonts w:ascii="宋体" w:hAnsi="宋体" w:cs="宋体" w:eastAsia="宋体" w:hint="default"/>
                <w:sz w:val="18"/>
                <w:szCs w:val="18"/>
              </w:rPr>
              <w:t>借款资金 自有资金</w:t>
            </w:r>
          </w:p>
        </w:tc>
      </w:tr>
      <w:tr>
        <w:trPr>
          <w:trHeight w:val="402"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宋体" w:hAnsi="宋体" w:cs="宋体" w:eastAsia="宋体" w:hint="default"/>
                <w:sz w:val="18"/>
                <w:szCs w:val="18"/>
              </w:rPr>
              <w:t>7.5</w:t>
            </w:r>
            <w:r>
              <w:rPr>
                <w:rFonts w:ascii="宋体" w:hAnsi="宋体" w:cs="宋体" w:eastAsia="宋体" w:hint="default"/>
                <w:spacing w:val="-47"/>
                <w:sz w:val="18"/>
                <w:szCs w:val="18"/>
              </w:rPr>
              <w:t> </w:t>
            </w:r>
            <w:r>
              <w:rPr>
                <w:rFonts w:ascii="宋体" w:hAnsi="宋体" w:cs="宋体" w:eastAsia="宋体" w:hint="default"/>
                <w:sz w:val="18"/>
                <w:szCs w:val="18"/>
              </w:rPr>
              <w:t>万吨电缆料项目</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72"/>
              <w:jc w:val="right"/>
              <w:rPr>
                <w:rFonts w:ascii="宋体" w:hAnsi="宋体" w:cs="宋体" w:eastAsia="宋体" w:hint="default"/>
                <w:sz w:val="18"/>
                <w:szCs w:val="18"/>
              </w:rPr>
            </w:pPr>
            <w:r>
              <w:rPr>
                <w:rFonts w:ascii="宋体"/>
                <w:spacing w:val="-1"/>
                <w:sz w:val="18"/>
              </w:rPr>
              <w:t>3,830.91</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71"/>
              <w:jc w:val="right"/>
              <w:rPr>
                <w:rFonts w:ascii="宋体" w:hAnsi="宋体" w:cs="宋体" w:eastAsia="宋体" w:hint="default"/>
                <w:sz w:val="18"/>
                <w:szCs w:val="18"/>
              </w:rPr>
            </w:pPr>
            <w:r>
              <w:rPr>
                <w:rFonts w:ascii="宋体"/>
                <w:spacing w:val="-1"/>
                <w:sz w:val="18"/>
              </w:rPr>
              <w:t>84.63%</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未完工</w:t>
            </w:r>
          </w:p>
        </w:tc>
        <w:tc>
          <w:tcPr>
            <w:tcW w:w="996"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自有资金</w:t>
            </w:r>
          </w:p>
        </w:tc>
      </w:tr>
      <w:tr>
        <w:trPr>
          <w:trHeight w:val="552"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53" w:right="0"/>
              <w:jc w:val="left"/>
              <w:rPr>
                <w:rFonts w:ascii="宋体" w:hAnsi="宋体" w:cs="宋体" w:eastAsia="宋体" w:hint="default"/>
                <w:sz w:val="18"/>
                <w:szCs w:val="18"/>
              </w:rPr>
            </w:pPr>
            <w:r>
              <w:rPr>
                <w:rFonts w:ascii="宋体" w:hAnsi="宋体" w:cs="宋体" w:eastAsia="宋体" w:hint="default"/>
                <w:sz w:val="18"/>
                <w:szCs w:val="18"/>
              </w:rPr>
              <w:t>充电桩项目</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72"/>
              <w:jc w:val="right"/>
              <w:rPr>
                <w:rFonts w:ascii="宋体" w:hAnsi="宋体" w:cs="宋体" w:eastAsia="宋体" w:hint="default"/>
                <w:sz w:val="18"/>
                <w:szCs w:val="18"/>
              </w:rPr>
            </w:pPr>
            <w:r>
              <w:rPr>
                <w:rFonts w:ascii="宋体"/>
                <w:spacing w:val="-1"/>
                <w:sz w:val="18"/>
              </w:rPr>
              <w:t>1,599.98</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71"/>
              <w:jc w:val="right"/>
              <w:rPr>
                <w:rFonts w:ascii="宋体" w:hAnsi="宋体" w:cs="宋体" w:eastAsia="宋体" w:hint="default"/>
                <w:sz w:val="18"/>
                <w:szCs w:val="18"/>
              </w:rPr>
            </w:pPr>
            <w:r>
              <w:rPr>
                <w:rFonts w:ascii="宋体"/>
                <w:spacing w:val="-1"/>
                <w:sz w:val="18"/>
              </w:rPr>
              <w:t>52.68%</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未完工</w:t>
            </w:r>
          </w:p>
        </w:tc>
        <w:tc>
          <w:tcPr>
            <w:tcW w:w="996"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32" w:lineRule="exact" w:before="36"/>
              <w:ind w:left="54" w:right="53"/>
              <w:jc w:val="left"/>
              <w:rPr>
                <w:rFonts w:ascii="宋体" w:hAnsi="宋体" w:cs="宋体" w:eastAsia="宋体" w:hint="default"/>
                <w:sz w:val="18"/>
                <w:szCs w:val="18"/>
              </w:rPr>
            </w:pPr>
            <w:r>
              <w:rPr>
                <w:rFonts w:ascii="宋体" w:hAnsi="宋体" w:cs="宋体" w:eastAsia="宋体" w:hint="default"/>
                <w:sz w:val="18"/>
                <w:szCs w:val="18"/>
              </w:rPr>
              <w:t>自有资金 募集资金</w:t>
            </w:r>
          </w:p>
        </w:tc>
      </w:tr>
      <w:tr>
        <w:trPr>
          <w:trHeight w:val="402"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硅烷</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线</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72"/>
              <w:jc w:val="right"/>
              <w:rPr>
                <w:rFonts w:ascii="宋体" w:hAnsi="宋体" w:cs="宋体" w:eastAsia="宋体" w:hint="default"/>
                <w:sz w:val="18"/>
                <w:szCs w:val="18"/>
              </w:rPr>
            </w:pPr>
            <w:r>
              <w:rPr>
                <w:rFonts w:ascii="宋体"/>
                <w:spacing w:val="-1"/>
                <w:sz w:val="18"/>
              </w:rPr>
              <w:t>590.00</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71"/>
              <w:jc w:val="right"/>
              <w:rPr>
                <w:rFonts w:ascii="宋体" w:hAnsi="宋体" w:cs="宋体" w:eastAsia="宋体" w:hint="default"/>
                <w:sz w:val="18"/>
                <w:szCs w:val="18"/>
              </w:rPr>
            </w:pPr>
            <w:r>
              <w:rPr>
                <w:rFonts w:ascii="宋体"/>
                <w:spacing w:val="-1"/>
                <w:sz w:val="18"/>
              </w:rPr>
              <w:t>67.74%</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未完工</w:t>
            </w:r>
          </w:p>
        </w:tc>
        <w:tc>
          <w:tcPr>
            <w:tcW w:w="996"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自有资金</w:t>
            </w:r>
          </w:p>
        </w:tc>
      </w:tr>
      <w:tr>
        <w:trPr>
          <w:trHeight w:val="825"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sz w:val="18"/>
                <w:szCs w:val="18"/>
              </w:rPr>
              <w:t>35kV</w:t>
            </w:r>
            <w:r>
              <w:rPr>
                <w:rFonts w:ascii="宋体" w:hAnsi="宋体" w:cs="宋体" w:eastAsia="宋体" w:hint="default"/>
                <w:spacing w:val="-46"/>
                <w:sz w:val="18"/>
                <w:szCs w:val="18"/>
              </w:rPr>
              <w:t> </w:t>
            </w:r>
            <w:r>
              <w:rPr>
                <w:rFonts w:ascii="宋体" w:hAnsi="宋体" w:cs="宋体" w:eastAsia="宋体" w:hint="default"/>
                <w:sz w:val="18"/>
                <w:szCs w:val="18"/>
              </w:rPr>
              <w:t>万马高分子变电站</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72"/>
              <w:jc w:val="right"/>
              <w:rPr>
                <w:rFonts w:ascii="宋体" w:hAnsi="宋体" w:cs="宋体" w:eastAsia="宋体" w:hint="default"/>
                <w:sz w:val="18"/>
                <w:szCs w:val="18"/>
              </w:rPr>
            </w:pPr>
            <w:r>
              <w:rPr>
                <w:rFonts w:ascii="宋体"/>
                <w:spacing w:val="-1"/>
                <w:sz w:val="18"/>
              </w:rPr>
              <w:t>1,254.91</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71"/>
              <w:jc w:val="right"/>
              <w:rPr>
                <w:rFonts w:ascii="宋体" w:hAnsi="宋体" w:cs="宋体" w:eastAsia="宋体" w:hint="default"/>
                <w:sz w:val="18"/>
                <w:szCs w:val="18"/>
              </w:rPr>
            </w:pPr>
            <w:r>
              <w:rPr>
                <w:rFonts w:ascii="宋体"/>
                <w:spacing w:val="-1"/>
                <w:sz w:val="18"/>
              </w:rPr>
              <w:t>98.03%</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已完工</w:t>
            </w:r>
          </w:p>
        </w:tc>
        <w:tc>
          <w:tcPr>
            <w:tcW w:w="9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72"/>
              <w:jc w:val="right"/>
              <w:rPr>
                <w:rFonts w:ascii="宋体" w:hAnsi="宋体" w:cs="宋体" w:eastAsia="宋体" w:hint="default"/>
                <w:sz w:val="18"/>
                <w:szCs w:val="18"/>
              </w:rPr>
            </w:pPr>
            <w:r>
              <w:rPr>
                <w:rFonts w:ascii="宋体"/>
                <w:sz w:val="18"/>
              </w:rPr>
              <w:t>3.04</w:t>
            </w: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56" w:lineRule="auto" w:before="10"/>
              <w:ind w:left="54" w:right="53"/>
              <w:jc w:val="both"/>
              <w:rPr>
                <w:rFonts w:ascii="宋体" w:hAnsi="宋体" w:cs="宋体" w:eastAsia="宋体" w:hint="default"/>
                <w:sz w:val="18"/>
                <w:szCs w:val="18"/>
              </w:rPr>
            </w:pPr>
            <w:r>
              <w:rPr>
                <w:rFonts w:ascii="宋体" w:hAnsi="宋体" w:cs="宋体" w:eastAsia="宋体" w:hint="default"/>
                <w:sz w:val="18"/>
                <w:szCs w:val="18"/>
              </w:rPr>
              <w:t>借款资金 自有资金 募集资金</w:t>
            </w:r>
          </w:p>
        </w:tc>
      </w:tr>
      <w:tr>
        <w:trPr>
          <w:trHeight w:val="402"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技改工程</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72"/>
              <w:jc w:val="right"/>
              <w:rPr>
                <w:rFonts w:ascii="宋体" w:hAnsi="宋体" w:cs="宋体" w:eastAsia="宋体" w:hint="default"/>
                <w:sz w:val="18"/>
                <w:szCs w:val="18"/>
              </w:rPr>
            </w:pPr>
            <w:r>
              <w:rPr>
                <w:rFonts w:ascii="宋体"/>
                <w:spacing w:val="-1"/>
                <w:sz w:val="18"/>
              </w:rPr>
              <w:t>175.00</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71"/>
              <w:jc w:val="right"/>
              <w:rPr>
                <w:rFonts w:ascii="宋体" w:hAnsi="宋体" w:cs="宋体" w:eastAsia="宋体" w:hint="default"/>
                <w:sz w:val="18"/>
                <w:szCs w:val="18"/>
              </w:rPr>
            </w:pPr>
            <w:r>
              <w:rPr>
                <w:rFonts w:ascii="宋体"/>
                <w:spacing w:val="-1"/>
                <w:sz w:val="18"/>
              </w:rPr>
              <w:t>91.86%</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未完工</w:t>
            </w:r>
          </w:p>
        </w:tc>
        <w:tc>
          <w:tcPr>
            <w:tcW w:w="996"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自有资金</w:t>
            </w:r>
          </w:p>
        </w:tc>
      </w:tr>
      <w:tr>
        <w:trPr>
          <w:trHeight w:val="402"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光伏主钢架加固项目</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72"/>
              <w:jc w:val="right"/>
              <w:rPr>
                <w:rFonts w:ascii="宋体" w:hAnsi="宋体" w:cs="宋体" w:eastAsia="宋体" w:hint="default"/>
                <w:sz w:val="18"/>
                <w:szCs w:val="18"/>
              </w:rPr>
            </w:pPr>
            <w:r>
              <w:rPr>
                <w:rFonts w:ascii="宋体"/>
                <w:spacing w:val="-1"/>
                <w:sz w:val="18"/>
              </w:rPr>
              <w:t>478.52</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71"/>
              <w:jc w:val="right"/>
              <w:rPr>
                <w:rFonts w:ascii="宋体" w:hAnsi="宋体" w:cs="宋体" w:eastAsia="宋体" w:hint="default"/>
                <w:sz w:val="18"/>
                <w:szCs w:val="18"/>
              </w:rPr>
            </w:pPr>
            <w:r>
              <w:rPr>
                <w:rFonts w:ascii="宋体"/>
                <w:spacing w:val="-1"/>
                <w:sz w:val="18"/>
              </w:rPr>
              <w:t>84.49%</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已完工</w:t>
            </w:r>
          </w:p>
        </w:tc>
        <w:tc>
          <w:tcPr>
            <w:tcW w:w="996"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53"/>
              <w:jc w:val="right"/>
              <w:rPr>
                <w:rFonts w:ascii="宋体" w:hAnsi="宋体" w:cs="宋体" w:eastAsia="宋体" w:hint="default"/>
                <w:sz w:val="18"/>
                <w:szCs w:val="18"/>
              </w:rPr>
            </w:pPr>
            <w:r>
              <w:rPr>
                <w:rFonts w:ascii="宋体" w:hAnsi="宋体" w:cs="宋体" w:eastAsia="宋体" w:hint="default"/>
                <w:sz w:val="18"/>
                <w:szCs w:val="18"/>
              </w:rPr>
              <w:t>自有资金</w:t>
            </w:r>
          </w:p>
        </w:tc>
      </w:tr>
      <w:tr>
        <w:trPr>
          <w:trHeight w:val="402"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布电线生产线</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220.00</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95.23%</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已完工</w:t>
            </w:r>
          </w:p>
        </w:tc>
        <w:tc>
          <w:tcPr>
            <w:tcW w:w="996"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自有资金</w:t>
            </w:r>
          </w:p>
        </w:tc>
      </w:tr>
      <w:tr>
        <w:trPr>
          <w:trHeight w:val="400" w:hRule="exact"/>
        </w:trPr>
        <w:tc>
          <w:tcPr>
            <w:tcW w:w="21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PVC</w:t>
            </w:r>
            <w:r>
              <w:rPr>
                <w:rFonts w:ascii="宋体" w:hAnsi="宋体" w:cs="宋体" w:eastAsia="宋体" w:hint="default"/>
                <w:spacing w:val="-47"/>
                <w:sz w:val="18"/>
                <w:szCs w:val="18"/>
              </w:rPr>
              <w:t> </w:t>
            </w:r>
            <w:r>
              <w:rPr>
                <w:rFonts w:ascii="宋体" w:hAnsi="宋体" w:cs="宋体" w:eastAsia="宋体" w:hint="default"/>
                <w:sz w:val="18"/>
                <w:szCs w:val="18"/>
              </w:rPr>
              <w:t>线缆工程</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48"/>
              <w:jc w:val="right"/>
              <w:rPr>
                <w:rFonts w:ascii="宋体" w:hAnsi="宋体" w:cs="宋体" w:eastAsia="宋体" w:hint="default"/>
                <w:sz w:val="18"/>
                <w:szCs w:val="18"/>
              </w:rPr>
            </w:pPr>
            <w:r>
              <w:rPr>
                <w:rFonts w:ascii="宋体"/>
                <w:spacing w:val="-1"/>
                <w:sz w:val="18"/>
              </w:rPr>
              <w:t>1,077.44</w:t>
            </w:r>
          </w:p>
        </w:tc>
        <w:tc>
          <w:tcPr>
            <w:tcW w:w="113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100.00%</w:t>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已完工</w:t>
            </w:r>
          </w:p>
        </w:tc>
        <w:tc>
          <w:tcPr>
            <w:tcW w:w="996"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851" w:type="dxa"/>
            <w:tcBorders>
              <w:top w:val="single" w:sz="2" w:space="0" w:color="000000"/>
              <w:left w:val="single" w:sz="2" w:space="0" w:color="000000"/>
              <w:bottom w:val="single" w:sz="2" w:space="0" w:color="000000"/>
              <w:right w:val="single" w:sz="2" w:space="0" w:color="000000"/>
            </w:tcBorders>
          </w:tcPr>
          <w:p>
            <w:pPr/>
          </w:p>
        </w:tc>
        <w:tc>
          <w:tcPr>
            <w:tcW w:w="8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53"/>
              <w:jc w:val="right"/>
              <w:rPr>
                <w:rFonts w:ascii="宋体" w:hAnsi="宋体" w:cs="宋体" w:eastAsia="宋体" w:hint="default"/>
                <w:sz w:val="18"/>
                <w:szCs w:val="18"/>
              </w:rPr>
            </w:pPr>
            <w:r>
              <w:rPr>
                <w:rFonts w:ascii="宋体" w:hAnsi="宋体" w:cs="宋体" w:eastAsia="宋体" w:hint="default"/>
                <w:sz w:val="18"/>
                <w:szCs w:val="18"/>
              </w:rPr>
              <w:t>自有资金</w:t>
            </w:r>
          </w:p>
        </w:tc>
      </w:tr>
    </w:tbl>
    <w:p>
      <w:pPr>
        <w:spacing w:after="0" w:line="240" w:lineRule="auto"/>
        <w:jc w:val="right"/>
        <w:rPr>
          <w:rFonts w:ascii="宋体" w:hAnsi="宋体" w:cs="宋体" w:eastAsia="宋体" w:hint="default"/>
          <w:sz w:val="18"/>
          <w:szCs w:val="18"/>
        </w:rPr>
        <w:sectPr>
          <w:pgSz w:w="11910" w:h="16840"/>
          <w:pgMar w:header="939" w:footer="883" w:top="1940" w:bottom="1080" w:left="1360" w:right="0"/>
        </w:sectPr>
      </w:pPr>
    </w:p>
    <w:p>
      <w:pPr>
        <w:spacing w:line="240" w:lineRule="auto" w:before="12"/>
        <w:rPr>
          <w:rFonts w:ascii="宋体" w:hAnsi="宋体" w:cs="宋体" w:eastAsia="宋体" w:hint="default"/>
          <w:sz w:val="12"/>
          <w:szCs w:val="12"/>
        </w:rPr>
      </w:pPr>
    </w:p>
    <w:tbl>
      <w:tblPr>
        <w:tblW w:w="0" w:type="auto"/>
        <w:jc w:val="left"/>
        <w:tblInd w:w="117" w:type="dxa"/>
        <w:tblLayout w:type="fixed"/>
        <w:tblCellMar>
          <w:top w:w="0" w:type="dxa"/>
          <w:left w:w="0" w:type="dxa"/>
          <w:bottom w:w="0" w:type="dxa"/>
          <w:right w:w="0" w:type="dxa"/>
        </w:tblCellMar>
        <w:tblLook w:val="01E0"/>
      </w:tblPr>
      <w:tblGrid>
        <w:gridCol w:w="2133"/>
        <w:gridCol w:w="1135"/>
        <w:gridCol w:w="1135"/>
        <w:gridCol w:w="992"/>
        <w:gridCol w:w="996"/>
        <w:gridCol w:w="850"/>
        <w:gridCol w:w="851"/>
        <w:gridCol w:w="832"/>
      </w:tblGrid>
      <w:tr>
        <w:trPr>
          <w:trHeight w:val="798" w:hRule="exact"/>
        </w:trPr>
        <w:tc>
          <w:tcPr>
            <w:tcW w:w="213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工程名称</w:t>
            </w:r>
            <w:r>
              <w:rPr>
                <w:rFonts w:ascii="宋体" w:hAnsi="宋体" w:cs="宋体" w:eastAsia="宋体" w:hint="default"/>
                <w:sz w:val="18"/>
                <w:szCs w:val="18"/>
              </w:rPr>
            </w:r>
          </w:p>
        </w:tc>
        <w:tc>
          <w:tcPr>
            <w:tcW w:w="1135" w:type="dxa"/>
            <w:tcBorders>
              <w:top w:val="single" w:sz="12" w:space="0" w:color="000000"/>
              <w:left w:val="single" w:sz="2" w:space="0" w:color="000000"/>
              <w:bottom w:val="single" w:sz="2" w:space="0" w:color="000000"/>
              <w:right w:val="single" w:sz="2" w:space="0" w:color="000000"/>
            </w:tcBorders>
          </w:tcPr>
          <w:p>
            <w:pPr>
              <w:pStyle w:val="TableParagraph"/>
              <w:spacing w:line="278" w:lineRule="auto" w:before="108"/>
              <w:ind w:left="294" w:right="291"/>
              <w:jc w:val="left"/>
              <w:rPr>
                <w:rFonts w:ascii="宋体" w:hAnsi="宋体" w:cs="宋体" w:eastAsia="宋体" w:hint="default"/>
                <w:sz w:val="18"/>
                <w:szCs w:val="18"/>
              </w:rPr>
            </w:pPr>
            <w:r>
              <w:rPr>
                <w:rFonts w:ascii="宋体" w:hAnsi="宋体" w:cs="宋体" w:eastAsia="宋体" w:hint="default"/>
                <w:b/>
                <w:bCs/>
                <w:sz w:val="18"/>
                <w:szCs w:val="18"/>
              </w:rPr>
              <w:t>预算数</w:t>
            </w:r>
            <w:r>
              <w:rPr>
                <w:rFonts w:ascii="宋体" w:hAnsi="宋体" w:cs="宋体" w:eastAsia="宋体" w:hint="default"/>
                <w:b/>
                <w:bCs/>
                <w:w w:val="99"/>
                <w:sz w:val="18"/>
                <w:szCs w:val="18"/>
              </w:rPr>
              <w:t> </w:t>
            </w:r>
            <w:r>
              <w:rPr>
                <w:rFonts w:ascii="宋体" w:hAnsi="宋体" w:cs="宋体" w:eastAsia="宋体" w:hint="default"/>
                <w:b/>
                <w:bCs/>
                <w:sz w:val="18"/>
                <w:szCs w:val="18"/>
              </w:rPr>
              <w:t>(万元)</w:t>
            </w:r>
            <w:r>
              <w:rPr>
                <w:rFonts w:ascii="宋体" w:hAnsi="宋体" w:cs="宋体" w:eastAsia="宋体" w:hint="default"/>
                <w:sz w:val="18"/>
                <w:szCs w:val="18"/>
              </w:rPr>
            </w:r>
          </w:p>
        </w:tc>
        <w:tc>
          <w:tcPr>
            <w:tcW w:w="1135"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114" w:right="111"/>
              <w:jc w:val="center"/>
              <w:rPr>
                <w:rFonts w:ascii="宋体" w:hAnsi="宋体" w:cs="宋体" w:eastAsia="宋体" w:hint="default"/>
                <w:sz w:val="18"/>
                <w:szCs w:val="18"/>
              </w:rPr>
            </w:pPr>
            <w:r>
              <w:rPr>
                <w:rFonts w:ascii="宋体" w:hAnsi="宋体" w:cs="宋体" w:eastAsia="宋体" w:hint="default"/>
                <w:b/>
                <w:bCs/>
                <w:sz w:val="18"/>
                <w:szCs w:val="18"/>
              </w:rPr>
              <w:t>工程累计投</w:t>
            </w:r>
            <w:r>
              <w:rPr>
                <w:rFonts w:ascii="宋体" w:hAnsi="宋体" w:cs="宋体" w:eastAsia="宋体" w:hint="default"/>
                <w:b/>
                <w:bCs/>
                <w:w w:val="99"/>
                <w:sz w:val="18"/>
                <w:szCs w:val="18"/>
              </w:rPr>
              <w:t> </w:t>
            </w:r>
            <w:r>
              <w:rPr>
                <w:rFonts w:ascii="宋体" w:hAnsi="宋体" w:cs="宋体" w:eastAsia="宋体" w:hint="default"/>
                <w:b/>
                <w:bCs/>
                <w:sz w:val="18"/>
                <w:szCs w:val="18"/>
              </w:rPr>
              <w:t>入占预算比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99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33" w:right="0"/>
              <w:jc w:val="left"/>
              <w:rPr>
                <w:rFonts w:ascii="宋体" w:hAnsi="宋体" w:cs="宋体" w:eastAsia="宋体" w:hint="default"/>
                <w:sz w:val="18"/>
                <w:szCs w:val="18"/>
              </w:rPr>
            </w:pPr>
            <w:r>
              <w:rPr>
                <w:rFonts w:ascii="宋体" w:hAnsi="宋体" w:cs="宋体" w:eastAsia="宋体" w:hint="default"/>
                <w:b/>
                <w:bCs/>
                <w:sz w:val="18"/>
                <w:szCs w:val="18"/>
              </w:rPr>
              <w:t>工程进度</w:t>
            </w:r>
            <w:r>
              <w:rPr>
                <w:rFonts w:ascii="宋体" w:hAnsi="宋体" w:cs="宋体" w:eastAsia="宋体" w:hint="default"/>
                <w:sz w:val="18"/>
                <w:szCs w:val="18"/>
              </w:rPr>
            </w:r>
          </w:p>
        </w:tc>
        <w:tc>
          <w:tcPr>
            <w:tcW w:w="996"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135" w:right="131"/>
              <w:jc w:val="both"/>
              <w:rPr>
                <w:rFonts w:ascii="宋体" w:hAnsi="宋体" w:cs="宋体" w:eastAsia="宋体" w:hint="default"/>
                <w:sz w:val="18"/>
                <w:szCs w:val="18"/>
              </w:rPr>
            </w:pPr>
            <w:r>
              <w:rPr>
                <w:rFonts w:ascii="宋体" w:hAnsi="宋体" w:cs="宋体" w:eastAsia="宋体" w:hint="default"/>
                <w:b/>
                <w:bCs/>
                <w:sz w:val="18"/>
                <w:szCs w:val="18"/>
              </w:rPr>
              <w:t>利息资本</w:t>
            </w:r>
            <w:r>
              <w:rPr>
                <w:rFonts w:ascii="宋体" w:hAnsi="宋体" w:cs="宋体" w:eastAsia="宋体" w:hint="default"/>
                <w:b/>
                <w:bCs/>
                <w:w w:val="99"/>
                <w:sz w:val="18"/>
                <w:szCs w:val="18"/>
              </w:rPr>
              <w:t> </w:t>
            </w:r>
            <w:r>
              <w:rPr>
                <w:rFonts w:ascii="宋体" w:hAnsi="宋体" w:cs="宋体" w:eastAsia="宋体" w:hint="default"/>
                <w:b/>
                <w:bCs/>
                <w:sz w:val="18"/>
                <w:szCs w:val="18"/>
              </w:rPr>
              <w:t>化累计金</w:t>
            </w:r>
            <w:r>
              <w:rPr>
                <w:rFonts w:ascii="宋体" w:hAnsi="宋体" w:cs="宋体" w:eastAsia="宋体" w:hint="default"/>
                <w:b/>
                <w:bCs/>
                <w:w w:val="99"/>
                <w:sz w:val="18"/>
                <w:szCs w:val="18"/>
              </w:rPr>
              <w:t> </w:t>
            </w:r>
            <w:r>
              <w:rPr>
                <w:rFonts w:ascii="宋体" w:hAnsi="宋体" w:cs="宋体" w:eastAsia="宋体" w:hint="default"/>
                <w:b/>
                <w:bCs/>
                <w:sz w:val="18"/>
                <w:szCs w:val="18"/>
              </w:rPr>
              <w:t>额(万元)</w:t>
            </w:r>
            <w:r>
              <w:rPr>
                <w:rFonts w:ascii="宋体" w:hAnsi="宋体" w:cs="宋体" w:eastAsia="宋体" w:hint="default"/>
                <w:sz w:val="18"/>
                <w:szCs w:val="18"/>
              </w:rPr>
            </w:r>
          </w:p>
        </w:tc>
        <w:tc>
          <w:tcPr>
            <w:tcW w:w="850"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63" w:right="57"/>
              <w:jc w:val="both"/>
              <w:rPr>
                <w:rFonts w:ascii="宋体" w:hAnsi="宋体" w:cs="宋体" w:eastAsia="宋体" w:hint="default"/>
                <w:sz w:val="18"/>
                <w:szCs w:val="18"/>
              </w:rPr>
            </w:pPr>
            <w:r>
              <w:rPr>
                <w:rFonts w:ascii="宋体" w:hAnsi="宋体" w:cs="宋体" w:eastAsia="宋体" w:hint="default"/>
                <w:b/>
                <w:bCs/>
                <w:sz w:val="18"/>
                <w:szCs w:val="18"/>
              </w:rPr>
              <w:t>其中：本</w:t>
            </w:r>
            <w:r>
              <w:rPr>
                <w:rFonts w:ascii="宋体" w:hAnsi="宋体" w:cs="宋体" w:eastAsia="宋体" w:hint="default"/>
                <w:b/>
                <w:bCs/>
                <w:w w:val="99"/>
                <w:sz w:val="18"/>
                <w:szCs w:val="18"/>
              </w:rPr>
              <w:t> </w:t>
            </w:r>
            <w:r>
              <w:rPr>
                <w:rFonts w:ascii="宋体" w:hAnsi="宋体" w:cs="宋体" w:eastAsia="宋体" w:hint="default"/>
                <w:b/>
                <w:bCs/>
                <w:sz w:val="18"/>
                <w:szCs w:val="18"/>
              </w:rPr>
              <w:t>年利息资</w:t>
            </w:r>
            <w:r>
              <w:rPr>
                <w:rFonts w:ascii="宋体" w:hAnsi="宋体" w:cs="宋体" w:eastAsia="宋体" w:hint="default"/>
                <w:b/>
                <w:bCs/>
                <w:w w:val="99"/>
                <w:sz w:val="18"/>
                <w:szCs w:val="18"/>
              </w:rPr>
              <w:t> </w:t>
            </w:r>
            <w:r>
              <w:rPr>
                <w:rFonts w:ascii="宋体" w:hAnsi="宋体" w:cs="宋体" w:eastAsia="宋体" w:hint="default"/>
                <w:b/>
                <w:bCs/>
                <w:sz w:val="18"/>
                <w:szCs w:val="18"/>
              </w:rPr>
              <w:t>本化金额</w:t>
            </w:r>
            <w:r>
              <w:rPr>
                <w:rFonts w:ascii="宋体" w:hAnsi="宋体" w:cs="宋体" w:eastAsia="宋体" w:hint="default"/>
                <w:sz w:val="18"/>
                <w:szCs w:val="18"/>
              </w:rPr>
            </w:r>
          </w:p>
        </w:tc>
        <w:tc>
          <w:tcPr>
            <w:tcW w:w="851"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62" w:right="58"/>
              <w:jc w:val="center"/>
              <w:rPr>
                <w:rFonts w:ascii="宋体" w:hAnsi="宋体" w:cs="宋体" w:eastAsia="宋体" w:hint="default"/>
                <w:sz w:val="18"/>
                <w:szCs w:val="18"/>
              </w:rPr>
            </w:pPr>
            <w:r>
              <w:rPr>
                <w:rFonts w:ascii="宋体" w:hAnsi="宋体" w:cs="宋体" w:eastAsia="宋体" w:hint="default"/>
                <w:b/>
                <w:bCs/>
                <w:sz w:val="18"/>
                <w:szCs w:val="18"/>
              </w:rPr>
              <w:t>本年利息</w:t>
            </w:r>
            <w:r>
              <w:rPr>
                <w:rFonts w:ascii="宋体" w:hAnsi="宋体" w:cs="宋体" w:eastAsia="宋体" w:hint="default"/>
                <w:b/>
                <w:bCs/>
                <w:w w:val="99"/>
                <w:sz w:val="18"/>
                <w:szCs w:val="18"/>
              </w:rPr>
              <w:t> </w:t>
            </w:r>
            <w:r>
              <w:rPr>
                <w:rFonts w:ascii="宋体" w:hAnsi="宋体" w:cs="宋体" w:eastAsia="宋体" w:hint="default"/>
                <w:b/>
                <w:bCs/>
                <w:sz w:val="18"/>
                <w:szCs w:val="18"/>
              </w:rPr>
              <w:t>资本化率</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83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4" w:right="0"/>
              <w:jc w:val="left"/>
              <w:rPr>
                <w:rFonts w:ascii="宋体" w:hAnsi="宋体" w:cs="宋体" w:eastAsia="宋体" w:hint="default"/>
                <w:sz w:val="18"/>
                <w:szCs w:val="18"/>
              </w:rPr>
            </w:pPr>
            <w:r>
              <w:rPr>
                <w:rFonts w:ascii="宋体" w:hAnsi="宋体" w:cs="宋体" w:eastAsia="宋体" w:hint="default"/>
                <w:b/>
                <w:bCs/>
                <w:sz w:val="18"/>
                <w:szCs w:val="18"/>
              </w:rPr>
              <w:t>资金来源</w:t>
            </w:r>
            <w:r>
              <w:rPr>
                <w:rFonts w:ascii="宋体" w:hAnsi="宋体" w:cs="宋体" w:eastAsia="宋体" w:hint="default"/>
                <w:sz w:val="18"/>
                <w:szCs w:val="18"/>
              </w:rPr>
            </w:r>
          </w:p>
        </w:tc>
      </w:tr>
      <w:tr>
        <w:trPr>
          <w:trHeight w:val="414" w:hRule="exact"/>
        </w:trPr>
        <w:tc>
          <w:tcPr>
            <w:tcW w:w="213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3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267" w:right="0"/>
              <w:jc w:val="left"/>
              <w:rPr>
                <w:rFonts w:ascii="宋体" w:hAnsi="宋体" w:cs="宋体" w:eastAsia="宋体" w:hint="default"/>
                <w:sz w:val="18"/>
                <w:szCs w:val="18"/>
              </w:rPr>
            </w:pPr>
            <w:r>
              <w:rPr>
                <w:rFonts w:ascii="宋体"/>
                <w:b/>
                <w:sz w:val="18"/>
              </w:rPr>
              <w:t>30,735.08</w:t>
            </w:r>
            <w:r>
              <w:rPr>
                <w:rFonts w:ascii="宋体"/>
                <w:sz w:val="18"/>
              </w:rPr>
            </w:r>
          </w:p>
        </w:tc>
        <w:tc>
          <w:tcPr>
            <w:tcW w:w="1135" w:type="dxa"/>
            <w:tcBorders>
              <w:top w:val="single" w:sz="2" w:space="0" w:color="000000"/>
              <w:left w:val="single" w:sz="2" w:space="0" w:color="000000"/>
              <w:bottom w:val="single" w:sz="12" w:space="0" w:color="000000"/>
              <w:right w:val="single" w:sz="2" w:space="0" w:color="000000"/>
            </w:tcBorders>
          </w:tcPr>
          <w:p>
            <w:pPr/>
          </w:p>
        </w:tc>
        <w:tc>
          <w:tcPr>
            <w:tcW w:w="992" w:type="dxa"/>
            <w:tcBorders>
              <w:top w:val="single" w:sz="2" w:space="0" w:color="000000"/>
              <w:left w:val="single" w:sz="2" w:space="0" w:color="000000"/>
              <w:bottom w:val="single" w:sz="12" w:space="0" w:color="000000"/>
              <w:right w:val="single" w:sz="2" w:space="0" w:color="000000"/>
            </w:tcBorders>
          </w:tcPr>
          <w:p>
            <w:pPr/>
          </w:p>
        </w:tc>
        <w:tc>
          <w:tcPr>
            <w:tcW w:w="99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399" w:right="0"/>
              <w:jc w:val="left"/>
              <w:rPr>
                <w:rFonts w:ascii="宋体" w:hAnsi="宋体" w:cs="宋体" w:eastAsia="宋体" w:hint="default"/>
                <w:sz w:val="18"/>
                <w:szCs w:val="18"/>
              </w:rPr>
            </w:pPr>
            <w:r>
              <w:rPr>
                <w:rFonts w:ascii="宋体"/>
                <w:b/>
                <w:sz w:val="18"/>
              </w:rPr>
              <w:t>264.45</w:t>
            </w:r>
            <w:r>
              <w:rPr>
                <w:rFonts w:ascii="宋体"/>
                <w:sz w:val="18"/>
              </w:rPr>
            </w:r>
          </w:p>
        </w:tc>
        <w:tc>
          <w:tcPr>
            <w:tcW w:w="850" w:type="dxa"/>
            <w:tcBorders>
              <w:top w:val="single" w:sz="2" w:space="0" w:color="000000"/>
              <w:left w:val="single" w:sz="2" w:space="0" w:color="000000"/>
              <w:bottom w:val="single" w:sz="12" w:space="0" w:color="000000"/>
              <w:right w:val="single" w:sz="2" w:space="0" w:color="000000"/>
            </w:tcBorders>
          </w:tcPr>
          <w:p>
            <w:pPr/>
          </w:p>
        </w:tc>
        <w:tc>
          <w:tcPr>
            <w:tcW w:w="85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b/>
                <w:sz w:val="18"/>
              </w:rPr>
              <w:t>--</w:t>
            </w:r>
            <w:r>
              <w:rPr>
                <w:rFonts w:ascii="宋体"/>
                <w:sz w:val="18"/>
              </w:rPr>
            </w:r>
          </w:p>
        </w:tc>
        <w:tc>
          <w:tcPr>
            <w:tcW w:w="832" w:type="dxa"/>
            <w:tcBorders>
              <w:top w:val="single" w:sz="2" w:space="0" w:color="000000"/>
              <w:left w:val="single" w:sz="2"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9"/>
          <w:szCs w:val="9"/>
        </w:rPr>
      </w:pPr>
    </w:p>
    <w:p>
      <w:pPr>
        <w:pStyle w:val="BodyText"/>
        <w:spacing w:line="240" w:lineRule="auto"/>
        <w:ind w:left="744" w:right="0"/>
        <w:jc w:val="left"/>
      </w:pPr>
      <w:bookmarkStart w:name="14.2工程物资" w:id="278"/>
      <w:bookmarkEnd w:id="278"/>
      <w:r>
        <w:rPr/>
      </w:r>
      <w:r>
        <w:rPr/>
        <w:t>14.2</w:t>
      </w:r>
      <w:r>
        <w:rPr>
          <w:spacing w:val="-60"/>
        </w:rPr>
        <w:t> </w:t>
      </w:r>
      <w:r>
        <w:rPr/>
        <w:t>工程物资</w:t>
      </w:r>
    </w:p>
    <w:p>
      <w:pPr>
        <w:spacing w:line="240" w:lineRule="auto" w:before="3"/>
        <w:rPr>
          <w:rFonts w:ascii="宋体" w:hAnsi="宋体" w:cs="宋体" w:eastAsia="宋体" w:hint="default"/>
          <w:sz w:val="12"/>
          <w:szCs w:val="12"/>
        </w:rPr>
      </w:pPr>
    </w:p>
    <w:tbl>
      <w:tblPr>
        <w:tblW w:w="0" w:type="auto"/>
        <w:jc w:val="left"/>
        <w:tblInd w:w="218" w:type="dxa"/>
        <w:tblLayout w:type="fixed"/>
        <w:tblCellMar>
          <w:top w:w="0" w:type="dxa"/>
          <w:left w:w="0" w:type="dxa"/>
          <w:bottom w:w="0" w:type="dxa"/>
          <w:right w:w="0" w:type="dxa"/>
        </w:tblCellMar>
        <w:tblLook w:val="01E0"/>
      </w:tblPr>
      <w:tblGrid>
        <w:gridCol w:w="1659"/>
        <w:gridCol w:w="2193"/>
        <w:gridCol w:w="2432"/>
        <w:gridCol w:w="2439"/>
      </w:tblGrid>
      <w:tr>
        <w:trPr>
          <w:trHeight w:val="458" w:hRule="exact"/>
        </w:trPr>
        <w:tc>
          <w:tcPr>
            <w:tcW w:w="1659"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064" w:type="dxa"/>
            <w:gridSpan w:val="3"/>
            <w:tcBorders>
              <w:top w:val="single" w:sz="12" w:space="0" w:color="000000"/>
              <w:left w:val="single" w:sz="2" w:space="0" w:color="000000"/>
              <w:bottom w:val="single" w:sz="2" w:space="0" w:color="000000"/>
              <w:right w:val="nil" w:sz="6" w:space="0" w:color="auto"/>
            </w:tcBorders>
          </w:tcPr>
          <w:p>
            <w:pPr>
              <w:pStyle w:val="TableParagraph"/>
              <w:spacing w:line="240" w:lineRule="auto" w:before="119"/>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45" w:hRule="exact"/>
        </w:trPr>
        <w:tc>
          <w:tcPr>
            <w:tcW w:w="1659" w:type="dxa"/>
            <w:vMerge/>
            <w:tcBorders>
              <w:left w:val="nil" w:sz="6" w:space="0" w:color="auto"/>
              <w:bottom w:val="single" w:sz="2" w:space="0" w:color="000000"/>
              <w:right w:val="single" w:sz="2" w:space="0" w:color="000000"/>
            </w:tcBorders>
          </w:tcPr>
          <w:p>
            <w:pP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3"/>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4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02" w:hRule="exact"/>
        </w:trPr>
        <w:tc>
          <w:tcPr>
            <w:tcW w:w="165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充电桩</w:t>
            </w: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39,322,312.46</w:t>
            </w:r>
          </w:p>
        </w:tc>
        <w:tc>
          <w:tcPr>
            <w:tcW w:w="24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8,552,123.77</w:t>
            </w: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30,770,188.69</w:t>
            </w:r>
          </w:p>
        </w:tc>
      </w:tr>
      <w:tr>
        <w:trPr>
          <w:trHeight w:val="402" w:hRule="exact"/>
        </w:trPr>
        <w:tc>
          <w:tcPr>
            <w:tcW w:w="165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电线电缆</w:t>
            </w: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7,035,990.09</w:t>
            </w:r>
          </w:p>
        </w:tc>
        <w:tc>
          <w:tcPr>
            <w:tcW w:w="2432" w:type="dxa"/>
            <w:tcBorders>
              <w:top w:val="single" w:sz="2" w:space="0" w:color="000000"/>
              <w:left w:val="single" w:sz="2" w:space="0" w:color="000000"/>
              <w:bottom w:val="single" w:sz="2" w:space="0" w:color="000000"/>
              <w:right w:val="single" w:sz="2" w:space="0" w:color="000000"/>
            </w:tcBorders>
          </w:tcPr>
          <w:p>
            <w:pP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7,035,990.09</w:t>
            </w:r>
          </w:p>
        </w:tc>
      </w:tr>
      <w:tr>
        <w:trPr>
          <w:trHeight w:val="402" w:hRule="exact"/>
        </w:trPr>
        <w:tc>
          <w:tcPr>
            <w:tcW w:w="165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备品备件</w:t>
            </w: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2,013,418.42</w:t>
            </w:r>
          </w:p>
        </w:tc>
        <w:tc>
          <w:tcPr>
            <w:tcW w:w="2432" w:type="dxa"/>
            <w:tcBorders>
              <w:top w:val="single" w:sz="2" w:space="0" w:color="000000"/>
              <w:left w:val="single" w:sz="2" w:space="0" w:color="000000"/>
              <w:bottom w:val="single" w:sz="2" w:space="0" w:color="000000"/>
              <w:right w:val="single" w:sz="2" w:space="0" w:color="000000"/>
            </w:tcBorders>
          </w:tcPr>
          <w:p>
            <w:pP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2,013,418.42</w:t>
            </w:r>
          </w:p>
        </w:tc>
      </w:tr>
      <w:tr>
        <w:trPr>
          <w:trHeight w:val="457" w:hRule="exact"/>
        </w:trPr>
        <w:tc>
          <w:tcPr>
            <w:tcW w:w="165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76"/>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9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19"/>
              <w:ind w:right="92"/>
              <w:jc w:val="right"/>
              <w:rPr>
                <w:rFonts w:ascii="宋体" w:hAnsi="宋体" w:cs="宋体" w:eastAsia="宋体" w:hint="default"/>
                <w:sz w:val="18"/>
                <w:szCs w:val="18"/>
              </w:rPr>
            </w:pPr>
            <w:r>
              <w:rPr>
                <w:rFonts w:ascii="宋体"/>
                <w:b/>
                <w:w w:val="95"/>
                <w:sz w:val="18"/>
              </w:rPr>
              <w:t>48,371,720.97</w:t>
            </w:r>
            <w:r>
              <w:rPr>
                <w:rFonts w:ascii="宋体"/>
                <w:sz w:val="18"/>
              </w:rPr>
            </w:r>
          </w:p>
        </w:tc>
        <w:tc>
          <w:tcPr>
            <w:tcW w:w="243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19"/>
              <w:ind w:right="93"/>
              <w:jc w:val="right"/>
              <w:rPr>
                <w:rFonts w:ascii="宋体" w:hAnsi="宋体" w:cs="宋体" w:eastAsia="宋体" w:hint="default"/>
                <w:sz w:val="18"/>
                <w:szCs w:val="18"/>
              </w:rPr>
            </w:pPr>
            <w:r>
              <w:rPr>
                <w:rFonts w:ascii="宋体"/>
                <w:b/>
                <w:w w:val="95"/>
                <w:sz w:val="18"/>
              </w:rPr>
              <w:t>8,552,123.77</w:t>
            </w:r>
            <w:r>
              <w:rPr>
                <w:rFonts w:ascii="宋体"/>
                <w:sz w:val="18"/>
              </w:rPr>
            </w:r>
          </w:p>
        </w:tc>
        <w:tc>
          <w:tcPr>
            <w:tcW w:w="243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119"/>
              <w:ind w:right="93"/>
              <w:jc w:val="right"/>
              <w:rPr>
                <w:rFonts w:ascii="宋体" w:hAnsi="宋体" w:cs="宋体" w:eastAsia="宋体" w:hint="default"/>
                <w:sz w:val="18"/>
                <w:szCs w:val="18"/>
              </w:rPr>
            </w:pPr>
            <w:r>
              <w:rPr>
                <w:rFonts w:ascii="宋体"/>
                <w:b/>
                <w:w w:val="95"/>
                <w:sz w:val="18"/>
              </w:rPr>
              <w:t>39,819,597.20</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744" w:right="0"/>
        <w:jc w:val="left"/>
      </w:pPr>
      <w:r>
        <w:rPr/>
        <w:t>（续表）</w:t>
      </w:r>
    </w:p>
    <w:p>
      <w:pPr>
        <w:spacing w:line="240" w:lineRule="auto" w:before="3"/>
        <w:rPr>
          <w:rFonts w:ascii="宋体" w:hAnsi="宋体" w:cs="宋体" w:eastAsia="宋体" w:hint="default"/>
          <w:sz w:val="12"/>
          <w:szCs w:val="12"/>
        </w:rPr>
      </w:pPr>
    </w:p>
    <w:tbl>
      <w:tblPr>
        <w:tblW w:w="0" w:type="auto"/>
        <w:jc w:val="left"/>
        <w:tblInd w:w="218" w:type="dxa"/>
        <w:tblLayout w:type="fixed"/>
        <w:tblCellMar>
          <w:top w:w="0" w:type="dxa"/>
          <w:left w:w="0" w:type="dxa"/>
          <w:bottom w:w="0" w:type="dxa"/>
          <w:right w:w="0" w:type="dxa"/>
        </w:tblCellMar>
        <w:tblLook w:val="01E0"/>
      </w:tblPr>
      <w:tblGrid>
        <w:gridCol w:w="1659"/>
        <w:gridCol w:w="2193"/>
        <w:gridCol w:w="2432"/>
        <w:gridCol w:w="2439"/>
      </w:tblGrid>
      <w:tr>
        <w:trPr>
          <w:trHeight w:val="458" w:hRule="exact"/>
        </w:trPr>
        <w:tc>
          <w:tcPr>
            <w:tcW w:w="1659"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064" w:type="dxa"/>
            <w:gridSpan w:val="3"/>
            <w:tcBorders>
              <w:top w:val="single" w:sz="12" w:space="0" w:color="000000"/>
              <w:left w:val="single" w:sz="2" w:space="0" w:color="000000"/>
              <w:bottom w:val="single" w:sz="2" w:space="0" w:color="000000"/>
              <w:right w:val="nil" w:sz="6" w:space="0" w:color="auto"/>
            </w:tcBorders>
          </w:tcPr>
          <w:p>
            <w:pPr>
              <w:pStyle w:val="TableParagraph"/>
              <w:spacing w:line="240" w:lineRule="auto" w:before="119"/>
              <w:ind w:left="1"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345" w:hRule="exact"/>
        </w:trPr>
        <w:tc>
          <w:tcPr>
            <w:tcW w:w="1659" w:type="dxa"/>
            <w:vMerge/>
            <w:tcBorders>
              <w:left w:val="nil" w:sz="6" w:space="0" w:color="auto"/>
              <w:bottom w:val="single" w:sz="2" w:space="0" w:color="000000"/>
              <w:right w:val="single" w:sz="2" w:space="0" w:color="000000"/>
            </w:tcBorders>
          </w:tcPr>
          <w:p>
            <w:pP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3"/>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4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45" w:hRule="exact"/>
        </w:trPr>
        <w:tc>
          <w:tcPr>
            <w:tcW w:w="165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sz w:val="18"/>
                <w:szCs w:val="18"/>
              </w:rPr>
              <w:t>充电桩</w:t>
            </w: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4"/>
              <w:ind w:right="104"/>
              <w:jc w:val="right"/>
              <w:rPr>
                <w:rFonts w:ascii="宋体" w:hAnsi="宋体" w:cs="宋体" w:eastAsia="宋体" w:hint="default"/>
                <w:sz w:val="18"/>
                <w:szCs w:val="18"/>
              </w:rPr>
            </w:pPr>
            <w:r>
              <w:rPr>
                <w:rFonts w:ascii="宋体"/>
                <w:spacing w:val="-1"/>
                <w:sz w:val="18"/>
              </w:rPr>
              <w:t>56,796,708.12</w:t>
            </w:r>
          </w:p>
        </w:tc>
        <w:tc>
          <w:tcPr>
            <w:tcW w:w="2432" w:type="dxa"/>
            <w:tcBorders>
              <w:top w:val="single" w:sz="2" w:space="0" w:color="000000"/>
              <w:left w:val="single" w:sz="2" w:space="0" w:color="000000"/>
              <w:bottom w:val="single" w:sz="2" w:space="0" w:color="000000"/>
              <w:right w:val="single" w:sz="2" w:space="0" w:color="000000"/>
            </w:tcBorders>
          </w:tcPr>
          <w:p>
            <w:pP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74"/>
              <w:ind w:right="105"/>
              <w:jc w:val="right"/>
              <w:rPr>
                <w:rFonts w:ascii="宋体" w:hAnsi="宋体" w:cs="宋体" w:eastAsia="宋体" w:hint="default"/>
                <w:sz w:val="18"/>
                <w:szCs w:val="18"/>
              </w:rPr>
            </w:pPr>
            <w:r>
              <w:rPr>
                <w:rFonts w:ascii="宋体"/>
                <w:spacing w:val="-1"/>
                <w:sz w:val="18"/>
              </w:rPr>
              <w:t>56,796,708.12</w:t>
            </w:r>
          </w:p>
        </w:tc>
      </w:tr>
      <w:tr>
        <w:trPr>
          <w:trHeight w:val="445" w:hRule="exact"/>
        </w:trPr>
        <w:tc>
          <w:tcPr>
            <w:tcW w:w="165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3"/>
              <w:ind w:left="108" w:right="0"/>
              <w:jc w:val="left"/>
              <w:rPr>
                <w:rFonts w:ascii="宋体" w:hAnsi="宋体" w:cs="宋体" w:eastAsia="宋体" w:hint="default"/>
                <w:sz w:val="18"/>
                <w:szCs w:val="18"/>
              </w:rPr>
            </w:pPr>
            <w:r>
              <w:rPr>
                <w:rFonts w:ascii="宋体" w:hAnsi="宋体" w:cs="宋体" w:eastAsia="宋体" w:hint="default"/>
                <w:sz w:val="18"/>
                <w:szCs w:val="18"/>
              </w:rPr>
              <w:t>电线电缆</w:t>
            </w: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3"/>
              <w:ind w:right="101"/>
              <w:jc w:val="right"/>
              <w:rPr>
                <w:rFonts w:ascii="宋体" w:hAnsi="宋体" w:cs="宋体" w:eastAsia="宋体" w:hint="default"/>
                <w:sz w:val="18"/>
                <w:szCs w:val="18"/>
              </w:rPr>
            </w:pPr>
            <w:r>
              <w:rPr>
                <w:rFonts w:ascii="宋体"/>
                <w:spacing w:val="-1"/>
                <w:sz w:val="18"/>
              </w:rPr>
              <w:t>9,585,401.11</w:t>
            </w:r>
          </w:p>
        </w:tc>
        <w:tc>
          <w:tcPr>
            <w:tcW w:w="2432" w:type="dxa"/>
            <w:tcBorders>
              <w:top w:val="single" w:sz="2" w:space="0" w:color="000000"/>
              <w:left w:val="single" w:sz="2" w:space="0" w:color="000000"/>
              <w:bottom w:val="single" w:sz="2" w:space="0" w:color="000000"/>
              <w:right w:val="single" w:sz="2" w:space="0" w:color="000000"/>
            </w:tcBorders>
          </w:tcPr>
          <w:p>
            <w:pP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73"/>
              <w:ind w:right="105"/>
              <w:jc w:val="right"/>
              <w:rPr>
                <w:rFonts w:ascii="宋体" w:hAnsi="宋体" w:cs="宋体" w:eastAsia="宋体" w:hint="default"/>
                <w:sz w:val="18"/>
                <w:szCs w:val="18"/>
              </w:rPr>
            </w:pPr>
            <w:r>
              <w:rPr>
                <w:rFonts w:ascii="宋体"/>
                <w:spacing w:val="-1"/>
                <w:sz w:val="18"/>
              </w:rPr>
              <w:t>9,585,401.11</w:t>
            </w:r>
          </w:p>
        </w:tc>
      </w:tr>
      <w:tr>
        <w:trPr>
          <w:trHeight w:val="445" w:hRule="exact"/>
        </w:trPr>
        <w:tc>
          <w:tcPr>
            <w:tcW w:w="165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5"/>
              <w:ind w:left="108" w:right="0"/>
              <w:jc w:val="left"/>
              <w:rPr>
                <w:rFonts w:ascii="宋体" w:hAnsi="宋体" w:cs="宋体" w:eastAsia="宋体" w:hint="default"/>
                <w:sz w:val="18"/>
                <w:szCs w:val="18"/>
              </w:rPr>
            </w:pPr>
            <w:r>
              <w:rPr>
                <w:rFonts w:ascii="宋体" w:hAnsi="宋体" w:cs="宋体" w:eastAsia="宋体" w:hint="default"/>
                <w:sz w:val="18"/>
                <w:szCs w:val="18"/>
              </w:rPr>
              <w:t>备品备件</w:t>
            </w:r>
          </w:p>
        </w:tc>
        <w:tc>
          <w:tcPr>
            <w:tcW w:w="21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5"/>
              <w:ind w:right="101"/>
              <w:jc w:val="right"/>
              <w:rPr>
                <w:rFonts w:ascii="宋体" w:hAnsi="宋体" w:cs="宋体" w:eastAsia="宋体" w:hint="default"/>
                <w:sz w:val="18"/>
                <w:szCs w:val="18"/>
              </w:rPr>
            </w:pPr>
            <w:r>
              <w:rPr>
                <w:rFonts w:ascii="宋体"/>
                <w:spacing w:val="-1"/>
                <w:sz w:val="18"/>
              </w:rPr>
              <w:t>308,810.89</w:t>
            </w:r>
          </w:p>
        </w:tc>
        <w:tc>
          <w:tcPr>
            <w:tcW w:w="2432" w:type="dxa"/>
            <w:tcBorders>
              <w:top w:val="single" w:sz="2" w:space="0" w:color="000000"/>
              <w:left w:val="single" w:sz="2" w:space="0" w:color="000000"/>
              <w:bottom w:val="single" w:sz="2" w:space="0" w:color="000000"/>
              <w:right w:val="single" w:sz="2" w:space="0" w:color="000000"/>
            </w:tcBorders>
          </w:tcPr>
          <w:p>
            <w:pPr/>
          </w:p>
        </w:tc>
        <w:tc>
          <w:tcPr>
            <w:tcW w:w="243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75"/>
              <w:ind w:right="105"/>
              <w:jc w:val="right"/>
              <w:rPr>
                <w:rFonts w:ascii="宋体" w:hAnsi="宋体" w:cs="宋体" w:eastAsia="宋体" w:hint="default"/>
                <w:sz w:val="18"/>
                <w:szCs w:val="18"/>
              </w:rPr>
            </w:pPr>
            <w:r>
              <w:rPr>
                <w:rFonts w:ascii="宋体"/>
                <w:spacing w:val="-1"/>
                <w:sz w:val="18"/>
              </w:rPr>
              <w:t>308,810.89</w:t>
            </w:r>
          </w:p>
        </w:tc>
      </w:tr>
      <w:tr>
        <w:trPr>
          <w:trHeight w:val="457" w:hRule="exact"/>
        </w:trPr>
        <w:tc>
          <w:tcPr>
            <w:tcW w:w="165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9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4"/>
              <w:ind w:right="92"/>
              <w:jc w:val="right"/>
              <w:rPr>
                <w:rFonts w:ascii="宋体" w:hAnsi="宋体" w:cs="宋体" w:eastAsia="宋体" w:hint="default"/>
                <w:sz w:val="18"/>
                <w:szCs w:val="18"/>
              </w:rPr>
            </w:pPr>
            <w:r>
              <w:rPr>
                <w:rFonts w:ascii="宋体"/>
                <w:b/>
                <w:w w:val="95"/>
                <w:sz w:val="18"/>
              </w:rPr>
              <w:t>66,690,920.12</w:t>
            </w:r>
            <w:r>
              <w:rPr>
                <w:rFonts w:ascii="宋体"/>
                <w:sz w:val="18"/>
              </w:rPr>
            </w:r>
          </w:p>
        </w:tc>
        <w:tc>
          <w:tcPr>
            <w:tcW w:w="2432" w:type="dxa"/>
            <w:tcBorders>
              <w:top w:val="single" w:sz="2" w:space="0" w:color="000000"/>
              <w:left w:val="single" w:sz="2" w:space="0" w:color="000000"/>
              <w:bottom w:val="single" w:sz="12" w:space="0" w:color="000000"/>
              <w:right w:val="single" w:sz="2" w:space="0" w:color="000000"/>
            </w:tcBorders>
          </w:tcPr>
          <w:p>
            <w:pPr/>
          </w:p>
        </w:tc>
        <w:tc>
          <w:tcPr>
            <w:tcW w:w="243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74"/>
              <w:ind w:right="93"/>
              <w:jc w:val="right"/>
              <w:rPr>
                <w:rFonts w:ascii="宋体" w:hAnsi="宋体" w:cs="宋体" w:eastAsia="宋体" w:hint="default"/>
                <w:sz w:val="18"/>
                <w:szCs w:val="18"/>
              </w:rPr>
            </w:pPr>
            <w:r>
              <w:rPr>
                <w:rFonts w:ascii="宋体"/>
                <w:b/>
                <w:w w:val="95"/>
                <w:sz w:val="18"/>
              </w:rPr>
              <w:t>66,690,920.12</w:t>
            </w:r>
            <w:r>
              <w:rPr>
                <w:rFonts w:ascii="宋体"/>
                <w:sz w:val="18"/>
              </w:rPr>
            </w:r>
          </w:p>
        </w:tc>
      </w:tr>
    </w:tbl>
    <w:p>
      <w:pPr>
        <w:spacing w:after="0" w:line="240" w:lineRule="auto"/>
        <w:jc w:val="right"/>
        <w:rPr>
          <w:rFonts w:ascii="宋体" w:hAnsi="宋体" w:cs="宋体" w:eastAsia="宋体" w:hint="default"/>
          <w:sz w:val="18"/>
          <w:szCs w:val="18"/>
        </w:rPr>
        <w:sectPr>
          <w:footerReference w:type="default" r:id="rId53"/>
          <w:pgSz w:w="11910" w:h="16840"/>
          <w:pgMar w:footer="883" w:header="939" w:top="1940" w:bottom="1080" w:left="1360" w:right="0"/>
          <w:pgNumType w:start="130"/>
        </w:sectPr>
      </w:pPr>
    </w:p>
    <w:p>
      <w:pPr>
        <w:spacing w:line="240" w:lineRule="auto" w:before="13"/>
        <w:rPr>
          <w:rFonts w:ascii="宋体" w:hAnsi="宋体" w:cs="宋体" w:eastAsia="宋体" w:hint="default"/>
          <w:sz w:val="12"/>
          <w:szCs w:val="12"/>
        </w:rPr>
      </w:pPr>
      <w:r>
        <w:rPr/>
        <w:pict>
          <v:shape style="position:absolute;margin-left:589.160217pt;margin-top:570.55481pt;width:42.077306pt;height:18.950848pt;mso-position-horizontal-relative:page;mso-position-vertical-relative:page;z-index:1696" type="#_x0000_t75" stroked="false">
            <v:imagedata r:id="rId48" o:title=""/>
          </v:shape>
        </w:pict>
      </w:r>
    </w:p>
    <w:p>
      <w:pPr>
        <w:pStyle w:val="BodyText"/>
        <w:spacing w:line="240" w:lineRule="auto"/>
        <w:ind w:left="641" w:right="0"/>
        <w:jc w:val="left"/>
      </w:pPr>
      <w:r>
        <w:rPr/>
        <w:t>15.</w:t>
      </w:r>
      <w:r>
        <w:rPr>
          <w:spacing w:val="-48"/>
        </w:rPr>
        <w:t> </w:t>
      </w:r>
      <w:bookmarkStart w:name="15.无形资产" w:id="279"/>
      <w:bookmarkEnd w:id="279"/>
      <w:r>
        <w:rPr/>
        <w:t>无</w:t>
      </w:r>
      <w:r>
        <w:rPr/>
        <w:t>形资产</w:t>
      </w:r>
    </w:p>
    <w:p>
      <w:pPr>
        <w:spacing w:line="240" w:lineRule="auto" w:before="2"/>
        <w:rPr>
          <w:rFonts w:ascii="宋体" w:hAnsi="宋体" w:cs="宋体" w:eastAsia="宋体" w:hint="default"/>
          <w:sz w:val="12"/>
          <w:szCs w:val="12"/>
        </w:rPr>
      </w:pPr>
    </w:p>
    <w:tbl>
      <w:tblPr>
        <w:tblW w:w="0" w:type="auto"/>
        <w:jc w:val="left"/>
        <w:tblInd w:w="115" w:type="dxa"/>
        <w:tblLayout w:type="fixed"/>
        <w:tblCellMar>
          <w:top w:w="0" w:type="dxa"/>
          <w:left w:w="0" w:type="dxa"/>
          <w:bottom w:w="0" w:type="dxa"/>
          <w:right w:w="0" w:type="dxa"/>
        </w:tblCellMar>
        <w:tblLook w:val="01E0"/>
      </w:tblPr>
      <w:tblGrid>
        <w:gridCol w:w="2366"/>
        <w:gridCol w:w="2277"/>
        <w:gridCol w:w="2129"/>
        <w:gridCol w:w="1842"/>
        <w:gridCol w:w="1669"/>
        <w:gridCol w:w="1839"/>
        <w:gridCol w:w="2092"/>
      </w:tblGrid>
      <w:tr>
        <w:trPr>
          <w:trHeight w:val="358" w:hRule="exact"/>
        </w:trPr>
        <w:tc>
          <w:tcPr>
            <w:tcW w:w="236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7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7"/>
              <w:ind w:left="684" w:right="0"/>
              <w:jc w:val="left"/>
              <w:rPr>
                <w:rFonts w:ascii="宋体" w:hAnsi="宋体" w:cs="宋体" w:eastAsia="宋体" w:hint="default"/>
                <w:sz w:val="18"/>
                <w:szCs w:val="18"/>
              </w:rPr>
            </w:pPr>
            <w:r>
              <w:rPr>
                <w:rFonts w:ascii="宋体" w:hAnsi="宋体" w:cs="宋体" w:eastAsia="宋体" w:hint="default"/>
                <w:b/>
                <w:bCs/>
                <w:sz w:val="18"/>
                <w:szCs w:val="18"/>
              </w:rPr>
              <w:t>土地使用权</w:t>
            </w:r>
            <w:r>
              <w:rPr>
                <w:rFonts w:ascii="宋体" w:hAnsi="宋体" w:cs="宋体" w:eastAsia="宋体" w:hint="default"/>
                <w:sz w:val="18"/>
                <w:szCs w:val="18"/>
              </w:rPr>
            </w:r>
          </w:p>
        </w:tc>
        <w:tc>
          <w:tcPr>
            <w:tcW w:w="212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7"/>
              <w:ind w:left="702" w:right="0"/>
              <w:jc w:val="left"/>
              <w:rPr>
                <w:rFonts w:ascii="宋体" w:hAnsi="宋体" w:cs="宋体" w:eastAsia="宋体" w:hint="default"/>
                <w:sz w:val="18"/>
                <w:szCs w:val="18"/>
              </w:rPr>
            </w:pPr>
            <w:r>
              <w:rPr>
                <w:rFonts w:ascii="宋体" w:hAnsi="宋体" w:cs="宋体" w:eastAsia="宋体" w:hint="default"/>
                <w:b/>
                <w:bCs/>
                <w:sz w:val="18"/>
                <w:szCs w:val="18"/>
              </w:rPr>
              <w:t>办公软件</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7"/>
              <w:ind w:left="557" w:right="0"/>
              <w:jc w:val="left"/>
              <w:rPr>
                <w:rFonts w:ascii="宋体" w:hAnsi="宋体" w:cs="宋体" w:eastAsia="宋体" w:hint="default"/>
                <w:sz w:val="18"/>
                <w:szCs w:val="18"/>
              </w:rPr>
            </w:pPr>
            <w:r>
              <w:rPr>
                <w:rFonts w:ascii="宋体" w:hAnsi="宋体" w:cs="宋体" w:eastAsia="宋体" w:hint="default"/>
                <w:b/>
                <w:bCs/>
                <w:sz w:val="18"/>
                <w:szCs w:val="18"/>
              </w:rPr>
              <w:t>商业软件</w:t>
            </w:r>
            <w:r>
              <w:rPr>
                <w:rFonts w:ascii="宋体" w:hAnsi="宋体" w:cs="宋体" w:eastAsia="宋体" w:hint="default"/>
                <w:sz w:val="18"/>
                <w:szCs w:val="18"/>
              </w:rPr>
            </w:r>
          </w:p>
        </w:tc>
        <w:tc>
          <w:tcPr>
            <w:tcW w:w="166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7"/>
              <w:ind w:left="470" w:right="0"/>
              <w:jc w:val="left"/>
              <w:rPr>
                <w:rFonts w:ascii="宋体" w:hAnsi="宋体" w:cs="宋体" w:eastAsia="宋体" w:hint="default"/>
                <w:sz w:val="18"/>
                <w:szCs w:val="18"/>
              </w:rPr>
            </w:pPr>
            <w:r>
              <w:rPr>
                <w:rFonts w:ascii="宋体" w:hAnsi="宋体" w:cs="宋体" w:eastAsia="宋体" w:hint="default"/>
                <w:b/>
                <w:bCs/>
                <w:sz w:val="18"/>
                <w:szCs w:val="18"/>
              </w:rPr>
              <w:t>专利技术</w:t>
            </w:r>
            <w:r>
              <w:rPr>
                <w:rFonts w:ascii="宋体" w:hAnsi="宋体" w:cs="宋体" w:eastAsia="宋体" w:hint="default"/>
                <w:sz w:val="18"/>
                <w:szCs w:val="18"/>
              </w:rPr>
            </w:r>
          </w:p>
        </w:tc>
        <w:tc>
          <w:tcPr>
            <w:tcW w:w="183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7"/>
              <w:ind w:left="287" w:right="0"/>
              <w:jc w:val="left"/>
              <w:rPr>
                <w:rFonts w:ascii="宋体" w:hAnsi="宋体" w:cs="宋体" w:eastAsia="宋体" w:hint="default"/>
                <w:sz w:val="18"/>
                <w:szCs w:val="18"/>
              </w:rPr>
            </w:pPr>
            <w:r>
              <w:rPr>
                <w:rFonts w:ascii="宋体" w:hAnsi="宋体" w:cs="宋体" w:eastAsia="宋体" w:hint="default"/>
                <w:b/>
                <w:bCs/>
                <w:sz w:val="18"/>
                <w:szCs w:val="18"/>
              </w:rPr>
              <w:t>按</w:t>
            </w:r>
            <w:r>
              <w:rPr>
                <w:rFonts w:ascii="宋体" w:hAnsi="宋体" w:cs="宋体" w:eastAsia="宋体" w:hint="default"/>
                <w:b/>
                <w:bCs/>
                <w:spacing w:val="-47"/>
                <w:sz w:val="18"/>
                <w:szCs w:val="18"/>
              </w:rPr>
              <w:t> </w:t>
            </w:r>
            <w:r>
              <w:rPr>
                <w:rFonts w:ascii="宋体" w:hAnsi="宋体" w:cs="宋体" w:eastAsia="宋体" w:hint="default"/>
                <w:b/>
                <w:bCs/>
                <w:sz w:val="18"/>
                <w:szCs w:val="18"/>
              </w:rPr>
              <w:t>BOT</w:t>
            </w:r>
            <w:r>
              <w:rPr>
                <w:rFonts w:ascii="宋体" w:hAnsi="宋体" w:cs="宋体" w:eastAsia="宋体" w:hint="default"/>
                <w:b/>
                <w:bCs/>
                <w:spacing w:val="-48"/>
                <w:sz w:val="18"/>
                <w:szCs w:val="18"/>
              </w:rPr>
              <w:t> </w:t>
            </w:r>
            <w:r>
              <w:rPr>
                <w:rFonts w:ascii="宋体" w:hAnsi="宋体" w:cs="宋体" w:eastAsia="宋体" w:hint="default"/>
                <w:b/>
                <w:bCs/>
                <w:sz w:val="18"/>
                <w:szCs w:val="18"/>
              </w:rPr>
              <w:t>核算项目</w:t>
            </w:r>
            <w:r>
              <w:rPr>
                <w:rFonts w:ascii="宋体" w:hAnsi="宋体" w:cs="宋体" w:eastAsia="宋体" w:hint="default"/>
                <w:sz w:val="18"/>
                <w:szCs w:val="18"/>
              </w:rPr>
            </w:r>
          </w:p>
        </w:tc>
        <w:tc>
          <w:tcPr>
            <w:tcW w:w="20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27"/>
              <w:ind w:right="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3"/>
              <w:jc w:val="right"/>
              <w:rPr>
                <w:rFonts w:ascii="宋体" w:hAnsi="宋体" w:cs="宋体" w:eastAsia="宋体" w:hint="default"/>
                <w:sz w:val="18"/>
                <w:szCs w:val="18"/>
              </w:rPr>
            </w:pPr>
            <w:r>
              <w:rPr>
                <w:rFonts w:ascii="宋体"/>
                <w:spacing w:val="-1"/>
                <w:sz w:val="18"/>
              </w:rPr>
              <w:t>171,749,001.49</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3"/>
              <w:jc w:val="right"/>
              <w:rPr>
                <w:rFonts w:ascii="宋体" w:hAnsi="宋体" w:cs="宋体" w:eastAsia="宋体" w:hint="default"/>
                <w:sz w:val="18"/>
                <w:szCs w:val="18"/>
              </w:rPr>
            </w:pPr>
            <w:r>
              <w:rPr>
                <w:rFonts w:ascii="宋体"/>
                <w:spacing w:val="-1"/>
                <w:sz w:val="18"/>
              </w:rPr>
              <w:t>11,108,908.81</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4"/>
              <w:jc w:val="right"/>
              <w:rPr>
                <w:rFonts w:ascii="宋体" w:hAnsi="宋体" w:cs="宋体" w:eastAsia="宋体" w:hint="default"/>
                <w:sz w:val="18"/>
                <w:szCs w:val="18"/>
              </w:rPr>
            </w:pPr>
            <w:r>
              <w:rPr>
                <w:rFonts w:ascii="宋体"/>
                <w:spacing w:val="-1"/>
                <w:sz w:val="18"/>
              </w:rPr>
              <w:t>17,435,923.19</w:t>
            </w:r>
          </w:p>
        </w:tc>
        <w:tc>
          <w:tcPr>
            <w:tcW w:w="16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left="477" w:right="0"/>
              <w:jc w:val="left"/>
              <w:rPr>
                <w:rFonts w:ascii="宋体" w:hAnsi="宋体" w:cs="宋体" w:eastAsia="宋体" w:hint="default"/>
                <w:sz w:val="18"/>
                <w:szCs w:val="18"/>
              </w:rPr>
            </w:pPr>
            <w:r>
              <w:rPr>
                <w:rFonts w:ascii="宋体"/>
                <w:sz w:val="18"/>
              </w:rPr>
              <w:t>1,273,214.45</w:t>
            </w: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1"/>
              <w:jc w:val="right"/>
              <w:rPr>
                <w:rFonts w:ascii="宋体" w:hAnsi="宋体" w:cs="宋体" w:eastAsia="宋体" w:hint="default"/>
                <w:sz w:val="18"/>
                <w:szCs w:val="18"/>
              </w:rPr>
            </w:pPr>
            <w:r>
              <w:rPr>
                <w:rFonts w:ascii="宋体"/>
                <w:spacing w:val="-1"/>
                <w:sz w:val="18"/>
              </w:rPr>
              <w:t>1,988,497.93</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pacing w:val="-1"/>
                <w:sz w:val="18"/>
              </w:rPr>
              <w:t>203,555,545.87</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13,678,400.00</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3,480,125.22</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4"/>
              <w:jc w:val="right"/>
              <w:rPr>
                <w:rFonts w:ascii="宋体" w:hAnsi="宋体" w:cs="宋体" w:eastAsia="宋体" w:hint="default"/>
                <w:sz w:val="18"/>
                <w:szCs w:val="18"/>
              </w:rPr>
            </w:pPr>
            <w:r>
              <w:rPr>
                <w:rFonts w:ascii="宋体"/>
                <w:spacing w:val="-1"/>
                <w:sz w:val="18"/>
              </w:rPr>
              <w:t>14,436,590.20</w:t>
            </w: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宋体" w:hAnsi="宋体" w:cs="宋体" w:eastAsia="宋体" w:hint="default"/>
                <w:sz w:val="18"/>
                <w:szCs w:val="18"/>
              </w:rPr>
            </w:pPr>
            <w:r>
              <w:rPr>
                <w:rFonts w:ascii="宋体"/>
                <w:spacing w:val="-1"/>
                <w:sz w:val="18"/>
              </w:rPr>
              <w:t>31,595,115.42</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6"/>
              <w:ind w:left="108" w:right="0"/>
              <w:jc w:val="left"/>
              <w:rPr>
                <w:rFonts w:ascii="宋体" w:hAnsi="宋体" w:cs="宋体" w:eastAsia="宋体" w:hint="default"/>
                <w:sz w:val="18"/>
                <w:szCs w:val="18"/>
              </w:rPr>
            </w:pPr>
            <w:r>
              <w:rPr>
                <w:rFonts w:ascii="宋体" w:hAnsi="宋体" w:cs="宋体" w:eastAsia="宋体" w:hint="default"/>
                <w:sz w:val="18"/>
                <w:szCs w:val="18"/>
              </w:rPr>
              <w:t>(1)购置</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3"/>
              <w:jc w:val="right"/>
              <w:rPr>
                <w:rFonts w:ascii="宋体" w:hAnsi="宋体" w:cs="宋体" w:eastAsia="宋体" w:hint="default"/>
                <w:sz w:val="18"/>
                <w:szCs w:val="18"/>
              </w:rPr>
            </w:pPr>
            <w:r>
              <w:rPr>
                <w:rFonts w:ascii="宋体"/>
                <w:spacing w:val="-1"/>
                <w:sz w:val="18"/>
              </w:rPr>
              <w:t>13,678,400.00</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3"/>
              <w:jc w:val="right"/>
              <w:rPr>
                <w:rFonts w:ascii="宋体" w:hAnsi="宋体" w:cs="宋体" w:eastAsia="宋体" w:hint="default"/>
                <w:sz w:val="18"/>
                <w:szCs w:val="18"/>
              </w:rPr>
            </w:pPr>
            <w:r>
              <w:rPr>
                <w:rFonts w:ascii="宋体"/>
                <w:spacing w:val="-1"/>
                <w:sz w:val="18"/>
              </w:rPr>
              <w:t>3,480,125.22</w:t>
            </w: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105"/>
              <w:jc w:val="right"/>
              <w:rPr>
                <w:rFonts w:ascii="宋体" w:hAnsi="宋体" w:cs="宋体" w:eastAsia="宋体" w:hint="default"/>
                <w:sz w:val="18"/>
                <w:szCs w:val="18"/>
              </w:rPr>
            </w:pPr>
            <w:r>
              <w:rPr>
                <w:rFonts w:ascii="宋体"/>
                <w:spacing w:val="-1"/>
                <w:sz w:val="18"/>
              </w:rPr>
              <w:t>17,158,525.22</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(2)内部研发</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4"/>
              <w:jc w:val="right"/>
              <w:rPr>
                <w:rFonts w:ascii="宋体" w:hAnsi="宋体" w:cs="宋体" w:eastAsia="宋体" w:hint="default"/>
                <w:sz w:val="18"/>
                <w:szCs w:val="18"/>
              </w:rPr>
            </w:pPr>
            <w:r>
              <w:rPr>
                <w:rFonts w:ascii="宋体"/>
                <w:spacing w:val="-1"/>
                <w:sz w:val="18"/>
              </w:rPr>
              <w:t>14,436,590.20</w:t>
            </w: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pacing w:val="-1"/>
                <w:sz w:val="18"/>
              </w:rPr>
              <w:t>14,436,590.20</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1"/>
              <w:jc w:val="right"/>
              <w:rPr>
                <w:rFonts w:ascii="宋体" w:hAnsi="宋体" w:cs="宋体" w:eastAsia="宋体" w:hint="default"/>
                <w:sz w:val="18"/>
                <w:szCs w:val="18"/>
              </w:rPr>
            </w:pPr>
            <w:r>
              <w:rPr>
                <w:rFonts w:ascii="宋体"/>
                <w:spacing w:val="-1"/>
                <w:sz w:val="18"/>
              </w:rPr>
              <w:t>1,988,497.93</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pacing w:val="-1"/>
                <w:sz w:val="18"/>
              </w:rPr>
              <w:t>1,988,497.93</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(1)处置</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1"/>
              <w:jc w:val="right"/>
              <w:rPr>
                <w:rFonts w:ascii="宋体" w:hAnsi="宋体" w:cs="宋体" w:eastAsia="宋体" w:hint="default"/>
                <w:sz w:val="18"/>
                <w:szCs w:val="18"/>
              </w:rPr>
            </w:pPr>
            <w:r>
              <w:rPr>
                <w:rFonts w:ascii="宋体"/>
                <w:spacing w:val="-1"/>
                <w:sz w:val="18"/>
              </w:rPr>
              <w:t>1,988,497.93</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宋体" w:hAnsi="宋体" w:cs="宋体" w:eastAsia="宋体" w:hint="default"/>
                <w:sz w:val="18"/>
                <w:szCs w:val="18"/>
              </w:rPr>
            </w:pPr>
            <w:r>
              <w:rPr>
                <w:rFonts w:ascii="宋体"/>
                <w:spacing w:val="-1"/>
                <w:sz w:val="18"/>
              </w:rPr>
              <w:t>1,988,497.93</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6"/>
              <w:ind w:left="108"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3"/>
              <w:jc w:val="right"/>
              <w:rPr>
                <w:rFonts w:ascii="宋体" w:hAnsi="宋体" w:cs="宋体" w:eastAsia="宋体" w:hint="default"/>
                <w:sz w:val="18"/>
                <w:szCs w:val="18"/>
              </w:rPr>
            </w:pPr>
            <w:r>
              <w:rPr>
                <w:rFonts w:ascii="宋体"/>
                <w:spacing w:val="-1"/>
                <w:sz w:val="18"/>
              </w:rPr>
              <w:t>185,427,401.49</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3"/>
              <w:jc w:val="right"/>
              <w:rPr>
                <w:rFonts w:ascii="宋体" w:hAnsi="宋体" w:cs="宋体" w:eastAsia="宋体" w:hint="default"/>
                <w:sz w:val="18"/>
                <w:szCs w:val="18"/>
              </w:rPr>
            </w:pPr>
            <w:r>
              <w:rPr>
                <w:rFonts w:ascii="宋体"/>
                <w:spacing w:val="-1"/>
                <w:sz w:val="18"/>
              </w:rPr>
              <w:t>14,589,034.03</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4"/>
              <w:jc w:val="right"/>
              <w:rPr>
                <w:rFonts w:ascii="宋体" w:hAnsi="宋体" w:cs="宋体" w:eastAsia="宋体" w:hint="default"/>
                <w:sz w:val="18"/>
                <w:szCs w:val="18"/>
              </w:rPr>
            </w:pPr>
            <w:r>
              <w:rPr>
                <w:rFonts w:ascii="宋体"/>
                <w:spacing w:val="-1"/>
                <w:sz w:val="18"/>
              </w:rPr>
              <w:t>31,872,513.39</w:t>
            </w:r>
          </w:p>
        </w:tc>
        <w:tc>
          <w:tcPr>
            <w:tcW w:w="16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left="477" w:right="0"/>
              <w:jc w:val="left"/>
              <w:rPr>
                <w:rFonts w:ascii="宋体" w:hAnsi="宋体" w:cs="宋体" w:eastAsia="宋体" w:hint="default"/>
                <w:sz w:val="18"/>
                <w:szCs w:val="18"/>
              </w:rPr>
            </w:pPr>
            <w:r>
              <w:rPr>
                <w:rFonts w:ascii="宋体"/>
                <w:sz w:val="18"/>
              </w:rPr>
              <w:t>1,273,214.45</w:t>
            </w: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105"/>
              <w:jc w:val="right"/>
              <w:rPr>
                <w:rFonts w:ascii="宋体" w:hAnsi="宋体" w:cs="宋体" w:eastAsia="宋体" w:hint="default"/>
                <w:sz w:val="18"/>
                <w:szCs w:val="18"/>
              </w:rPr>
            </w:pPr>
            <w:r>
              <w:rPr>
                <w:rFonts w:ascii="宋体"/>
                <w:spacing w:val="-1"/>
                <w:sz w:val="18"/>
              </w:rPr>
              <w:t>233,162,163.36</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1.年初余额</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3"/>
              <w:jc w:val="right"/>
              <w:rPr>
                <w:rFonts w:ascii="宋体" w:hAnsi="宋体" w:cs="宋体" w:eastAsia="宋体" w:hint="default"/>
                <w:sz w:val="18"/>
                <w:szCs w:val="18"/>
              </w:rPr>
            </w:pPr>
            <w:r>
              <w:rPr>
                <w:rFonts w:ascii="宋体"/>
                <w:spacing w:val="-1"/>
                <w:sz w:val="18"/>
              </w:rPr>
              <w:t>29,074,754.73</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3"/>
              <w:jc w:val="right"/>
              <w:rPr>
                <w:rFonts w:ascii="宋体" w:hAnsi="宋体" w:cs="宋体" w:eastAsia="宋体" w:hint="default"/>
                <w:sz w:val="18"/>
                <w:szCs w:val="18"/>
              </w:rPr>
            </w:pPr>
            <w:r>
              <w:rPr>
                <w:rFonts w:ascii="宋体"/>
                <w:spacing w:val="-1"/>
                <w:sz w:val="18"/>
              </w:rPr>
              <w:t>5,410,417.21</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2"/>
              <w:jc w:val="right"/>
              <w:rPr>
                <w:rFonts w:ascii="宋体" w:hAnsi="宋体" w:cs="宋体" w:eastAsia="宋体" w:hint="default"/>
                <w:sz w:val="18"/>
                <w:szCs w:val="18"/>
              </w:rPr>
            </w:pPr>
            <w:r>
              <w:rPr>
                <w:rFonts w:ascii="宋体"/>
                <w:spacing w:val="-1"/>
                <w:sz w:val="18"/>
              </w:rPr>
              <w:t>5,259,670.80</w:t>
            </w:r>
          </w:p>
        </w:tc>
        <w:tc>
          <w:tcPr>
            <w:tcW w:w="16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left="477" w:right="0"/>
              <w:jc w:val="left"/>
              <w:rPr>
                <w:rFonts w:ascii="宋体" w:hAnsi="宋体" w:cs="宋体" w:eastAsia="宋体" w:hint="default"/>
                <w:sz w:val="18"/>
                <w:szCs w:val="18"/>
              </w:rPr>
            </w:pPr>
            <w:r>
              <w:rPr>
                <w:rFonts w:ascii="宋体"/>
                <w:sz w:val="18"/>
              </w:rPr>
              <w:t>1,273,214.45</w:t>
            </w: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1"/>
              <w:jc w:val="right"/>
              <w:rPr>
                <w:rFonts w:ascii="宋体" w:hAnsi="宋体" w:cs="宋体" w:eastAsia="宋体" w:hint="default"/>
                <w:sz w:val="18"/>
                <w:szCs w:val="18"/>
              </w:rPr>
            </w:pPr>
            <w:r>
              <w:rPr>
                <w:rFonts w:ascii="宋体"/>
                <w:spacing w:val="-1"/>
                <w:sz w:val="18"/>
              </w:rPr>
              <w:t>1,702,229.07</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pacing w:val="-1"/>
                <w:sz w:val="18"/>
              </w:rPr>
              <w:t>42,720,286.26</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2.本年增加金额</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4,179,846.65</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1,313,090.87</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2"/>
              <w:jc w:val="right"/>
              <w:rPr>
                <w:rFonts w:ascii="宋体" w:hAnsi="宋体" w:cs="宋体" w:eastAsia="宋体" w:hint="default"/>
                <w:sz w:val="18"/>
                <w:szCs w:val="18"/>
              </w:rPr>
            </w:pPr>
            <w:r>
              <w:rPr>
                <w:rFonts w:ascii="宋体"/>
                <w:spacing w:val="-1"/>
                <w:sz w:val="18"/>
              </w:rPr>
              <w:t>6,368,598.46</w:t>
            </w: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1"/>
              <w:jc w:val="right"/>
              <w:rPr>
                <w:rFonts w:ascii="宋体" w:hAnsi="宋体" w:cs="宋体" w:eastAsia="宋体" w:hint="default"/>
                <w:sz w:val="18"/>
                <w:szCs w:val="18"/>
              </w:rPr>
            </w:pPr>
            <w:r>
              <w:rPr>
                <w:rFonts w:ascii="宋体"/>
                <w:spacing w:val="-1"/>
                <w:sz w:val="18"/>
              </w:rPr>
              <w:t>286,268.86</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宋体" w:hAnsi="宋体" w:cs="宋体" w:eastAsia="宋体" w:hint="default"/>
                <w:sz w:val="18"/>
                <w:szCs w:val="18"/>
              </w:rPr>
            </w:pPr>
            <w:r>
              <w:rPr>
                <w:rFonts w:ascii="宋体"/>
                <w:spacing w:val="-1"/>
                <w:sz w:val="18"/>
              </w:rPr>
              <w:t>12,147,804.84</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6"/>
              <w:ind w:left="108" w:right="0"/>
              <w:jc w:val="left"/>
              <w:rPr>
                <w:rFonts w:ascii="宋体" w:hAnsi="宋体" w:cs="宋体" w:eastAsia="宋体" w:hint="default"/>
                <w:sz w:val="18"/>
                <w:szCs w:val="18"/>
              </w:rPr>
            </w:pPr>
            <w:r>
              <w:rPr>
                <w:rFonts w:ascii="宋体" w:hAnsi="宋体" w:cs="宋体" w:eastAsia="宋体" w:hint="default"/>
                <w:sz w:val="18"/>
                <w:szCs w:val="18"/>
              </w:rPr>
              <w:t>（1）计提</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3"/>
              <w:jc w:val="right"/>
              <w:rPr>
                <w:rFonts w:ascii="宋体" w:hAnsi="宋体" w:cs="宋体" w:eastAsia="宋体" w:hint="default"/>
                <w:sz w:val="18"/>
                <w:szCs w:val="18"/>
              </w:rPr>
            </w:pPr>
            <w:r>
              <w:rPr>
                <w:rFonts w:ascii="宋体"/>
                <w:spacing w:val="-1"/>
                <w:sz w:val="18"/>
              </w:rPr>
              <w:t>4,179,846.65</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3"/>
              <w:jc w:val="right"/>
              <w:rPr>
                <w:rFonts w:ascii="宋体" w:hAnsi="宋体" w:cs="宋体" w:eastAsia="宋体" w:hint="default"/>
                <w:sz w:val="18"/>
                <w:szCs w:val="18"/>
              </w:rPr>
            </w:pPr>
            <w:r>
              <w:rPr>
                <w:rFonts w:ascii="宋体"/>
                <w:spacing w:val="-1"/>
                <w:sz w:val="18"/>
              </w:rPr>
              <w:t>1,313,090.87</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2"/>
              <w:jc w:val="right"/>
              <w:rPr>
                <w:rFonts w:ascii="宋体" w:hAnsi="宋体" w:cs="宋体" w:eastAsia="宋体" w:hint="default"/>
                <w:sz w:val="18"/>
                <w:szCs w:val="18"/>
              </w:rPr>
            </w:pPr>
            <w:r>
              <w:rPr>
                <w:rFonts w:ascii="宋体"/>
                <w:spacing w:val="-1"/>
                <w:sz w:val="18"/>
              </w:rPr>
              <w:t>6,368,598.46</w:t>
            </w: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right="101"/>
              <w:jc w:val="right"/>
              <w:rPr>
                <w:rFonts w:ascii="宋体" w:hAnsi="宋体" w:cs="宋体" w:eastAsia="宋体" w:hint="default"/>
                <w:sz w:val="18"/>
                <w:szCs w:val="18"/>
              </w:rPr>
            </w:pPr>
            <w:r>
              <w:rPr>
                <w:rFonts w:ascii="宋体"/>
                <w:spacing w:val="-1"/>
                <w:sz w:val="18"/>
              </w:rPr>
              <w:t>286,268.86</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105"/>
              <w:jc w:val="right"/>
              <w:rPr>
                <w:rFonts w:ascii="宋体" w:hAnsi="宋体" w:cs="宋体" w:eastAsia="宋体" w:hint="default"/>
                <w:sz w:val="18"/>
                <w:szCs w:val="18"/>
              </w:rPr>
            </w:pPr>
            <w:r>
              <w:rPr>
                <w:rFonts w:ascii="宋体"/>
                <w:spacing w:val="-1"/>
                <w:sz w:val="18"/>
              </w:rPr>
              <w:t>12,147,804.84</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3.本年减少金额</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1"/>
              <w:jc w:val="right"/>
              <w:rPr>
                <w:rFonts w:ascii="宋体" w:hAnsi="宋体" w:cs="宋体" w:eastAsia="宋体" w:hint="default"/>
                <w:sz w:val="18"/>
                <w:szCs w:val="18"/>
              </w:rPr>
            </w:pPr>
            <w:r>
              <w:rPr>
                <w:rFonts w:ascii="宋体"/>
                <w:spacing w:val="-1"/>
                <w:sz w:val="18"/>
              </w:rPr>
              <w:t>1,988,497.93</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pacing w:val="-1"/>
                <w:sz w:val="18"/>
              </w:rPr>
              <w:t>1,988,497.93</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(1)处置</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1"/>
              <w:jc w:val="right"/>
              <w:rPr>
                <w:rFonts w:ascii="宋体" w:hAnsi="宋体" w:cs="宋体" w:eastAsia="宋体" w:hint="default"/>
                <w:sz w:val="18"/>
                <w:szCs w:val="18"/>
              </w:rPr>
            </w:pPr>
            <w:r>
              <w:rPr>
                <w:rFonts w:ascii="宋体"/>
                <w:spacing w:val="-1"/>
                <w:sz w:val="18"/>
              </w:rPr>
              <w:t>1,988,497.93</w:t>
            </w: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pacing w:val="-1"/>
                <w:sz w:val="18"/>
              </w:rPr>
              <w:t>1,988,497.93</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4.年末余额</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33,254,601.38</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6,723,508.08</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104"/>
              <w:jc w:val="right"/>
              <w:rPr>
                <w:rFonts w:ascii="宋体" w:hAnsi="宋体" w:cs="宋体" w:eastAsia="宋体" w:hint="default"/>
                <w:sz w:val="18"/>
                <w:szCs w:val="18"/>
              </w:rPr>
            </w:pPr>
            <w:r>
              <w:rPr>
                <w:rFonts w:ascii="宋体"/>
                <w:spacing w:val="-1"/>
                <w:sz w:val="18"/>
              </w:rPr>
              <w:t>11,628,269.26</w:t>
            </w:r>
          </w:p>
        </w:tc>
        <w:tc>
          <w:tcPr>
            <w:tcW w:w="16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left="477" w:right="0"/>
              <w:jc w:val="left"/>
              <w:rPr>
                <w:rFonts w:ascii="宋体" w:hAnsi="宋体" w:cs="宋体" w:eastAsia="宋体" w:hint="default"/>
                <w:sz w:val="18"/>
                <w:szCs w:val="18"/>
              </w:rPr>
            </w:pPr>
            <w:r>
              <w:rPr>
                <w:rFonts w:ascii="宋体"/>
                <w:sz w:val="18"/>
              </w:rPr>
              <w:t>1,273,214.45</w:t>
            </w: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宋体" w:hAnsi="宋体" w:cs="宋体" w:eastAsia="宋体" w:hint="default"/>
                <w:sz w:val="18"/>
                <w:szCs w:val="18"/>
              </w:rPr>
            </w:pPr>
            <w:r>
              <w:rPr>
                <w:rFonts w:ascii="宋体"/>
                <w:spacing w:val="-1"/>
                <w:sz w:val="18"/>
              </w:rPr>
              <w:t>52,879,593.17</w:t>
            </w: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6"/>
              <w:ind w:left="108"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2277" w:type="dxa"/>
            <w:tcBorders>
              <w:top w:val="single" w:sz="2" w:space="0" w:color="000000"/>
              <w:left w:val="single" w:sz="2" w:space="0" w:color="000000"/>
              <w:bottom w:val="single" w:sz="2" w:space="0" w:color="000000"/>
              <w:right w:val="single" w:sz="2" w:space="0" w:color="000000"/>
            </w:tcBorders>
          </w:tcPr>
          <w:p>
            <w:pPr/>
          </w:p>
        </w:tc>
        <w:tc>
          <w:tcPr>
            <w:tcW w:w="2129"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single" w:sz="2" w:space="0" w:color="000000"/>
            </w:tcBorders>
          </w:tcPr>
          <w:p>
            <w:pP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
        </w:tc>
      </w:tr>
      <w:tr>
        <w:trPr>
          <w:trHeight w:val="345" w:hRule="exact"/>
        </w:trPr>
        <w:tc>
          <w:tcPr>
            <w:tcW w:w="23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1.年末账面价值</w:t>
            </w:r>
          </w:p>
        </w:tc>
        <w:tc>
          <w:tcPr>
            <w:tcW w:w="227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3"/>
              <w:jc w:val="right"/>
              <w:rPr>
                <w:rFonts w:ascii="宋体" w:hAnsi="宋体" w:cs="宋体" w:eastAsia="宋体" w:hint="default"/>
                <w:sz w:val="18"/>
                <w:szCs w:val="18"/>
              </w:rPr>
            </w:pPr>
            <w:r>
              <w:rPr>
                <w:rFonts w:ascii="宋体"/>
                <w:spacing w:val="-1"/>
                <w:sz w:val="18"/>
              </w:rPr>
              <w:t>152,172,800.11</w:t>
            </w:r>
          </w:p>
        </w:tc>
        <w:tc>
          <w:tcPr>
            <w:tcW w:w="21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3"/>
              <w:jc w:val="right"/>
              <w:rPr>
                <w:rFonts w:ascii="宋体" w:hAnsi="宋体" w:cs="宋体" w:eastAsia="宋体" w:hint="default"/>
                <w:sz w:val="18"/>
                <w:szCs w:val="18"/>
              </w:rPr>
            </w:pPr>
            <w:r>
              <w:rPr>
                <w:rFonts w:ascii="宋体"/>
                <w:spacing w:val="-1"/>
                <w:sz w:val="18"/>
              </w:rPr>
              <w:t>7,865,525.95</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104"/>
              <w:jc w:val="right"/>
              <w:rPr>
                <w:rFonts w:ascii="宋体" w:hAnsi="宋体" w:cs="宋体" w:eastAsia="宋体" w:hint="default"/>
                <w:sz w:val="18"/>
                <w:szCs w:val="18"/>
              </w:rPr>
            </w:pPr>
            <w:r>
              <w:rPr>
                <w:rFonts w:ascii="宋体"/>
                <w:spacing w:val="-1"/>
                <w:sz w:val="18"/>
              </w:rPr>
              <w:t>20,244,244.13</w:t>
            </w:r>
          </w:p>
        </w:tc>
        <w:tc>
          <w:tcPr>
            <w:tcW w:w="1669" w:type="dxa"/>
            <w:tcBorders>
              <w:top w:val="single" w:sz="2" w:space="0" w:color="000000"/>
              <w:left w:val="single" w:sz="2" w:space="0" w:color="000000"/>
              <w:bottom w:val="single" w:sz="2" w:space="0" w:color="000000"/>
              <w:right w:val="single" w:sz="2" w:space="0" w:color="000000"/>
            </w:tcBorders>
          </w:tcPr>
          <w:p>
            <w:pPr/>
          </w:p>
        </w:tc>
        <w:tc>
          <w:tcPr>
            <w:tcW w:w="1839" w:type="dxa"/>
            <w:tcBorders>
              <w:top w:val="single" w:sz="2" w:space="0" w:color="000000"/>
              <w:left w:val="single" w:sz="2" w:space="0" w:color="000000"/>
              <w:bottom w:val="single" w:sz="2" w:space="0" w:color="000000"/>
              <w:right w:val="single" w:sz="2" w:space="0" w:color="000000"/>
            </w:tcBorders>
          </w:tcPr>
          <w:p>
            <w:pPr/>
          </w:p>
        </w:tc>
        <w:tc>
          <w:tcPr>
            <w:tcW w:w="20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05"/>
              <w:jc w:val="right"/>
              <w:rPr>
                <w:rFonts w:ascii="宋体" w:hAnsi="宋体" w:cs="宋体" w:eastAsia="宋体" w:hint="default"/>
                <w:sz w:val="18"/>
                <w:szCs w:val="18"/>
              </w:rPr>
            </w:pPr>
            <w:r>
              <w:rPr>
                <w:rFonts w:ascii="宋体"/>
                <w:spacing w:val="-1"/>
                <w:sz w:val="18"/>
              </w:rPr>
              <w:t>180,282,570.19</w:t>
            </w:r>
          </w:p>
        </w:tc>
      </w:tr>
      <w:tr>
        <w:trPr>
          <w:trHeight w:val="357" w:hRule="exact"/>
        </w:trPr>
        <w:tc>
          <w:tcPr>
            <w:tcW w:w="236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2.年初账面价值</w:t>
            </w:r>
          </w:p>
        </w:tc>
        <w:tc>
          <w:tcPr>
            <w:tcW w:w="227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142,674,246.76</w:t>
            </w:r>
          </w:p>
        </w:tc>
        <w:tc>
          <w:tcPr>
            <w:tcW w:w="21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5"/>
              <w:ind w:right="103"/>
              <w:jc w:val="right"/>
              <w:rPr>
                <w:rFonts w:ascii="宋体" w:hAnsi="宋体" w:cs="宋体" w:eastAsia="宋体" w:hint="default"/>
                <w:sz w:val="18"/>
                <w:szCs w:val="18"/>
              </w:rPr>
            </w:pPr>
            <w:r>
              <w:rPr>
                <w:rFonts w:ascii="宋体"/>
                <w:spacing w:val="-1"/>
                <w:sz w:val="18"/>
              </w:rPr>
              <w:t>5,698,491.60</w:t>
            </w:r>
          </w:p>
        </w:tc>
        <w:tc>
          <w:tcPr>
            <w:tcW w:w="184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5"/>
              <w:ind w:right="104"/>
              <w:jc w:val="right"/>
              <w:rPr>
                <w:rFonts w:ascii="宋体" w:hAnsi="宋体" w:cs="宋体" w:eastAsia="宋体" w:hint="default"/>
                <w:sz w:val="18"/>
                <w:szCs w:val="18"/>
              </w:rPr>
            </w:pPr>
            <w:r>
              <w:rPr>
                <w:rFonts w:ascii="宋体"/>
                <w:spacing w:val="-1"/>
                <w:sz w:val="18"/>
              </w:rPr>
              <w:t>12,176,252.39</w:t>
            </w:r>
          </w:p>
        </w:tc>
        <w:tc>
          <w:tcPr>
            <w:tcW w:w="1669" w:type="dxa"/>
            <w:tcBorders>
              <w:top w:val="single" w:sz="2" w:space="0" w:color="000000"/>
              <w:left w:val="single" w:sz="2" w:space="0" w:color="000000"/>
              <w:bottom w:val="single" w:sz="12" w:space="0" w:color="000000"/>
              <w:right w:val="single" w:sz="2" w:space="0" w:color="000000"/>
            </w:tcBorders>
          </w:tcPr>
          <w:p>
            <w:pPr/>
          </w:p>
        </w:tc>
        <w:tc>
          <w:tcPr>
            <w:tcW w:w="183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5"/>
              <w:ind w:right="101"/>
              <w:jc w:val="right"/>
              <w:rPr>
                <w:rFonts w:ascii="宋体" w:hAnsi="宋体" w:cs="宋体" w:eastAsia="宋体" w:hint="default"/>
                <w:sz w:val="18"/>
                <w:szCs w:val="18"/>
              </w:rPr>
            </w:pPr>
            <w:r>
              <w:rPr>
                <w:rFonts w:ascii="宋体"/>
                <w:spacing w:val="-1"/>
                <w:sz w:val="18"/>
              </w:rPr>
              <w:t>286,268.86</w:t>
            </w:r>
          </w:p>
        </w:tc>
        <w:tc>
          <w:tcPr>
            <w:tcW w:w="209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25"/>
              <w:ind w:right="105"/>
              <w:jc w:val="right"/>
              <w:rPr>
                <w:rFonts w:ascii="宋体" w:hAnsi="宋体" w:cs="宋体" w:eastAsia="宋体" w:hint="default"/>
                <w:sz w:val="18"/>
                <w:szCs w:val="18"/>
              </w:rPr>
            </w:pPr>
            <w:r>
              <w:rPr>
                <w:rFonts w:ascii="宋体"/>
                <w:spacing w:val="-1"/>
                <w:sz w:val="18"/>
              </w:rPr>
              <w:t>160,835,259.61</w:t>
            </w:r>
          </w:p>
        </w:tc>
      </w:tr>
    </w:tbl>
    <w:p>
      <w:pPr>
        <w:spacing w:line="240" w:lineRule="auto" w:before="1"/>
        <w:rPr>
          <w:rFonts w:ascii="宋体" w:hAnsi="宋体" w:cs="宋体" w:eastAsia="宋体" w:hint="default"/>
          <w:sz w:val="9"/>
          <w:szCs w:val="9"/>
        </w:rPr>
      </w:pPr>
    </w:p>
    <w:p>
      <w:pPr>
        <w:pStyle w:val="BodyText"/>
        <w:spacing w:line="240" w:lineRule="auto"/>
        <w:ind w:left="677" w:right="0"/>
        <w:jc w:val="left"/>
      </w:pPr>
      <w:r>
        <w:rPr>
          <w:spacing w:val="-2"/>
        </w:rPr>
        <w:t>本期末通过公司内部研发形成的无形资产占无形资产余额的比例</w:t>
      </w:r>
      <w:r>
        <w:rPr>
          <w:spacing w:val="-6"/>
        </w:rPr>
        <w:t> </w:t>
      </w:r>
      <w:r>
        <w:rPr>
          <w:spacing w:val="-2"/>
        </w:rPr>
        <w:t>14.50%。</w:t>
      </w:r>
    </w:p>
    <w:p>
      <w:pPr>
        <w:spacing w:after="0" w:line="240" w:lineRule="auto"/>
        <w:jc w:val="left"/>
        <w:sectPr>
          <w:headerReference w:type="default" r:id="rId54"/>
          <w:footerReference w:type="default" r:id="rId55"/>
          <w:pgSz w:w="16840" w:h="11910" w:orient="landscape"/>
          <w:pgMar w:header="939" w:footer="886" w:top="1940" w:bottom="1080" w:left="1180" w:right="1180"/>
        </w:sectPr>
      </w:pPr>
    </w:p>
    <w:p>
      <w:pPr>
        <w:spacing w:line="240" w:lineRule="auto" w:before="13"/>
        <w:rPr>
          <w:rFonts w:ascii="宋体" w:hAnsi="宋体" w:cs="宋体" w:eastAsia="宋体" w:hint="default"/>
          <w:sz w:val="12"/>
          <w:szCs w:val="12"/>
        </w:rPr>
      </w:pPr>
    </w:p>
    <w:p>
      <w:pPr>
        <w:pStyle w:val="BodyText"/>
        <w:spacing w:line="240" w:lineRule="auto"/>
        <w:ind w:left="677" w:right="0"/>
        <w:jc w:val="left"/>
      </w:pPr>
      <w:r>
        <w:rPr/>
        <w:t>注：已设定抵押的无形资产明细详见本附注“八、20.短期借款”及“八、54.所有权或使用权受到限制的资产”所述。</w:t>
      </w:r>
    </w:p>
    <w:p>
      <w:pPr>
        <w:spacing w:after="0" w:line="240" w:lineRule="auto"/>
        <w:jc w:val="left"/>
        <w:sectPr>
          <w:footerReference w:type="default" r:id="rId56"/>
          <w:pgSz w:w="16840" w:h="11910" w:orient="landscape"/>
          <w:pgMar w:footer="886" w:header="939" w:top="1940" w:bottom="1080" w:left="1180" w:right="1520"/>
        </w:sectPr>
      </w:pPr>
    </w:p>
    <w:p>
      <w:pPr>
        <w:spacing w:line="240" w:lineRule="auto" w:before="13"/>
        <w:rPr>
          <w:rFonts w:ascii="宋体" w:hAnsi="宋体" w:cs="宋体" w:eastAsia="宋体" w:hint="default"/>
          <w:sz w:val="12"/>
          <w:szCs w:val="12"/>
        </w:rPr>
      </w:pPr>
      <w:r>
        <w:rPr/>
        <w:pict>
          <v:shape style="position:absolute;margin-left:535.638184pt;margin-top:806.509705pt;width:59.477876pt;height:26.787746pt;mso-position-horizontal-relative:page;mso-position-vertical-relative:page;z-index:1720" type="#_x0000_t75" stroked="false">
            <v:imagedata r:id="rId48" o:title=""/>
          </v:shape>
        </w:pict>
      </w:r>
    </w:p>
    <w:p>
      <w:pPr>
        <w:pStyle w:val="BodyText"/>
        <w:spacing w:line="240" w:lineRule="auto"/>
        <w:ind w:left="644" w:right="1445"/>
        <w:jc w:val="left"/>
      </w:pPr>
      <w:r>
        <w:rPr/>
        <w:t>16.</w:t>
      </w:r>
      <w:r>
        <w:rPr>
          <w:spacing w:val="-48"/>
        </w:rPr>
        <w:t> </w:t>
      </w:r>
      <w:bookmarkStart w:name="16.开发支出" w:id="280"/>
      <w:bookmarkEnd w:id="280"/>
      <w:r>
        <w:rPr/>
        <w:t>开</w:t>
      </w:r>
      <w:r>
        <w:rPr/>
        <w:t>发支出</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985"/>
        <w:gridCol w:w="1415"/>
        <w:gridCol w:w="827"/>
        <w:gridCol w:w="708"/>
        <w:gridCol w:w="1560"/>
        <w:gridCol w:w="1417"/>
        <w:gridCol w:w="710"/>
        <w:gridCol w:w="1101"/>
      </w:tblGrid>
      <w:tr>
        <w:trPr>
          <w:trHeight w:val="415" w:hRule="exact"/>
        </w:trPr>
        <w:tc>
          <w:tcPr>
            <w:tcW w:w="985" w:type="dxa"/>
            <w:vMerge w:val="restart"/>
            <w:tcBorders>
              <w:top w:val="single" w:sz="12" w:space="0" w:color="000000"/>
              <w:left w:val="nil" w:sz="6" w:space="0" w:color="auto"/>
              <w:right w:val="single" w:sz="2"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15" w:type="dxa"/>
            <w:vMerge w:val="restart"/>
            <w:tcBorders>
              <w:top w:val="single" w:sz="12" w:space="0" w:color="000000"/>
              <w:left w:val="single" w:sz="2" w:space="0" w:color="000000"/>
              <w:right w:val="single" w:sz="2"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535"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03"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3687" w:type="dxa"/>
            <w:gridSpan w:val="3"/>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101" w:type="dxa"/>
            <w:vMerge w:val="restart"/>
            <w:tcBorders>
              <w:top w:val="single" w:sz="12" w:space="0" w:color="000000"/>
              <w:left w:val="single" w:sz="2"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88"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552" w:hRule="exact"/>
        </w:trPr>
        <w:tc>
          <w:tcPr>
            <w:tcW w:w="985" w:type="dxa"/>
            <w:vMerge/>
            <w:tcBorders>
              <w:left w:val="nil" w:sz="6" w:space="0" w:color="auto"/>
              <w:bottom w:val="single" w:sz="2" w:space="0" w:color="000000"/>
              <w:right w:val="single" w:sz="2" w:space="0" w:color="000000"/>
            </w:tcBorders>
          </w:tcPr>
          <w:p>
            <w:pPr/>
          </w:p>
        </w:tc>
        <w:tc>
          <w:tcPr>
            <w:tcW w:w="1415" w:type="dxa"/>
            <w:vMerge/>
            <w:tcBorders>
              <w:left w:val="single" w:sz="2" w:space="0" w:color="000000"/>
              <w:bottom w:val="single" w:sz="2" w:space="0" w:color="000000"/>
              <w:right w:val="single" w:sz="2" w:space="0" w:color="000000"/>
            </w:tcBorders>
          </w:tcPr>
          <w:p>
            <w:pPr/>
          </w:p>
        </w:tc>
        <w:tc>
          <w:tcPr>
            <w:tcW w:w="8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139" w:right="138"/>
              <w:jc w:val="left"/>
              <w:rPr>
                <w:rFonts w:ascii="宋体" w:hAnsi="宋体" w:cs="宋体" w:eastAsia="宋体" w:hint="default"/>
                <w:sz w:val="18"/>
                <w:szCs w:val="18"/>
              </w:rPr>
            </w:pPr>
            <w:r>
              <w:rPr>
                <w:rFonts w:ascii="宋体" w:hAnsi="宋体" w:cs="宋体" w:eastAsia="宋体" w:hint="default"/>
                <w:b/>
                <w:bCs/>
                <w:sz w:val="18"/>
                <w:szCs w:val="18"/>
              </w:rPr>
              <w:t>内部开</w:t>
            </w:r>
            <w:r>
              <w:rPr>
                <w:rFonts w:ascii="宋体" w:hAnsi="宋体" w:cs="宋体" w:eastAsia="宋体" w:hint="default"/>
                <w:b/>
                <w:bCs/>
                <w:w w:val="99"/>
                <w:sz w:val="18"/>
                <w:szCs w:val="18"/>
              </w:rPr>
              <w:t> </w:t>
            </w:r>
            <w:r>
              <w:rPr>
                <w:rFonts w:ascii="宋体" w:hAnsi="宋体" w:cs="宋体" w:eastAsia="宋体" w:hint="default"/>
                <w:b/>
                <w:bCs/>
                <w:sz w:val="18"/>
                <w:szCs w:val="18"/>
              </w:rPr>
              <w:t>发支出</w:t>
            </w:r>
            <w:r>
              <w:rPr>
                <w:rFonts w:ascii="宋体" w:hAnsi="宋体" w:cs="宋体" w:eastAsia="宋体" w:hint="default"/>
                <w:sz w:val="18"/>
                <w:szCs w:val="18"/>
              </w:rPr>
            </w: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71"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48" w:right="0"/>
              <w:jc w:val="left"/>
              <w:rPr>
                <w:rFonts w:ascii="宋体" w:hAnsi="宋体" w:cs="宋体" w:eastAsia="宋体" w:hint="default"/>
                <w:sz w:val="18"/>
                <w:szCs w:val="18"/>
              </w:rPr>
            </w:pPr>
            <w:r>
              <w:rPr>
                <w:rFonts w:ascii="宋体" w:hAnsi="宋体" w:cs="宋体" w:eastAsia="宋体" w:hint="default"/>
                <w:b/>
                <w:bCs/>
                <w:sz w:val="18"/>
                <w:szCs w:val="18"/>
              </w:rPr>
              <w:t>确认为无形资产</w:t>
            </w:r>
            <w:r>
              <w:rPr>
                <w:rFonts w:ascii="宋体" w:hAnsi="宋体" w:cs="宋体" w:eastAsia="宋体" w:hint="default"/>
                <w:sz w:val="18"/>
                <w:szCs w:val="18"/>
              </w:rPr>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64" w:right="0"/>
              <w:jc w:val="left"/>
              <w:rPr>
                <w:rFonts w:ascii="宋体" w:hAnsi="宋体" w:cs="宋体" w:eastAsia="宋体" w:hint="default"/>
                <w:sz w:val="18"/>
                <w:szCs w:val="18"/>
              </w:rPr>
            </w:pPr>
            <w:r>
              <w:rPr>
                <w:rFonts w:ascii="宋体" w:hAnsi="宋体" w:cs="宋体" w:eastAsia="宋体" w:hint="default"/>
                <w:b/>
                <w:bCs/>
                <w:sz w:val="18"/>
                <w:szCs w:val="18"/>
              </w:rPr>
              <w:t>转入当期损益</w:t>
            </w:r>
            <w:r>
              <w:rPr>
                <w:rFonts w:ascii="宋体" w:hAnsi="宋体" w:cs="宋体" w:eastAsia="宋体" w:hint="default"/>
                <w:sz w:val="18"/>
                <w:szCs w:val="18"/>
              </w:rPr>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73"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101" w:type="dxa"/>
            <w:vMerge/>
            <w:tcBorders>
              <w:left w:val="single" w:sz="2" w:space="0" w:color="000000"/>
              <w:bottom w:val="single" w:sz="2" w:space="0" w:color="000000"/>
              <w:right w:val="nil" w:sz="6" w:space="0" w:color="auto"/>
            </w:tcBorders>
          </w:tcPr>
          <w:p>
            <w:pPr/>
          </w:p>
        </w:tc>
      </w:tr>
      <w:tr>
        <w:trPr>
          <w:trHeight w:val="402" w:hRule="exact"/>
        </w:trPr>
        <w:tc>
          <w:tcPr>
            <w:tcW w:w="98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爱充</w:t>
            </w:r>
            <w:r>
              <w:rPr>
                <w:rFonts w:ascii="宋体" w:hAnsi="宋体" w:cs="宋体" w:eastAsia="宋体" w:hint="default"/>
                <w:spacing w:val="-46"/>
                <w:sz w:val="18"/>
                <w:szCs w:val="18"/>
              </w:rPr>
              <w:t> </w:t>
            </w:r>
            <w:r>
              <w:rPr>
                <w:rFonts w:ascii="宋体" w:hAnsi="宋体" w:cs="宋体" w:eastAsia="宋体" w:hint="default"/>
                <w:sz w:val="18"/>
                <w:szCs w:val="18"/>
              </w:rPr>
              <w:t>APP</w:t>
            </w:r>
          </w:p>
        </w:tc>
        <w:tc>
          <w:tcPr>
            <w:tcW w:w="14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15,629,549.65</w:t>
            </w:r>
          </w:p>
        </w:tc>
        <w:tc>
          <w:tcPr>
            <w:tcW w:w="827"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14,436,590.20</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1,192,959.45</w:t>
            </w:r>
          </w:p>
        </w:tc>
        <w:tc>
          <w:tcPr>
            <w:tcW w:w="710" w:type="dxa"/>
            <w:tcBorders>
              <w:top w:val="single" w:sz="2" w:space="0" w:color="000000"/>
              <w:left w:val="single" w:sz="2" w:space="0" w:color="000000"/>
              <w:bottom w:val="single" w:sz="2" w:space="0" w:color="000000"/>
              <w:right w:val="single" w:sz="2" w:space="0" w:color="000000"/>
            </w:tcBorders>
          </w:tcPr>
          <w:p>
            <w:pPr/>
          </w:p>
        </w:tc>
        <w:tc>
          <w:tcPr>
            <w:tcW w:w="1101"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98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1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7"/>
              <w:jc w:val="right"/>
              <w:rPr>
                <w:rFonts w:ascii="宋体" w:hAnsi="宋体" w:cs="宋体" w:eastAsia="宋体" w:hint="default"/>
                <w:sz w:val="18"/>
                <w:szCs w:val="18"/>
              </w:rPr>
            </w:pPr>
            <w:r>
              <w:rPr>
                <w:rFonts w:ascii="宋体"/>
                <w:b/>
                <w:w w:val="95"/>
                <w:sz w:val="18"/>
              </w:rPr>
              <w:t>15,629,549.65</w:t>
            </w:r>
            <w:r>
              <w:rPr>
                <w:rFonts w:ascii="宋体"/>
                <w:sz w:val="18"/>
              </w:rPr>
            </w:r>
          </w:p>
        </w:tc>
        <w:tc>
          <w:tcPr>
            <w:tcW w:w="827" w:type="dxa"/>
            <w:tcBorders>
              <w:top w:val="single" w:sz="2" w:space="0" w:color="000000"/>
              <w:left w:val="single" w:sz="2" w:space="0" w:color="000000"/>
              <w:bottom w:val="single" w:sz="12" w:space="0" w:color="000000"/>
              <w:right w:val="single" w:sz="2" w:space="0" w:color="000000"/>
            </w:tcBorders>
          </w:tcPr>
          <w:p>
            <w:pPr/>
          </w:p>
        </w:tc>
        <w:tc>
          <w:tcPr>
            <w:tcW w:w="708" w:type="dxa"/>
            <w:tcBorders>
              <w:top w:val="single" w:sz="2" w:space="0" w:color="000000"/>
              <w:left w:val="single" w:sz="2" w:space="0" w:color="000000"/>
              <w:bottom w:val="single" w:sz="12" w:space="0" w:color="000000"/>
              <w:right w:val="single" w:sz="2" w:space="0" w:color="000000"/>
            </w:tcBorders>
          </w:tcPr>
          <w:p>
            <w:pPr/>
          </w:p>
        </w:tc>
        <w:tc>
          <w:tcPr>
            <w:tcW w:w="156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8"/>
              <w:jc w:val="right"/>
              <w:rPr>
                <w:rFonts w:ascii="宋体" w:hAnsi="宋体" w:cs="宋体" w:eastAsia="宋体" w:hint="default"/>
                <w:sz w:val="18"/>
                <w:szCs w:val="18"/>
              </w:rPr>
            </w:pPr>
            <w:r>
              <w:rPr>
                <w:rFonts w:ascii="宋体"/>
                <w:b/>
                <w:w w:val="95"/>
                <w:sz w:val="18"/>
              </w:rPr>
              <w:t>14,436,590.20</w:t>
            </w:r>
            <w:r>
              <w:rPr>
                <w:rFonts w:ascii="宋体"/>
                <w:sz w:val="18"/>
              </w:rPr>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9"/>
              <w:jc w:val="right"/>
              <w:rPr>
                <w:rFonts w:ascii="宋体" w:hAnsi="宋体" w:cs="宋体" w:eastAsia="宋体" w:hint="default"/>
                <w:sz w:val="18"/>
                <w:szCs w:val="18"/>
              </w:rPr>
            </w:pPr>
            <w:r>
              <w:rPr>
                <w:rFonts w:ascii="宋体"/>
                <w:b/>
                <w:w w:val="95"/>
                <w:sz w:val="18"/>
              </w:rPr>
              <w:t>1,192,959.45</w:t>
            </w:r>
            <w:r>
              <w:rPr>
                <w:rFonts w:ascii="宋体"/>
                <w:sz w:val="18"/>
              </w:rPr>
            </w:r>
          </w:p>
        </w:tc>
        <w:tc>
          <w:tcPr>
            <w:tcW w:w="710" w:type="dxa"/>
            <w:tcBorders>
              <w:top w:val="single" w:sz="2" w:space="0" w:color="000000"/>
              <w:left w:val="single" w:sz="2" w:space="0" w:color="000000"/>
              <w:bottom w:val="single" w:sz="12" w:space="0" w:color="000000"/>
              <w:right w:val="single" w:sz="2" w:space="0" w:color="000000"/>
            </w:tcBorders>
          </w:tcPr>
          <w:p>
            <w:pPr/>
          </w:p>
        </w:tc>
        <w:tc>
          <w:tcPr>
            <w:tcW w:w="1101" w:type="dxa"/>
            <w:tcBorders>
              <w:top w:val="single" w:sz="2" w:space="0" w:color="000000"/>
              <w:left w:val="single" w:sz="2" w:space="0" w:color="000000"/>
              <w:bottom w:val="single" w:sz="12" w:space="0" w:color="000000"/>
              <w:right w:val="nil" w:sz="6" w:space="0" w:color="auto"/>
            </w:tcBorders>
          </w:tcPr>
          <w:p>
            <w:pP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17.</w:t>
      </w:r>
      <w:r>
        <w:rPr>
          <w:spacing w:val="-46"/>
        </w:rPr>
        <w:t> </w:t>
      </w:r>
      <w:bookmarkStart w:name="17.商誉" w:id="281"/>
      <w:bookmarkEnd w:id="281"/>
      <w:r>
        <w:rPr/>
        <w:t>商</w:t>
      </w:r>
      <w:r>
        <w:rPr/>
        <w:t>誉</w:t>
      </w:r>
    </w:p>
    <w:p>
      <w:pPr>
        <w:spacing w:line="240" w:lineRule="auto" w:before="9"/>
        <w:rPr>
          <w:rFonts w:ascii="宋体" w:hAnsi="宋体" w:cs="宋体" w:eastAsia="宋体" w:hint="default"/>
          <w:sz w:val="18"/>
          <w:szCs w:val="18"/>
        </w:rPr>
      </w:pPr>
    </w:p>
    <w:p>
      <w:pPr>
        <w:pStyle w:val="BodyText"/>
        <w:spacing w:line="240" w:lineRule="auto" w:before="0"/>
        <w:ind w:left="740" w:right="1445"/>
        <w:jc w:val="left"/>
      </w:pPr>
      <w:r>
        <w:rPr/>
        <w:t>（</w:t>
      </w:r>
      <w:r>
        <w:rPr>
          <w:rFonts w:ascii="Times New Roman" w:hAnsi="Times New Roman" w:cs="Times New Roman" w:eastAsia="Times New Roman" w:hint="default"/>
        </w:rPr>
        <w:t>1</w:t>
      </w:r>
      <w:r>
        <w:rPr/>
        <w:t>）</w:t>
      </w:r>
      <w:r>
        <w:rPr>
          <w:spacing w:val="-63"/>
        </w:rPr>
        <w:t> </w:t>
      </w:r>
      <w:bookmarkStart w:name="（1）商誉原值" w:id="282"/>
      <w:bookmarkEnd w:id="282"/>
      <w:r>
        <w:rPr/>
        <w:t>商</w:t>
      </w:r>
      <w:r>
        <w:rPr/>
        <w:t>誉原值</w:t>
      </w:r>
    </w:p>
    <w:p>
      <w:pPr>
        <w:spacing w:line="240" w:lineRule="auto" w:before="2"/>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2091"/>
        <w:gridCol w:w="1840"/>
        <w:gridCol w:w="1886"/>
        <w:gridCol w:w="1137"/>
        <w:gridCol w:w="1769"/>
      </w:tblGrid>
      <w:tr>
        <w:trPr>
          <w:trHeight w:val="415" w:hRule="exact"/>
        </w:trPr>
        <w:tc>
          <w:tcPr>
            <w:tcW w:w="2091" w:type="dxa"/>
            <w:vMerge w:val="restart"/>
            <w:tcBorders>
              <w:top w:val="single" w:sz="12" w:space="0" w:color="000000"/>
              <w:left w:val="nil" w:sz="6" w:space="0" w:color="auto"/>
              <w:right w:val="single" w:sz="2"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1840" w:type="dxa"/>
            <w:vMerge w:val="restart"/>
            <w:tcBorders>
              <w:top w:val="single" w:sz="12" w:space="0" w:color="000000"/>
              <w:left w:val="single" w:sz="2" w:space="0" w:color="000000"/>
              <w:right w:val="single" w:sz="2"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88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4" w:right="0"/>
              <w:jc w:val="center"/>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13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769" w:type="dxa"/>
            <w:vMerge w:val="restart"/>
            <w:tcBorders>
              <w:top w:val="single" w:sz="12" w:space="0" w:color="000000"/>
              <w:left w:val="single" w:sz="2"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2091" w:type="dxa"/>
            <w:vMerge/>
            <w:tcBorders>
              <w:left w:val="nil" w:sz="6" w:space="0" w:color="auto"/>
              <w:bottom w:val="single" w:sz="2" w:space="0" w:color="000000"/>
              <w:right w:val="single" w:sz="2" w:space="0" w:color="000000"/>
            </w:tcBorders>
          </w:tcPr>
          <w:p>
            <w:pPr/>
          </w:p>
        </w:tc>
        <w:tc>
          <w:tcPr>
            <w:tcW w:w="1840" w:type="dxa"/>
            <w:vMerge/>
            <w:tcBorders>
              <w:left w:val="single" w:sz="2" w:space="0" w:color="000000"/>
              <w:bottom w:val="single" w:sz="2" w:space="0" w:color="000000"/>
              <w:right w:val="single" w:sz="2" w:space="0" w:color="000000"/>
            </w:tcBorders>
          </w:tcPr>
          <w:p>
            <w:pPr/>
          </w:p>
        </w:tc>
        <w:tc>
          <w:tcPr>
            <w:tcW w:w="18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4" w:right="0"/>
              <w:jc w:val="center"/>
              <w:rPr>
                <w:rFonts w:ascii="宋体" w:hAnsi="宋体" w:cs="宋体" w:eastAsia="宋体" w:hint="default"/>
                <w:sz w:val="18"/>
                <w:szCs w:val="18"/>
              </w:rPr>
            </w:pPr>
            <w:r>
              <w:rPr>
                <w:rFonts w:ascii="宋体" w:hAnsi="宋体" w:cs="宋体" w:eastAsia="宋体" w:hint="default"/>
                <w:b/>
                <w:bCs/>
                <w:sz w:val="18"/>
                <w:szCs w:val="18"/>
              </w:rPr>
              <w:t>企业合并形成的</w:t>
            </w:r>
            <w:r>
              <w:rPr>
                <w:rFonts w:ascii="宋体" w:hAnsi="宋体" w:cs="宋体" w:eastAsia="宋体" w:hint="default"/>
                <w:sz w:val="18"/>
                <w:szCs w:val="18"/>
              </w:rPr>
            </w:r>
          </w:p>
        </w:tc>
        <w:tc>
          <w:tcPr>
            <w:tcW w:w="113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处置</w:t>
            </w:r>
            <w:r>
              <w:rPr>
                <w:rFonts w:ascii="宋体" w:hAnsi="宋体" w:cs="宋体" w:eastAsia="宋体" w:hint="default"/>
                <w:sz w:val="18"/>
                <w:szCs w:val="18"/>
              </w:rPr>
            </w:r>
          </w:p>
        </w:tc>
        <w:tc>
          <w:tcPr>
            <w:tcW w:w="1769" w:type="dxa"/>
            <w:vMerge/>
            <w:tcBorders>
              <w:left w:val="single" w:sz="2" w:space="0" w:color="000000"/>
              <w:bottom w:val="single" w:sz="2" w:space="0" w:color="000000"/>
              <w:right w:val="nil" w:sz="6" w:space="0" w:color="auto"/>
            </w:tcBorders>
          </w:tcPr>
          <w:p>
            <w:pPr/>
          </w:p>
        </w:tc>
      </w:tr>
      <w:tr>
        <w:trPr>
          <w:trHeight w:val="552" w:hRule="exact"/>
        </w:trPr>
        <w:tc>
          <w:tcPr>
            <w:tcW w:w="2091"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108" w:right="103"/>
              <w:jc w:val="left"/>
              <w:rPr>
                <w:rFonts w:ascii="宋体" w:hAnsi="宋体" w:cs="宋体" w:eastAsia="宋体" w:hint="default"/>
                <w:sz w:val="18"/>
                <w:szCs w:val="18"/>
              </w:rPr>
            </w:pPr>
            <w:r>
              <w:rPr>
                <w:rFonts w:ascii="宋体" w:hAnsi="宋体" w:cs="宋体" w:eastAsia="宋体" w:hint="default"/>
                <w:spacing w:val="7"/>
                <w:sz w:val="18"/>
                <w:szCs w:val="18"/>
              </w:rPr>
              <w:t>浙江万马集团特种电子</w:t>
            </w:r>
            <w:r>
              <w:rPr>
                <w:rFonts w:ascii="宋体" w:hAnsi="宋体" w:cs="宋体" w:eastAsia="宋体" w:hint="default"/>
                <w:sz w:val="18"/>
                <w:szCs w:val="18"/>
              </w:rPr>
              <w:t> 电缆有限公司</w:t>
            </w:r>
          </w:p>
        </w:tc>
        <w:tc>
          <w:tcPr>
            <w:tcW w:w="184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5"/>
              <w:ind w:right="101"/>
              <w:jc w:val="right"/>
              <w:rPr>
                <w:rFonts w:ascii="宋体" w:hAnsi="宋体" w:cs="宋体" w:eastAsia="宋体" w:hint="default"/>
                <w:sz w:val="18"/>
                <w:szCs w:val="18"/>
              </w:rPr>
            </w:pPr>
            <w:r>
              <w:rPr>
                <w:rFonts w:ascii="宋体"/>
                <w:spacing w:val="-1"/>
                <w:sz w:val="18"/>
              </w:rPr>
              <w:t>295,460,125.84</w:t>
            </w:r>
          </w:p>
        </w:tc>
        <w:tc>
          <w:tcPr>
            <w:tcW w:w="1886" w:type="dxa"/>
            <w:tcBorders>
              <w:top w:val="single" w:sz="2" w:space="0" w:color="000000"/>
              <w:left w:val="single" w:sz="2" w:space="0" w:color="000000"/>
              <w:bottom w:val="single" w:sz="2" w:space="0" w:color="000000"/>
              <w:right w:val="single" w:sz="2" w:space="0" w:color="000000"/>
            </w:tcBorders>
          </w:tcPr>
          <w:p>
            <w:pPr/>
          </w:p>
        </w:tc>
        <w:tc>
          <w:tcPr>
            <w:tcW w:w="1137" w:type="dxa"/>
            <w:tcBorders>
              <w:top w:val="single" w:sz="2" w:space="0" w:color="000000"/>
              <w:left w:val="single" w:sz="2" w:space="0" w:color="000000"/>
              <w:bottom w:val="single" w:sz="2" w:space="0" w:color="000000"/>
              <w:right w:val="single" w:sz="2" w:space="0" w:color="000000"/>
            </w:tcBorders>
          </w:tcPr>
          <w:p>
            <w:pPr/>
          </w:p>
        </w:tc>
        <w:tc>
          <w:tcPr>
            <w:tcW w:w="176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5"/>
              <w:ind w:right="105"/>
              <w:jc w:val="right"/>
              <w:rPr>
                <w:rFonts w:ascii="宋体" w:hAnsi="宋体" w:cs="宋体" w:eastAsia="宋体" w:hint="default"/>
                <w:sz w:val="18"/>
                <w:szCs w:val="18"/>
              </w:rPr>
            </w:pPr>
            <w:r>
              <w:rPr>
                <w:rFonts w:ascii="宋体"/>
                <w:spacing w:val="-1"/>
                <w:sz w:val="18"/>
              </w:rPr>
              <w:t>295,460,125.84</w:t>
            </w:r>
          </w:p>
        </w:tc>
      </w:tr>
      <w:tr>
        <w:trPr>
          <w:trHeight w:val="414" w:hRule="exact"/>
        </w:trPr>
        <w:tc>
          <w:tcPr>
            <w:tcW w:w="209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4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2"/>
              <w:jc w:val="right"/>
              <w:rPr>
                <w:rFonts w:ascii="宋体" w:hAnsi="宋体" w:cs="宋体" w:eastAsia="宋体" w:hint="default"/>
                <w:sz w:val="18"/>
                <w:szCs w:val="18"/>
              </w:rPr>
            </w:pPr>
            <w:r>
              <w:rPr>
                <w:rFonts w:ascii="宋体"/>
                <w:b/>
                <w:w w:val="95"/>
                <w:sz w:val="18"/>
              </w:rPr>
              <w:t>295,460,125.84</w:t>
            </w:r>
            <w:r>
              <w:rPr>
                <w:rFonts w:ascii="宋体"/>
                <w:sz w:val="18"/>
              </w:rPr>
            </w:r>
          </w:p>
        </w:tc>
        <w:tc>
          <w:tcPr>
            <w:tcW w:w="1886" w:type="dxa"/>
            <w:tcBorders>
              <w:top w:val="single" w:sz="2" w:space="0" w:color="000000"/>
              <w:left w:val="single" w:sz="2" w:space="0" w:color="000000"/>
              <w:bottom w:val="single" w:sz="12" w:space="0" w:color="000000"/>
              <w:right w:val="single" w:sz="2" w:space="0" w:color="000000"/>
            </w:tcBorders>
          </w:tcPr>
          <w:p>
            <w:pPr/>
          </w:p>
        </w:tc>
        <w:tc>
          <w:tcPr>
            <w:tcW w:w="1137" w:type="dxa"/>
            <w:tcBorders>
              <w:top w:val="single" w:sz="2" w:space="0" w:color="000000"/>
              <w:left w:val="single" w:sz="2" w:space="0" w:color="000000"/>
              <w:bottom w:val="single" w:sz="12" w:space="0" w:color="000000"/>
              <w:right w:val="single" w:sz="2" w:space="0" w:color="000000"/>
            </w:tcBorders>
          </w:tcPr>
          <w:p>
            <w:pPr/>
          </w:p>
        </w:tc>
        <w:tc>
          <w:tcPr>
            <w:tcW w:w="176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3"/>
              <w:jc w:val="right"/>
              <w:rPr>
                <w:rFonts w:ascii="宋体" w:hAnsi="宋体" w:cs="宋体" w:eastAsia="宋体" w:hint="default"/>
                <w:sz w:val="18"/>
                <w:szCs w:val="18"/>
              </w:rPr>
            </w:pPr>
            <w:r>
              <w:rPr>
                <w:rFonts w:ascii="宋体"/>
                <w:b/>
                <w:sz w:val="18"/>
              </w:rPr>
              <w:t>295,460,125.84</w:t>
            </w:r>
            <w:r>
              <w:rPr>
                <w:rFonts w:ascii="宋体"/>
                <w:sz w:val="18"/>
              </w:rPr>
            </w:r>
          </w:p>
        </w:tc>
      </w:tr>
    </w:tbl>
    <w:p>
      <w:pPr>
        <w:spacing w:line="240" w:lineRule="auto" w:before="2"/>
        <w:rPr>
          <w:rFonts w:ascii="宋体" w:hAnsi="宋体" w:cs="宋体" w:eastAsia="宋体" w:hint="default"/>
          <w:sz w:val="13"/>
          <w:szCs w:val="13"/>
        </w:rPr>
      </w:pPr>
    </w:p>
    <w:p>
      <w:pPr>
        <w:pStyle w:val="BodyText"/>
        <w:spacing w:line="240" w:lineRule="auto"/>
        <w:ind w:left="740" w:right="1445"/>
        <w:jc w:val="left"/>
      </w:pPr>
      <w:r>
        <w:rPr/>
        <w:t>（</w:t>
      </w:r>
      <w:r>
        <w:rPr>
          <w:rFonts w:ascii="Times New Roman" w:hAnsi="Times New Roman" w:cs="Times New Roman" w:eastAsia="Times New Roman" w:hint="default"/>
        </w:rPr>
        <w:t>2</w:t>
      </w:r>
      <w:r>
        <w:rPr/>
        <w:t>）</w:t>
      </w:r>
      <w:r>
        <w:rPr>
          <w:spacing w:val="-65"/>
        </w:rPr>
        <w:t> </w:t>
      </w:r>
      <w:bookmarkStart w:name="（2）商誉减值准备" w:id="283"/>
      <w:bookmarkEnd w:id="283"/>
      <w:r>
        <w:rPr/>
        <w:t>商</w:t>
      </w:r>
      <w:r>
        <w:rPr/>
        <w:t>誉减值准备</w:t>
      </w:r>
    </w:p>
    <w:p>
      <w:pPr>
        <w:spacing w:line="240" w:lineRule="auto" w:before="3"/>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1950"/>
        <w:gridCol w:w="1703"/>
        <w:gridCol w:w="2266"/>
        <w:gridCol w:w="993"/>
        <w:gridCol w:w="1811"/>
      </w:tblGrid>
      <w:tr>
        <w:trPr>
          <w:trHeight w:val="415" w:hRule="exact"/>
        </w:trPr>
        <w:tc>
          <w:tcPr>
            <w:tcW w:w="1950"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1703" w:type="dxa"/>
            <w:vMerge w:val="restart"/>
            <w:tcBorders>
              <w:top w:val="single" w:sz="12" w:space="0" w:color="000000"/>
              <w:left w:val="single" w:sz="2" w:space="0" w:color="000000"/>
              <w:right w:val="single" w:sz="2"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8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226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99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811" w:type="dxa"/>
            <w:vMerge w:val="restart"/>
            <w:tcBorders>
              <w:top w:val="single" w:sz="12" w:space="0" w:color="000000"/>
              <w:left w:val="single" w:sz="2"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1950" w:type="dxa"/>
            <w:vMerge/>
            <w:tcBorders>
              <w:left w:val="nil" w:sz="6" w:space="0" w:color="auto"/>
              <w:bottom w:val="single" w:sz="2" w:space="0" w:color="000000"/>
              <w:right w:val="single" w:sz="2" w:space="0" w:color="000000"/>
            </w:tcBorders>
          </w:tcPr>
          <w:p>
            <w:pPr/>
          </w:p>
        </w:tc>
        <w:tc>
          <w:tcPr>
            <w:tcW w:w="1703" w:type="dxa"/>
            <w:vMerge/>
            <w:tcBorders>
              <w:left w:val="single" w:sz="2" w:space="0" w:color="000000"/>
              <w:bottom w:val="single" w:sz="2" w:space="0" w:color="000000"/>
              <w:right w:val="single" w:sz="2" w:space="0" w:color="000000"/>
            </w:tcBorders>
          </w:tcPr>
          <w:p>
            <w:pPr/>
          </w:p>
        </w:tc>
        <w:tc>
          <w:tcPr>
            <w:tcW w:w="22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b/>
                <w:bCs/>
                <w:sz w:val="18"/>
                <w:szCs w:val="18"/>
              </w:rPr>
              <w:t>处置</w:t>
            </w:r>
            <w:r>
              <w:rPr>
                <w:rFonts w:ascii="宋体" w:hAnsi="宋体" w:cs="宋体" w:eastAsia="宋体" w:hint="default"/>
                <w:sz w:val="18"/>
                <w:szCs w:val="18"/>
              </w:rPr>
            </w:r>
          </w:p>
        </w:tc>
        <w:tc>
          <w:tcPr>
            <w:tcW w:w="1811" w:type="dxa"/>
            <w:vMerge/>
            <w:tcBorders>
              <w:left w:val="single" w:sz="2" w:space="0" w:color="000000"/>
              <w:bottom w:val="single" w:sz="2" w:space="0" w:color="000000"/>
              <w:right w:val="nil" w:sz="6" w:space="0" w:color="auto"/>
            </w:tcBorders>
          </w:tcPr>
          <w:p>
            <w:pPr/>
          </w:p>
        </w:tc>
      </w:tr>
      <w:tr>
        <w:trPr>
          <w:trHeight w:val="552" w:hRule="exact"/>
        </w:trPr>
        <w:tc>
          <w:tcPr>
            <w:tcW w:w="1950"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51"/>
              <w:jc w:val="left"/>
              <w:rPr>
                <w:rFonts w:ascii="宋体" w:hAnsi="宋体" w:cs="宋体" w:eastAsia="宋体" w:hint="default"/>
                <w:sz w:val="18"/>
                <w:szCs w:val="18"/>
              </w:rPr>
            </w:pPr>
            <w:r>
              <w:rPr>
                <w:rFonts w:ascii="宋体" w:hAnsi="宋体" w:cs="宋体" w:eastAsia="宋体" w:hint="default"/>
                <w:spacing w:val="3"/>
                <w:sz w:val="18"/>
                <w:szCs w:val="18"/>
              </w:rPr>
              <w:t>浙江万马集团特种电子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电缆有限公司</w:t>
            </w:r>
          </w:p>
        </w:tc>
        <w:tc>
          <w:tcPr>
            <w:tcW w:w="17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49"/>
              <w:jc w:val="right"/>
              <w:rPr>
                <w:rFonts w:ascii="宋体" w:hAnsi="宋体" w:cs="宋体" w:eastAsia="宋体" w:hint="default"/>
                <w:sz w:val="18"/>
                <w:szCs w:val="18"/>
              </w:rPr>
            </w:pPr>
            <w:r>
              <w:rPr>
                <w:rFonts w:ascii="宋体"/>
                <w:spacing w:val="-1"/>
                <w:sz w:val="18"/>
              </w:rPr>
              <w:t>20,913,702.38</w:t>
            </w:r>
          </w:p>
        </w:tc>
        <w:tc>
          <w:tcPr>
            <w:tcW w:w="22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49"/>
              <w:jc w:val="right"/>
              <w:rPr>
                <w:rFonts w:ascii="宋体" w:hAnsi="宋体" w:cs="宋体" w:eastAsia="宋体" w:hint="default"/>
                <w:sz w:val="18"/>
                <w:szCs w:val="18"/>
              </w:rPr>
            </w:pPr>
            <w:r>
              <w:rPr>
                <w:rFonts w:ascii="宋体"/>
                <w:spacing w:val="-1"/>
                <w:sz w:val="18"/>
              </w:rPr>
              <w:t>51,917,205.46</w:t>
            </w:r>
          </w:p>
        </w:tc>
        <w:tc>
          <w:tcPr>
            <w:tcW w:w="993" w:type="dxa"/>
            <w:tcBorders>
              <w:top w:val="single" w:sz="2" w:space="0" w:color="000000"/>
              <w:left w:val="single" w:sz="2" w:space="0" w:color="000000"/>
              <w:bottom w:val="single" w:sz="2" w:space="0" w:color="000000"/>
              <w:right w:val="single" w:sz="2" w:space="0" w:color="000000"/>
            </w:tcBorders>
          </w:tcPr>
          <w:p>
            <w:pPr/>
          </w:p>
        </w:tc>
        <w:tc>
          <w:tcPr>
            <w:tcW w:w="181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52"/>
              <w:jc w:val="right"/>
              <w:rPr>
                <w:rFonts w:ascii="宋体" w:hAnsi="宋体" w:cs="宋体" w:eastAsia="宋体" w:hint="default"/>
                <w:sz w:val="18"/>
                <w:szCs w:val="18"/>
              </w:rPr>
            </w:pPr>
            <w:r>
              <w:rPr>
                <w:rFonts w:ascii="宋体"/>
                <w:spacing w:val="-1"/>
                <w:sz w:val="18"/>
              </w:rPr>
              <w:t>72,830,907.84</w:t>
            </w:r>
          </w:p>
        </w:tc>
      </w:tr>
      <w:tr>
        <w:trPr>
          <w:trHeight w:val="414" w:hRule="exact"/>
        </w:trPr>
        <w:tc>
          <w:tcPr>
            <w:tcW w:w="195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0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7"/>
              <w:jc w:val="right"/>
              <w:rPr>
                <w:rFonts w:ascii="宋体" w:hAnsi="宋体" w:cs="宋体" w:eastAsia="宋体" w:hint="default"/>
                <w:sz w:val="18"/>
                <w:szCs w:val="18"/>
              </w:rPr>
            </w:pPr>
            <w:r>
              <w:rPr>
                <w:rFonts w:ascii="宋体"/>
                <w:b/>
                <w:w w:val="95"/>
                <w:sz w:val="18"/>
              </w:rPr>
              <w:t>20,913,702.38</w:t>
            </w:r>
            <w:r>
              <w:rPr>
                <w:rFonts w:ascii="宋体"/>
                <w:sz w:val="18"/>
              </w:rPr>
            </w:r>
          </w:p>
        </w:tc>
        <w:tc>
          <w:tcPr>
            <w:tcW w:w="226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7"/>
              <w:jc w:val="right"/>
              <w:rPr>
                <w:rFonts w:ascii="宋体" w:hAnsi="宋体" w:cs="宋体" w:eastAsia="宋体" w:hint="default"/>
                <w:sz w:val="18"/>
                <w:szCs w:val="18"/>
              </w:rPr>
            </w:pPr>
            <w:r>
              <w:rPr>
                <w:rFonts w:ascii="宋体"/>
                <w:b/>
                <w:w w:val="95"/>
                <w:sz w:val="18"/>
              </w:rPr>
              <w:t>51,917,205.46</w:t>
            </w:r>
            <w:r>
              <w:rPr>
                <w:rFonts w:ascii="宋体"/>
                <w:sz w:val="18"/>
              </w:rPr>
            </w:r>
          </w:p>
        </w:tc>
        <w:tc>
          <w:tcPr>
            <w:tcW w:w="993" w:type="dxa"/>
            <w:tcBorders>
              <w:top w:val="single" w:sz="2" w:space="0" w:color="000000"/>
              <w:left w:val="single" w:sz="2" w:space="0" w:color="000000"/>
              <w:bottom w:val="single" w:sz="12" w:space="0" w:color="000000"/>
              <w:right w:val="single" w:sz="2" w:space="0" w:color="000000"/>
            </w:tcBorders>
          </w:tcPr>
          <w:p>
            <w:pPr/>
          </w:p>
        </w:tc>
        <w:tc>
          <w:tcPr>
            <w:tcW w:w="1811"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40"/>
              <w:jc w:val="right"/>
              <w:rPr>
                <w:rFonts w:ascii="宋体" w:hAnsi="宋体" w:cs="宋体" w:eastAsia="宋体" w:hint="default"/>
                <w:sz w:val="18"/>
                <w:szCs w:val="18"/>
              </w:rPr>
            </w:pPr>
            <w:r>
              <w:rPr>
                <w:rFonts w:ascii="宋体"/>
                <w:b/>
                <w:w w:val="95"/>
                <w:sz w:val="18"/>
              </w:rPr>
              <w:t>72,830,907.84</w:t>
            </w:r>
            <w:r>
              <w:rPr>
                <w:rFonts w:ascii="宋体"/>
                <w:sz w:val="18"/>
              </w:rPr>
            </w:r>
          </w:p>
        </w:tc>
      </w:tr>
    </w:tbl>
    <w:p>
      <w:pPr>
        <w:spacing w:line="240" w:lineRule="auto" w:before="1"/>
        <w:rPr>
          <w:rFonts w:ascii="宋体" w:hAnsi="宋体" w:cs="宋体" w:eastAsia="宋体" w:hint="default"/>
          <w:sz w:val="13"/>
          <w:szCs w:val="13"/>
        </w:rPr>
      </w:pPr>
    </w:p>
    <w:p>
      <w:pPr>
        <w:pStyle w:val="BodyText"/>
        <w:spacing w:line="240" w:lineRule="auto"/>
        <w:ind w:left="740" w:right="1445"/>
        <w:jc w:val="left"/>
      </w:pPr>
      <w:r>
        <w:rPr/>
        <w:t>（</w:t>
      </w:r>
      <w:r>
        <w:rPr>
          <w:rFonts w:ascii="Times New Roman" w:hAnsi="Times New Roman" w:cs="Times New Roman" w:eastAsia="Times New Roman" w:hint="default"/>
        </w:rPr>
        <w:t>3</w:t>
      </w:r>
      <w:r>
        <w:rPr/>
        <w:t>）</w:t>
      </w:r>
      <w:r>
        <w:rPr>
          <w:spacing w:val="-67"/>
        </w:rPr>
        <w:t> </w:t>
      </w:r>
      <w:bookmarkStart w:name="（3）商誉减值测试情况如下：" w:id="284"/>
      <w:bookmarkEnd w:id="284"/>
      <w:r>
        <w:rPr/>
        <w:t>商</w:t>
      </w:r>
      <w:r>
        <w:rPr/>
        <w:t>誉减值测试情况如下：</w:t>
      </w:r>
    </w:p>
    <w:p>
      <w:pPr>
        <w:spacing w:line="240" w:lineRule="auto" w:before="4"/>
        <w:rPr>
          <w:rFonts w:ascii="宋体" w:hAnsi="宋体" w:cs="宋体" w:eastAsia="宋体" w:hint="default"/>
          <w:sz w:val="15"/>
          <w:szCs w:val="15"/>
        </w:rPr>
      </w:pPr>
    </w:p>
    <w:tbl>
      <w:tblPr>
        <w:tblW w:w="0" w:type="auto"/>
        <w:jc w:val="left"/>
        <w:tblInd w:w="111" w:type="dxa"/>
        <w:tblLayout w:type="fixed"/>
        <w:tblCellMar>
          <w:top w:w="0" w:type="dxa"/>
          <w:left w:w="0" w:type="dxa"/>
          <w:bottom w:w="0" w:type="dxa"/>
          <w:right w:w="0" w:type="dxa"/>
        </w:tblCellMar>
        <w:tblLook w:val="01E0"/>
      </w:tblPr>
      <w:tblGrid>
        <w:gridCol w:w="4928"/>
        <w:gridCol w:w="3795"/>
      </w:tblGrid>
      <w:tr>
        <w:trPr>
          <w:trHeight w:val="425" w:hRule="exact"/>
        </w:trPr>
        <w:tc>
          <w:tcPr>
            <w:tcW w:w="4928" w:type="dxa"/>
            <w:tcBorders>
              <w:top w:val="single" w:sz="17"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795" w:type="dxa"/>
            <w:tcBorders>
              <w:top w:val="single" w:sz="17" w:space="0" w:color="000000"/>
              <w:left w:val="single" w:sz="4" w:space="0" w:color="000000"/>
              <w:bottom w:val="single" w:sz="4" w:space="0" w:color="000000"/>
              <w:right w:val="nil" w:sz="6" w:space="0" w:color="auto"/>
            </w:tcBorders>
          </w:tcPr>
          <w:p>
            <w:pPr>
              <w:pStyle w:val="TableParagraph"/>
              <w:spacing w:line="240" w:lineRule="auto" w:before="52"/>
              <w:ind w:left="450" w:right="0"/>
              <w:jc w:val="left"/>
              <w:rPr>
                <w:rFonts w:ascii="宋体" w:hAnsi="宋体" w:cs="宋体" w:eastAsia="宋体" w:hint="default"/>
                <w:sz w:val="18"/>
                <w:szCs w:val="18"/>
              </w:rPr>
            </w:pPr>
            <w:r>
              <w:rPr>
                <w:rFonts w:ascii="宋体" w:hAnsi="宋体" w:cs="宋体" w:eastAsia="宋体" w:hint="default"/>
                <w:b/>
                <w:bCs/>
                <w:sz w:val="18"/>
                <w:szCs w:val="18"/>
              </w:rPr>
              <w:t>浙江万马集团特种电子电缆有限公司</w:t>
            </w:r>
            <w:r>
              <w:rPr>
                <w:rFonts w:ascii="宋体" w:hAnsi="宋体" w:cs="宋体" w:eastAsia="宋体" w:hint="default"/>
                <w:sz w:val="18"/>
                <w:szCs w:val="18"/>
              </w:rPr>
            </w: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商誉账面余额</w:t>
            </w:r>
          </w:p>
        </w:tc>
        <w:tc>
          <w:tcPr>
            <w:tcW w:w="37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295,460,125.84</w:t>
            </w: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商誉减值准备余额</w:t>
            </w:r>
          </w:p>
        </w:tc>
        <w:tc>
          <w:tcPr>
            <w:tcW w:w="37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20,913,702.38</w:t>
            </w: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商誉的账面价值</w:t>
            </w:r>
          </w:p>
        </w:tc>
        <w:tc>
          <w:tcPr>
            <w:tcW w:w="37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274,546,423.46</w:t>
            </w: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未确认归属于少数股东权益的商誉价值</w:t>
            </w:r>
          </w:p>
        </w:tc>
        <w:tc>
          <w:tcPr>
            <w:tcW w:w="3795"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包含未确认归属于少数股东权益的商誉价值</w:t>
            </w:r>
          </w:p>
        </w:tc>
        <w:tc>
          <w:tcPr>
            <w:tcW w:w="3795"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资产组的账面价值</w:t>
            </w:r>
          </w:p>
        </w:tc>
        <w:tc>
          <w:tcPr>
            <w:tcW w:w="37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30,238,650.60</w:t>
            </w: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包含整体商誉的资产组公允价值</w:t>
            </w:r>
          </w:p>
        </w:tc>
        <w:tc>
          <w:tcPr>
            <w:tcW w:w="37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304,785,074.06</w:t>
            </w:r>
          </w:p>
        </w:tc>
      </w:tr>
      <w:tr>
        <w:trPr>
          <w:trHeight w:val="407" w:hRule="exact"/>
        </w:trPr>
        <w:tc>
          <w:tcPr>
            <w:tcW w:w="49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资产组预计未来现金流量的现值（可回收金额）</w:t>
            </w:r>
          </w:p>
        </w:tc>
        <w:tc>
          <w:tcPr>
            <w:tcW w:w="379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252,867,868.60</w:t>
            </w:r>
          </w:p>
        </w:tc>
      </w:tr>
      <w:tr>
        <w:trPr>
          <w:trHeight w:val="424" w:hRule="exact"/>
        </w:trPr>
        <w:tc>
          <w:tcPr>
            <w:tcW w:w="4928"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商誉减值损失</w:t>
            </w:r>
          </w:p>
        </w:tc>
        <w:tc>
          <w:tcPr>
            <w:tcW w:w="3795"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51,917,205.46</w:t>
            </w:r>
          </w:p>
        </w:tc>
      </w:tr>
    </w:tbl>
    <w:p>
      <w:pPr>
        <w:spacing w:line="240" w:lineRule="auto" w:before="3"/>
        <w:rPr>
          <w:rFonts w:ascii="宋体" w:hAnsi="宋体" w:cs="宋体" w:eastAsia="宋体" w:hint="default"/>
          <w:sz w:val="9"/>
          <w:szCs w:val="9"/>
        </w:rPr>
      </w:pPr>
    </w:p>
    <w:p>
      <w:pPr>
        <w:pStyle w:val="BodyText"/>
        <w:spacing w:line="240" w:lineRule="auto"/>
        <w:ind w:left="683" w:right="1445"/>
        <w:jc w:val="left"/>
      </w:pPr>
      <w:r>
        <w:rPr>
          <w:spacing w:val="-4"/>
        </w:rPr>
        <w:t>注：本公司基于评估基准日的评估范围，是与本公司收购浙江万马集团特种电子电缆</w:t>
      </w:r>
    </w:p>
    <w:p>
      <w:pPr>
        <w:spacing w:after="0" w:line="240" w:lineRule="auto"/>
        <w:jc w:val="left"/>
        <w:sectPr>
          <w:headerReference w:type="default" r:id="rId57"/>
          <w:footerReference w:type="default" r:id="rId58"/>
          <w:pgSz w:w="11910" w:h="16840"/>
          <w:pgMar w:header="939" w:footer="886" w:top="1940" w:bottom="1080" w:left="1460" w:right="0"/>
        </w:sectPr>
      </w:pPr>
    </w:p>
    <w:p>
      <w:pPr>
        <w:spacing w:line="240" w:lineRule="auto" w:before="13"/>
        <w:rPr>
          <w:rFonts w:ascii="宋体" w:hAnsi="宋体" w:cs="宋体" w:eastAsia="宋体" w:hint="default"/>
          <w:sz w:val="12"/>
          <w:szCs w:val="12"/>
        </w:rPr>
      </w:pPr>
    </w:p>
    <w:p>
      <w:pPr>
        <w:pStyle w:val="BodyText"/>
        <w:spacing w:line="300" w:lineRule="auto"/>
        <w:ind w:left="241" w:right="1445"/>
        <w:jc w:val="left"/>
      </w:pPr>
      <w:r>
        <w:rPr>
          <w:spacing w:val="-4"/>
        </w:rPr>
        <w:t>有限公司（万马特缆）形成的商誉相关的主营业务经营性长期资产组，系包含商誉的资产</w:t>
      </w:r>
      <w:r>
        <w:rPr>
          <w:spacing w:val="-51"/>
        </w:rPr>
        <w:t> </w:t>
      </w:r>
      <w:r>
        <w:rPr>
          <w:spacing w:val="-51"/>
        </w:rPr>
      </w:r>
      <w:r>
        <w:rPr>
          <w:spacing w:val="-2"/>
        </w:rPr>
        <w:t>组。被划分至资产组的万马特缆（合并报表口径）的资产包括固定资产、投资性房地产、</w:t>
      </w:r>
      <w:r>
        <w:rPr>
          <w:spacing w:val="-57"/>
        </w:rPr>
        <w:t> </w:t>
      </w:r>
      <w:r>
        <w:rPr>
          <w:spacing w:val="-57"/>
        </w:rPr>
      </w:r>
      <w:r>
        <w:rPr>
          <w:spacing w:val="-4"/>
        </w:rPr>
        <w:t>无形资产及长期待摊费用。资产组预计未来现金流量的现值（可回收金额）利用了中威正</w:t>
      </w:r>
      <w:r>
        <w:rPr>
          <w:spacing w:val="-51"/>
        </w:rPr>
        <w:t> </w:t>
      </w:r>
      <w:r>
        <w:rPr>
          <w:spacing w:val="-51"/>
        </w:rPr>
      </w:r>
      <w:r>
        <w:rPr>
          <w:spacing w:val="-5"/>
        </w:rPr>
        <w:t>信（北京）资产评估有限公司</w:t>
      </w:r>
      <w:r>
        <w:rPr>
          <w:spacing w:val="-54"/>
        </w:rPr>
        <w:t> </w:t>
      </w:r>
      <w:r>
        <w:rPr/>
        <w:t>2020</w:t>
      </w:r>
      <w:r>
        <w:rPr>
          <w:spacing w:val="-51"/>
        </w:rPr>
        <w:t> </w:t>
      </w:r>
      <w:r>
        <w:rPr/>
        <w:t>年</w:t>
      </w:r>
      <w:r>
        <w:rPr>
          <w:spacing w:val="-54"/>
        </w:rPr>
        <w:t> </w:t>
      </w:r>
      <w:r>
        <w:rPr/>
        <w:t>3</w:t>
      </w:r>
      <w:r>
        <w:rPr>
          <w:spacing w:val="-51"/>
        </w:rPr>
        <w:t> </w:t>
      </w:r>
      <w:r>
        <w:rPr/>
        <w:t>月</w:t>
      </w:r>
      <w:r>
        <w:rPr>
          <w:spacing w:val="-51"/>
        </w:rPr>
        <w:t> </w:t>
      </w:r>
      <w:r>
        <w:rPr/>
        <w:t>18</w:t>
      </w:r>
      <w:r>
        <w:rPr>
          <w:spacing w:val="-54"/>
        </w:rPr>
        <w:t> </w:t>
      </w:r>
      <w:r>
        <w:rPr>
          <w:spacing w:val="-3"/>
        </w:rPr>
        <w:t>日（中威正信评报字[2020]第</w:t>
      </w:r>
      <w:r>
        <w:rPr>
          <w:spacing w:val="-51"/>
        </w:rPr>
        <w:t> </w:t>
      </w:r>
      <w:r>
        <w:rPr/>
        <w:t>11008</w:t>
      </w:r>
      <w:r>
        <w:rPr>
          <w:spacing w:val="-51"/>
        </w:rPr>
        <w:t> </w:t>
      </w:r>
      <w:r>
        <w:rPr>
          <w:spacing w:val="-7"/>
        </w:rPr>
        <w:t>号《浙</w:t>
      </w:r>
      <w:r>
        <w:rPr>
          <w:spacing w:val="-102"/>
        </w:rPr>
        <w:t> </w:t>
      </w:r>
      <w:r>
        <w:rPr>
          <w:spacing w:val="-102"/>
        </w:rPr>
      </w:r>
      <w:r>
        <w:rPr>
          <w:spacing w:val="2"/>
        </w:rPr>
        <w:t>江万马股份有限公司拟进行商誉减值测试所涉及的浙江万马集团特种电子电缆有限公司</w:t>
      </w:r>
      <w:r>
        <w:rPr>
          <w:spacing w:val="-51"/>
        </w:rPr>
        <w:t> </w:t>
      </w:r>
      <w:r>
        <w:rPr>
          <w:spacing w:val="-51"/>
        </w:rPr>
      </w:r>
      <w:r>
        <w:rPr>
          <w:spacing w:val="-4"/>
        </w:rPr>
        <w:t>资产组可收回价值资产评估报告》的评估结果，根据万马特缆已签订的的合同、协议、发</w:t>
      </w:r>
      <w:r>
        <w:rPr>
          <w:spacing w:val="-49"/>
        </w:rPr>
        <w:t> </w:t>
      </w:r>
      <w:r>
        <w:rPr>
          <w:spacing w:val="-49"/>
        </w:rPr>
      </w:r>
      <w:r>
        <w:rPr>
          <w:spacing w:val="-4"/>
        </w:rPr>
        <w:t>展规划、历年经营趋势等因素的综合分析，对评估基准日未来五年的主营业务收入及其相</w:t>
      </w:r>
      <w:r>
        <w:rPr>
          <w:spacing w:val="-51"/>
        </w:rPr>
        <w:t> </w:t>
      </w:r>
      <w:r>
        <w:rPr>
          <w:spacing w:val="-51"/>
        </w:rPr>
      </w:r>
      <w:r>
        <w:rPr>
          <w:spacing w:val="-4"/>
        </w:rPr>
        <w:t>关的成本、费用、利润进行预测，忽略经营的波动性进行预测，得到被评估资产组的可收</w:t>
      </w:r>
      <w:r>
        <w:rPr>
          <w:spacing w:val="-48"/>
        </w:rPr>
        <w:t> </w:t>
      </w:r>
      <w:r>
        <w:rPr>
          <w:spacing w:val="-48"/>
        </w:rPr>
      </w:r>
      <w:r>
        <w:rPr/>
        <w:t>回价值为</w:t>
      </w:r>
      <w:r>
        <w:rPr>
          <w:spacing w:val="-64"/>
        </w:rPr>
        <w:t> </w:t>
      </w:r>
      <w:r>
        <w:rPr/>
        <w:t>25,290.00</w:t>
      </w:r>
      <w:r>
        <w:rPr>
          <w:spacing w:val="-61"/>
        </w:rPr>
        <w:t> </w:t>
      </w:r>
      <w:r>
        <w:rPr/>
        <w:t>万元（精确到十位）。</w:t>
      </w:r>
    </w:p>
    <w:p>
      <w:pPr>
        <w:pStyle w:val="BodyText"/>
        <w:spacing w:line="240" w:lineRule="auto" w:before="137"/>
        <w:ind w:left="683" w:right="1445"/>
        <w:jc w:val="left"/>
      </w:pPr>
      <w:r>
        <w:rPr/>
        <w:t>经测试，本公司因收购万马特缆形成的商誉需减值</w:t>
      </w:r>
      <w:r>
        <w:rPr>
          <w:spacing w:val="-69"/>
        </w:rPr>
        <w:t> </w:t>
      </w:r>
      <w:r>
        <w:rPr/>
        <w:t>51,917,205.46</w:t>
      </w:r>
      <w:r>
        <w:rPr>
          <w:spacing w:val="-66"/>
        </w:rPr>
        <w:t> </w:t>
      </w:r>
      <w:r>
        <w:rPr/>
        <w:t>元。</w:t>
      </w:r>
    </w:p>
    <w:p>
      <w:pPr>
        <w:pStyle w:val="BodyText"/>
        <w:spacing w:line="240" w:lineRule="auto" w:before="192"/>
        <w:ind w:left="644" w:right="1445"/>
        <w:jc w:val="left"/>
      </w:pPr>
      <w:r>
        <w:rPr/>
        <w:t>18.</w:t>
      </w:r>
      <w:r>
        <w:rPr>
          <w:spacing w:val="-50"/>
        </w:rPr>
        <w:t> </w:t>
      </w:r>
      <w:bookmarkStart w:name="18.长期待摊费用" w:id="285"/>
      <w:bookmarkEnd w:id="285"/>
      <w:r>
        <w:rPr/>
        <w:t>长</w:t>
      </w:r>
      <w:r>
        <w:rPr/>
        <w:t>期待摊费用</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527"/>
        <w:gridCol w:w="1560"/>
        <w:gridCol w:w="1417"/>
        <w:gridCol w:w="1417"/>
        <w:gridCol w:w="1385"/>
        <w:gridCol w:w="1417"/>
      </w:tblGrid>
      <w:tr>
        <w:trPr>
          <w:trHeight w:val="415" w:hRule="exact"/>
        </w:trPr>
        <w:tc>
          <w:tcPr>
            <w:tcW w:w="152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6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17"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4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4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44" w:right="0"/>
              <w:jc w:val="left"/>
              <w:rPr>
                <w:rFonts w:ascii="宋体" w:hAnsi="宋体" w:cs="宋体" w:eastAsia="宋体" w:hint="default"/>
                <w:sz w:val="18"/>
                <w:szCs w:val="18"/>
              </w:rPr>
            </w:pPr>
            <w:r>
              <w:rPr>
                <w:rFonts w:ascii="宋体" w:hAnsi="宋体" w:cs="宋体" w:eastAsia="宋体" w:hint="default"/>
                <w:b/>
                <w:bCs/>
                <w:sz w:val="18"/>
                <w:szCs w:val="18"/>
              </w:rPr>
              <w:t>本年摊销</w:t>
            </w:r>
            <w:r>
              <w:rPr>
                <w:rFonts w:ascii="宋体" w:hAnsi="宋体" w:cs="宋体" w:eastAsia="宋体" w:hint="default"/>
                <w:sz w:val="18"/>
                <w:szCs w:val="18"/>
              </w:rPr>
            </w:r>
          </w:p>
        </w:tc>
        <w:tc>
          <w:tcPr>
            <w:tcW w:w="138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49" w:right="0"/>
              <w:jc w:val="left"/>
              <w:rPr>
                <w:rFonts w:ascii="宋体" w:hAnsi="宋体" w:cs="宋体" w:eastAsia="宋体" w:hint="default"/>
                <w:sz w:val="18"/>
                <w:szCs w:val="18"/>
              </w:rPr>
            </w:pPr>
            <w:r>
              <w:rPr>
                <w:rFonts w:ascii="宋体" w:hAnsi="宋体" w:cs="宋体" w:eastAsia="宋体" w:hint="default"/>
                <w:b/>
                <w:bCs/>
                <w:sz w:val="18"/>
                <w:szCs w:val="18"/>
              </w:rPr>
              <w:t>本年其他减少</w:t>
            </w:r>
            <w:r>
              <w:rPr>
                <w:rFonts w:ascii="宋体" w:hAnsi="宋体" w:cs="宋体" w:eastAsia="宋体" w:hint="default"/>
                <w:sz w:val="18"/>
                <w:szCs w:val="18"/>
              </w:rPr>
            </w:r>
          </w:p>
        </w:tc>
        <w:tc>
          <w:tcPr>
            <w:tcW w:w="141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装修支出</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7,573,014.49</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225" w:right="0"/>
              <w:jc w:val="left"/>
              <w:rPr>
                <w:rFonts w:ascii="宋体" w:hAnsi="宋体" w:cs="宋体" w:eastAsia="宋体" w:hint="default"/>
                <w:sz w:val="18"/>
                <w:szCs w:val="18"/>
              </w:rPr>
            </w:pPr>
            <w:r>
              <w:rPr>
                <w:rFonts w:ascii="宋体"/>
                <w:sz w:val="18"/>
              </w:rPr>
              <w:t>3,034,632.75</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4,676,099.83</w:t>
            </w:r>
          </w:p>
        </w:tc>
        <w:tc>
          <w:tcPr>
            <w:tcW w:w="1385"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5,931,547.41</w:t>
            </w: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构筑物</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3,494,808.80</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505,525.85</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1,035,124.83</w:t>
            </w:r>
          </w:p>
        </w:tc>
        <w:tc>
          <w:tcPr>
            <w:tcW w:w="1385"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2,965,209.82</w:t>
            </w: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49"/>
              <w:jc w:val="right"/>
              <w:rPr>
                <w:rFonts w:ascii="宋体" w:hAnsi="宋体" w:cs="宋体" w:eastAsia="宋体" w:hint="default"/>
                <w:sz w:val="18"/>
                <w:szCs w:val="18"/>
              </w:rPr>
            </w:pPr>
            <w:r>
              <w:rPr>
                <w:rFonts w:ascii="宋体"/>
                <w:spacing w:val="-1"/>
                <w:sz w:val="18"/>
              </w:rPr>
              <w:t>1,508,345.97</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616,757.44</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1,018,996.01</w:t>
            </w:r>
          </w:p>
        </w:tc>
        <w:tc>
          <w:tcPr>
            <w:tcW w:w="1385"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1,106,107.40</w:t>
            </w:r>
          </w:p>
        </w:tc>
      </w:tr>
      <w:tr>
        <w:trPr>
          <w:trHeight w:val="55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50"/>
              <w:jc w:val="left"/>
              <w:rPr>
                <w:rFonts w:ascii="宋体" w:hAnsi="宋体" w:cs="宋体" w:eastAsia="宋体" w:hint="default"/>
                <w:sz w:val="18"/>
                <w:szCs w:val="18"/>
              </w:rPr>
            </w:pPr>
            <w:r>
              <w:rPr>
                <w:rFonts w:ascii="宋体" w:hAnsi="宋体" w:cs="宋体" w:eastAsia="宋体" w:hint="default"/>
                <w:sz w:val="18"/>
                <w:szCs w:val="18"/>
              </w:rPr>
              <w:t>租</w:t>
            </w:r>
            <w:r>
              <w:rPr>
                <w:rFonts w:ascii="宋体" w:hAnsi="宋体" w:cs="宋体" w:eastAsia="宋体" w:hint="default"/>
                <w:spacing w:val="-64"/>
                <w:sz w:val="18"/>
                <w:szCs w:val="18"/>
              </w:rPr>
              <w:t> </w:t>
            </w:r>
            <w:r>
              <w:rPr>
                <w:rFonts w:ascii="宋体" w:hAnsi="宋体" w:cs="宋体" w:eastAsia="宋体" w:hint="default"/>
                <w:sz w:val="18"/>
                <w:szCs w:val="18"/>
              </w:rPr>
              <w:t>入</w:t>
            </w:r>
            <w:r>
              <w:rPr>
                <w:rFonts w:ascii="宋体" w:hAnsi="宋体" w:cs="宋体" w:eastAsia="宋体" w:hint="default"/>
                <w:spacing w:val="-64"/>
                <w:sz w:val="18"/>
                <w:szCs w:val="18"/>
              </w:rPr>
              <w:t> </w:t>
            </w:r>
            <w:r>
              <w:rPr>
                <w:rFonts w:ascii="宋体" w:hAnsi="宋体" w:cs="宋体" w:eastAsia="宋体" w:hint="default"/>
                <w:sz w:val="18"/>
                <w:szCs w:val="18"/>
              </w:rPr>
              <w:t>固</w:t>
            </w:r>
            <w:r>
              <w:rPr>
                <w:rFonts w:ascii="宋体" w:hAnsi="宋体" w:cs="宋体" w:eastAsia="宋体" w:hint="default"/>
                <w:spacing w:val="-64"/>
                <w:sz w:val="18"/>
                <w:szCs w:val="18"/>
              </w:rPr>
              <w:t> </w:t>
            </w:r>
            <w:r>
              <w:rPr>
                <w:rFonts w:ascii="宋体" w:hAnsi="宋体" w:cs="宋体" w:eastAsia="宋体" w:hint="default"/>
                <w:sz w:val="18"/>
                <w:szCs w:val="18"/>
              </w:rPr>
              <w:t>定</w:t>
            </w:r>
            <w:r>
              <w:rPr>
                <w:rFonts w:ascii="宋体" w:hAnsi="宋体" w:cs="宋体" w:eastAsia="宋体" w:hint="default"/>
                <w:spacing w:val="-64"/>
                <w:sz w:val="18"/>
                <w:szCs w:val="18"/>
              </w:rPr>
              <w:t> </w:t>
            </w:r>
            <w:r>
              <w:rPr>
                <w:rFonts w:ascii="宋体" w:hAnsi="宋体" w:cs="宋体" w:eastAsia="宋体" w:hint="default"/>
                <w:sz w:val="18"/>
                <w:szCs w:val="18"/>
              </w:rPr>
              <w:t>资</w:t>
            </w:r>
            <w:r>
              <w:rPr>
                <w:rFonts w:ascii="宋体" w:hAnsi="宋体" w:cs="宋体" w:eastAsia="宋体" w:hint="default"/>
                <w:spacing w:val="-64"/>
                <w:sz w:val="18"/>
                <w:szCs w:val="18"/>
              </w:rPr>
              <w:t> </w:t>
            </w:r>
            <w:r>
              <w:rPr>
                <w:rFonts w:ascii="宋体" w:hAnsi="宋体" w:cs="宋体" w:eastAsia="宋体" w:hint="default"/>
                <w:sz w:val="18"/>
                <w:szCs w:val="18"/>
              </w:rPr>
              <w:t>产</w:t>
            </w:r>
            <w:r>
              <w:rPr>
                <w:rFonts w:ascii="宋体" w:hAnsi="宋体" w:cs="宋体" w:eastAsia="宋体" w:hint="default"/>
                <w:spacing w:val="-64"/>
                <w:sz w:val="18"/>
                <w:szCs w:val="18"/>
              </w:rPr>
              <w:t> </w:t>
            </w:r>
            <w:r>
              <w:rPr>
                <w:rFonts w:ascii="宋体" w:hAnsi="宋体" w:cs="宋体" w:eastAsia="宋体" w:hint="default"/>
                <w:sz w:val="18"/>
                <w:szCs w:val="18"/>
              </w:rPr>
              <w:t>改</w:t>
            </w:r>
            <w:r>
              <w:rPr>
                <w:rFonts w:ascii="宋体" w:hAnsi="宋体" w:cs="宋体" w:eastAsia="宋体" w:hint="default"/>
                <w:sz w:val="18"/>
                <w:szCs w:val="18"/>
              </w:rPr>
              <w:t> 良支出</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02"/>
              <w:jc w:val="right"/>
              <w:rPr>
                <w:rFonts w:ascii="宋体" w:hAnsi="宋体" w:cs="宋体" w:eastAsia="宋体" w:hint="default"/>
                <w:sz w:val="18"/>
                <w:szCs w:val="18"/>
              </w:rPr>
            </w:pPr>
            <w:r>
              <w:rPr>
                <w:rFonts w:ascii="宋体"/>
                <w:spacing w:val="-1"/>
                <w:sz w:val="18"/>
              </w:rPr>
              <w:t>133,239.29</w:t>
            </w:r>
          </w:p>
        </w:tc>
        <w:tc>
          <w:tcPr>
            <w:tcW w:w="1417"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02"/>
              <w:jc w:val="right"/>
              <w:rPr>
                <w:rFonts w:ascii="宋体" w:hAnsi="宋体" w:cs="宋体" w:eastAsia="宋体" w:hint="default"/>
                <w:sz w:val="18"/>
                <w:szCs w:val="18"/>
              </w:rPr>
            </w:pPr>
            <w:r>
              <w:rPr>
                <w:rFonts w:ascii="宋体"/>
                <w:spacing w:val="-1"/>
                <w:sz w:val="18"/>
              </w:rPr>
              <w:t>133,239.29</w:t>
            </w:r>
          </w:p>
        </w:tc>
        <w:tc>
          <w:tcPr>
            <w:tcW w:w="1385"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590,723.89</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32,080.66</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221,908.04</w:t>
            </w:r>
          </w:p>
        </w:tc>
        <w:tc>
          <w:tcPr>
            <w:tcW w:w="1385"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400,896.51</w:t>
            </w:r>
          </w:p>
        </w:tc>
      </w:tr>
      <w:tr>
        <w:trPr>
          <w:trHeight w:val="414" w:hRule="exact"/>
        </w:trPr>
        <w:tc>
          <w:tcPr>
            <w:tcW w:w="152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6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37"/>
              <w:jc w:val="right"/>
              <w:rPr>
                <w:rFonts w:ascii="宋体" w:hAnsi="宋体" w:cs="宋体" w:eastAsia="宋体" w:hint="default"/>
                <w:sz w:val="18"/>
                <w:szCs w:val="18"/>
              </w:rPr>
            </w:pPr>
            <w:r>
              <w:rPr>
                <w:rFonts w:ascii="宋体"/>
                <w:b/>
                <w:w w:val="95"/>
                <w:sz w:val="18"/>
              </w:rPr>
              <w:t>13,300,132.44</w:t>
            </w:r>
            <w:r>
              <w:rPr>
                <w:rFonts w:ascii="宋体"/>
                <w:sz w:val="18"/>
              </w:rPr>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38"/>
              <w:jc w:val="right"/>
              <w:rPr>
                <w:rFonts w:ascii="宋体" w:hAnsi="宋体" w:cs="宋体" w:eastAsia="宋体" w:hint="default"/>
                <w:sz w:val="18"/>
                <w:szCs w:val="18"/>
              </w:rPr>
            </w:pPr>
            <w:r>
              <w:rPr>
                <w:rFonts w:ascii="宋体"/>
                <w:b/>
                <w:w w:val="95"/>
                <w:sz w:val="18"/>
              </w:rPr>
              <w:t>4,188,996.70</w:t>
            </w:r>
            <w:r>
              <w:rPr>
                <w:rFonts w:ascii="宋体"/>
                <w:sz w:val="18"/>
              </w:rPr>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39"/>
              <w:jc w:val="right"/>
              <w:rPr>
                <w:rFonts w:ascii="宋体" w:hAnsi="宋体" w:cs="宋体" w:eastAsia="宋体" w:hint="default"/>
                <w:sz w:val="18"/>
                <w:szCs w:val="18"/>
              </w:rPr>
            </w:pPr>
            <w:r>
              <w:rPr>
                <w:rFonts w:ascii="宋体"/>
                <w:b/>
                <w:w w:val="95"/>
                <w:sz w:val="18"/>
              </w:rPr>
              <w:t>7,085,368.00</w:t>
            </w:r>
            <w:r>
              <w:rPr>
                <w:rFonts w:ascii="宋体"/>
                <w:sz w:val="18"/>
              </w:rPr>
            </w:r>
          </w:p>
        </w:tc>
        <w:tc>
          <w:tcPr>
            <w:tcW w:w="1385" w:type="dxa"/>
            <w:tcBorders>
              <w:top w:val="single" w:sz="2" w:space="0" w:color="000000"/>
              <w:left w:val="single" w:sz="2" w:space="0" w:color="000000"/>
              <w:bottom w:val="single" w:sz="12" w:space="0" w:color="000000"/>
              <w:right w:val="single" w:sz="2" w:space="0" w:color="000000"/>
            </w:tcBorders>
          </w:tcPr>
          <w:p>
            <w:pPr/>
          </w:p>
        </w:tc>
        <w:tc>
          <w:tcPr>
            <w:tcW w:w="141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40"/>
              <w:jc w:val="right"/>
              <w:rPr>
                <w:rFonts w:ascii="宋体" w:hAnsi="宋体" w:cs="宋体" w:eastAsia="宋体" w:hint="default"/>
                <w:sz w:val="18"/>
                <w:szCs w:val="18"/>
              </w:rPr>
            </w:pPr>
            <w:r>
              <w:rPr>
                <w:rFonts w:ascii="宋体"/>
                <w:b/>
                <w:w w:val="95"/>
                <w:sz w:val="18"/>
              </w:rPr>
              <w:t>10,403,761.14</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19.</w:t>
      </w:r>
      <w:r>
        <w:rPr>
          <w:spacing w:val="-56"/>
        </w:rPr>
        <w:t> </w:t>
      </w:r>
      <w:bookmarkStart w:name="19.递延所得税资产和递延所得税负债" w:id="286"/>
      <w:bookmarkEnd w:id="286"/>
      <w:r>
        <w:rPr/>
        <w:t>递</w:t>
      </w:r>
      <w:r>
        <w:rPr/>
        <w:t>延所得税资产和递延所得税负债</w:t>
      </w:r>
    </w:p>
    <w:p>
      <w:pPr>
        <w:pStyle w:val="BodyText"/>
        <w:spacing w:line="240" w:lineRule="auto" w:before="192"/>
        <w:ind w:left="666" w:right="1445"/>
        <w:jc w:val="left"/>
      </w:pPr>
      <w:r>
        <w:rPr/>
        <w:t>（</w:t>
      </w:r>
      <w:r>
        <w:rPr>
          <w:rFonts w:ascii="Times New Roman" w:hAnsi="Times New Roman" w:cs="Times New Roman" w:eastAsia="Times New Roman" w:hint="default"/>
        </w:rPr>
        <w:t>1</w:t>
      </w:r>
      <w:r>
        <w:rPr/>
        <w:t>）</w:t>
      </w:r>
      <w:r>
        <w:rPr>
          <w:spacing w:val="5"/>
        </w:rPr>
        <w:t> </w:t>
      </w:r>
      <w:bookmarkStart w:name="（1）未经抵销的递延所得税资产" w:id="287"/>
      <w:bookmarkEnd w:id="287"/>
      <w:r>
        <w:rPr/>
        <w:t>未</w:t>
      </w:r>
      <w:r>
        <w:rPr/>
        <w:t>经抵销的递延所得税资产</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933"/>
        <w:gridCol w:w="1766"/>
        <w:gridCol w:w="1647"/>
        <w:gridCol w:w="1850"/>
        <w:gridCol w:w="1527"/>
      </w:tblGrid>
      <w:tr>
        <w:trPr>
          <w:trHeight w:val="415" w:hRule="exact"/>
        </w:trPr>
        <w:tc>
          <w:tcPr>
            <w:tcW w:w="1933"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413"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3377"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1933" w:type="dxa"/>
            <w:vMerge/>
            <w:tcBorders>
              <w:left w:val="nil" w:sz="6" w:space="0" w:color="auto"/>
              <w:bottom w:val="single" w:sz="2" w:space="0" w:color="000000"/>
              <w:right w:val="single" w:sz="2" w:space="0" w:color="000000"/>
            </w:tcBorders>
          </w:tcPr>
          <w:p>
            <w:pP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60" w:right="0"/>
              <w:jc w:val="left"/>
              <w:rPr>
                <w:rFonts w:ascii="宋体" w:hAnsi="宋体" w:cs="宋体" w:eastAsia="宋体" w:hint="default"/>
                <w:sz w:val="18"/>
                <w:szCs w:val="18"/>
              </w:rPr>
            </w:pPr>
            <w:r>
              <w:rPr>
                <w:rFonts w:ascii="宋体" w:hAnsi="宋体" w:cs="宋体" w:eastAsia="宋体" w:hint="default"/>
                <w:b/>
                <w:bCs/>
                <w:sz w:val="18"/>
                <w:szCs w:val="18"/>
              </w:rPr>
              <w:t>可抵扣暂时性差异</w:t>
            </w:r>
            <w:r>
              <w:rPr>
                <w:rFonts w:ascii="宋体" w:hAnsi="宋体" w:cs="宋体" w:eastAsia="宋体" w:hint="default"/>
                <w:sz w:val="18"/>
                <w:szCs w:val="18"/>
              </w:rPr>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89" w:right="0"/>
              <w:jc w:val="left"/>
              <w:rPr>
                <w:rFonts w:ascii="宋体" w:hAnsi="宋体" w:cs="宋体" w:eastAsia="宋体" w:hint="default"/>
                <w:sz w:val="18"/>
                <w:szCs w:val="18"/>
              </w:rPr>
            </w:pPr>
            <w:r>
              <w:rPr>
                <w:rFonts w:ascii="宋体" w:hAnsi="宋体" w:cs="宋体" w:eastAsia="宋体" w:hint="default"/>
                <w:b/>
                <w:bCs/>
                <w:sz w:val="18"/>
                <w:szCs w:val="18"/>
              </w:rPr>
              <w:t>递延所得税资产</w:t>
            </w:r>
            <w:r>
              <w:rPr>
                <w:rFonts w:ascii="宋体" w:hAnsi="宋体" w:cs="宋体" w:eastAsia="宋体" w:hint="default"/>
                <w:sz w:val="18"/>
                <w:szCs w:val="18"/>
              </w:rPr>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203" w:right="0"/>
              <w:jc w:val="left"/>
              <w:rPr>
                <w:rFonts w:ascii="宋体" w:hAnsi="宋体" w:cs="宋体" w:eastAsia="宋体" w:hint="default"/>
                <w:sz w:val="18"/>
                <w:szCs w:val="18"/>
              </w:rPr>
            </w:pPr>
            <w:r>
              <w:rPr>
                <w:rFonts w:ascii="宋体" w:hAnsi="宋体" w:cs="宋体" w:eastAsia="宋体" w:hint="default"/>
                <w:b/>
                <w:bCs/>
                <w:sz w:val="18"/>
                <w:szCs w:val="18"/>
              </w:rPr>
              <w:t>可抵扣暂时性差异</w:t>
            </w:r>
            <w:r>
              <w:rPr>
                <w:rFonts w:ascii="宋体" w:hAnsi="宋体" w:cs="宋体" w:eastAsia="宋体" w:hint="default"/>
                <w:sz w:val="18"/>
                <w:szCs w:val="18"/>
              </w:rPr>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left="129" w:right="0"/>
              <w:jc w:val="left"/>
              <w:rPr>
                <w:rFonts w:ascii="宋体" w:hAnsi="宋体" w:cs="宋体" w:eastAsia="宋体" w:hint="default"/>
                <w:sz w:val="18"/>
                <w:szCs w:val="18"/>
              </w:rPr>
            </w:pPr>
            <w:r>
              <w:rPr>
                <w:rFonts w:ascii="宋体" w:hAnsi="宋体" w:cs="宋体" w:eastAsia="宋体" w:hint="default"/>
                <w:b/>
                <w:bCs/>
                <w:sz w:val="18"/>
                <w:szCs w:val="18"/>
              </w:rPr>
              <w:t>递延所得税资产</w:t>
            </w:r>
            <w:r>
              <w:rPr>
                <w:rFonts w:ascii="宋体" w:hAnsi="宋体" w:cs="宋体" w:eastAsia="宋体" w:hint="default"/>
                <w:sz w:val="18"/>
                <w:szCs w:val="18"/>
              </w:rPr>
            </w:r>
          </w:p>
        </w:tc>
      </w:tr>
      <w:tr>
        <w:trPr>
          <w:trHeight w:val="402" w:hRule="exact"/>
        </w:trPr>
        <w:tc>
          <w:tcPr>
            <w:tcW w:w="19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197,461,524.69</w:t>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30,751,211.57</w:t>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171,799,528.21</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26,531,993.36</w:t>
            </w:r>
          </w:p>
        </w:tc>
      </w:tr>
      <w:tr>
        <w:trPr>
          <w:trHeight w:val="552" w:hRule="exact"/>
        </w:trPr>
        <w:tc>
          <w:tcPr>
            <w:tcW w:w="193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53" w:right="51"/>
              <w:jc w:val="left"/>
              <w:rPr>
                <w:rFonts w:ascii="宋体" w:hAnsi="宋体" w:cs="宋体" w:eastAsia="宋体" w:hint="default"/>
                <w:sz w:val="18"/>
                <w:szCs w:val="18"/>
              </w:rPr>
            </w:pPr>
            <w:r>
              <w:rPr>
                <w:rFonts w:ascii="宋体" w:hAnsi="宋体" w:cs="宋体" w:eastAsia="宋体" w:hint="default"/>
                <w:sz w:val="18"/>
                <w:szCs w:val="18"/>
              </w:rPr>
              <w:t>固定资产折旧年限不同</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导致的折旧差异</w:t>
            </w: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5"/>
              <w:ind w:right="49"/>
              <w:jc w:val="right"/>
              <w:rPr>
                <w:rFonts w:ascii="宋体" w:hAnsi="宋体" w:cs="宋体" w:eastAsia="宋体" w:hint="default"/>
                <w:sz w:val="18"/>
                <w:szCs w:val="18"/>
              </w:rPr>
            </w:pPr>
            <w:r>
              <w:rPr>
                <w:rFonts w:ascii="宋体"/>
                <w:spacing w:val="-1"/>
                <w:sz w:val="18"/>
              </w:rPr>
              <w:t>14,047,176.75</w:t>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5"/>
              <w:ind w:right="47"/>
              <w:jc w:val="right"/>
              <w:rPr>
                <w:rFonts w:ascii="宋体" w:hAnsi="宋体" w:cs="宋体" w:eastAsia="宋体" w:hint="default"/>
                <w:sz w:val="18"/>
                <w:szCs w:val="18"/>
              </w:rPr>
            </w:pPr>
            <w:r>
              <w:rPr>
                <w:rFonts w:ascii="宋体"/>
                <w:spacing w:val="-1"/>
                <w:sz w:val="18"/>
              </w:rPr>
              <w:t>2,154,884.70</w:t>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5"/>
              <w:ind w:right="49"/>
              <w:jc w:val="right"/>
              <w:rPr>
                <w:rFonts w:ascii="宋体" w:hAnsi="宋体" w:cs="宋体" w:eastAsia="宋体" w:hint="default"/>
                <w:sz w:val="18"/>
                <w:szCs w:val="18"/>
              </w:rPr>
            </w:pPr>
            <w:r>
              <w:rPr>
                <w:rFonts w:ascii="宋体"/>
                <w:spacing w:val="-1"/>
                <w:sz w:val="18"/>
              </w:rPr>
              <w:t>13,353,043.46</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5"/>
              <w:ind w:right="50"/>
              <w:jc w:val="right"/>
              <w:rPr>
                <w:rFonts w:ascii="宋体" w:hAnsi="宋体" w:cs="宋体" w:eastAsia="宋体" w:hint="default"/>
                <w:sz w:val="18"/>
                <w:szCs w:val="18"/>
              </w:rPr>
            </w:pPr>
            <w:r>
              <w:rPr>
                <w:rFonts w:ascii="宋体"/>
                <w:spacing w:val="-1"/>
                <w:sz w:val="18"/>
              </w:rPr>
              <w:t>2,075,748.55</w:t>
            </w:r>
          </w:p>
        </w:tc>
      </w:tr>
      <w:tr>
        <w:trPr>
          <w:trHeight w:val="552" w:hRule="exact"/>
        </w:trPr>
        <w:tc>
          <w:tcPr>
            <w:tcW w:w="193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53" w:right="51"/>
              <w:jc w:val="left"/>
              <w:rPr>
                <w:rFonts w:ascii="宋体" w:hAnsi="宋体" w:cs="宋体" w:eastAsia="宋体" w:hint="default"/>
                <w:sz w:val="18"/>
                <w:szCs w:val="18"/>
              </w:rPr>
            </w:pPr>
            <w:r>
              <w:rPr>
                <w:rFonts w:ascii="宋体" w:hAnsi="宋体" w:cs="宋体" w:eastAsia="宋体" w:hint="default"/>
                <w:sz w:val="18"/>
                <w:szCs w:val="18"/>
              </w:rPr>
              <w:t>计入递延收益的政府补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助</w:t>
            </w: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5"/>
              <w:ind w:right="49"/>
              <w:jc w:val="right"/>
              <w:rPr>
                <w:rFonts w:ascii="宋体" w:hAnsi="宋体" w:cs="宋体" w:eastAsia="宋体" w:hint="default"/>
                <w:sz w:val="18"/>
                <w:szCs w:val="18"/>
              </w:rPr>
            </w:pPr>
            <w:r>
              <w:rPr>
                <w:rFonts w:ascii="宋体"/>
                <w:spacing w:val="-1"/>
                <w:sz w:val="18"/>
              </w:rPr>
              <w:t>8,292,303.44</w:t>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5"/>
              <w:ind w:right="47"/>
              <w:jc w:val="right"/>
              <w:rPr>
                <w:rFonts w:ascii="宋体" w:hAnsi="宋体" w:cs="宋体" w:eastAsia="宋体" w:hint="default"/>
                <w:sz w:val="18"/>
                <w:szCs w:val="18"/>
              </w:rPr>
            </w:pPr>
            <w:r>
              <w:rPr>
                <w:rFonts w:ascii="宋体"/>
                <w:spacing w:val="-1"/>
                <w:sz w:val="18"/>
              </w:rPr>
              <w:t>1,243,845.52</w:t>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5"/>
              <w:ind w:right="47"/>
              <w:jc w:val="right"/>
              <w:rPr>
                <w:rFonts w:ascii="宋体" w:hAnsi="宋体" w:cs="宋体" w:eastAsia="宋体" w:hint="default"/>
                <w:sz w:val="18"/>
                <w:szCs w:val="18"/>
              </w:rPr>
            </w:pPr>
            <w:r>
              <w:rPr>
                <w:rFonts w:ascii="宋体"/>
                <w:spacing w:val="-1"/>
                <w:sz w:val="18"/>
              </w:rPr>
              <w:t>7,747,370.29</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5"/>
              <w:ind w:right="50"/>
              <w:jc w:val="right"/>
              <w:rPr>
                <w:rFonts w:ascii="宋体" w:hAnsi="宋体" w:cs="宋体" w:eastAsia="宋体" w:hint="default"/>
                <w:sz w:val="18"/>
                <w:szCs w:val="18"/>
              </w:rPr>
            </w:pPr>
            <w:r>
              <w:rPr>
                <w:rFonts w:ascii="宋体"/>
                <w:spacing w:val="-1"/>
                <w:sz w:val="18"/>
              </w:rPr>
              <w:t>1,162,105.54</w:t>
            </w:r>
          </w:p>
        </w:tc>
      </w:tr>
      <w:tr>
        <w:trPr>
          <w:trHeight w:val="402" w:hRule="exact"/>
        </w:trPr>
        <w:tc>
          <w:tcPr>
            <w:tcW w:w="19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未实现内部交易</w:t>
            </w: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63,778,815.80</w:t>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15,328,634.64</w:t>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48,943,269.93</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11,987,804.81</w:t>
            </w:r>
          </w:p>
        </w:tc>
      </w:tr>
      <w:tr>
        <w:trPr>
          <w:trHeight w:val="402" w:hRule="exact"/>
        </w:trPr>
        <w:tc>
          <w:tcPr>
            <w:tcW w:w="19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16,000.98</w:t>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2,400.15</w:t>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216,810.56</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32,521.58</w:t>
            </w:r>
          </w:p>
        </w:tc>
      </w:tr>
      <w:tr>
        <w:trPr>
          <w:trHeight w:val="402" w:hRule="exact"/>
        </w:trPr>
        <w:tc>
          <w:tcPr>
            <w:tcW w:w="193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公允价值变动损失</w:t>
            </w: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2,513,084.43</w:t>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376,962.66</w:t>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2,951,616.28</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442,742.45</w:t>
            </w:r>
          </w:p>
        </w:tc>
      </w:tr>
      <w:tr>
        <w:trPr>
          <w:trHeight w:val="552" w:hRule="exact"/>
        </w:trPr>
        <w:tc>
          <w:tcPr>
            <w:tcW w:w="193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51"/>
              <w:jc w:val="left"/>
              <w:rPr>
                <w:rFonts w:ascii="宋体" w:hAnsi="宋体" w:cs="宋体" w:eastAsia="宋体" w:hint="default"/>
                <w:sz w:val="18"/>
                <w:szCs w:val="18"/>
              </w:rPr>
            </w:pPr>
            <w:r>
              <w:rPr>
                <w:rFonts w:ascii="宋体" w:hAnsi="宋体" w:cs="宋体" w:eastAsia="宋体" w:hint="default"/>
                <w:sz w:val="18"/>
                <w:szCs w:val="18"/>
              </w:rPr>
              <w:t>现金流量套期损益有效</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部分</w:t>
            </w:r>
          </w:p>
        </w:tc>
        <w:tc>
          <w:tcPr>
            <w:tcW w:w="176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49"/>
              <w:jc w:val="right"/>
              <w:rPr>
                <w:rFonts w:ascii="宋体" w:hAnsi="宋体" w:cs="宋体" w:eastAsia="宋体" w:hint="default"/>
                <w:sz w:val="18"/>
                <w:szCs w:val="18"/>
              </w:rPr>
            </w:pPr>
            <w:r>
              <w:rPr>
                <w:rFonts w:ascii="宋体"/>
                <w:spacing w:val="-1"/>
                <w:sz w:val="18"/>
              </w:rPr>
              <w:t>2,278,909.01</w:t>
            </w:r>
          </w:p>
        </w:tc>
        <w:tc>
          <w:tcPr>
            <w:tcW w:w="16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47"/>
              <w:jc w:val="right"/>
              <w:rPr>
                <w:rFonts w:ascii="宋体" w:hAnsi="宋体" w:cs="宋体" w:eastAsia="宋体" w:hint="default"/>
                <w:sz w:val="18"/>
                <w:szCs w:val="18"/>
              </w:rPr>
            </w:pPr>
            <w:r>
              <w:rPr>
                <w:rFonts w:ascii="宋体"/>
                <w:spacing w:val="-1"/>
                <w:sz w:val="18"/>
              </w:rPr>
              <w:t>341,836.35</w:t>
            </w:r>
          </w:p>
        </w:tc>
        <w:tc>
          <w:tcPr>
            <w:tcW w:w="1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49"/>
              <w:jc w:val="right"/>
              <w:rPr>
                <w:rFonts w:ascii="宋体" w:hAnsi="宋体" w:cs="宋体" w:eastAsia="宋体" w:hint="default"/>
                <w:sz w:val="18"/>
                <w:szCs w:val="18"/>
              </w:rPr>
            </w:pPr>
            <w:r>
              <w:rPr>
                <w:rFonts w:ascii="宋体"/>
                <w:spacing w:val="-1"/>
                <w:sz w:val="18"/>
              </w:rPr>
              <w:t>41,994,489.00</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50"/>
              <w:jc w:val="right"/>
              <w:rPr>
                <w:rFonts w:ascii="宋体" w:hAnsi="宋体" w:cs="宋体" w:eastAsia="宋体" w:hint="default"/>
                <w:sz w:val="18"/>
                <w:szCs w:val="18"/>
              </w:rPr>
            </w:pPr>
            <w:r>
              <w:rPr>
                <w:rFonts w:ascii="宋体"/>
                <w:spacing w:val="-1"/>
                <w:sz w:val="18"/>
              </w:rPr>
              <w:t>6,299,173.35</w:t>
            </w:r>
          </w:p>
        </w:tc>
      </w:tr>
      <w:tr>
        <w:trPr>
          <w:trHeight w:val="414" w:hRule="exact"/>
        </w:trPr>
        <w:tc>
          <w:tcPr>
            <w:tcW w:w="193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6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sz w:val="18"/>
              </w:rPr>
              <w:t>288,387,815.10</w:t>
            </w:r>
            <w:r>
              <w:rPr>
                <w:rFonts w:ascii="宋体"/>
                <w:sz w:val="18"/>
              </w:rPr>
            </w:r>
          </w:p>
        </w:tc>
        <w:tc>
          <w:tcPr>
            <w:tcW w:w="164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50,199,775.59</w:t>
            </w:r>
            <w:r>
              <w:rPr>
                <w:rFonts w:ascii="宋体"/>
                <w:sz w:val="18"/>
              </w:rPr>
            </w:r>
          </w:p>
        </w:tc>
        <w:tc>
          <w:tcPr>
            <w:tcW w:w="185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sz w:val="18"/>
              </w:rPr>
              <w:t>287,006,127.73</w:t>
            </w:r>
            <w:r>
              <w:rPr>
                <w:rFonts w:ascii="宋体"/>
                <w:sz w:val="18"/>
              </w:rPr>
            </w:r>
          </w:p>
        </w:tc>
        <w:tc>
          <w:tcPr>
            <w:tcW w:w="152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48,532,089.64</w:t>
            </w:r>
            <w:r>
              <w:rPr>
                <w:rFonts w:ascii="宋体"/>
                <w:sz w:val="18"/>
              </w:rPr>
            </w:r>
          </w:p>
        </w:tc>
      </w:tr>
    </w:tbl>
    <w:p>
      <w:pPr>
        <w:spacing w:after="0" w:line="240" w:lineRule="auto"/>
        <w:jc w:val="right"/>
        <w:rPr>
          <w:rFonts w:ascii="宋体" w:hAnsi="宋体" w:cs="宋体" w:eastAsia="宋体" w:hint="default"/>
          <w:sz w:val="18"/>
          <w:szCs w:val="18"/>
        </w:rPr>
        <w:sectPr>
          <w:footerReference w:type="default" r:id="rId59"/>
          <w:pgSz w:w="11910" w:h="16840"/>
          <w:pgMar w:footer="883" w:header="939" w:top="1940" w:bottom="1080" w:left="1460" w:right="0"/>
          <w:pgNumType w:start="134"/>
        </w:sectPr>
      </w:pPr>
    </w:p>
    <w:p>
      <w:pPr>
        <w:spacing w:line="240" w:lineRule="auto" w:before="13"/>
        <w:rPr>
          <w:rFonts w:ascii="宋体" w:hAnsi="宋体" w:cs="宋体" w:eastAsia="宋体" w:hint="default"/>
          <w:sz w:val="12"/>
          <w:szCs w:val="12"/>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5"/>
        </w:rPr>
        <w:t> </w:t>
      </w:r>
      <w:bookmarkStart w:name="（2）未经抵销的递延所得税负债" w:id="288"/>
      <w:bookmarkEnd w:id="288"/>
      <w:r>
        <w:rPr/>
        <w:t>未</w:t>
      </w:r>
      <w:r>
        <w:rPr/>
        <w:t>经抵销的递延所得税负债</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094"/>
        <w:gridCol w:w="1685"/>
        <w:gridCol w:w="1574"/>
        <w:gridCol w:w="1828"/>
        <w:gridCol w:w="1542"/>
      </w:tblGrid>
      <w:tr>
        <w:trPr>
          <w:trHeight w:val="415" w:hRule="exact"/>
        </w:trPr>
        <w:tc>
          <w:tcPr>
            <w:tcW w:w="2094" w:type="dxa"/>
            <w:vMerge w:val="restart"/>
            <w:tcBorders>
              <w:top w:val="single" w:sz="12" w:space="0" w:color="000000"/>
              <w:left w:val="nil" w:sz="6" w:space="0" w:color="auto"/>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259"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3370"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2094" w:type="dxa"/>
            <w:vMerge/>
            <w:tcBorders>
              <w:left w:val="nil" w:sz="6" w:space="0" w:color="auto"/>
              <w:bottom w:val="single" w:sz="2" w:space="0" w:color="000000"/>
              <w:right w:val="single" w:sz="2" w:space="0" w:color="000000"/>
            </w:tcBorders>
          </w:tcPr>
          <w:p>
            <w:pP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14"/>
              <w:jc w:val="right"/>
              <w:rPr>
                <w:rFonts w:ascii="宋体" w:hAnsi="宋体" w:cs="宋体" w:eastAsia="宋体" w:hint="default"/>
                <w:sz w:val="18"/>
                <w:szCs w:val="18"/>
              </w:rPr>
            </w:pPr>
            <w:r>
              <w:rPr>
                <w:rFonts w:ascii="宋体" w:hAnsi="宋体" w:cs="宋体" w:eastAsia="宋体" w:hint="default"/>
                <w:b/>
                <w:bCs/>
                <w:w w:val="95"/>
                <w:sz w:val="18"/>
                <w:szCs w:val="18"/>
              </w:rPr>
              <w:t>应纳税暂时性差异</w:t>
            </w:r>
            <w:r>
              <w:rPr>
                <w:rFonts w:ascii="宋体" w:hAnsi="宋体" w:cs="宋体" w:eastAsia="宋体" w:hint="default"/>
                <w:sz w:val="18"/>
                <w:szCs w:val="18"/>
              </w:rPr>
            </w:r>
          </w:p>
        </w:tc>
        <w:tc>
          <w:tcPr>
            <w:tcW w:w="15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55"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c>
          <w:tcPr>
            <w:tcW w:w="18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93" w:right="0"/>
              <w:jc w:val="left"/>
              <w:rPr>
                <w:rFonts w:ascii="宋体" w:hAnsi="宋体" w:cs="宋体" w:eastAsia="宋体" w:hint="default"/>
                <w:sz w:val="18"/>
                <w:szCs w:val="18"/>
              </w:rPr>
            </w:pPr>
            <w:r>
              <w:rPr>
                <w:rFonts w:ascii="宋体" w:hAnsi="宋体" w:cs="宋体" w:eastAsia="宋体" w:hint="default"/>
                <w:b/>
                <w:bCs/>
                <w:sz w:val="18"/>
                <w:szCs w:val="18"/>
              </w:rPr>
              <w:t>应纳税暂时性差异</w:t>
            </w:r>
            <w:r>
              <w:rPr>
                <w:rFonts w:ascii="宋体" w:hAnsi="宋体" w:cs="宋体" w:eastAsia="宋体" w:hint="default"/>
                <w:sz w:val="18"/>
                <w:szCs w:val="18"/>
              </w:rPr>
            </w:r>
          </w:p>
        </w:tc>
        <w:tc>
          <w:tcPr>
            <w:tcW w:w="154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r>
      <w:tr>
        <w:trPr>
          <w:trHeight w:val="552" w:hRule="exact"/>
        </w:trPr>
        <w:tc>
          <w:tcPr>
            <w:tcW w:w="2094"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36" w:right="32"/>
              <w:jc w:val="left"/>
              <w:rPr>
                <w:rFonts w:ascii="宋体" w:hAnsi="宋体" w:cs="宋体" w:eastAsia="宋体" w:hint="default"/>
                <w:sz w:val="18"/>
                <w:szCs w:val="18"/>
              </w:rPr>
            </w:pPr>
            <w:r>
              <w:rPr>
                <w:rFonts w:ascii="宋体" w:hAnsi="宋体" w:cs="宋体" w:eastAsia="宋体" w:hint="default"/>
                <w:spacing w:val="3"/>
                <w:sz w:val="18"/>
                <w:szCs w:val="18"/>
              </w:rPr>
              <w:t>固定资产折旧年限不同导</w:t>
            </w:r>
            <w:r>
              <w:rPr>
                <w:rFonts w:ascii="宋体" w:hAnsi="宋体" w:cs="宋体" w:eastAsia="宋体" w:hint="default"/>
                <w:sz w:val="18"/>
                <w:szCs w:val="18"/>
              </w:rPr>
              <w:t> 致的折旧差异</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03"/>
              <w:jc w:val="right"/>
              <w:rPr>
                <w:rFonts w:ascii="宋体" w:hAnsi="宋体" w:cs="宋体" w:eastAsia="宋体" w:hint="default"/>
                <w:sz w:val="18"/>
                <w:szCs w:val="18"/>
              </w:rPr>
            </w:pPr>
            <w:r>
              <w:rPr>
                <w:rFonts w:ascii="宋体"/>
                <w:spacing w:val="-1"/>
                <w:sz w:val="18"/>
              </w:rPr>
              <w:t>20,503,674.70</w:t>
            </w:r>
          </w:p>
        </w:tc>
        <w:tc>
          <w:tcPr>
            <w:tcW w:w="15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383" w:right="0"/>
              <w:jc w:val="left"/>
              <w:rPr>
                <w:rFonts w:ascii="宋体" w:hAnsi="宋体" w:cs="宋体" w:eastAsia="宋体" w:hint="default"/>
                <w:sz w:val="18"/>
                <w:szCs w:val="18"/>
              </w:rPr>
            </w:pPr>
            <w:r>
              <w:rPr>
                <w:rFonts w:ascii="宋体"/>
                <w:sz w:val="18"/>
              </w:rPr>
              <w:t>3,543,340.87</w:t>
            </w:r>
          </w:p>
        </w:tc>
        <w:tc>
          <w:tcPr>
            <w:tcW w:w="18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9"/>
              <w:jc w:val="right"/>
              <w:rPr>
                <w:rFonts w:ascii="宋体" w:hAnsi="宋体" w:cs="宋体" w:eastAsia="宋体" w:hint="default"/>
                <w:sz w:val="18"/>
                <w:szCs w:val="18"/>
              </w:rPr>
            </w:pPr>
            <w:r>
              <w:rPr>
                <w:rFonts w:ascii="宋体"/>
                <w:spacing w:val="-1"/>
                <w:sz w:val="18"/>
              </w:rPr>
              <w:t>4,812,927.73</w:t>
            </w:r>
          </w:p>
        </w:tc>
        <w:tc>
          <w:tcPr>
            <w:tcW w:w="154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50"/>
              <w:jc w:val="right"/>
              <w:rPr>
                <w:rFonts w:ascii="宋体" w:hAnsi="宋体" w:cs="宋体" w:eastAsia="宋体" w:hint="default"/>
                <w:sz w:val="18"/>
                <w:szCs w:val="18"/>
              </w:rPr>
            </w:pPr>
            <w:r>
              <w:rPr>
                <w:rFonts w:ascii="宋体"/>
                <w:spacing w:val="-1"/>
                <w:sz w:val="18"/>
              </w:rPr>
              <w:t>721,939.16</w:t>
            </w:r>
          </w:p>
        </w:tc>
      </w:tr>
      <w:tr>
        <w:trPr>
          <w:trHeight w:val="552" w:hRule="exact"/>
        </w:trPr>
        <w:tc>
          <w:tcPr>
            <w:tcW w:w="2094"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36" w:right="32"/>
              <w:jc w:val="left"/>
              <w:rPr>
                <w:rFonts w:ascii="宋体" w:hAnsi="宋体" w:cs="宋体" w:eastAsia="宋体" w:hint="default"/>
                <w:sz w:val="18"/>
                <w:szCs w:val="18"/>
              </w:rPr>
            </w:pPr>
            <w:r>
              <w:rPr>
                <w:rFonts w:ascii="宋体" w:hAnsi="宋体" w:cs="宋体" w:eastAsia="宋体" w:hint="default"/>
                <w:spacing w:val="3"/>
                <w:sz w:val="18"/>
                <w:szCs w:val="18"/>
              </w:rPr>
              <w:t>企业合并产生的公允价值</w:t>
            </w:r>
            <w:r>
              <w:rPr>
                <w:rFonts w:ascii="宋体" w:hAnsi="宋体" w:cs="宋体" w:eastAsia="宋体" w:hint="default"/>
                <w:sz w:val="18"/>
                <w:szCs w:val="18"/>
              </w:rPr>
              <w:t> 高于账面价值的金额</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8"/>
              <w:jc w:val="right"/>
              <w:rPr>
                <w:rFonts w:ascii="宋体" w:hAnsi="宋体" w:cs="宋体" w:eastAsia="宋体" w:hint="default"/>
                <w:sz w:val="18"/>
                <w:szCs w:val="18"/>
              </w:rPr>
            </w:pPr>
            <w:r>
              <w:rPr>
                <w:rFonts w:ascii="宋体"/>
                <w:spacing w:val="-1"/>
                <w:sz w:val="18"/>
              </w:rPr>
              <w:t>9,654,930.51</w:t>
            </w:r>
          </w:p>
        </w:tc>
        <w:tc>
          <w:tcPr>
            <w:tcW w:w="15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7"/>
              <w:jc w:val="right"/>
              <w:rPr>
                <w:rFonts w:ascii="宋体" w:hAnsi="宋体" w:cs="宋体" w:eastAsia="宋体" w:hint="default"/>
                <w:sz w:val="18"/>
                <w:szCs w:val="18"/>
              </w:rPr>
            </w:pPr>
            <w:r>
              <w:rPr>
                <w:rFonts w:ascii="宋体"/>
                <w:spacing w:val="-1"/>
                <w:sz w:val="18"/>
              </w:rPr>
              <w:t>1,448,239.56</w:t>
            </w:r>
          </w:p>
        </w:tc>
        <w:tc>
          <w:tcPr>
            <w:tcW w:w="18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9"/>
              <w:jc w:val="right"/>
              <w:rPr>
                <w:rFonts w:ascii="宋体" w:hAnsi="宋体" w:cs="宋体" w:eastAsia="宋体" w:hint="default"/>
                <w:sz w:val="18"/>
                <w:szCs w:val="18"/>
              </w:rPr>
            </w:pPr>
            <w:r>
              <w:rPr>
                <w:rFonts w:ascii="宋体"/>
                <w:spacing w:val="-1"/>
                <w:sz w:val="18"/>
              </w:rPr>
              <w:t>10,643,195.17</w:t>
            </w:r>
          </w:p>
        </w:tc>
        <w:tc>
          <w:tcPr>
            <w:tcW w:w="154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50"/>
              <w:jc w:val="right"/>
              <w:rPr>
                <w:rFonts w:ascii="宋体" w:hAnsi="宋体" w:cs="宋体" w:eastAsia="宋体" w:hint="default"/>
                <w:sz w:val="18"/>
                <w:szCs w:val="18"/>
              </w:rPr>
            </w:pPr>
            <w:r>
              <w:rPr>
                <w:rFonts w:ascii="宋体"/>
                <w:spacing w:val="-1"/>
                <w:sz w:val="18"/>
              </w:rPr>
              <w:t>1,596,479.26</w:t>
            </w:r>
          </w:p>
        </w:tc>
      </w:tr>
      <w:tr>
        <w:trPr>
          <w:trHeight w:val="552" w:hRule="exact"/>
        </w:trPr>
        <w:tc>
          <w:tcPr>
            <w:tcW w:w="2094"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36" w:right="32"/>
              <w:jc w:val="left"/>
              <w:rPr>
                <w:rFonts w:ascii="宋体" w:hAnsi="宋体" w:cs="宋体" w:eastAsia="宋体" w:hint="default"/>
                <w:sz w:val="18"/>
                <w:szCs w:val="18"/>
              </w:rPr>
            </w:pPr>
            <w:r>
              <w:rPr>
                <w:rFonts w:ascii="宋体" w:hAnsi="宋体" w:cs="宋体" w:eastAsia="宋体" w:hint="default"/>
                <w:spacing w:val="3"/>
                <w:sz w:val="18"/>
                <w:szCs w:val="18"/>
              </w:rPr>
              <w:t>现金流量套期损益有效部</w:t>
            </w:r>
            <w:r>
              <w:rPr>
                <w:rFonts w:ascii="宋体" w:hAnsi="宋体" w:cs="宋体" w:eastAsia="宋体" w:hint="default"/>
                <w:sz w:val="18"/>
                <w:szCs w:val="18"/>
              </w:rPr>
              <w:t> 分</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8"/>
              <w:jc w:val="right"/>
              <w:rPr>
                <w:rFonts w:ascii="宋体" w:hAnsi="宋体" w:cs="宋体" w:eastAsia="宋体" w:hint="default"/>
                <w:sz w:val="18"/>
                <w:szCs w:val="18"/>
              </w:rPr>
            </w:pPr>
            <w:r>
              <w:rPr>
                <w:rFonts w:ascii="宋体"/>
                <w:spacing w:val="-1"/>
                <w:sz w:val="18"/>
              </w:rPr>
              <w:t>664,900.00</w:t>
            </w:r>
          </w:p>
        </w:tc>
        <w:tc>
          <w:tcPr>
            <w:tcW w:w="15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47"/>
              <w:jc w:val="right"/>
              <w:rPr>
                <w:rFonts w:ascii="宋体" w:hAnsi="宋体" w:cs="宋体" w:eastAsia="宋体" w:hint="default"/>
                <w:sz w:val="18"/>
                <w:szCs w:val="18"/>
              </w:rPr>
            </w:pPr>
            <w:r>
              <w:rPr>
                <w:rFonts w:ascii="宋体"/>
                <w:spacing w:val="-1"/>
                <w:sz w:val="18"/>
              </w:rPr>
              <w:t>166,225.00</w:t>
            </w:r>
          </w:p>
        </w:tc>
        <w:tc>
          <w:tcPr>
            <w:tcW w:w="1828" w:type="dxa"/>
            <w:tcBorders>
              <w:top w:val="single" w:sz="2" w:space="0" w:color="000000"/>
              <w:left w:val="single" w:sz="2" w:space="0" w:color="000000"/>
              <w:bottom w:val="single" w:sz="2" w:space="0" w:color="000000"/>
              <w:right w:val="single" w:sz="2" w:space="0" w:color="000000"/>
            </w:tcBorders>
          </w:tcPr>
          <w:p>
            <w:pPr/>
          </w:p>
        </w:tc>
        <w:tc>
          <w:tcPr>
            <w:tcW w:w="15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09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6"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2,275,187.88</w:t>
            </w:r>
          </w:p>
        </w:tc>
        <w:tc>
          <w:tcPr>
            <w:tcW w:w="15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352,528.18</w:t>
            </w:r>
          </w:p>
        </w:tc>
        <w:tc>
          <w:tcPr>
            <w:tcW w:w="1828" w:type="dxa"/>
            <w:tcBorders>
              <w:top w:val="single" w:sz="2" w:space="0" w:color="000000"/>
              <w:left w:val="single" w:sz="2" w:space="0" w:color="000000"/>
              <w:bottom w:val="single" w:sz="2" w:space="0" w:color="000000"/>
              <w:right w:val="single" w:sz="2" w:space="0" w:color="000000"/>
            </w:tcBorders>
          </w:tcPr>
          <w:p>
            <w:pPr/>
          </w:p>
        </w:tc>
        <w:tc>
          <w:tcPr>
            <w:tcW w:w="15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09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36" w:right="0"/>
              <w:jc w:val="left"/>
              <w:rPr>
                <w:rFonts w:ascii="宋体" w:hAnsi="宋体" w:cs="宋体" w:eastAsia="宋体" w:hint="default"/>
                <w:sz w:val="18"/>
                <w:szCs w:val="18"/>
              </w:rPr>
            </w:pPr>
            <w:r>
              <w:rPr>
                <w:rFonts w:ascii="宋体" w:hAnsi="宋体" w:cs="宋体" w:eastAsia="宋体" w:hint="default"/>
                <w:sz w:val="18"/>
                <w:szCs w:val="18"/>
              </w:rPr>
              <w:t>未实现内部交易</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20,341.13</w:t>
            </w:r>
          </w:p>
        </w:tc>
        <w:tc>
          <w:tcPr>
            <w:tcW w:w="157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3,051.17</w:t>
            </w:r>
          </w:p>
        </w:tc>
        <w:tc>
          <w:tcPr>
            <w:tcW w:w="18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29,036.35</w:t>
            </w:r>
          </w:p>
        </w:tc>
        <w:tc>
          <w:tcPr>
            <w:tcW w:w="154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4,355.45</w:t>
            </w:r>
          </w:p>
        </w:tc>
      </w:tr>
      <w:tr>
        <w:trPr>
          <w:trHeight w:val="414" w:hRule="exact"/>
        </w:trPr>
        <w:tc>
          <w:tcPr>
            <w:tcW w:w="209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8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8"/>
              <w:jc w:val="right"/>
              <w:rPr>
                <w:rFonts w:ascii="宋体" w:hAnsi="宋体" w:cs="宋体" w:eastAsia="宋体" w:hint="default"/>
                <w:sz w:val="18"/>
                <w:szCs w:val="18"/>
              </w:rPr>
            </w:pPr>
            <w:r>
              <w:rPr>
                <w:rFonts w:ascii="宋体"/>
                <w:b/>
                <w:w w:val="95"/>
                <w:sz w:val="18"/>
              </w:rPr>
              <w:t>33,119,034.22</w:t>
            </w:r>
            <w:r>
              <w:rPr>
                <w:rFonts w:ascii="宋体"/>
                <w:sz w:val="18"/>
              </w:rPr>
            </w:r>
          </w:p>
        </w:tc>
        <w:tc>
          <w:tcPr>
            <w:tcW w:w="157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8"/>
              <w:jc w:val="right"/>
              <w:rPr>
                <w:rFonts w:ascii="宋体" w:hAnsi="宋体" w:cs="宋体" w:eastAsia="宋体" w:hint="default"/>
                <w:sz w:val="18"/>
                <w:szCs w:val="18"/>
              </w:rPr>
            </w:pPr>
            <w:r>
              <w:rPr>
                <w:rFonts w:ascii="宋体"/>
                <w:b/>
                <w:w w:val="95"/>
                <w:sz w:val="18"/>
              </w:rPr>
              <w:t>5,513,384.78</w:t>
            </w:r>
            <w:r>
              <w:rPr>
                <w:rFonts w:ascii="宋体"/>
                <w:sz w:val="18"/>
              </w:rPr>
            </w:r>
          </w:p>
        </w:tc>
        <w:tc>
          <w:tcPr>
            <w:tcW w:w="182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7"/>
              <w:jc w:val="right"/>
              <w:rPr>
                <w:rFonts w:ascii="宋体" w:hAnsi="宋体" w:cs="宋体" w:eastAsia="宋体" w:hint="default"/>
                <w:sz w:val="18"/>
                <w:szCs w:val="18"/>
              </w:rPr>
            </w:pPr>
            <w:r>
              <w:rPr>
                <w:rFonts w:ascii="宋体"/>
                <w:b/>
                <w:w w:val="95"/>
                <w:sz w:val="18"/>
              </w:rPr>
              <w:t>15,485,159.25</w:t>
            </w:r>
            <w:r>
              <w:rPr>
                <w:rFonts w:ascii="宋体"/>
                <w:sz w:val="18"/>
              </w:rPr>
            </w:r>
          </w:p>
        </w:tc>
        <w:tc>
          <w:tcPr>
            <w:tcW w:w="154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40"/>
              <w:jc w:val="right"/>
              <w:rPr>
                <w:rFonts w:ascii="宋体" w:hAnsi="宋体" w:cs="宋体" w:eastAsia="宋体" w:hint="default"/>
                <w:sz w:val="18"/>
                <w:szCs w:val="18"/>
              </w:rPr>
            </w:pPr>
            <w:r>
              <w:rPr>
                <w:rFonts w:ascii="宋体"/>
                <w:b/>
                <w:w w:val="95"/>
                <w:sz w:val="18"/>
              </w:rPr>
              <w:t>2,322,773.87</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3</w:t>
      </w:r>
      <w:r>
        <w:rPr/>
        <w:t>）</w:t>
      </w:r>
      <w:r>
        <w:rPr>
          <w:spacing w:val="5"/>
        </w:rPr>
        <w:t> </w:t>
      </w:r>
      <w:bookmarkStart w:name="（3）未确认递延所得税资产明细" w:id="289"/>
      <w:bookmarkEnd w:id="289"/>
      <w:r>
        <w:rPr/>
        <w:t>未</w:t>
      </w:r>
      <w:r>
        <w:rPr/>
        <w:t>确认递延所得税资产明细</w:t>
      </w:r>
    </w:p>
    <w:p>
      <w:pPr>
        <w:spacing w:line="240" w:lineRule="auto" w:before="13"/>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3307"/>
        <w:gridCol w:w="2708"/>
        <w:gridCol w:w="2708"/>
      </w:tblGrid>
      <w:tr>
        <w:trPr>
          <w:trHeight w:val="415" w:hRule="exact"/>
        </w:trPr>
        <w:tc>
          <w:tcPr>
            <w:tcW w:w="330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70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70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369" w:hRule="exact"/>
        </w:trPr>
        <w:tc>
          <w:tcPr>
            <w:tcW w:w="33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35"/>
              <w:ind w:left="108"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2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35"/>
              <w:ind w:right="104"/>
              <w:jc w:val="right"/>
              <w:rPr>
                <w:rFonts w:ascii="宋体" w:hAnsi="宋体" w:cs="宋体" w:eastAsia="宋体" w:hint="default"/>
                <w:sz w:val="18"/>
                <w:szCs w:val="18"/>
              </w:rPr>
            </w:pPr>
            <w:r>
              <w:rPr>
                <w:rFonts w:ascii="宋体"/>
                <w:spacing w:val="-1"/>
                <w:sz w:val="18"/>
              </w:rPr>
              <w:t>21,570,642.71</w:t>
            </w:r>
          </w:p>
        </w:tc>
        <w:tc>
          <w:tcPr>
            <w:tcW w:w="2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5"/>
              <w:ind w:right="105"/>
              <w:jc w:val="right"/>
              <w:rPr>
                <w:rFonts w:ascii="宋体" w:hAnsi="宋体" w:cs="宋体" w:eastAsia="宋体" w:hint="default"/>
                <w:sz w:val="18"/>
                <w:szCs w:val="18"/>
              </w:rPr>
            </w:pPr>
            <w:r>
              <w:rPr>
                <w:rFonts w:ascii="宋体"/>
                <w:spacing w:val="-1"/>
                <w:sz w:val="18"/>
              </w:rPr>
              <w:t>2,825,941.18</w:t>
            </w:r>
          </w:p>
        </w:tc>
      </w:tr>
      <w:tr>
        <w:trPr>
          <w:trHeight w:val="402" w:hRule="exact"/>
        </w:trPr>
        <w:tc>
          <w:tcPr>
            <w:tcW w:w="330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2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102"/>
              <w:jc w:val="right"/>
              <w:rPr>
                <w:rFonts w:ascii="宋体" w:hAnsi="宋体" w:cs="宋体" w:eastAsia="宋体" w:hint="default"/>
                <w:sz w:val="18"/>
                <w:szCs w:val="18"/>
              </w:rPr>
            </w:pPr>
            <w:r>
              <w:rPr>
                <w:rFonts w:ascii="宋体"/>
                <w:spacing w:val="-1"/>
                <w:sz w:val="18"/>
              </w:rPr>
              <w:t>254,872,424.68</w:t>
            </w:r>
          </w:p>
        </w:tc>
        <w:tc>
          <w:tcPr>
            <w:tcW w:w="270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0"/>
              <w:ind w:right="105"/>
              <w:jc w:val="right"/>
              <w:rPr>
                <w:rFonts w:ascii="宋体" w:hAnsi="宋体" w:cs="宋体" w:eastAsia="宋体" w:hint="default"/>
                <w:sz w:val="18"/>
                <w:szCs w:val="18"/>
              </w:rPr>
            </w:pPr>
            <w:r>
              <w:rPr>
                <w:rFonts w:ascii="宋体"/>
                <w:spacing w:val="-1"/>
                <w:sz w:val="18"/>
              </w:rPr>
              <w:t>198,502,636.86</w:t>
            </w:r>
          </w:p>
        </w:tc>
      </w:tr>
      <w:tr>
        <w:trPr>
          <w:trHeight w:val="414" w:hRule="exact"/>
        </w:trPr>
        <w:tc>
          <w:tcPr>
            <w:tcW w:w="330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70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sz w:val="18"/>
              </w:rPr>
              <w:t>276,443,067.39</w:t>
            </w:r>
            <w:r>
              <w:rPr>
                <w:rFonts w:ascii="宋体"/>
                <w:sz w:val="18"/>
              </w:rPr>
            </w:r>
          </w:p>
        </w:tc>
        <w:tc>
          <w:tcPr>
            <w:tcW w:w="270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201,328,578.04</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808" w:right="1445"/>
        <w:jc w:val="left"/>
      </w:pPr>
      <w:r>
        <w:rPr/>
        <w:t>（</w:t>
      </w:r>
      <w:r>
        <w:rPr>
          <w:rFonts w:ascii="Times New Roman" w:hAnsi="Times New Roman" w:cs="Times New Roman" w:eastAsia="Times New Roman" w:hint="default"/>
        </w:rPr>
        <w:t>4</w:t>
      </w:r>
      <w:r>
        <w:rPr/>
        <w:t>）</w:t>
      </w:r>
      <w:r>
        <w:rPr>
          <w:spacing w:val="49"/>
        </w:rPr>
        <w:t> </w:t>
      </w:r>
      <w:bookmarkStart w:name="（4）未确认递延所得税资产的可抵扣亏损" w:id="290"/>
      <w:bookmarkEnd w:id="290"/>
      <w:r>
        <w:rPr/>
        <w:t>未</w:t>
      </w:r>
      <w:r>
        <w:rPr/>
        <w:t>确认递延所得税资产的可抵扣亏损</w:t>
      </w:r>
    </w:p>
    <w:p>
      <w:pPr>
        <w:spacing w:line="240" w:lineRule="auto" w:before="13"/>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235"/>
        <w:gridCol w:w="2162"/>
        <w:gridCol w:w="2163"/>
        <w:gridCol w:w="2163"/>
      </w:tblGrid>
      <w:tr>
        <w:trPr>
          <w:trHeight w:val="415" w:hRule="exact"/>
        </w:trPr>
        <w:tc>
          <w:tcPr>
            <w:tcW w:w="223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年份</w:t>
            </w:r>
            <w:r>
              <w:rPr>
                <w:rFonts w:ascii="宋体" w:hAnsi="宋体" w:cs="宋体" w:eastAsia="宋体" w:hint="default"/>
                <w:sz w:val="18"/>
                <w:szCs w:val="18"/>
              </w:rPr>
            </w:r>
          </w:p>
        </w:tc>
        <w:tc>
          <w:tcPr>
            <w:tcW w:w="216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717"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16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717"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216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402" w:hRule="exact"/>
        </w:trPr>
        <w:tc>
          <w:tcPr>
            <w:tcW w:w="22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216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2,120,972.64</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2,120,972.64</w:t>
            </w:r>
          </w:p>
        </w:tc>
        <w:tc>
          <w:tcPr>
            <w:tcW w:w="216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年度亏损</w:t>
            </w:r>
          </w:p>
        </w:tc>
      </w:tr>
      <w:tr>
        <w:trPr>
          <w:trHeight w:val="402" w:hRule="exact"/>
        </w:trPr>
        <w:tc>
          <w:tcPr>
            <w:tcW w:w="22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216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15,831,065.02</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28,716,980.29</w:t>
            </w:r>
          </w:p>
        </w:tc>
        <w:tc>
          <w:tcPr>
            <w:tcW w:w="216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年度亏损</w:t>
            </w:r>
          </w:p>
        </w:tc>
      </w:tr>
      <w:tr>
        <w:trPr>
          <w:trHeight w:val="402" w:hRule="exact"/>
        </w:trPr>
        <w:tc>
          <w:tcPr>
            <w:tcW w:w="22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2022</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216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59,558,236.47</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74,493,864.70</w:t>
            </w:r>
          </w:p>
        </w:tc>
        <w:tc>
          <w:tcPr>
            <w:tcW w:w="216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年度亏损</w:t>
            </w:r>
          </w:p>
        </w:tc>
      </w:tr>
      <w:tr>
        <w:trPr>
          <w:trHeight w:val="402" w:hRule="exact"/>
        </w:trPr>
        <w:tc>
          <w:tcPr>
            <w:tcW w:w="22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2023</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216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70,550,669.97</w:t>
            </w:r>
          </w:p>
        </w:tc>
        <w:tc>
          <w:tcPr>
            <w:tcW w:w="216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93,170,819.23</w:t>
            </w:r>
          </w:p>
        </w:tc>
        <w:tc>
          <w:tcPr>
            <w:tcW w:w="216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年度亏损</w:t>
            </w:r>
          </w:p>
        </w:tc>
      </w:tr>
      <w:tr>
        <w:trPr>
          <w:trHeight w:val="402" w:hRule="exact"/>
        </w:trPr>
        <w:tc>
          <w:tcPr>
            <w:tcW w:w="22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2024</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216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106,811,480.58</w:t>
            </w:r>
          </w:p>
        </w:tc>
        <w:tc>
          <w:tcPr>
            <w:tcW w:w="2163" w:type="dxa"/>
            <w:tcBorders>
              <w:top w:val="single" w:sz="2" w:space="0" w:color="000000"/>
              <w:left w:val="single" w:sz="2" w:space="0" w:color="000000"/>
              <w:bottom w:val="single" w:sz="2" w:space="0" w:color="000000"/>
              <w:right w:val="single" w:sz="2" w:space="0" w:color="000000"/>
            </w:tcBorders>
          </w:tcPr>
          <w:p>
            <w:pPr/>
          </w:p>
        </w:tc>
        <w:tc>
          <w:tcPr>
            <w:tcW w:w="216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年度亏损</w:t>
            </w:r>
          </w:p>
        </w:tc>
      </w:tr>
      <w:tr>
        <w:trPr>
          <w:trHeight w:val="414" w:hRule="exact"/>
        </w:trPr>
        <w:tc>
          <w:tcPr>
            <w:tcW w:w="223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6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0"/>
              <w:jc w:val="right"/>
              <w:rPr>
                <w:rFonts w:ascii="宋体" w:hAnsi="宋体" w:cs="宋体" w:eastAsia="宋体" w:hint="default"/>
                <w:sz w:val="18"/>
                <w:szCs w:val="18"/>
              </w:rPr>
            </w:pPr>
            <w:r>
              <w:rPr>
                <w:rFonts w:ascii="宋体"/>
                <w:b/>
                <w:sz w:val="18"/>
              </w:rPr>
              <w:t>254,872,424.68</w:t>
            </w:r>
            <w:r>
              <w:rPr>
                <w:rFonts w:ascii="宋体"/>
                <w:sz w:val="18"/>
              </w:rPr>
            </w:r>
          </w:p>
        </w:tc>
        <w:tc>
          <w:tcPr>
            <w:tcW w:w="216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0"/>
              <w:jc w:val="right"/>
              <w:rPr>
                <w:rFonts w:ascii="宋体" w:hAnsi="宋体" w:cs="宋体" w:eastAsia="宋体" w:hint="default"/>
                <w:sz w:val="18"/>
                <w:szCs w:val="18"/>
              </w:rPr>
            </w:pPr>
            <w:r>
              <w:rPr>
                <w:rFonts w:ascii="宋体"/>
                <w:b/>
                <w:sz w:val="18"/>
              </w:rPr>
              <w:t>198,502,636.86</w:t>
            </w:r>
            <w:r>
              <w:rPr>
                <w:rFonts w:ascii="宋体"/>
                <w:sz w:val="18"/>
              </w:rPr>
            </w:r>
          </w:p>
        </w:tc>
        <w:tc>
          <w:tcPr>
            <w:tcW w:w="2163" w:type="dxa"/>
            <w:tcBorders>
              <w:top w:val="single" w:sz="2" w:space="0" w:color="000000"/>
              <w:left w:val="single" w:sz="2"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20.</w:t>
      </w:r>
      <w:r>
        <w:rPr>
          <w:spacing w:val="-48"/>
        </w:rPr>
        <w:t> </w:t>
      </w:r>
      <w:bookmarkStart w:name="20.短期借款" w:id="291"/>
      <w:bookmarkEnd w:id="291"/>
      <w:r>
        <w:rPr/>
        <w:t>短</w:t>
      </w:r>
      <w:r>
        <w:rPr/>
        <w:t>期借款</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25"/>
        <w:gridCol w:w="2736"/>
        <w:gridCol w:w="2662"/>
      </w:tblGrid>
      <w:tr>
        <w:trPr>
          <w:trHeight w:val="415" w:hRule="exact"/>
        </w:trPr>
        <w:tc>
          <w:tcPr>
            <w:tcW w:w="332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借款类别</w:t>
            </w:r>
            <w:r>
              <w:rPr>
                <w:rFonts w:ascii="宋体" w:hAnsi="宋体" w:cs="宋体" w:eastAsia="宋体" w:hint="default"/>
                <w:sz w:val="18"/>
                <w:szCs w:val="18"/>
              </w:rPr>
            </w:r>
          </w:p>
        </w:tc>
        <w:tc>
          <w:tcPr>
            <w:tcW w:w="273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6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468,885,638.50</w:t>
            </w:r>
          </w:p>
        </w:tc>
        <w:tc>
          <w:tcPr>
            <w:tcW w:w="266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555,332,476.13</w:t>
            </w:r>
          </w:p>
        </w:tc>
      </w:tr>
      <w:tr>
        <w:trPr>
          <w:trHeight w:val="402" w:hRule="exact"/>
        </w:trPr>
        <w:tc>
          <w:tcPr>
            <w:tcW w:w="33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保证+抵押借款</w:t>
            </w:r>
          </w:p>
        </w:tc>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385,000,000.00</w:t>
            </w:r>
          </w:p>
        </w:tc>
        <w:tc>
          <w:tcPr>
            <w:tcW w:w="266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450,000,000.00</w:t>
            </w:r>
          </w:p>
        </w:tc>
      </w:tr>
      <w:tr>
        <w:trPr>
          <w:trHeight w:val="402" w:hRule="exact"/>
        </w:trPr>
        <w:tc>
          <w:tcPr>
            <w:tcW w:w="33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52,000,000.00</w:t>
            </w:r>
          </w:p>
        </w:tc>
        <w:tc>
          <w:tcPr>
            <w:tcW w:w="266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145,000,000.00</w:t>
            </w:r>
          </w:p>
        </w:tc>
      </w:tr>
      <w:tr>
        <w:trPr>
          <w:trHeight w:val="402" w:hRule="exact"/>
        </w:trPr>
        <w:tc>
          <w:tcPr>
            <w:tcW w:w="33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45,000,000.00</w:t>
            </w:r>
          </w:p>
        </w:tc>
        <w:tc>
          <w:tcPr>
            <w:tcW w:w="266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45,000,000.00</w:t>
            </w:r>
          </w:p>
        </w:tc>
      </w:tr>
      <w:tr>
        <w:trPr>
          <w:trHeight w:val="400" w:hRule="exact"/>
        </w:trPr>
        <w:tc>
          <w:tcPr>
            <w:tcW w:w="332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7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4,657,205.10</w:t>
            </w:r>
          </w:p>
        </w:tc>
        <w:tc>
          <w:tcPr>
            <w:tcW w:w="266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2,348,016.95</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25"/>
        <w:gridCol w:w="2736"/>
        <w:gridCol w:w="2662"/>
      </w:tblGrid>
      <w:tr>
        <w:trPr>
          <w:trHeight w:val="415" w:hRule="exact"/>
        </w:trPr>
        <w:tc>
          <w:tcPr>
            <w:tcW w:w="332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借款类别</w:t>
            </w:r>
            <w:r>
              <w:rPr>
                <w:rFonts w:ascii="宋体" w:hAnsi="宋体" w:cs="宋体" w:eastAsia="宋体" w:hint="default"/>
                <w:sz w:val="18"/>
                <w:szCs w:val="18"/>
              </w:rPr>
            </w:r>
          </w:p>
        </w:tc>
        <w:tc>
          <w:tcPr>
            <w:tcW w:w="273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6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14" w:hRule="exact"/>
        </w:trPr>
        <w:tc>
          <w:tcPr>
            <w:tcW w:w="332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73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1365" w:right="0"/>
              <w:jc w:val="left"/>
              <w:rPr>
                <w:rFonts w:ascii="宋体" w:hAnsi="宋体" w:cs="宋体" w:eastAsia="宋体" w:hint="default"/>
                <w:sz w:val="18"/>
                <w:szCs w:val="18"/>
              </w:rPr>
            </w:pPr>
            <w:r>
              <w:rPr>
                <w:rFonts w:ascii="宋体"/>
                <w:b/>
                <w:sz w:val="18"/>
              </w:rPr>
              <w:t>955,542,843.60</w:t>
            </w:r>
            <w:r>
              <w:rPr>
                <w:rFonts w:ascii="宋体"/>
                <w:sz w:val="18"/>
              </w:rPr>
            </w:r>
          </w:p>
        </w:tc>
        <w:tc>
          <w:tcPr>
            <w:tcW w:w="266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1110" w:right="0"/>
              <w:jc w:val="left"/>
              <w:rPr>
                <w:rFonts w:ascii="宋体" w:hAnsi="宋体" w:cs="宋体" w:eastAsia="宋体" w:hint="default"/>
                <w:sz w:val="18"/>
                <w:szCs w:val="18"/>
              </w:rPr>
            </w:pPr>
            <w:r>
              <w:rPr>
                <w:rFonts w:ascii="宋体"/>
                <w:b/>
                <w:sz w:val="18"/>
              </w:rPr>
              <w:t>1,197,680,493.08</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80" w:right="1445"/>
        <w:jc w:val="left"/>
      </w:pPr>
      <w:r>
        <w:rPr/>
        <w:t>注：1）截止</w:t>
      </w:r>
      <w:r>
        <w:rPr>
          <w:spacing w:val="-55"/>
        </w:rPr>
        <w:t> </w:t>
      </w:r>
      <w:r>
        <w:rPr/>
        <w:t>2019</w:t>
      </w:r>
      <w:r>
        <w:rPr>
          <w:spacing w:val="-55"/>
        </w:rPr>
        <w:t> </w:t>
      </w:r>
      <w:r>
        <w:rPr/>
        <w:t>年</w:t>
      </w:r>
      <w:r>
        <w:rPr>
          <w:spacing w:val="-55"/>
        </w:rPr>
        <w:t> </w:t>
      </w:r>
      <w:r>
        <w:rPr/>
        <w:t>12</w:t>
      </w:r>
      <w:r>
        <w:rPr>
          <w:spacing w:val="-53"/>
        </w:rPr>
        <w:t> </w:t>
      </w:r>
      <w:r>
        <w:rPr/>
        <w:t>月</w:t>
      </w:r>
      <w:r>
        <w:rPr>
          <w:spacing w:val="-55"/>
        </w:rPr>
        <w:t> </w:t>
      </w:r>
      <w:r>
        <w:rPr/>
        <w:t>31</w:t>
      </w:r>
      <w:r>
        <w:rPr>
          <w:spacing w:val="-55"/>
        </w:rPr>
        <w:t> </w:t>
      </w:r>
      <w:r>
        <w:rPr/>
        <w:t>日，本公司保证借款余额</w:t>
      </w:r>
      <w:r>
        <w:rPr>
          <w:spacing w:val="-55"/>
        </w:rPr>
        <w:t> </w:t>
      </w:r>
      <w:r>
        <w:rPr/>
        <w:t>468,885,638.50</w:t>
      </w:r>
      <w:r>
        <w:rPr>
          <w:spacing w:val="-55"/>
        </w:rPr>
        <w:t> </w:t>
      </w:r>
      <w:r>
        <w:rPr/>
        <w:t>元。情况如</w:t>
      </w:r>
    </w:p>
    <w:p>
      <w:pPr>
        <w:pStyle w:val="BodyText"/>
        <w:spacing w:line="240" w:lineRule="auto" w:before="72"/>
        <w:ind w:left="241" w:right="0"/>
        <w:jc w:val="both"/>
      </w:pPr>
      <w:r>
        <w:rPr>
          <w:spacing w:val="-4"/>
        </w:rPr>
        <w:t>下：本公司向交通银行临安支行借款 </w:t>
      </w:r>
      <w:r>
        <w:rPr/>
        <w:t>20,200,000.00</w:t>
      </w:r>
      <w:r>
        <w:rPr>
          <w:spacing w:val="-81"/>
        </w:rPr>
        <w:t> </w:t>
      </w:r>
      <w:r>
        <w:rPr>
          <w:spacing w:val="-4"/>
        </w:rPr>
        <w:t>元，使用万马联合控股集团有限公司</w:t>
      </w:r>
    </w:p>
    <w:p>
      <w:pPr>
        <w:pStyle w:val="BodyText"/>
        <w:spacing w:line="300" w:lineRule="auto" w:before="72"/>
        <w:ind w:left="241" w:right="1445"/>
        <w:jc w:val="left"/>
      </w:pPr>
      <w:r>
        <w:rPr/>
        <w:t>以及张德生提供的最高额保证担保额度；本公司向建行临安支行借款</w:t>
      </w:r>
      <w:r>
        <w:rPr>
          <w:spacing w:val="-66"/>
        </w:rPr>
        <w:t> </w:t>
      </w:r>
      <w:r>
        <w:rPr/>
        <w:t>50,000,000.00</w:t>
      </w:r>
      <w:r>
        <w:rPr>
          <w:spacing w:val="-69"/>
        </w:rPr>
        <w:t> </w:t>
      </w:r>
      <w:r>
        <w:rPr/>
        <w:t>元，</w:t>
      </w:r>
      <w:r>
        <w:rPr>
          <w:w w:val="100"/>
        </w:rPr>
        <w:t> </w:t>
      </w:r>
      <w:r>
        <w:rPr>
          <w:spacing w:val="-4"/>
        </w:rPr>
        <w:t>使用浙江万马智能科技集团有限公司提供的最高额保证担保额度；本公司向中国工商银行</w:t>
      </w:r>
      <w:r>
        <w:rPr>
          <w:spacing w:val="-51"/>
        </w:rPr>
        <w:t> </w:t>
      </w:r>
      <w:r>
        <w:rPr>
          <w:spacing w:val="-51"/>
        </w:rPr>
      </w:r>
      <w:r>
        <w:rPr/>
        <w:t>浙江省分行借款</w:t>
      </w:r>
      <w:r>
        <w:rPr>
          <w:spacing w:val="-52"/>
        </w:rPr>
        <w:t> </w:t>
      </w:r>
      <w:r>
        <w:rPr/>
        <w:t>187,000,000.00</w:t>
      </w:r>
      <w:r>
        <w:rPr>
          <w:spacing w:val="-52"/>
        </w:rPr>
        <w:t> </w:t>
      </w:r>
      <w:r>
        <w:rPr/>
        <w:t>元，使用万马联合控股集团有限公司、张德生、陆珍玉</w:t>
      </w:r>
    </w:p>
    <w:p>
      <w:pPr>
        <w:pStyle w:val="BodyText"/>
        <w:spacing w:line="300" w:lineRule="auto" w:before="17"/>
        <w:ind w:left="241" w:right="1445"/>
        <w:jc w:val="left"/>
      </w:pPr>
      <w:r>
        <w:rPr>
          <w:spacing w:val="-3"/>
        </w:rPr>
        <w:t>提供的最高额保证担保额度；本公司向兴业银行临安支行借款</w:t>
      </w:r>
      <w:r>
        <w:rPr>
          <w:spacing w:val="-49"/>
        </w:rPr>
        <w:t> </w:t>
      </w:r>
      <w:r>
        <w:rPr/>
        <w:t>66,800,000.00</w:t>
      </w:r>
      <w:r>
        <w:rPr>
          <w:spacing w:val="-52"/>
        </w:rPr>
        <w:t> </w:t>
      </w:r>
      <w:r>
        <w:rPr>
          <w:spacing w:val="-9"/>
        </w:rPr>
        <w:t>元，使用浙</w:t>
      </w:r>
      <w:r>
        <w:rPr>
          <w:spacing w:val="-98"/>
        </w:rPr>
        <w:t> </w:t>
      </w:r>
      <w:r>
        <w:rPr>
          <w:spacing w:val="-98"/>
        </w:rPr>
      </w:r>
      <w:r>
        <w:rPr>
          <w:spacing w:val="-4"/>
        </w:rPr>
        <w:t>江万马智能科技集团有限公司、张德生、陆珍玉提供的最高额保证担保额度；本公司向汇</w:t>
      </w:r>
      <w:r>
        <w:rPr>
          <w:spacing w:val="-51"/>
        </w:rPr>
        <w:t> </w:t>
      </w:r>
      <w:r>
        <w:rPr>
          <w:spacing w:val="-51"/>
        </w:rPr>
      </w:r>
      <w:r>
        <w:rPr/>
        <w:t>丰银行杭州分行借款</w:t>
      </w:r>
      <w:r>
        <w:rPr>
          <w:spacing w:val="-66"/>
        </w:rPr>
        <w:t> </w:t>
      </w:r>
      <w:r>
        <w:rPr/>
        <w:t>60,100,000.00</w:t>
      </w:r>
      <w:r>
        <w:rPr>
          <w:spacing w:val="-69"/>
        </w:rPr>
        <w:t> </w:t>
      </w:r>
      <w:r>
        <w:rPr/>
        <w:t>元，使用浙江万马智能科技集团有限公司、张德生、</w:t>
      </w:r>
      <w:r>
        <w:rPr>
          <w:w w:val="100"/>
        </w:rPr>
        <w:t> </w:t>
      </w:r>
      <w:r>
        <w:rPr>
          <w:spacing w:val="-4"/>
        </w:rPr>
        <w:t>陆珍玉提供的最高额保证担保额度；本公司之子公司浙江万马高分子材料集团有限公司向</w:t>
      </w:r>
      <w:r>
        <w:rPr>
          <w:spacing w:val="-51"/>
        </w:rPr>
        <w:t> </w:t>
      </w:r>
      <w:r>
        <w:rPr>
          <w:spacing w:val="-51"/>
        </w:rPr>
      </w:r>
      <w:r>
        <w:rPr/>
        <w:t>兴业银行临安支行借款</w:t>
      </w:r>
      <w:r>
        <w:rPr>
          <w:spacing w:val="-53"/>
        </w:rPr>
        <w:t> </w:t>
      </w:r>
      <w:r>
        <w:rPr/>
        <w:t>20,000,000.00</w:t>
      </w:r>
      <w:r>
        <w:rPr>
          <w:spacing w:val="-50"/>
        </w:rPr>
        <w:t> </w:t>
      </w:r>
      <w:r>
        <w:rPr>
          <w:spacing w:val="-5"/>
        </w:rPr>
        <w:t>元，使用本公司为其提供最高额保证；本公司之子</w:t>
      </w:r>
    </w:p>
    <w:p>
      <w:pPr>
        <w:pStyle w:val="BodyText"/>
        <w:spacing w:line="300" w:lineRule="auto" w:before="17"/>
        <w:ind w:left="241" w:right="1697"/>
        <w:jc w:val="both"/>
      </w:pPr>
      <w:r>
        <w:rPr/>
        <w:t>公司浙江万马高分子材料集团有限公司向交通银行临安支行借款</w:t>
      </w:r>
      <w:r>
        <w:rPr>
          <w:spacing w:val="-66"/>
        </w:rPr>
        <w:t> </w:t>
      </w:r>
      <w:r>
        <w:rPr/>
        <w:t>33,000,000.00</w:t>
      </w:r>
      <w:r>
        <w:rPr>
          <w:spacing w:val="-63"/>
        </w:rPr>
        <w:t> </w:t>
      </w:r>
      <w:r>
        <w:rPr>
          <w:spacing w:val="-20"/>
        </w:rPr>
        <w:t>元，使用</w:t>
      </w:r>
      <w:r>
        <w:rPr>
          <w:w w:val="100"/>
        </w:rPr>
        <w:t> </w:t>
      </w:r>
      <w:r>
        <w:rPr>
          <w:spacing w:val="-4"/>
        </w:rPr>
        <w:t>本公司及张德生为其提供最高额保证；本公司之子公司浙江万马集团特种电子电缆有限公</w:t>
      </w:r>
      <w:r>
        <w:rPr>
          <w:spacing w:val="-51"/>
        </w:rPr>
        <w:t> </w:t>
      </w:r>
      <w:r>
        <w:rPr>
          <w:spacing w:val="-51"/>
        </w:rPr>
      </w:r>
      <w:r>
        <w:rPr/>
        <w:t>司向宁波银行杭州分行借款</w:t>
      </w:r>
      <w:r>
        <w:rPr>
          <w:spacing w:val="-55"/>
        </w:rPr>
        <w:t> </w:t>
      </w:r>
      <w:r>
        <w:rPr/>
        <w:t>4,067,000.00</w:t>
      </w:r>
      <w:r>
        <w:rPr>
          <w:spacing w:val="-55"/>
        </w:rPr>
        <w:t> </w:t>
      </w:r>
      <w:r>
        <w:rPr/>
        <w:t>欧元，期末折算成人民币</w:t>
      </w:r>
      <w:r>
        <w:rPr>
          <w:spacing w:val="-55"/>
        </w:rPr>
        <w:t> </w:t>
      </w:r>
      <w:r>
        <w:rPr/>
        <w:t>31,785,638.50</w:t>
      </w:r>
      <w:r>
        <w:rPr>
          <w:spacing w:val="-55"/>
        </w:rPr>
        <w:t> </w:t>
      </w:r>
      <w:r>
        <w:rPr/>
        <w:t>元，</w:t>
      </w:r>
      <w:r>
        <w:rPr>
          <w:w w:val="100"/>
        </w:rPr>
        <w:t> </w:t>
      </w:r>
      <w:r>
        <w:rPr/>
        <w:t>使用本公司为其提供的最高额保证担保额度。</w:t>
      </w:r>
    </w:p>
    <w:p>
      <w:pPr>
        <w:pStyle w:val="BodyText"/>
        <w:spacing w:line="300" w:lineRule="auto" w:before="137"/>
        <w:ind w:left="241" w:right="1697" w:firstLine="439"/>
        <w:jc w:val="both"/>
      </w:pPr>
      <w:r>
        <w:rPr/>
        <w:t>2）截止</w:t>
      </w:r>
      <w:r>
        <w:rPr>
          <w:spacing w:val="-48"/>
        </w:rPr>
        <w:t> </w:t>
      </w:r>
      <w:r>
        <w:rPr/>
        <w:t>2019</w:t>
      </w:r>
      <w:r>
        <w:rPr>
          <w:spacing w:val="-48"/>
        </w:rPr>
        <w:t> </w:t>
      </w:r>
      <w:r>
        <w:rPr/>
        <w:t>年</w:t>
      </w:r>
      <w:r>
        <w:rPr>
          <w:spacing w:val="-48"/>
        </w:rPr>
        <w:t> </w:t>
      </w:r>
      <w:r>
        <w:rPr/>
        <w:t>12</w:t>
      </w:r>
      <w:r>
        <w:rPr>
          <w:spacing w:val="-50"/>
        </w:rPr>
        <w:t> </w:t>
      </w:r>
      <w:r>
        <w:rPr/>
        <w:t>月</w:t>
      </w:r>
      <w:r>
        <w:rPr>
          <w:spacing w:val="-46"/>
        </w:rPr>
        <w:t> </w:t>
      </w:r>
      <w:r>
        <w:rPr/>
        <w:t>31</w:t>
      </w:r>
      <w:r>
        <w:rPr>
          <w:spacing w:val="-50"/>
        </w:rPr>
        <w:t> </w:t>
      </w:r>
      <w:r>
        <w:rPr/>
        <w:t>日，本公司保证+抵押借款余额</w:t>
      </w:r>
      <w:r>
        <w:rPr>
          <w:spacing w:val="16"/>
        </w:rPr>
        <w:t> </w:t>
      </w:r>
      <w:r>
        <w:rPr/>
        <w:t>385,000,000.00</w:t>
      </w:r>
      <w:r>
        <w:rPr>
          <w:spacing w:val="-48"/>
        </w:rPr>
        <w:t> </w:t>
      </w:r>
      <w:r>
        <w:rPr/>
        <w:t>元，情况</w:t>
      </w:r>
      <w:r>
        <w:rPr>
          <w:w w:val="100"/>
        </w:rPr>
        <w:t> </w:t>
      </w:r>
      <w:r>
        <w:rPr>
          <w:spacing w:val="7"/>
        </w:rPr>
        <w:t>如下：本公司之子公司浙江万马高分子材料集团有限公司向中国银行浙江省分行借款</w:t>
      </w:r>
      <w:r>
        <w:rPr>
          <w:spacing w:val="-17"/>
        </w:rPr>
        <w:t> </w:t>
      </w:r>
      <w:r>
        <w:rPr>
          <w:spacing w:val="-17"/>
        </w:rPr>
      </w:r>
      <w:r>
        <w:rPr/>
        <w:t>30,000,000.00</w:t>
      </w:r>
      <w:r>
        <w:rPr>
          <w:spacing w:val="-7"/>
        </w:rPr>
        <w:t> </w:t>
      </w:r>
      <w:r>
        <w:rPr>
          <w:spacing w:val="-3"/>
        </w:rPr>
        <w:t>元，使用本公司为其提供最高额保证和高分子公司提供的最高额抵押；本</w:t>
      </w:r>
    </w:p>
    <w:p>
      <w:pPr>
        <w:pStyle w:val="BodyText"/>
        <w:spacing w:line="300" w:lineRule="auto" w:before="17"/>
        <w:ind w:left="241" w:right="1697"/>
        <w:jc w:val="both"/>
      </w:pPr>
      <w:r>
        <w:rPr>
          <w:spacing w:val="-2"/>
        </w:rPr>
        <w:t>公司之子公司浙江万马高分子材料集团有限公司向农业银行临安支行借款</w:t>
      </w:r>
      <w:r>
        <w:rPr>
          <w:spacing w:val="-47"/>
        </w:rPr>
        <w:t> </w:t>
      </w:r>
      <w:r>
        <w:rPr>
          <w:spacing w:val="-2"/>
        </w:rPr>
        <w:t>60,000,000.00</w:t>
      </w:r>
      <w:r>
        <w:rPr>
          <w:spacing w:val="-80"/>
        </w:rPr>
        <w:t> </w:t>
      </w:r>
      <w:r>
        <w:rPr>
          <w:spacing w:val="-80"/>
        </w:rPr>
      </w:r>
      <w:r>
        <w:rPr>
          <w:spacing w:val="-4"/>
        </w:rPr>
        <w:t>元，使用本公司为其提供最高额保证和高分子公司提供的最高额抵押；本公司之子公司浙</w:t>
      </w:r>
      <w:r>
        <w:rPr>
          <w:spacing w:val="-51"/>
        </w:rPr>
        <w:t> </w:t>
      </w:r>
      <w:r>
        <w:rPr>
          <w:spacing w:val="-51"/>
        </w:rPr>
      </w:r>
      <w:r>
        <w:rPr/>
        <w:t>江万马高分子材料集团有限公司向农业银行临安支行借款</w:t>
      </w:r>
      <w:r>
        <w:rPr>
          <w:spacing w:val="-64"/>
        </w:rPr>
        <w:t> </w:t>
      </w:r>
      <w:r>
        <w:rPr/>
        <w:t>10,000,000.00</w:t>
      </w:r>
      <w:r>
        <w:rPr>
          <w:spacing w:val="-61"/>
        </w:rPr>
        <w:t> </w:t>
      </w:r>
      <w:r>
        <w:rPr>
          <w:spacing w:val="-12"/>
        </w:rPr>
        <w:t>元，使用本公司</w:t>
      </w:r>
      <w:r>
        <w:rPr>
          <w:w w:val="100"/>
        </w:rPr>
        <w:t> </w:t>
      </w:r>
      <w:r>
        <w:rPr>
          <w:spacing w:val="2"/>
        </w:rPr>
        <w:t>为其提供最高额保证和高分子公司提供的余值抵押；本公司向中国银行浙江省分行借款</w:t>
      </w:r>
      <w:r>
        <w:rPr>
          <w:spacing w:val="-51"/>
        </w:rPr>
        <w:t> </w:t>
      </w:r>
      <w:r>
        <w:rPr>
          <w:spacing w:val="-51"/>
        </w:rPr>
      </w:r>
      <w:r>
        <w:rPr/>
        <w:t>35,000,000.00</w:t>
      </w:r>
      <w:r>
        <w:rPr>
          <w:spacing w:val="-10"/>
        </w:rPr>
        <w:t> </w:t>
      </w:r>
      <w:r>
        <w:rPr>
          <w:spacing w:val="-3"/>
        </w:rPr>
        <w:t>元，使用万马联合控股集团有限公司提供的最高额保证和本公司提供的房</w:t>
      </w:r>
    </w:p>
    <w:p>
      <w:pPr>
        <w:pStyle w:val="BodyText"/>
        <w:spacing w:line="300" w:lineRule="auto" w:before="17"/>
        <w:ind w:left="241" w:right="1697"/>
        <w:jc w:val="both"/>
      </w:pPr>
      <w:r>
        <w:rPr/>
        <w:t>屋建筑物和土地使用权的抵押；本公司向中国进出口银行杭州分行借款 250,000,000.00</w:t>
      </w:r>
      <w:r>
        <w:rPr>
          <w:spacing w:val="-94"/>
        </w:rPr>
        <w:t> </w:t>
      </w:r>
      <w:r>
        <w:rPr>
          <w:spacing w:val="-94"/>
        </w:rPr>
      </w:r>
      <w:r>
        <w:rPr>
          <w:spacing w:val="-4"/>
        </w:rPr>
        <w:t>元，使用万马联合控股集团有限公司及张德生夫妇提供的最高额保证和本公司提供的房屋</w:t>
      </w:r>
      <w:r>
        <w:rPr>
          <w:spacing w:val="-51"/>
        </w:rPr>
        <w:t> </w:t>
      </w:r>
      <w:r>
        <w:rPr>
          <w:spacing w:val="-51"/>
        </w:rPr>
      </w:r>
      <w:r>
        <w:rPr/>
        <w:t>建筑物和土地使用权的抵押。</w:t>
      </w:r>
    </w:p>
    <w:p>
      <w:pPr>
        <w:pStyle w:val="BodyText"/>
        <w:spacing w:line="300" w:lineRule="auto" w:before="137"/>
        <w:ind w:left="241" w:right="1694" w:firstLine="439"/>
        <w:jc w:val="both"/>
      </w:pPr>
      <w:r>
        <w:rPr>
          <w:spacing w:val="-6"/>
        </w:rPr>
        <w:t>3）截止</w:t>
      </w:r>
      <w:r>
        <w:rPr>
          <w:spacing w:val="-56"/>
        </w:rPr>
        <w:t> </w:t>
      </w:r>
      <w:r>
        <w:rPr/>
        <w:t>2019</w:t>
      </w:r>
      <w:r>
        <w:rPr>
          <w:spacing w:val="-53"/>
        </w:rPr>
        <w:t> </w:t>
      </w:r>
      <w:r>
        <w:rPr/>
        <w:t>年</w:t>
      </w:r>
      <w:r>
        <w:rPr>
          <w:spacing w:val="-56"/>
        </w:rPr>
        <w:t> </w:t>
      </w:r>
      <w:r>
        <w:rPr/>
        <w:t>12</w:t>
      </w:r>
      <w:r>
        <w:rPr>
          <w:spacing w:val="-53"/>
        </w:rPr>
        <w:t> </w:t>
      </w:r>
      <w:r>
        <w:rPr/>
        <w:t>月</w:t>
      </w:r>
      <w:r>
        <w:rPr>
          <w:spacing w:val="-56"/>
        </w:rPr>
        <w:t> </w:t>
      </w:r>
      <w:r>
        <w:rPr/>
        <w:t>31</w:t>
      </w:r>
      <w:r>
        <w:rPr>
          <w:spacing w:val="-53"/>
        </w:rPr>
        <w:t> </w:t>
      </w:r>
      <w:r>
        <w:rPr>
          <w:spacing w:val="-3"/>
        </w:rPr>
        <w:t>日，本公司抵押借款余额</w:t>
      </w:r>
      <w:r>
        <w:rPr>
          <w:spacing w:val="-56"/>
        </w:rPr>
        <w:t> </w:t>
      </w:r>
      <w:r>
        <w:rPr/>
        <w:t>45,000,000.00</w:t>
      </w:r>
      <w:r>
        <w:rPr>
          <w:spacing w:val="-53"/>
        </w:rPr>
        <w:t> </w:t>
      </w:r>
      <w:r>
        <w:rPr>
          <w:spacing w:val="-6"/>
        </w:rPr>
        <w:t>元。情况如下：本</w:t>
      </w:r>
      <w:r>
        <w:rPr>
          <w:w w:val="100"/>
        </w:rPr>
        <w:t> </w:t>
      </w:r>
      <w:r>
        <w:rPr>
          <w:spacing w:val="20"/>
        </w:rPr>
        <w:t>公司之子公司浙江万马高分子材料集团有限公司向中国农业银行临安支行的借款</w:t>
      </w:r>
      <w:r>
        <w:rPr>
          <w:spacing w:val="-23"/>
        </w:rPr>
        <w:t> </w:t>
      </w:r>
      <w:r>
        <w:rPr>
          <w:spacing w:val="-23"/>
        </w:rPr>
      </w:r>
      <w:r>
        <w:rPr>
          <w:spacing w:val="-2"/>
        </w:rPr>
        <w:t>45,000,000.00</w:t>
      </w:r>
      <w:r>
        <w:rPr>
          <w:spacing w:val="-9"/>
        </w:rPr>
        <w:t> </w:t>
      </w:r>
      <w:r>
        <w:rPr>
          <w:spacing w:val="-2"/>
        </w:rPr>
        <w:t>元，以高分子公司房屋建筑物和土地使用权为抵押。</w:t>
      </w:r>
    </w:p>
    <w:p>
      <w:pPr>
        <w:pStyle w:val="BodyText"/>
        <w:spacing w:line="300" w:lineRule="auto" w:before="137"/>
        <w:ind w:left="241" w:right="1699" w:firstLine="439"/>
        <w:jc w:val="both"/>
      </w:pPr>
      <w:r>
        <w:rPr>
          <w:spacing w:val="-4"/>
        </w:rPr>
        <w:t>4）已抵押固定资产与无形资产账面价值情况详见本附注八、54.所有权或使用权收到</w:t>
      </w:r>
      <w:r>
        <w:rPr>
          <w:w w:val="100"/>
        </w:rPr>
        <w:t> </w:t>
      </w:r>
      <w:r>
        <w:rPr/>
        <w:t>限制的资产。</w:t>
      </w:r>
    </w:p>
    <w:p>
      <w:pPr>
        <w:spacing w:after="0" w:line="300" w:lineRule="auto"/>
        <w:jc w:val="both"/>
        <w:sectPr>
          <w:pgSz w:w="11910" w:h="16840"/>
          <w:pgMar w:header="939" w:footer="883" w:top="1940" w:bottom="1080" w:left="1460" w:right="0"/>
        </w:sectPr>
      </w:pPr>
    </w:p>
    <w:p>
      <w:pPr>
        <w:spacing w:line="240" w:lineRule="auto" w:before="13"/>
        <w:rPr>
          <w:rFonts w:ascii="宋体" w:hAnsi="宋体" w:cs="宋体" w:eastAsia="宋体" w:hint="default"/>
          <w:sz w:val="12"/>
          <w:szCs w:val="12"/>
        </w:rPr>
      </w:pPr>
    </w:p>
    <w:p>
      <w:pPr>
        <w:pStyle w:val="BodyText"/>
        <w:spacing w:line="240" w:lineRule="auto"/>
        <w:ind w:left="644" w:right="1445"/>
        <w:jc w:val="left"/>
      </w:pPr>
      <w:r>
        <w:rPr/>
        <w:t>21.</w:t>
      </w:r>
      <w:r>
        <w:rPr>
          <w:spacing w:val="-50"/>
        </w:rPr>
        <w:t> </w:t>
      </w:r>
      <w:bookmarkStart w:name="21.衍生金融负债" w:id="292"/>
      <w:bookmarkEnd w:id="292"/>
      <w:r>
        <w:rPr/>
        <w:t>衍</w:t>
      </w:r>
      <w:r>
        <w:rPr/>
        <w:t>生金融负债</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71"/>
        <w:gridCol w:w="2676"/>
        <w:gridCol w:w="2676"/>
      </w:tblGrid>
      <w:tr>
        <w:trPr>
          <w:trHeight w:val="415" w:hRule="exact"/>
        </w:trPr>
        <w:tc>
          <w:tcPr>
            <w:tcW w:w="337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远期结购汇浮亏</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2,594,373.26</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855,651.36</w:t>
            </w:r>
          </w:p>
        </w:tc>
      </w:tr>
      <w:tr>
        <w:trPr>
          <w:trHeight w:val="414" w:hRule="exact"/>
        </w:trPr>
        <w:tc>
          <w:tcPr>
            <w:tcW w:w="337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2,594,373.26</w:t>
            </w:r>
            <w:r>
              <w:rPr>
                <w:rFonts w:ascii="宋体"/>
                <w:sz w:val="18"/>
              </w:rPr>
            </w:r>
          </w:p>
        </w:tc>
        <w:tc>
          <w:tcPr>
            <w:tcW w:w="267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6"/>
              <w:jc w:val="right"/>
              <w:rPr>
                <w:rFonts w:ascii="宋体" w:hAnsi="宋体" w:cs="宋体" w:eastAsia="宋体" w:hint="default"/>
                <w:sz w:val="18"/>
                <w:szCs w:val="18"/>
              </w:rPr>
            </w:pPr>
            <w:r>
              <w:rPr>
                <w:rFonts w:ascii="宋体"/>
                <w:b/>
                <w:sz w:val="18"/>
              </w:rPr>
              <w:t>855,651.36</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22.</w:t>
      </w:r>
      <w:r>
        <w:rPr>
          <w:spacing w:val="-48"/>
        </w:rPr>
        <w:t> </w:t>
      </w:r>
      <w:bookmarkStart w:name="22.应付票据" w:id="293"/>
      <w:bookmarkEnd w:id="293"/>
      <w:r>
        <w:rPr/>
        <w:t>应</w:t>
      </w:r>
      <w:r>
        <w:rPr/>
        <w:t>付票据</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86"/>
        <w:gridCol w:w="2659"/>
        <w:gridCol w:w="2678"/>
      </w:tblGrid>
      <w:tr>
        <w:trPr>
          <w:trHeight w:val="415" w:hRule="exact"/>
        </w:trPr>
        <w:tc>
          <w:tcPr>
            <w:tcW w:w="338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票据种类</w:t>
            </w:r>
            <w:r>
              <w:rPr>
                <w:rFonts w:ascii="宋体" w:hAnsi="宋体" w:cs="宋体" w:eastAsia="宋体" w:hint="default"/>
                <w:sz w:val="18"/>
                <w:szCs w:val="18"/>
              </w:rPr>
            </w:r>
          </w:p>
        </w:tc>
        <w:tc>
          <w:tcPr>
            <w:tcW w:w="265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8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65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883,361,291.82</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676,397,850.80</w:t>
            </w:r>
          </w:p>
        </w:tc>
      </w:tr>
      <w:tr>
        <w:trPr>
          <w:trHeight w:val="402" w:hRule="exact"/>
        </w:trPr>
        <w:tc>
          <w:tcPr>
            <w:tcW w:w="338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659" w:type="dxa"/>
            <w:tcBorders>
              <w:top w:val="single" w:sz="2" w:space="0" w:color="000000"/>
              <w:left w:val="single" w:sz="2" w:space="0" w:color="000000"/>
              <w:bottom w:val="single" w:sz="2" w:space="0" w:color="000000"/>
              <w:right w:val="single" w:sz="2" w:space="0" w:color="000000"/>
            </w:tcBorders>
          </w:tcPr>
          <w:p>
            <w:pP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11,000,000.00</w:t>
            </w:r>
          </w:p>
        </w:tc>
      </w:tr>
      <w:tr>
        <w:trPr>
          <w:trHeight w:val="414" w:hRule="exact"/>
        </w:trPr>
        <w:tc>
          <w:tcPr>
            <w:tcW w:w="338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5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sz w:val="18"/>
              </w:rPr>
              <w:t>883,361,291.82</w:t>
            </w:r>
            <w:r>
              <w:rPr>
                <w:rFonts w:ascii="宋体"/>
                <w:sz w:val="18"/>
              </w:rPr>
            </w:r>
          </w:p>
        </w:tc>
        <w:tc>
          <w:tcPr>
            <w:tcW w:w="267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687,397,850.80</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23.</w:t>
      </w:r>
      <w:r>
        <w:rPr>
          <w:spacing w:val="-48"/>
        </w:rPr>
        <w:t> </w:t>
      </w:r>
      <w:bookmarkStart w:name="23.应付账款" w:id="294"/>
      <w:bookmarkEnd w:id="294"/>
      <w:r>
        <w:rPr/>
        <w:t>应</w:t>
      </w:r>
      <w:r>
        <w:rPr/>
        <w:t>付账款</w:t>
      </w:r>
    </w:p>
    <w:p>
      <w:pPr>
        <w:spacing w:line="240" w:lineRule="auto" w:before="9"/>
        <w:rPr>
          <w:rFonts w:ascii="宋体" w:hAnsi="宋体" w:cs="宋体" w:eastAsia="宋体" w:hint="default"/>
          <w:sz w:val="18"/>
          <w:szCs w:val="18"/>
        </w:rPr>
      </w:pPr>
    </w:p>
    <w:p>
      <w:pPr>
        <w:pStyle w:val="BodyText"/>
        <w:spacing w:line="240" w:lineRule="auto" w:before="0"/>
        <w:ind w:left="644" w:right="1445"/>
        <w:jc w:val="left"/>
      </w:pPr>
      <w:r>
        <w:rPr/>
        <w:t>（</w:t>
      </w:r>
      <w:r>
        <w:rPr>
          <w:rFonts w:ascii="Times New Roman" w:hAnsi="Times New Roman" w:cs="Times New Roman" w:eastAsia="Times New Roman" w:hint="default"/>
        </w:rPr>
        <w:t>1</w:t>
      </w:r>
      <w:r>
        <w:rPr/>
        <w:t>）</w:t>
      </w:r>
      <w:r>
        <w:rPr>
          <w:spacing w:val="-70"/>
        </w:rPr>
        <w:t> </w:t>
      </w:r>
      <w:bookmarkStart w:name="（1）应付账款列示" w:id="295"/>
      <w:bookmarkEnd w:id="295"/>
      <w:r>
        <w:rPr/>
        <w:t>应</w:t>
      </w:r>
      <w:r>
        <w:rPr/>
        <w:t>付账款列示</w:t>
      </w:r>
    </w:p>
    <w:p>
      <w:pPr>
        <w:spacing w:line="240" w:lineRule="auto" w:before="2"/>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3371"/>
        <w:gridCol w:w="2676"/>
        <w:gridCol w:w="2676"/>
      </w:tblGrid>
      <w:tr>
        <w:trPr>
          <w:trHeight w:val="415" w:hRule="exact"/>
        </w:trPr>
        <w:tc>
          <w:tcPr>
            <w:tcW w:w="337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626,600,959.96</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614,150,028.42</w:t>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15,978,508.39</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17,293,580.92</w:t>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5,098,705.63</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10,375,829.34</w:t>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9,042,461.29</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6,149,107.97</w:t>
            </w:r>
          </w:p>
        </w:tc>
      </w:tr>
      <w:tr>
        <w:trPr>
          <w:trHeight w:val="414" w:hRule="exact"/>
        </w:trPr>
        <w:tc>
          <w:tcPr>
            <w:tcW w:w="337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sz w:val="18"/>
              </w:rPr>
              <w:t>656,720,635.27</w:t>
            </w:r>
            <w:r>
              <w:rPr>
                <w:rFonts w:ascii="宋体"/>
                <w:sz w:val="18"/>
              </w:rPr>
            </w:r>
          </w:p>
        </w:tc>
        <w:tc>
          <w:tcPr>
            <w:tcW w:w="267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647,968,546.65</w:t>
            </w:r>
            <w:r>
              <w:rPr>
                <w:rFonts w:ascii="宋体"/>
                <w:sz w:val="18"/>
              </w:rPr>
            </w:r>
          </w:p>
        </w:tc>
      </w:tr>
    </w:tbl>
    <w:p>
      <w:pPr>
        <w:spacing w:line="240" w:lineRule="auto" w:before="1"/>
        <w:rPr>
          <w:rFonts w:ascii="宋体" w:hAnsi="宋体" w:cs="宋体" w:eastAsia="宋体" w:hint="default"/>
          <w:sz w:val="13"/>
          <w:szCs w:val="13"/>
        </w:rPr>
      </w:pPr>
    </w:p>
    <w:p>
      <w:pPr>
        <w:pStyle w:val="BodyText"/>
        <w:spacing w:line="240" w:lineRule="auto"/>
        <w:ind w:left="644" w:right="1445"/>
        <w:jc w:val="left"/>
      </w:pPr>
      <w:r>
        <w:rPr/>
        <w:t>（</w:t>
      </w:r>
      <w:r>
        <w:rPr>
          <w:rFonts w:ascii="Times New Roman" w:hAnsi="Times New Roman" w:cs="Times New Roman" w:eastAsia="Times New Roman" w:hint="default"/>
        </w:rPr>
        <w:t>2</w:t>
      </w:r>
      <w:r>
        <w:rPr/>
        <w:t>）</w:t>
      </w:r>
      <w:r>
        <w:rPr>
          <w:spacing w:val="-67"/>
        </w:rPr>
        <w:t> </w:t>
      </w:r>
      <w:bookmarkStart w:name="（2）账龄超过1年的重要应付账款" w:id="296"/>
      <w:bookmarkEnd w:id="296"/>
      <w:r>
        <w:rPr/>
        <w:t>账</w:t>
      </w:r>
      <w:r>
        <w:rPr/>
        <w:t>龄超过</w:t>
      </w:r>
      <w:r>
        <w:rPr>
          <w:spacing w:val="-57"/>
        </w:rPr>
        <w:t> </w:t>
      </w:r>
      <w:r>
        <w:rPr/>
        <w:t>1</w:t>
      </w:r>
      <w:r>
        <w:rPr>
          <w:spacing w:val="-57"/>
        </w:rPr>
        <w:t> </w:t>
      </w:r>
      <w:r>
        <w:rPr/>
        <w:t>年的重要应付账款</w:t>
      </w:r>
    </w:p>
    <w:p>
      <w:pPr>
        <w:spacing w:line="240" w:lineRule="auto" w:before="4"/>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1526"/>
        <w:gridCol w:w="1984"/>
        <w:gridCol w:w="2978"/>
        <w:gridCol w:w="2235"/>
      </w:tblGrid>
      <w:tr>
        <w:trPr>
          <w:trHeight w:val="358" w:hRule="exact"/>
        </w:trPr>
        <w:tc>
          <w:tcPr>
            <w:tcW w:w="152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98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4"/>
              <w:ind w:left="629"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97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4"/>
              <w:ind w:left="407" w:right="0"/>
              <w:jc w:val="left"/>
              <w:rPr>
                <w:rFonts w:ascii="宋体" w:hAnsi="宋体" w:cs="宋体" w:eastAsia="宋体" w:hint="default"/>
                <w:sz w:val="18"/>
                <w:szCs w:val="18"/>
              </w:rPr>
            </w:pPr>
            <w:r>
              <w:rPr>
                <w:rFonts w:ascii="宋体" w:hAnsi="宋体" w:cs="宋体" w:eastAsia="宋体" w:hint="default"/>
                <w:b/>
                <w:bCs/>
                <w:sz w:val="18"/>
                <w:szCs w:val="18"/>
              </w:rPr>
              <w:t>其中：账龄超过一年的金额</w:t>
            </w:r>
            <w:r>
              <w:rPr>
                <w:rFonts w:ascii="宋体" w:hAnsi="宋体" w:cs="宋体" w:eastAsia="宋体" w:hint="default"/>
                <w:sz w:val="18"/>
                <w:szCs w:val="18"/>
              </w:rPr>
            </w:r>
          </w:p>
        </w:tc>
        <w:tc>
          <w:tcPr>
            <w:tcW w:w="2235"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24"/>
              <w:ind w:left="1" w:right="0"/>
              <w:jc w:val="center"/>
              <w:rPr>
                <w:rFonts w:ascii="宋体" w:hAnsi="宋体" w:cs="宋体" w:eastAsia="宋体" w:hint="default"/>
                <w:sz w:val="18"/>
                <w:szCs w:val="18"/>
              </w:rPr>
            </w:pPr>
            <w:r>
              <w:rPr>
                <w:rFonts w:ascii="宋体" w:hAnsi="宋体" w:cs="宋体" w:eastAsia="宋体" w:hint="default"/>
                <w:b/>
                <w:bCs/>
                <w:sz w:val="18"/>
                <w:szCs w:val="18"/>
              </w:rPr>
              <w:t>未偿还或结转的原因</w:t>
            </w:r>
            <w:r>
              <w:rPr>
                <w:rFonts w:ascii="宋体" w:hAnsi="宋体" w:cs="宋体" w:eastAsia="宋体" w:hint="default"/>
                <w:sz w:val="18"/>
                <w:szCs w:val="18"/>
              </w:rPr>
            </w:r>
          </w:p>
        </w:tc>
      </w:tr>
      <w:tr>
        <w:trPr>
          <w:trHeight w:val="402" w:hRule="exact"/>
        </w:trPr>
        <w:tc>
          <w:tcPr>
            <w:tcW w:w="152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16,056,423.57</w:t>
            </w:r>
          </w:p>
        </w:tc>
        <w:tc>
          <w:tcPr>
            <w:tcW w:w="297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1,201,792.44</w:t>
            </w:r>
          </w:p>
        </w:tc>
        <w:tc>
          <w:tcPr>
            <w:tcW w:w="22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152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B</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3,686,250.00</w:t>
            </w:r>
          </w:p>
        </w:tc>
        <w:tc>
          <w:tcPr>
            <w:tcW w:w="297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3,686,250.00</w:t>
            </w:r>
          </w:p>
        </w:tc>
        <w:tc>
          <w:tcPr>
            <w:tcW w:w="22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152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C</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2,837,565.38</w:t>
            </w:r>
          </w:p>
        </w:tc>
        <w:tc>
          <w:tcPr>
            <w:tcW w:w="297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2,500,748.74</w:t>
            </w:r>
          </w:p>
        </w:tc>
        <w:tc>
          <w:tcPr>
            <w:tcW w:w="22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152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D</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2,819,683.75</w:t>
            </w:r>
          </w:p>
        </w:tc>
        <w:tc>
          <w:tcPr>
            <w:tcW w:w="297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2,259,035.91</w:t>
            </w:r>
          </w:p>
        </w:tc>
        <w:tc>
          <w:tcPr>
            <w:tcW w:w="22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152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E</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198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1,157,154.06</w:t>
            </w:r>
          </w:p>
        </w:tc>
        <w:tc>
          <w:tcPr>
            <w:tcW w:w="297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1,157,154.03</w:t>
            </w:r>
          </w:p>
        </w:tc>
        <w:tc>
          <w:tcPr>
            <w:tcW w:w="22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14" w:hRule="exact"/>
        </w:trPr>
        <w:tc>
          <w:tcPr>
            <w:tcW w:w="152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8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1"/>
              <w:jc w:val="right"/>
              <w:rPr>
                <w:rFonts w:ascii="宋体" w:hAnsi="宋体" w:cs="宋体" w:eastAsia="宋体" w:hint="default"/>
                <w:sz w:val="18"/>
                <w:szCs w:val="18"/>
              </w:rPr>
            </w:pPr>
            <w:r>
              <w:rPr>
                <w:rFonts w:ascii="宋体"/>
                <w:b/>
                <w:w w:val="95"/>
                <w:sz w:val="18"/>
              </w:rPr>
              <w:t>26,557,076.76</w:t>
            </w:r>
            <w:r>
              <w:rPr>
                <w:rFonts w:ascii="宋体"/>
                <w:sz w:val="18"/>
              </w:rPr>
            </w:r>
          </w:p>
        </w:tc>
        <w:tc>
          <w:tcPr>
            <w:tcW w:w="297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0"/>
              <w:jc w:val="right"/>
              <w:rPr>
                <w:rFonts w:ascii="宋体" w:hAnsi="宋体" w:cs="宋体" w:eastAsia="宋体" w:hint="default"/>
                <w:sz w:val="18"/>
                <w:szCs w:val="18"/>
              </w:rPr>
            </w:pPr>
            <w:r>
              <w:rPr>
                <w:rFonts w:ascii="宋体"/>
                <w:b/>
                <w:w w:val="95"/>
                <w:sz w:val="18"/>
              </w:rPr>
              <w:t>10,804,981.12</w:t>
            </w:r>
            <w:r>
              <w:rPr>
                <w:rFonts w:ascii="宋体"/>
                <w:sz w:val="18"/>
              </w:rPr>
            </w:r>
          </w:p>
        </w:tc>
        <w:tc>
          <w:tcPr>
            <w:tcW w:w="223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24.</w:t>
      </w:r>
      <w:r>
        <w:rPr>
          <w:spacing w:val="-48"/>
        </w:rPr>
        <w:t> </w:t>
      </w:r>
      <w:bookmarkStart w:name="24.预收款项" w:id="297"/>
      <w:bookmarkEnd w:id="297"/>
      <w:r>
        <w:rPr/>
        <w:t>预</w:t>
      </w:r>
      <w:r>
        <w:rPr/>
        <w:t>收款项</w:t>
      </w:r>
    </w:p>
    <w:p>
      <w:pPr>
        <w:spacing w:before="131"/>
        <w:ind w:left="241" w:right="1445"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40"/>
        <w:ind w:left="241" w:right="1445"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6"/>
        <w:rPr>
          <w:rFonts w:ascii="宋体" w:hAnsi="宋体" w:cs="宋体" w:eastAsia="宋体" w:hint="default"/>
          <w:sz w:val="17"/>
          <w:szCs w:val="17"/>
        </w:rPr>
      </w:pPr>
    </w:p>
    <w:p>
      <w:pPr>
        <w:pStyle w:val="BodyText"/>
        <w:spacing w:line="240" w:lineRule="auto" w:before="0"/>
        <w:ind w:left="644" w:right="1445"/>
        <w:jc w:val="left"/>
      </w:pPr>
      <w:r>
        <w:rPr/>
        <w:t>（</w:t>
      </w:r>
      <w:r>
        <w:rPr>
          <w:rFonts w:ascii="Times New Roman" w:hAnsi="Times New Roman" w:cs="Times New Roman" w:eastAsia="Times New Roman" w:hint="default"/>
        </w:rPr>
        <w:t>1</w:t>
      </w:r>
      <w:r>
        <w:rPr/>
        <w:t>）</w:t>
      </w:r>
      <w:r>
        <w:rPr>
          <w:spacing w:val="-70"/>
        </w:rPr>
        <w:t> </w:t>
      </w:r>
      <w:bookmarkStart w:name="（1）预收款项列示" w:id="298"/>
      <w:bookmarkEnd w:id="298"/>
      <w:r>
        <w:rPr/>
        <w:t>预</w:t>
      </w:r>
      <w:r>
        <w:rPr/>
        <w:t>收款项列示</w:t>
      </w:r>
    </w:p>
    <w:p>
      <w:pPr>
        <w:spacing w:after="0" w:line="240" w:lineRule="auto"/>
        <w:jc w:val="left"/>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71"/>
        <w:gridCol w:w="2676"/>
        <w:gridCol w:w="2676"/>
      </w:tblGrid>
      <w:tr>
        <w:trPr>
          <w:trHeight w:val="415" w:hRule="exact"/>
        </w:trPr>
        <w:tc>
          <w:tcPr>
            <w:tcW w:w="337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224,896,869.25</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158,837,519.07</w:t>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14,401,186.73</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24,840,095.82</w:t>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3,815,460.45</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10,849,320.15</w:t>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1,801,328.09</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5,325,705.33</w:t>
            </w:r>
          </w:p>
        </w:tc>
      </w:tr>
      <w:tr>
        <w:trPr>
          <w:trHeight w:val="414" w:hRule="exact"/>
        </w:trPr>
        <w:tc>
          <w:tcPr>
            <w:tcW w:w="337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sz w:val="18"/>
              </w:rPr>
              <w:t>244,914,844.52</w:t>
            </w:r>
            <w:r>
              <w:rPr>
                <w:rFonts w:ascii="宋体"/>
                <w:sz w:val="18"/>
              </w:rPr>
            </w:r>
          </w:p>
        </w:tc>
        <w:tc>
          <w:tcPr>
            <w:tcW w:w="267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199,852,640.37</w:t>
            </w:r>
            <w:r>
              <w:rPr>
                <w:rFonts w:ascii="宋体"/>
                <w:sz w:val="18"/>
              </w:rPr>
            </w:r>
          </w:p>
        </w:tc>
      </w:tr>
    </w:tbl>
    <w:p>
      <w:pPr>
        <w:spacing w:line="240" w:lineRule="auto" w:before="4"/>
        <w:rPr>
          <w:rFonts w:ascii="宋体" w:hAnsi="宋体" w:cs="宋体" w:eastAsia="宋体" w:hint="default"/>
          <w:sz w:val="13"/>
          <w:szCs w:val="13"/>
        </w:rPr>
      </w:pPr>
    </w:p>
    <w:p>
      <w:pPr>
        <w:pStyle w:val="BodyText"/>
        <w:spacing w:line="240" w:lineRule="auto"/>
        <w:ind w:left="644" w:right="1445"/>
        <w:jc w:val="left"/>
      </w:pPr>
      <w:r>
        <w:rPr/>
        <w:t>（</w:t>
      </w:r>
      <w:r>
        <w:rPr>
          <w:rFonts w:ascii="Times New Roman" w:hAnsi="Times New Roman" w:cs="Times New Roman" w:eastAsia="Times New Roman" w:hint="default"/>
        </w:rPr>
        <w:t>2</w:t>
      </w:r>
      <w:r>
        <w:rPr/>
        <w:t>）</w:t>
      </w:r>
      <w:r>
        <w:rPr>
          <w:spacing w:val="-67"/>
        </w:rPr>
        <w:t> </w:t>
      </w:r>
      <w:bookmarkStart w:name="（2）账龄超过1年的重要预收款项" w:id="299"/>
      <w:bookmarkEnd w:id="299"/>
      <w:r>
        <w:rPr/>
        <w:t>账</w:t>
      </w:r>
      <w:r>
        <w:rPr/>
        <w:t>龄超过</w:t>
      </w:r>
      <w:r>
        <w:rPr>
          <w:spacing w:val="-57"/>
        </w:rPr>
        <w:t> </w:t>
      </w:r>
      <w:r>
        <w:rPr/>
        <w:t>1</w:t>
      </w:r>
      <w:r>
        <w:rPr>
          <w:spacing w:val="-57"/>
        </w:rPr>
        <w:t> </w:t>
      </w:r>
      <w:r>
        <w:rPr/>
        <w:t>年的重要预收款项</w:t>
      </w:r>
    </w:p>
    <w:p>
      <w:pPr>
        <w:spacing w:line="240" w:lineRule="auto" w:before="1"/>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1668"/>
        <w:gridCol w:w="1842"/>
        <w:gridCol w:w="2978"/>
        <w:gridCol w:w="2235"/>
      </w:tblGrid>
      <w:tr>
        <w:trPr>
          <w:trHeight w:val="458" w:hRule="exact"/>
        </w:trPr>
        <w:tc>
          <w:tcPr>
            <w:tcW w:w="1668"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18"/>
              <w:ind w:left="473"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18"/>
              <w:ind w:left="557"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97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18"/>
              <w:ind w:left="407" w:right="0"/>
              <w:jc w:val="left"/>
              <w:rPr>
                <w:rFonts w:ascii="宋体" w:hAnsi="宋体" w:cs="宋体" w:eastAsia="宋体" w:hint="default"/>
                <w:sz w:val="18"/>
                <w:szCs w:val="18"/>
              </w:rPr>
            </w:pPr>
            <w:r>
              <w:rPr>
                <w:rFonts w:ascii="宋体" w:hAnsi="宋体" w:cs="宋体" w:eastAsia="宋体" w:hint="default"/>
                <w:b/>
                <w:bCs/>
                <w:sz w:val="18"/>
                <w:szCs w:val="18"/>
              </w:rPr>
              <w:t>其中：账龄超过一年的金额</w:t>
            </w:r>
            <w:r>
              <w:rPr>
                <w:rFonts w:ascii="宋体" w:hAnsi="宋体" w:cs="宋体" w:eastAsia="宋体" w:hint="default"/>
                <w:sz w:val="18"/>
                <w:szCs w:val="18"/>
              </w:rPr>
            </w:r>
          </w:p>
        </w:tc>
        <w:tc>
          <w:tcPr>
            <w:tcW w:w="2235"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118"/>
              <w:ind w:left="1" w:right="0"/>
              <w:jc w:val="center"/>
              <w:rPr>
                <w:rFonts w:ascii="宋体" w:hAnsi="宋体" w:cs="宋体" w:eastAsia="宋体" w:hint="default"/>
                <w:sz w:val="18"/>
                <w:szCs w:val="18"/>
              </w:rPr>
            </w:pPr>
            <w:r>
              <w:rPr>
                <w:rFonts w:ascii="宋体" w:hAnsi="宋体" w:cs="宋体" w:eastAsia="宋体" w:hint="default"/>
                <w:b/>
                <w:bCs/>
                <w:sz w:val="18"/>
                <w:szCs w:val="18"/>
              </w:rPr>
              <w:t>未偿还或结转的原因</w:t>
            </w:r>
            <w:r>
              <w:rPr>
                <w:rFonts w:ascii="宋体" w:hAnsi="宋体" w:cs="宋体" w:eastAsia="宋体" w:hint="default"/>
                <w:sz w:val="18"/>
                <w:szCs w:val="18"/>
              </w:rPr>
            </w:r>
          </w:p>
        </w:tc>
      </w:tr>
      <w:tr>
        <w:trPr>
          <w:trHeight w:val="402" w:hRule="exact"/>
        </w:trPr>
        <w:tc>
          <w:tcPr>
            <w:tcW w:w="166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14,235,843.76</w:t>
            </w:r>
          </w:p>
        </w:tc>
        <w:tc>
          <w:tcPr>
            <w:tcW w:w="297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2,202,510.49</w:t>
            </w:r>
          </w:p>
        </w:tc>
        <w:tc>
          <w:tcPr>
            <w:tcW w:w="22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2" w:hRule="exact"/>
        </w:trPr>
        <w:tc>
          <w:tcPr>
            <w:tcW w:w="166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B</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5,631,133.06</w:t>
            </w:r>
          </w:p>
        </w:tc>
        <w:tc>
          <w:tcPr>
            <w:tcW w:w="297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2,200,000.00</w:t>
            </w:r>
          </w:p>
        </w:tc>
        <w:tc>
          <w:tcPr>
            <w:tcW w:w="22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57" w:hRule="exact"/>
        </w:trPr>
        <w:tc>
          <w:tcPr>
            <w:tcW w:w="166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7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4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3"/>
              <w:ind w:right="91"/>
              <w:jc w:val="right"/>
              <w:rPr>
                <w:rFonts w:ascii="宋体" w:hAnsi="宋体" w:cs="宋体" w:eastAsia="宋体" w:hint="default"/>
                <w:sz w:val="18"/>
                <w:szCs w:val="18"/>
              </w:rPr>
            </w:pPr>
            <w:r>
              <w:rPr>
                <w:rFonts w:ascii="宋体"/>
                <w:b/>
                <w:w w:val="95"/>
                <w:sz w:val="18"/>
              </w:rPr>
              <w:t>19,866,976.82</w:t>
            </w:r>
            <w:r>
              <w:rPr>
                <w:rFonts w:ascii="宋体"/>
                <w:sz w:val="18"/>
              </w:rPr>
            </w:r>
          </w:p>
        </w:tc>
        <w:tc>
          <w:tcPr>
            <w:tcW w:w="297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3"/>
              <w:ind w:right="93"/>
              <w:jc w:val="right"/>
              <w:rPr>
                <w:rFonts w:ascii="宋体" w:hAnsi="宋体" w:cs="宋体" w:eastAsia="宋体" w:hint="default"/>
                <w:sz w:val="18"/>
                <w:szCs w:val="18"/>
              </w:rPr>
            </w:pPr>
            <w:r>
              <w:rPr>
                <w:rFonts w:ascii="宋体"/>
                <w:b/>
                <w:w w:val="95"/>
                <w:sz w:val="18"/>
              </w:rPr>
              <w:t>4,402,510.49</w:t>
            </w:r>
            <w:r>
              <w:rPr>
                <w:rFonts w:ascii="宋体"/>
                <w:sz w:val="18"/>
              </w:rPr>
            </w:r>
          </w:p>
        </w:tc>
        <w:tc>
          <w:tcPr>
            <w:tcW w:w="223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118"/>
              <w:ind w:right="1"/>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25.</w:t>
      </w:r>
      <w:r>
        <w:rPr>
          <w:spacing w:val="-50"/>
        </w:rPr>
        <w:t> </w:t>
      </w:r>
      <w:bookmarkStart w:name="25.应付职工薪酬" w:id="300"/>
      <w:bookmarkEnd w:id="300"/>
      <w:r>
        <w:rPr/>
        <w:t>应</w:t>
      </w:r>
      <w:r>
        <w:rPr/>
        <w:t>付职工薪酬</w:t>
      </w:r>
    </w:p>
    <w:p>
      <w:pPr>
        <w:pStyle w:val="BodyText"/>
        <w:spacing w:line="240" w:lineRule="auto" w:before="192"/>
        <w:ind w:left="808" w:right="1445"/>
        <w:jc w:val="left"/>
      </w:pPr>
      <w:r>
        <w:rPr/>
        <w:t>（</w:t>
      </w:r>
      <w:r>
        <w:rPr>
          <w:rFonts w:ascii="Times New Roman" w:hAnsi="Times New Roman" w:cs="Times New Roman" w:eastAsia="Times New Roman" w:hint="default"/>
        </w:rPr>
        <w:t>1</w:t>
      </w:r>
      <w:r>
        <w:rPr/>
        <w:t>）</w:t>
      </w:r>
      <w:r>
        <w:rPr>
          <w:spacing w:val="55"/>
        </w:rPr>
        <w:t> </w:t>
      </w:r>
      <w:bookmarkStart w:name="（1）应付职工薪酬分类" w:id="301"/>
      <w:bookmarkEnd w:id="301"/>
      <w:r>
        <w:rPr/>
        <w:t>应</w:t>
      </w:r>
      <w:r>
        <w:rPr/>
        <w:t>付职工薪酬分类</w:t>
      </w:r>
    </w:p>
    <w:p>
      <w:pPr>
        <w:spacing w:line="240" w:lineRule="auto" w:before="0"/>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2414"/>
        <w:gridCol w:w="1527"/>
        <w:gridCol w:w="1627"/>
        <w:gridCol w:w="1628"/>
        <w:gridCol w:w="1527"/>
      </w:tblGrid>
      <w:tr>
        <w:trPr>
          <w:trHeight w:val="415" w:hRule="exact"/>
        </w:trPr>
        <w:tc>
          <w:tcPr>
            <w:tcW w:w="241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2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1"/>
              <w:ind w:left="399"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62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1"/>
              <w:ind w:left="451"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62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1"/>
              <w:ind w:left="451"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52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1"/>
              <w:ind w:left="400"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24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短期薪酬</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68,169,626.67</w:t>
            </w:r>
          </w:p>
        </w:tc>
        <w:tc>
          <w:tcPr>
            <w:tcW w:w="16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430,006,688.00</w:t>
            </w:r>
          </w:p>
        </w:tc>
        <w:tc>
          <w:tcPr>
            <w:tcW w:w="16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423,693,451.34</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74,482,863.33</w:t>
            </w:r>
          </w:p>
        </w:tc>
      </w:tr>
      <w:tr>
        <w:trPr>
          <w:trHeight w:val="402" w:hRule="exact"/>
        </w:trPr>
        <w:tc>
          <w:tcPr>
            <w:tcW w:w="24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left="53" w:right="0"/>
              <w:jc w:val="left"/>
              <w:rPr>
                <w:rFonts w:ascii="宋体" w:hAnsi="宋体" w:cs="宋体" w:eastAsia="宋体" w:hint="default"/>
                <w:sz w:val="18"/>
                <w:szCs w:val="18"/>
              </w:rPr>
            </w:pPr>
            <w:r>
              <w:rPr>
                <w:rFonts w:ascii="宋体" w:hAnsi="宋体" w:cs="宋体" w:eastAsia="宋体" w:hint="default"/>
                <w:sz w:val="18"/>
                <w:szCs w:val="18"/>
              </w:rPr>
              <w:t>离职后福利-设定提存计划</w:t>
            </w:r>
          </w:p>
        </w:tc>
        <w:tc>
          <w:tcPr>
            <w:tcW w:w="15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102"/>
              <w:jc w:val="right"/>
              <w:rPr>
                <w:rFonts w:ascii="宋体" w:hAnsi="宋体" w:cs="宋体" w:eastAsia="宋体" w:hint="default"/>
                <w:sz w:val="18"/>
                <w:szCs w:val="18"/>
              </w:rPr>
            </w:pPr>
            <w:r>
              <w:rPr>
                <w:rFonts w:ascii="宋体"/>
                <w:spacing w:val="-1"/>
                <w:sz w:val="18"/>
              </w:rPr>
              <w:t>2,223,652.43</w:t>
            </w:r>
          </w:p>
        </w:tc>
        <w:tc>
          <w:tcPr>
            <w:tcW w:w="16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104"/>
              <w:jc w:val="right"/>
              <w:rPr>
                <w:rFonts w:ascii="宋体" w:hAnsi="宋体" w:cs="宋体" w:eastAsia="宋体" w:hint="default"/>
                <w:sz w:val="18"/>
                <w:szCs w:val="18"/>
              </w:rPr>
            </w:pPr>
            <w:r>
              <w:rPr>
                <w:rFonts w:ascii="宋体"/>
                <w:spacing w:val="-1"/>
                <w:sz w:val="18"/>
              </w:rPr>
              <w:t>26,202,441.19</w:t>
            </w:r>
          </w:p>
        </w:tc>
        <w:tc>
          <w:tcPr>
            <w:tcW w:w="16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102"/>
              <w:jc w:val="right"/>
              <w:rPr>
                <w:rFonts w:ascii="宋体" w:hAnsi="宋体" w:cs="宋体" w:eastAsia="宋体" w:hint="default"/>
                <w:sz w:val="18"/>
                <w:szCs w:val="18"/>
              </w:rPr>
            </w:pPr>
            <w:r>
              <w:rPr>
                <w:rFonts w:ascii="宋体"/>
                <w:spacing w:val="-1"/>
                <w:sz w:val="18"/>
              </w:rPr>
              <w:t>27,113,932.66</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0"/>
              <w:ind w:right="105"/>
              <w:jc w:val="right"/>
              <w:rPr>
                <w:rFonts w:ascii="宋体" w:hAnsi="宋体" w:cs="宋体" w:eastAsia="宋体" w:hint="default"/>
                <w:sz w:val="18"/>
                <w:szCs w:val="18"/>
              </w:rPr>
            </w:pPr>
            <w:r>
              <w:rPr>
                <w:rFonts w:ascii="宋体"/>
                <w:spacing w:val="-1"/>
                <w:sz w:val="18"/>
              </w:rPr>
              <w:t>1,312,160.96</w:t>
            </w:r>
          </w:p>
        </w:tc>
      </w:tr>
      <w:tr>
        <w:trPr>
          <w:trHeight w:val="402" w:hRule="exact"/>
        </w:trPr>
        <w:tc>
          <w:tcPr>
            <w:tcW w:w="24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527"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1,582,902.91</w:t>
            </w:r>
          </w:p>
        </w:tc>
        <w:tc>
          <w:tcPr>
            <w:tcW w:w="16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1,582,902.91</w:t>
            </w:r>
          </w:p>
        </w:tc>
        <w:tc>
          <w:tcPr>
            <w:tcW w:w="1527"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241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0"/>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92"/>
              <w:jc w:val="right"/>
              <w:rPr>
                <w:rFonts w:ascii="宋体" w:hAnsi="宋体" w:cs="宋体" w:eastAsia="宋体" w:hint="default"/>
                <w:sz w:val="18"/>
                <w:szCs w:val="18"/>
              </w:rPr>
            </w:pPr>
            <w:r>
              <w:rPr>
                <w:rFonts w:ascii="宋体"/>
                <w:b/>
                <w:w w:val="95"/>
                <w:sz w:val="18"/>
              </w:rPr>
              <w:t>70,393,279.10</w:t>
            </w:r>
            <w:r>
              <w:rPr>
                <w:rFonts w:ascii="宋体"/>
                <w:sz w:val="18"/>
              </w:rPr>
            </w:r>
          </w:p>
        </w:tc>
        <w:tc>
          <w:tcPr>
            <w:tcW w:w="16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89"/>
              <w:jc w:val="right"/>
              <w:rPr>
                <w:rFonts w:ascii="宋体" w:hAnsi="宋体" w:cs="宋体" w:eastAsia="宋体" w:hint="default"/>
                <w:sz w:val="18"/>
                <w:szCs w:val="18"/>
              </w:rPr>
            </w:pPr>
            <w:r>
              <w:rPr>
                <w:rFonts w:ascii="宋体"/>
                <w:b/>
                <w:sz w:val="18"/>
              </w:rPr>
              <w:t>457,792,032.10</w:t>
            </w:r>
            <w:r>
              <w:rPr>
                <w:rFonts w:ascii="宋体"/>
                <w:sz w:val="18"/>
              </w:rPr>
            </w:r>
          </w:p>
        </w:tc>
        <w:tc>
          <w:tcPr>
            <w:tcW w:w="162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90"/>
              <w:jc w:val="right"/>
              <w:rPr>
                <w:rFonts w:ascii="宋体" w:hAnsi="宋体" w:cs="宋体" w:eastAsia="宋体" w:hint="default"/>
                <w:sz w:val="18"/>
                <w:szCs w:val="18"/>
              </w:rPr>
            </w:pPr>
            <w:r>
              <w:rPr>
                <w:rFonts w:ascii="宋体"/>
                <w:b/>
                <w:sz w:val="18"/>
              </w:rPr>
              <w:t>452,390,286.91</w:t>
            </w:r>
            <w:r>
              <w:rPr>
                <w:rFonts w:ascii="宋体"/>
                <w:sz w:val="18"/>
              </w:rPr>
            </w:r>
          </w:p>
        </w:tc>
        <w:tc>
          <w:tcPr>
            <w:tcW w:w="152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0"/>
              <w:ind w:right="93"/>
              <w:jc w:val="right"/>
              <w:rPr>
                <w:rFonts w:ascii="宋体" w:hAnsi="宋体" w:cs="宋体" w:eastAsia="宋体" w:hint="default"/>
                <w:sz w:val="18"/>
                <w:szCs w:val="18"/>
              </w:rPr>
            </w:pPr>
            <w:r>
              <w:rPr>
                <w:rFonts w:ascii="宋体"/>
                <w:b/>
                <w:w w:val="95"/>
                <w:sz w:val="18"/>
              </w:rPr>
              <w:t>75,795,024.29</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w:t>
      </w:r>
      <w:r>
        <w:rPr>
          <w:rFonts w:ascii="Times New Roman" w:hAnsi="Times New Roman" w:cs="Times New Roman" w:eastAsia="Times New Roman" w:hint="default"/>
        </w:rPr>
        <w:t>2</w:t>
      </w:r>
      <w:r>
        <w:rPr/>
        <w:t>）</w:t>
      </w:r>
      <w:r>
        <w:rPr>
          <w:spacing w:val="-68"/>
        </w:rPr>
        <w:t> </w:t>
      </w:r>
      <w:bookmarkStart w:name="（2）短期薪酬" w:id="302"/>
      <w:bookmarkEnd w:id="302"/>
      <w:r>
        <w:rPr/>
        <w:t>短</w:t>
      </w:r>
      <w:r>
        <w:rPr/>
        <w:t>期薪酬</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809"/>
        <w:gridCol w:w="1701"/>
        <w:gridCol w:w="1843"/>
        <w:gridCol w:w="1843"/>
        <w:gridCol w:w="1527"/>
      </w:tblGrid>
      <w:tr>
        <w:trPr>
          <w:trHeight w:val="415" w:hRule="exact"/>
        </w:trPr>
        <w:tc>
          <w:tcPr>
            <w:tcW w:w="180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8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84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58"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84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58"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52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400"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55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4"/>
              <w:ind w:left="53" w:right="49"/>
              <w:jc w:val="left"/>
              <w:rPr>
                <w:rFonts w:ascii="宋体" w:hAnsi="宋体" w:cs="宋体" w:eastAsia="宋体" w:hint="default"/>
                <w:sz w:val="18"/>
                <w:szCs w:val="18"/>
              </w:rPr>
            </w:pPr>
            <w:r>
              <w:rPr>
                <w:rFonts w:ascii="宋体" w:hAnsi="宋体" w:cs="宋体" w:eastAsia="宋体" w:hint="default"/>
                <w:spacing w:val="8"/>
                <w:sz w:val="18"/>
                <w:szCs w:val="18"/>
              </w:rPr>
              <w:t>工资、奖金、津贴和</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补贴</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3"/>
              <w:jc w:val="right"/>
              <w:rPr>
                <w:rFonts w:ascii="宋体" w:hAnsi="宋体" w:cs="宋体" w:eastAsia="宋体" w:hint="default"/>
                <w:sz w:val="18"/>
                <w:szCs w:val="18"/>
              </w:rPr>
            </w:pPr>
            <w:r>
              <w:rPr>
                <w:rFonts w:ascii="宋体"/>
                <w:spacing w:val="-1"/>
                <w:sz w:val="18"/>
              </w:rPr>
              <w:t>54,563,960.84</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375,011,521.97</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366,853,712.61</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105"/>
              <w:jc w:val="right"/>
              <w:rPr>
                <w:rFonts w:ascii="宋体" w:hAnsi="宋体" w:cs="宋体" w:eastAsia="宋体" w:hint="default"/>
                <w:sz w:val="18"/>
                <w:szCs w:val="18"/>
              </w:rPr>
            </w:pPr>
            <w:r>
              <w:rPr>
                <w:rFonts w:ascii="宋体"/>
                <w:spacing w:val="-1"/>
                <w:sz w:val="18"/>
              </w:rPr>
              <w:t>62,721,770.20</w:t>
            </w:r>
          </w:p>
        </w:tc>
      </w:tr>
      <w:tr>
        <w:trPr>
          <w:trHeight w:val="40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11,032,260.75</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11,032,260.75</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z w:val="18"/>
              </w:rPr>
              <w:t>-</w:t>
            </w:r>
          </w:p>
        </w:tc>
      </w:tr>
      <w:tr>
        <w:trPr>
          <w:trHeight w:val="40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1,599,581.47</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14,645,926.71</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15,458,881.52</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786,626.66</w:t>
            </w:r>
          </w:p>
        </w:tc>
      </w:tr>
      <w:tr>
        <w:trPr>
          <w:trHeight w:val="40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1,305,032.42</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10,967,685.55</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11,703,251.09</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569,466.88</w:t>
            </w:r>
          </w:p>
        </w:tc>
      </w:tr>
      <w:tr>
        <w:trPr>
          <w:trHeight w:val="40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right="311"/>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154,153.99</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2,800,234.28</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2,799,994.65</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154,393.62</w:t>
            </w:r>
          </w:p>
        </w:tc>
      </w:tr>
      <w:tr>
        <w:trPr>
          <w:trHeight w:val="40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right="311"/>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140,395.06</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878,006.88</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955,635.78</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62,766.16</w:t>
            </w:r>
          </w:p>
        </w:tc>
      </w:tr>
      <w:tr>
        <w:trPr>
          <w:trHeight w:val="40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127,289.55</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13,505,236.61</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13,511,507.40</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121,018.76</w:t>
            </w:r>
          </w:p>
        </w:tc>
      </w:tr>
      <w:tr>
        <w:trPr>
          <w:trHeight w:val="552"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4"/>
              <w:ind w:left="53" w:right="49"/>
              <w:jc w:val="left"/>
              <w:rPr>
                <w:rFonts w:ascii="宋体" w:hAnsi="宋体" w:cs="宋体" w:eastAsia="宋体" w:hint="default"/>
                <w:sz w:val="18"/>
                <w:szCs w:val="18"/>
              </w:rPr>
            </w:pPr>
            <w:r>
              <w:rPr>
                <w:rFonts w:ascii="宋体" w:hAnsi="宋体" w:cs="宋体" w:eastAsia="宋体" w:hint="default"/>
                <w:spacing w:val="8"/>
                <w:sz w:val="18"/>
                <w:szCs w:val="18"/>
              </w:rPr>
              <w:t>工会经费和职工教育</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经费</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3"/>
              <w:jc w:val="right"/>
              <w:rPr>
                <w:rFonts w:ascii="宋体" w:hAnsi="宋体" w:cs="宋体" w:eastAsia="宋体" w:hint="default"/>
                <w:sz w:val="18"/>
                <w:szCs w:val="18"/>
              </w:rPr>
            </w:pPr>
            <w:r>
              <w:rPr>
                <w:rFonts w:ascii="宋体"/>
                <w:spacing w:val="-1"/>
                <w:sz w:val="18"/>
              </w:rPr>
              <w:t>11,878,794.81</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6,722,791.48</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pacing w:val="-1"/>
                <w:sz w:val="18"/>
              </w:rPr>
              <w:t>7,748,138.58</w:t>
            </w:r>
          </w:p>
        </w:tc>
        <w:tc>
          <w:tcPr>
            <w:tcW w:w="152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105"/>
              <w:jc w:val="right"/>
              <w:rPr>
                <w:rFonts w:ascii="宋体" w:hAnsi="宋体" w:cs="宋体" w:eastAsia="宋体" w:hint="default"/>
                <w:sz w:val="18"/>
                <w:szCs w:val="18"/>
              </w:rPr>
            </w:pPr>
            <w:r>
              <w:rPr>
                <w:rFonts w:ascii="宋体"/>
                <w:spacing w:val="-1"/>
                <w:sz w:val="18"/>
              </w:rPr>
              <w:t>10,853,447.71</w:t>
            </w:r>
          </w:p>
        </w:tc>
      </w:tr>
      <w:tr>
        <w:trPr>
          <w:trHeight w:val="400" w:hRule="exact"/>
        </w:trPr>
        <w:tc>
          <w:tcPr>
            <w:tcW w:w="18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劳务用工薪酬</w:t>
            </w: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9,088,950.48</w:t>
            </w:r>
          </w:p>
        </w:tc>
        <w:tc>
          <w:tcPr>
            <w:tcW w:w="184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9,088,950.48</w:t>
            </w:r>
          </w:p>
        </w:tc>
        <w:tc>
          <w:tcPr>
            <w:tcW w:w="1527" w:type="dxa"/>
            <w:tcBorders>
              <w:top w:val="single" w:sz="2" w:space="0" w:color="000000"/>
              <w:left w:val="single" w:sz="2" w:space="0" w:color="000000"/>
              <w:bottom w:val="single" w:sz="2" w:space="0" w:color="000000"/>
              <w:right w:val="nil" w:sz="6" w:space="0" w:color="auto"/>
            </w:tcBorders>
          </w:tcPr>
          <w:p>
            <w:pPr/>
          </w:p>
        </w:tc>
      </w:tr>
    </w:tbl>
    <w:p>
      <w:pPr>
        <w:spacing w:after="0"/>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809"/>
        <w:gridCol w:w="1701"/>
        <w:gridCol w:w="1843"/>
        <w:gridCol w:w="1843"/>
        <w:gridCol w:w="1527"/>
      </w:tblGrid>
      <w:tr>
        <w:trPr>
          <w:trHeight w:val="415" w:hRule="exact"/>
        </w:trPr>
        <w:tc>
          <w:tcPr>
            <w:tcW w:w="180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88"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84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58"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84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58"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52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400"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14" w:hRule="exact"/>
        </w:trPr>
        <w:tc>
          <w:tcPr>
            <w:tcW w:w="180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0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421" w:right="0"/>
              <w:jc w:val="left"/>
              <w:rPr>
                <w:rFonts w:ascii="宋体" w:hAnsi="宋体" w:cs="宋体" w:eastAsia="宋体" w:hint="default"/>
                <w:sz w:val="18"/>
                <w:szCs w:val="18"/>
              </w:rPr>
            </w:pPr>
            <w:r>
              <w:rPr>
                <w:rFonts w:ascii="宋体"/>
                <w:b/>
                <w:sz w:val="18"/>
              </w:rPr>
              <w:t>68,169,626.67</w:t>
            </w:r>
            <w:r>
              <w:rPr>
                <w:rFonts w:ascii="宋体"/>
                <w:sz w:val="18"/>
              </w:rPr>
            </w:r>
          </w:p>
        </w:tc>
        <w:tc>
          <w:tcPr>
            <w:tcW w:w="184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472" w:right="0"/>
              <w:jc w:val="left"/>
              <w:rPr>
                <w:rFonts w:ascii="宋体" w:hAnsi="宋体" w:cs="宋体" w:eastAsia="宋体" w:hint="default"/>
                <w:sz w:val="18"/>
                <w:szCs w:val="18"/>
              </w:rPr>
            </w:pPr>
            <w:r>
              <w:rPr>
                <w:rFonts w:ascii="宋体"/>
                <w:b/>
                <w:sz w:val="18"/>
              </w:rPr>
              <w:t>430,006,688.00</w:t>
            </w:r>
            <w:r>
              <w:rPr>
                <w:rFonts w:ascii="宋体"/>
                <w:sz w:val="18"/>
              </w:rPr>
            </w:r>
          </w:p>
        </w:tc>
        <w:tc>
          <w:tcPr>
            <w:tcW w:w="184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472" w:right="0"/>
              <w:jc w:val="left"/>
              <w:rPr>
                <w:rFonts w:ascii="宋体" w:hAnsi="宋体" w:cs="宋体" w:eastAsia="宋体" w:hint="default"/>
                <w:sz w:val="18"/>
                <w:szCs w:val="18"/>
              </w:rPr>
            </w:pPr>
            <w:r>
              <w:rPr>
                <w:rFonts w:ascii="宋体"/>
                <w:b/>
                <w:sz w:val="18"/>
              </w:rPr>
              <w:t>423,693,451.34</w:t>
            </w:r>
            <w:r>
              <w:rPr>
                <w:rFonts w:ascii="宋体"/>
                <w:sz w:val="18"/>
              </w:rPr>
            </w:r>
          </w:p>
        </w:tc>
        <w:tc>
          <w:tcPr>
            <w:tcW w:w="152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246" w:right="0"/>
              <w:jc w:val="left"/>
              <w:rPr>
                <w:rFonts w:ascii="宋体" w:hAnsi="宋体" w:cs="宋体" w:eastAsia="宋体" w:hint="default"/>
                <w:sz w:val="18"/>
                <w:szCs w:val="18"/>
              </w:rPr>
            </w:pPr>
            <w:r>
              <w:rPr>
                <w:rFonts w:ascii="宋体"/>
                <w:b/>
                <w:sz w:val="18"/>
              </w:rPr>
              <w:t>74,482,863.33</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w:t>
      </w:r>
      <w:r>
        <w:rPr>
          <w:rFonts w:ascii="Times New Roman" w:hAnsi="Times New Roman" w:cs="Times New Roman" w:eastAsia="Times New Roman" w:hint="default"/>
        </w:rPr>
        <w:t>3</w:t>
      </w:r>
      <w:r>
        <w:rPr/>
        <w:t>）</w:t>
      </w:r>
      <w:r>
        <w:rPr>
          <w:spacing w:val="-70"/>
        </w:rPr>
        <w:t> </w:t>
      </w:r>
      <w:bookmarkStart w:name="（3）设定提存计划" w:id="303"/>
      <w:bookmarkEnd w:id="303"/>
      <w:r>
        <w:rPr/>
        <w:t>设</w:t>
      </w:r>
      <w:r>
        <w:rPr/>
        <w:t>定提存计划</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1796"/>
        <w:gridCol w:w="1731"/>
        <w:gridCol w:w="1732"/>
        <w:gridCol w:w="1732"/>
        <w:gridCol w:w="1732"/>
      </w:tblGrid>
      <w:tr>
        <w:trPr>
          <w:trHeight w:val="415" w:hRule="exact"/>
        </w:trPr>
        <w:tc>
          <w:tcPr>
            <w:tcW w:w="179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3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01"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73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03"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73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03"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73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50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179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基本养老保险</w:t>
            </w:r>
          </w:p>
        </w:tc>
        <w:tc>
          <w:tcPr>
            <w:tcW w:w="173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2,147,000.94</w:t>
            </w:r>
          </w:p>
        </w:tc>
        <w:tc>
          <w:tcPr>
            <w:tcW w:w="17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25,335,898.66</w:t>
            </w:r>
          </w:p>
        </w:tc>
        <w:tc>
          <w:tcPr>
            <w:tcW w:w="17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26,218,887.74</w:t>
            </w:r>
          </w:p>
        </w:tc>
        <w:tc>
          <w:tcPr>
            <w:tcW w:w="17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1,264,011.86</w:t>
            </w:r>
          </w:p>
        </w:tc>
      </w:tr>
      <w:tr>
        <w:trPr>
          <w:trHeight w:val="402" w:hRule="exact"/>
        </w:trPr>
        <w:tc>
          <w:tcPr>
            <w:tcW w:w="179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73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76,651.49</w:t>
            </w:r>
          </w:p>
        </w:tc>
        <w:tc>
          <w:tcPr>
            <w:tcW w:w="17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866,542.53</w:t>
            </w:r>
          </w:p>
        </w:tc>
        <w:tc>
          <w:tcPr>
            <w:tcW w:w="173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895,044.92</w:t>
            </w:r>
          </w:p>
        </w:tc>
        <w:tc>
          <w:tcPr>
            <w:tcW w:w="173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48,149.10</w:t>
            </w:r>
          </w:p>
        </w:tc>
      </w:tr>
      <w:tr>
        <w:trPr>
          <w:trHeight w:val="414" w:hRule="exact"/>
        </w:trPr>
        <w:tc>
          <w:tcPr>
            <w:tcW w:w="179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3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2,223,652.43</w:t>
            </w:r>
            <w:r>
              <w:rPr>
                <w:rFonts w:ascii="宋体"/>
                <w:sz w:val="18"/>
              </w:rPr>
            </w:r>
          </w:p>
        </w:tc>
        <w:tc>
          <w:tcPr>
            <w:tcW w:w="173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2"/>
              <w:jc w:val="right"/>
              <w:rPr>
                <w:rFonts w:ascii="宋体" w:hAnsi="宋体" w:cs="宋体" w:eastAsia="宋体" w:hint="default"/>
                <w:sz w:val="18"/>
                <w:szCs w:val="18"/>
              </w:rPr>
            </w:pPr>
            <w:r>
              <w:rPr>
                <w:rFonts w:ascii="宋体"/>
                <w:b/>
                <w:w w:val="95"/>
                <w:sz w:val="18"/>
              </w:rPr>
              <w:t>26,202,441.19</w:t>
            </w:r>
            <w:r>
              <w:rPr>
                <w:rFonts w:ascii="宋体"/>
                <w:sz w:val="18"/>
              </w:rPr>
            </w:r>
          </w:p>
        </w:tc>
        <w:tc>
          <w:tcPr>
            <w:tcW w:w="173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2"/>
              <w:jc w:val="right"/>
              <w:rPr>
                <w:rFonts w:ascii="宋体" w:hAnsi="宋体" w:cs="宋体" w:eastAsia="宋体" w:hint="default"/>
                <w:sz w:val="18"/>
                <w:szCs w:val="18"/>
              </w:rPr>
            </w:pPr>
            <w:r>
              <w:rPr>
                <w:rFonts w:ascii="宋体"/>
                <w:b/>
                <w:w w:val="95"/>
                <w:sz w:val="18"/>
              </w:rPr>
              <w:t>27,113,932.66</w:t>
            </w:r>
            <w:r>
              <w:rPr>
                <w:rFonts w:ascii="宋体"/>
                <w:sz w:val="18"/>
              </w:rPr>
            </w:r>
          </w:p>
        </w:tc>
        <w:tc>
          <w:tcPr>
            <w:tcW w:w="173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6"/>
              <w:jc w:val="right"/>
              <w:rPr>
                <w:rFonts w:ascii="宋体" w:hAnsi="宋体" w:cs="宋体" w:eastAsia="宋体" w:hint="default"/>
                <w:sz w:val="18"/>
                <w:szCs w:val="18"/>
              </w:rPr>
            </w:pPr>
            <w:r>
              <w:rPr>
                <w:rFonts w:ascii="宋体"/>
                <w:b/>
                <w:w w:val="95"/>
                <w:sz w:val="18"/>
              </w:rPr>
              <w:t>1,312,160.96</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26.</w:t>
      </w:r>
      <w:r>
        <w:rPr>
          <w:spacing w:val="-48"/>
        </w:rPr>
        <w:t> </w:t>
      </w:r>
      <w:bookmarkStart w:name="26.应交税费 " w:id="304"/>
      <w:bookmarkEnd w:id="304"/>
      <w:r>
        <w:rPr/>
        <w:t>应</w:t>
      </w:r>
      <w:r>
        <w:rPr/>
        <w:t>交税费</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69"/>
        <w:gridCol w:w="2676"/>
        <w:gridCol w:w="2678"/>
      </w:tblGrid>
      <w:tr>
        <w:trPr>
          <w:trHeight w:val="415" w:hRule="exact"/>
        </w:trPr>
        <w:tc>
          <w:tcPr>
            <w:tcW w:w="336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18,813,872.51</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14,161,378.98</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4,041,182.33</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650,089.69</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1,265,079.34</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772,148.39</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5,492,166.75</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2,379,791.66</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922,787.22</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580,908.23</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548,564.99</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628,924.22</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282,160.98</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211,631.51</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919,930.91</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551,534.59</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残保金</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74,887.00</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15,297.53</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2676" w:type="dxa"/>
            <w:tcBorders>
              <w:top w:val="single" w:sz="2" w:space="0" w:color="000000"/>
              <w:left w:val="single" w:sz="2" w:space="0" w:color="000000"/>
              <w:bottom w:val="single" w:sz="2" w:space="0" w:color="000000"/>
              <w:right w:val="single" w:sz="2" w:space="0" w:color="000000"/>
            </w:tcBorders>
          </w:tcPr>
          <w:p>
            <w:pP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3,472.12</w:t>
            </w:r>
          </w:p>
        </w:tc>
      </w:tr>
      <w:tr>
        <w:trPr>
          <w:trHeight w:val="414" w:hRule="exact"/>
        </w:trPr>
        <w:tc>
          <w:tcPr>
            <w:tcW w:w="336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4"/>
              <w:ind w:right="91"/>
              <w:jc w:val="right"/>
              <w:rPr>
                <w:rFonts w:ascii="宋体" w:hAnsi="宋体" w:cs="宋体" w:eastAsia="宋体" w:hint="default"/>
                <w:sz w:val="18"/>
                <w:szCs w:val="18"/>
              </w:rPr>
            </w:pPr>
            <w:r>
              <w:rPr>
                <w:rFonts w:ascii="宋体"/>
                <w:b/>
                <w:w w:val="95"/>
                <w:sz w:val="18"/>
              </w:rPr>
              <w:t>32,360,632.03</w:t>
            </w:r>
            <w:r>
              <w:rPr>
                <w:rFonts w:ascii="宋体"/>
                <w:sz w:val="18"/>
              </w:rPr>
            </w:r>
          </w:p>
        </w:tc>
        <w:tc>
          <w:tcPr>
            <w:tcW w:w="267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4"/>
              <w:ind w:right="93"/>
              <w:jc w:val="right"/>
              <w:rPr>
                <w:rFonts w:ascii="宋体" w:hAnsi="宋体" w:cs="宋体" w:eastAsia="宋体" w:hint="default"/>
                <w:sz w:val="18"/>
                <w:szCs w:val="18"/>
              </w:rPr>
            </w:pPr>
            <w:r>
              <w:rPr>
                <w:rFonts w:ascii="宋体"/>
                <w:b/>
                <w:w w:val="95"/>
                <w:sz w:val="18"/>
              </w:rPr>
              <w:t>19,955,176.92</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27.</w:t>
      </w:r>
      <w:r>
        <w:rPr>
          <w:spacing w:val="-48"/>
        </w:rPr>
        <w:t> </w:t>
      </w:r>
      <w:bookmarkStart w:name="27.其他应付款" w:id="305"/>
      <w:bookmarkEnd w:id="305"/>
      <w:r>
        <w:rPr/>
        <w:t>其</w:t>
      </w:r>
      <w:r>
        <w:rPr/>
        <w:t>他应付款</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71"/>
        <w:gridCol w:w="2676"/>
        <w:gridCol w:w="2676"/>
      </w:tblGrid>
      <w:tr>
        <w:trPr>
          <w:trHeight w:val="417" w:hRule="exact"/>
        </w:trPr>
        <w:tc>
          <w:tcPr>
            <w:tcW w:w="337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4"/>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7" w:hRule="exact"/>
        </w:trPr>
        <w:tc>
          <w:tcPr>
            <w:tcW w:w="337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676" w:type="dxa"/>
            <w:tcBorders>
              <w:top w:val="single" w:sz="4" w:space="0" w:color="000000"/>
              <w:left w:val="single" w:sz="4" w:space="0" w:color="000000"/>
              <w:bottom w:val="single" w:sz="4" w:space="0" w:color="000000"/>
              <w:right w:val="single" w:sz="4" w:space="0" w:color="000000"/>
            </w:tcBorders>
          </w:tcPr>
          <w:p>
            <w:pPr/>
          </w:p>
        </w:tc>
        <w:tc>
          <w:tcPr>
            <w:tcW w:w="2676"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337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676" w:type="dxa"/>
            <w:tcBorders>
              <w:top w:val="single" w:sz="4" w:space="0" w:color="000000"/>
              <w:left w:val="single" w:sz="4" w:space="0" w:color="000000"/>
              <w:bottom w:val="single" w:sz="4" w:space="0" w:color="000000"/>
              <w:right w:val="single" w:sz="4" w:space="0" w:color="000000"/>
            </w:tcBorders>
          </w:tcPr>
          <w:p>
            <w:pPr/>
          </w:p>
        </w:tc>
        <w:tc>
          <w:tcPr>
            <w:tcW w:w="2676"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337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pacing w:val="-1"/>
                <w:sz w:val="18"/>
              </w:rPr>
              <w:t>148,380,586.26</w:t>
            </w:r>
          </w:p>
        </w:tc>
        <w:tc>
          <w:tcPr>
            <w:tcW w:w="26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118,937,148.51</w:t>
            </w:r>
          </w:p>
        </w:tc>
      </w:tr>
      <w:tr>
        <w:trPr>
          <w:trHeight w:val="417" w:hRule="exact"/>
        </w:trPr>
        <w:tc>
          <w:tcPr>
            <w:tcW w:w="337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88"/>
              <w:jc w:val="right"/>
              <w:rPr>
                <w:rFonts w:ascii="宋体" w:hAnsi="宋体" w:cs="宋体" w:eastAsia="宋体" w:hint="default"/>
                <w:sz w:val="18"/>
                <w:szCs w:val="18"/>
              </w:rPr>
            </w:pPr>
            <w:r>
              <w:rPr>
                <w:rFonts w:ascii="宋体"/>
                <w:b/>
                <w:sz w:val="18"/>
              </w:rPr>
              <w:t>148,380,586.26</w:t>
            </w:r>
            <w:r>
              <w:rPr>
                <w:rFonts w:ascii="宋体"/>
                <w:sz w:val="18"/>
              </w:rPr>
            </w:r>
          </w:p>
        </w:tc>
        <w:tc>
          <w:tcPr>
            <w:tcW w:w="267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118,937,148.51</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1011" w:right="1445"/>
        <w:jc w:val="left"/>
      </w:pPr>
      <w:bookmarkStart w:name=" 27.1其他应付款" w:id="306"/>
      <w:bookmarkEnd w:id="306"/>
      <w:r>
        <w:rPr/>
      </w:r>
      <w:r>
        <w:rPr/>
        <w:t>27.1</w:t>
      </w:r>
      <w:r>
        <w:rPr>
          <w:spacing w:val="-59"/>
        </w:rPr>
        <w:t> </w:t>
      </w:r>
      <w:r>
        <w:rPr/>
        <w:t>其他应付款</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71"/>
        <w:gridCol w:w="2676"/>
        <w:gridCol w:w="2676"/>
      </w:tblGrid>
      <w:tr>
        <w:trPr>
          <w:trHeight w:val="415" w:hRule="exact"/>
        </w:trPr>
        <w:tc>
          <w:tcPr>
            <w:tcW w:w="337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单位往来与代收代付款</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56,041,844.79</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51,254,140.48</w:t>
            </w:r>
          </w:p>
        </w:tc>
      </w:tr>
      <w:tr>
        <w:trPr>
          <w:trHeight w:val="400"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57,729,221.11</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47,584,425.54</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71"/>
        <w:gridCol w:w="2676"/>
        <w:gridCol w:w="2676"/>
      </w:tblGrid>
      <w:tr>
        <w:trPr>
          <w:trHeight w:val="415" w:hRule="exact"/>
        </w:trPr>
        <w:tc>
          <w:tcPr>
            <w:tcW w:w="337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未支付费用</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31,185,621.90</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17,792,867.43</w:t>
            </w:r>
          </w:p>
        </w:tc>
      </w:tr>
      <w:tr>
        <w:trPr>
          <w:trHeight w:val="402" w:hRule="exact"/>
        </w:trPr>
        <w:tc>
          <w:tcPr>
            <w:tcW w:w="33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3,423,898.46</w:t>
            </w:r>
          </w:p>
        </w:tc>
        <w:tc>
          <w:tcPr>
            <w:tcW w:w="267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2,305,715.06</w:t>
            </w:r>
          </w:p>
        </w:tc>
      </w:tr>
      <w:tr>
        <w:trPr>
          <w:trHeight w:val="414" w:hRule="exact"/>
        </w:trPr>
        <w:tc>
          <w:tcPr>
            <w:tcW w:w="337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sz w:val="18"/>
              </w:rPr>
              <w:t>148,380,586.26</w:t>
            </w:r>
            <w:r>
              <w:rPr>
                <w:rFonts w:ascii="宋体"/>
                <w:sz w:val="18"/>
              </w:rPr>
            </w:r>
          </w:p>
        </w:tc>
        <w:tc>
          <w:tcPr>
            <w:tcW w:w="267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118,937,148.51</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28.</w:t>
      </w:r>
      <w:r>
        <w:rPr>
          <w:spacing w:val="-52"/>
        </w:rPr>
        <w:t> </w:t>
      </w:r>
      <w:bookmarkStart w:name="28.一年内到期的非流动负债" w:id="307"/>
      <w:bookmarkEnd w:id="307"/>
      <w:r>
        <w:rPr/>
        <w:t>一</w:t>
      </w:r>
      <w:r>
        <w:rPr/>
        <w:t>年内到期的非流动负债</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69"/>
        <w:gridCol w:w="2676"/>
        <w:gridCol w:w="2678"/>
      </w:tblGrid>
      <w:tr>
        <w:trPr>
          <w:trHeight w:val="415" w:hRule="exact"/>
        </w:trPr>
        <w:tc>
          <w:tcPr>
            <w:tcW w:w="336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600,000.00</w:t>
            </w:r>
          </w:p>
        </w:tc>
        <w:tc>
          <w:tcPr>
            <w:tcW w:w="2678"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一年内到期的应付债券</w:t>
            </w:r>
          </w:p>
        </w:tc>
        <w:tc>
          <w:tcPr>
            <w:tcW w:w="2676" w:type="dxa"/>
            <w:tcBorders>
              <w:top w:val="single" w:sz="2" w:space="0" w:color="000000"/>
              <w:left w:val="single" w:sz="2" w:space="0" w:color="000000"/>
              <w:bottom w:val="single" w:sz="2" w:space="0" w:color="000000"/>
              <w:right w:val="single" w:sz="2" w:space="0" w:color="000000"/>
            </w:tcBorders>
          </w:tcPr>
          <w:p>
            <w:pP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299,853,758.13</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一年内到期的应付债券利息</w:t>
            </w:r>
          </w:p>
        </w:tc>
        <w:tc>
          <w:tcPr>
            <w:tcW w:w="2676" w:type="dxa"/>
            <w:tcBorders>
              <w:top w:val="single" w:sz="2" w:space="0" w:color="000000"/>
              <w:left w:val="single" w:sz="2" w:space="0" w:color="000000"/>
              <w:bottom w:val="single" w:sz="2" w:space="0" w:color="000000"/>
              <w:right w:val="single" w:sz="2" w:space="0" w:color="000000"/>
            </w:tcBorders>
          </w:tcPr>
          <w:p>
            <w:pP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9,586,849.39</w:t>
            </w:r>
          </w:p>
        </w:tc>
      </w:tr>
      <w:tr>
        <w:trPr>
          <w:trHeight w:val="414" w:hRule="exact"/>
        </w:trPr>
        <w:tc>
          <w:tcPr>
            <w:tcW w:w="336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4"/>
              <w:jc w:val="right"/>
              <w:rPr>
                <w:rFonts w:ascii="宋体" w:hAnsi="宋体" w:cs="宋体" w:eastAsia="宋体" w:hint="default"/>
                <w:sz w:val="18"/>
                <w:szCs w:val="18"/>
              </w:rPr>
            </w:pPr>
            <w:r>
              <w:rPr>
                <w:rFonts w:ascii="宋体"/>
                <w:b/>
                <w:sz w:val="18"/>
              </w:rPr>
              <w:t>600,000.00</w:t>
            </w:r>
            <w:r>
              <w:rPr>
                <w:rFonts w:ascii="宋体"/>
                <w:sz w:val="18"/>
              </w:rPr>
            </w:r>
          </w:p>
        </w:tc>
        <w:tc>
          <w:tcPr>
            <w:tcW w:w="267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309,440,607.52</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29.</w:t>
      </w:r>
      <w:r>
        <w:rPr>
          <w:spacing w:val="-50"/>
        </w:rPr>
        <w:t> </w:t>
      </w:r>
      <w:bookmarkStart w:name="29.其他流动负债" w:id="308"/>
      <w:bookmarkEnd w:id="308"/>
      <w:r>
        <w:rPr/>
        <w:t>其</w:t>
      </w:r>
      <w:r>
        <w:rPr/>
        <w:t>他流动负债</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69"/>
        <w:gridCol w:w="2676"/>
        <w:gridCol w:w="2678"/>
      </w:tblGrid>
      <w:tr>
        <w:trPr>
          <w:trHeight w:val="415" w:hRule="exact"/>
        </w:trPr>
        <w:tc>
          <w:tcPr>
            <w:tcW w:w="336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5"/>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5"/>
              <w:ind w:left="2"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5"/>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年末未终止确认的应收票据</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121,292,677.94</w:t>
            </w:r>
          </w:p>
        </w:tc>
        <w:tc>
          <w:tcPr>
            <w:tcW w:w="2678"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预提运费</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28,006,710.08</w:t>
            </w: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17,703,981.06</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预计一年内结转的政府补助款</w:t>
            </w:r>
          </w:p>
        </w:tc>
        <w:tc>
          <w:tcPr>
            <w:tcW w:w="2676" w:type="dxa"/>
            <w:tcBorders>
              <w:top w:val="single" w:sz="2" w:space="0" w:color="000000"/>
              <w:left w:val="single" w:sz="2" w:space="0" w:color="000000"/>
              <w:bottom w:val="single" w:sz="2" w:space="0" w:color="000000"/>
              <w:right w:val="single" w:sz="2" w:space="0" w:color="000000"/>
            </w:tcBorders>
          </w:tcPr>
          <w:p>
            <w:pP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6,374,799.39</w:t>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76" w:type="dxa"/>
            <w:tcBorders>
              <w:top w:val="single" w:sz="2" w:space="0" w:color="000000"/>
              <w:left w:val="single" w:sz="2" w:space="0" w:color="000000"/>
              <w:bottom w:val="single" w:sz="2" w:space="0" w:color="000000"/>
              <w:right w:val="single" w:sz="2" w:space="0" w:color="000000"/>
            </w:tcBorders>
          </w:tcPr>
          <w:p>
            <w:pPr/>
          </w:p>
        </w:tc>
        <w:tc>
          <w:tcPr>
            <w:tcW w:w="26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432,202.00</w:t>
            </w:r>
          </w:p>
        </w:tc>
      </w:tr>
      <w:tr>
        <w:trPr>
          <w:trHeight w:val="414" w:hRule="exact"/>
        </w:trPr>
        <w:tc>
          <w:tcPr>
            <w:tcW w:w="336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sz w:val="18"/>
              </w:rPr>
              <w:t>149,299,388.02</w:t>
            </w:r>
            <w:r>
              <w:rPr>
                <w:rFonts w:ascii="宋体"/>
                <w:sz w:val="18"/>
              </w:rPr>
            </w:r>
          </w:p>
        </w:tc>
        <w:tc>
          <w:tcPr>
            <w:tcW w:w="267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24,510,982.45</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30.</w:t>
      </w:r>
      <w:r>
        <w:rPr>
          <w:spacing w:val="-48"/>
        </w:rPr>
        <w:t> </w:t>
      </w:r>
      <w:bookmarkStart w:name="30.长期借款" w:id="309"/>
      <w:bookmarkEnd w:id="309"/>
      <w:r>
        <w:rPr/>
        <w:t>长</w:t>
      </w:r>
      <w:r>
        <w:rPr/>
        <w:t>期借款</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69"/>
        <w:gridCol w:w="2676"/>
        <w:gridCol w:w="2678"/>
      </w:tblGrid>
      <w:tr>
        <w:trPr>
          <w:trHeight w:val="415" w:hRule="exact"/>
        </w:trPr>
        <w:tc>
          <w:tcPr>
            <w:tcW w:w="336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7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2"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7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96,400,000.00</w:t>
            </w:r>
          </w:p>
        </w:tc>
        <w:tc>
          <w:tcPr>
            <w:tcW w:w="2678"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18,000,000.00</w:t>
            </w:r>
          </w:p>
        </w:tc>
        <w:tc>
          <w:tcPr>
            <w:tcW w:w="2678"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36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67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184,137.97</w:t>
            </w:r>
          </w:p>
        </w:tc>
        <w:tc>
          <w:tcPr>
            <w:tcW w:w="2678"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336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7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1"/>
              <w:jc w:val="right"/>
              <w:rPr>
                <w:rFonts w:ascii="宋体" w:hAnsi="宋体" w:cs="宋体" w:eastAsia="宋体" w:hint="default"/>
                <w:sz w:val="18"/>
                <w:szCs w:val="18"/>
              </w:rPr>
            </w:pPr>
            <w:r>
              <w:rPr>
                <w:rFonts w:ascii="宋体"/>
                <w:b/>
                <w:sz w:val="18"/>
              </w:rPr>
              <w:t>114,584,137.97</w:t>
            </w:r>
            <w:r>
              <w:rPr>
                <w:rFonts w:ascii="宋体"/>
                <w:sz w:val="18"/>
              </w:rPr>
            </w:r>
          </w:p>
        </w:tc>
        <w:tc>
          <w:tcPr>
            <w:tcW w:w="2678" w:type="dxa"/>
            <w:tcBorders>
              <w:top w:val="single" w:sz="2" w:space="0" w:color="000000"/>
              <w:left w:val="single" w:sz="2"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9"/>
          <w:szCs w:val="9"/>
        </w:rPr>
      </w:pPr>
    </w:p>
    <w:p>
      <w:pPr>
        <w:pStyle w:val="BodyText"/>
        <w:spacing w:line="240" w:lineRule="auto"/>
        <w:ind w:left="680" w:right="1445"/>
        <w:jc w:val="left"/>
      </w:pPr>
      <w:r>
        <w:rPr/>
        <w:t>注</w:t>
      </w:r>
      <w:r>
        <w:rPr>
          <w:spacing w:val="-52"/>
        </w:rPr>
        <w:t> </w:t>
      </w:r>
      <w:r>
        <w:rPr>
          <w:spacing w:val="-3"/>
        </w:rPr>
        <w:t>1：截止</w:t>
      </w:r>
      <w:r>
        <w:rPr>
          <w:spacing w:val="-55"/>
        </w:rPr>
        <w:t> </w:t>
      </w:r>
      <w:r>
        <w:rPr/>
        <w:t>2019</w:t>
      </w:r>
      <w:r>
        <w:rPr>
          <w:spacing w:val="-55"/>
        </w:rPr>
        <w:t> </w:t>
      </w:r>
      <w:r>
        <w:rPr/>
        <w:t>年</w:t>
      </w:r>
      <w:r>
        <w:rPr>
          <w:spacing w:val="-52"/>
        </w:rPr>
        <w:t> </w:t>
      </w:r>
      <w:r>
        <w:rPr/>
        <w:t>12</w:t>
      </w:r>
      <w:r>
        <w:rPr>
          <w:spacing w:val="-55"/>
        </w:rPr>
        <w:t> </w:t>
      </w:r>
      <w:r>
        <w:rPr/>
        <w:t>月</w:t>
      </w:r>
      <w:r>
        <w:rPr>
          <w:spacing w:val="-52"/>
        </w:rPr>
        <w:t> </w:t>
      </w:r>
      <w:r>
        <w:rPr/>
        <w:t>31</w:t>
      </w:r>
      <w:r>
        <w:rPr>
          <w:spacing w:val="-55"/>
        </w:rPr>
        <w:t> </w:t>
      </w:r>
      <w:r>
        <w:rPr>
          <w:spacing w:val="-3"/>
        </w:rPr>
        <w:t>日，本公司保证借款余额</w:t>
      </w:r>
      <w:r>
        <w:rPr>
          <w:spacing w:val="-52"/>
        </w:rPr>
        <w:t> </w:t>
      </w:r>
      <w:r>
        <w:rPr/>
        <w:t>97,000,000.00</w:t>
      </w:r>
      <w:r>
        <w:rPr>
          <w:spacing w:val="-52"/>
        </w:rPr>
        <w:t> </w:t>
      </w:r>
      <w:r>
        <w:rPr>
          <w:spacing w:val="-3"/>
        </w:rPr>
        <w:t>元。情况如下：</w:t>
      </w:r>
    </w:p>
    <w:p>
      <w:pPr>
        <w:pStyle w:val="BodyText"/>
        <w:spacing w:line="300" w:lineRule="auto" w:before="72"/>
        <w:ind w:left="241" w:right="1697"/>
        <w:jc w:val="both"/>
      </w:pPr>
      <w:r>
        <w:rPr>
          <w:spacing w:val="2"/>
        </w:rPr>
        <w:t>本公司向兴业银行临安支行借款</w:t>
      </w:r>
      <w:r>
        <w:rPr>
          <w:spacing w:val="-33"/>
        </w:rPr>
        <w:t> </w:t>
      </w:r>
      <w:r>
        <w:rPr/>
        <w:t>87,000,000.00</w:t>
      </w:r>
      <w:r>
        <w:rPr>
          <w:spacing w:val="-30"/>
        </w:rPr>
        <w:t> </w:t>
      </w:r>
      <w:r>
        <w:rPr>
          <w:spacing w:val="2"/>
        </w:rPr>
        <w:t>元，使用浙江万马智能科技集团有限公</w:t>
      </w:r>
      <w:r>
        <w:rPr>
          <w:spacing w:val="-99"/>
        </w:rPr>
        <w:t> </w:t>
      </w:r>
      <w:r>
        <w:rPr>
          <w:spacing w:val="-99"/>
        </w:rPr>
      </w:r>
      <w:r>
        <w:rPr>
          <w:spacing w:val="-4"/>
        </w:rPr>
        <w:t>司、张德生、陆珍玉提供的最高额保证担保额度；本公司之子公司浙江万马高分子材料集</w:t>
      </w:r>
      <w:r>
        <w:rPr>
          <w:spacing w:val="-51"/>
        </w:rPr>
        <w:t> </w:t>
      </w:r>
      <w:r>
        <w:rPr>
          <w:spacing w:val="-51"/>
        </w:rPr>
      </w:r>
      <w:r>
        <w:rPr>
          <w:spacing w:val="2"/>
        </w:rPr>
        <w:t>团有限公司向浦发银行中山支行借款</w:t>
      </w:r>
      <w:r>
        <w:rPr>
          <w:spacing w:val="-32"/>
        </w:rPr>
        <w:t> </w:t>
      </w:r>
      <w:r>
        <w:rPr/>
        <w:t>10,000,000.00</w:t>
      </w:r>
      <w:r>
        <w:rPr>
          <w:spacing w:val="-32"/>
        </w:rPr>
        <w:t> </w:t>
      </w:r>
      <w:r>
        <w:rPr>
          <w:spacing w:val="2"/>
        </w:rPr>
        <w:t>元，使用本公司为其提供最高额保</w:t>
      </w:r>
      <w:r>
        <w:rPr>
          <w:spacing w:val="-99"/>
        </w:rPr>
        <w:t> </w:t>
      </w:r>
      <w:r>
        <w:rPr>
          <w:spacing w:val="-99"/>
        </w:rPr>
      </w:r>
      <w:r>
        <w:rPr/>
        <w:t>证。</w:t>
      </w:r>
    </w:p>
    <w:p>
      <w:pPr>
        <w:spacing w:after="0" w:line="300" w:lineRule="auto"/>
        <w:jc w:val="both"/>
        <w:sectPr>
          <w:footerReference w:type="default" r:id="rId60"/>
          <w:pgSz w:w="11910" w:h="16840"/>
          <w:pgMar w:footer="883" w:header="939" w:top="1940" w:bottom="1080" w:left="1460" w:right="0"/>
          <w:pgNumType w:start="140"/>
        </w:sectPr>
      </w:pPr>
    </w:p>
    <w:p>
      <w:pPr>
        <w:spacing w:line="240" w:lineRule="auto" w:before="13"/>
        <w:rPr>
          <w:rFonts w:ascii="宋体" w:hAnsi="宋体" w:cs="宋体" w:eastAsia="宋体" w:hint="default"/>
          <w:sz w:val="12"/>
          <w:szCs w:val="12"/>
        </w:rPr>
      </w:pPr>
    </w:p>
    <w:p>
      <w:pPr>
        <w:pStyle w:val="BodyText"/>
        <w:spacing w:line="240" w:lineRule="auto"/>
        <w:ind w:left="644" w:right="1445"/>
        <w:jc w:val="left"/>
      </w:pPr>
      <w:r>
        <w:rPr/>
        <w:t>31.</w:t>
      </w:r>
      <w:r>
        <w:rPr>
          <w:spacing w:val="-48"/>
        </w:rPr>
        <w:t> </w:t>
      </w:r>
      <w:bookmarkStart w:name="31.递延收益" w:id="310"/>
      <w:bookmarkEnd w:id="310"/>
      <w:r>
        <w:rPr/>
        <w:t>递</w:t>
      </w:r>
      <w:r>
        <w:rPr/>
        <w:t>延收益</w:t>
      </w:r>
    </w:p>
    <w:p>
      <w:pPr>
        <w:pStyle w:val="BodyText"/>
        <w:spacing w:line="240" w:lineRule="auto" w:before="192"/>
        <w:ind w:left="666" w:right="1445"/>
        <w:jc w:val="left"/>
      </w:pPr>
      <w:r>
        <w:rPr/>
        <w:t>（</w:t>
      </w:r>
      <w:r>
        <w:rPr>
          <w:rFonts w:ascii="Times New Roman" w:hAnsi="Times New Roman" w:cs="Times New Roman" w:eastAsia="Times New Roman" w:hint="default"/>
        </w:rPr>
        <w:t>1</w:t>
      </w:r>
      <w:r>
        <w:rPr/>
        <w:t>）</w:t>
      </w:r>
      <w:r>
        <w:rPr>
          <w:spacing w:val="43"/>
        </w:rPr>
        <w:t> </w:t>
      </w:r>
      <w:bookmarkStart w:name="（1）递延收益分类" w:id="311"/>
      <w:bookmarkEnd w:id="311"/>
      <w:r>
        <w:rPr/>
        <w:t>递</w:t>
      </w:r>
      <w:r>
        <w:rPr/>
        <w:t>延收益分类</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1051"/>
        <w:gridCol w:w="1675"/>
        <w:gridCol w:w="1657"/>
        <w:gridCol w:w="1657"/>
        <w:gridCol w:w="1657"/>
        <w:gridCol w:w="1026"/>
      </w:tblGrid>
      <w:tr>
        <w:trPr>
          <w:trHeight w:val="415" w:hRule="exact"/>
        </w:trPr>
        <w:tc>
          <w:tcPr>
            <w:tcW w:w="105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7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73"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65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66"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65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65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64"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02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151" w:right="0"/>
              <w:jc w:val="left"/>
              <w:rPr>
                <w:rFonts w:ascii="宋体" w:hAnsi="宋体" w:cs="宋体" w:eastAsia="宋体" w:hint="default"/>
                <w:sz w:val="18"/>
                <w:szCs w:val="18"/>
              </w:rPr>
            </w:pPr>
            <w:r>
              <w:rPr>
                <w:rFonts w:ascii="宋体" w:hAnsi="宋体" w:cs="宋体" w:eastAsia="宋体" w:hint="default"/>
                <w:b/>
                <w:bCs/>
                <w:sz w:val="18"/>
                <w:szCs w:val="18"/>
              </w:rPr>
              <w:t>形成原因</w:t>
            </w:r>
            <w:r>
              <w:rPr>
                <w:rFonts w:ascii="宋体" w:hAnsi="宋体" w:cs="宋体" w:eastAsia="宋体" w:hint="default"/>
                <w:sz w:val="18"/>
                <w:szCs w:val="18"/>
              </w:rPr>
            </w:r>
          </w:p>
        </w:tc>
      </w:tr>
      <w:tr>
        <w:trPr>
          <w:trHeight w:val="402" w:hRule="exact"/>
        </w:trPr>
        <w:tc>
          <w:tcPr>
            <w:tcW w:w="10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31,074,961.98</w:t>
            </w:r>
          </w:p>
        </w:tc>
        <w:tc>
          <w:tcPr>
            <w:tcW w:w="165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28,107,070.40</w:t>
            </w:r>
          </w:p>
        </w:tc>
        <w:tc>
          <w:tcPr>
            <w:tcW w:w="165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465" w:right="0"/>
              <w:jc w:val="left"/>
              <w:rPr>
                <w:rFonts w:ascii="宋体" w:hAnsi="宋体" w:cs="宋体" w:eastAsia="宋体" w:hint="default"/>
                <w:sz w:val="18"/>
                <w:szCs w:val="18"/>
              </w:rPr>
            </w:pPr>
            <w:r>
              <w:rPr>
                <w:rFonts w:ascii="宋体"/>
                <w:sz w:val="18"/>
              </w:rPr>
              <w:t>9,815,041.97</w:t>
            </w:r>
          </w:p>
        </w:tc>
        <w:tc>
          <w:tcPr>
            <w:tcW w:w="165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49,366,990.41</w:t>
            </w:r>
          </w:p>
        </w:tc>
        <w:tc>
          <w:tcPr>
            <w:tcW w:w="1026"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105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7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31,074,961.98</w:t>
            </w:r>
            <w:r>
              <w:rPr>
                <w:rFonts w:ascii="宋体"/>
                <w:sz w:val="18"/>
              </w:rPr>
            </w:r>
          </w:p>
        </w:tc>
        <w:tc>
          <w:tcPr>
            <w:tcW w:w="165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w w:val="95"/>
                <w:sz w:val="18"/>
              </w:rPr>
              <w:t>28,107,070.40</w:t>
            </w:r>
            <w:r>
              <w:rPr>
                <w:rFonts w:ascii="宋体"/>
                <w:sz w:val="18"/>
              </w:rPr>
            </w:r>
          </w:p>
        </w:tc>
        <w:tc>
          <w:tcPr>
            <w:tcW w:w="165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465" w:right="0"/>
              <w:jc w:val="left"/>
              <w:rPr>
                <w:rFonts w:ascii="宋体" w:hAnsi="宋体" w:cs="宋体" w:eastAsia="宋体" w:hint="default"/>
                <w:sz w:val="18"/>
                <w:szCs w:val="18"/>
              </w:rPr>
            </w:pPr>
            <w:r>
              <w:rPr>
                <w:rFonts w:ascii="宋体"/>
                <w:b/>
                <w:sz w:val="18"/>
              </w:rPr>
              <w:t>9,815,041.97</w:t>
            </w:r>
            <w:r>
              <w:rPr>
                <w:rFonts w:ascii="宋体"/>
                <w:sz w:val="18"/>
              </w:rPr>
            </w:r>
          </w:p>
        </w:tc>
        <w:tc>
          <w:tcPr>
            <w:tcW w:w="165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w w:val="95"/>
                <w:sz w:val="18"/>
              </w:rPr>
              <w:t>49,366,990.41</w:t>
            </w:r>
            <w:r>
              <w:rPr>
                <w:rFonts w:ascii="宋体"/>
                <w:sz w:val="18"/>
              </w:rPr>
            </w:r>
          </w:p>
        </w:tc>
        <w:tc>
          <w:tcPr>
            <w:tcW w:w="1026" w:type="dxa"/>
            <w:tcBorders>
              <w:top w:val="single" w:sz="2" w:space="0" w:color="000000"/>
              <w:left w:val="single" w:sz="2" w:space="0" w:color="000000"/>
              <w:bottom w:val="single" w:sz="12" w:space="0" w:color="000000"/>
              <w:right w:val="nil" w:sz="6" w:space="0" w:color="auto"/>
            </w:tcBorders>
          </w:tcPr>
          <w:p>
            <w:pPr/>
          </w:p>
        </w:tc>
      </w:tr>
    </w:tbl>
    <w:p>
      <w:pPr>
        <w:spacing w:line="240" w:lineRule="auto" w:before="3"/>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43"/>
        </w:rPr>
        <w:t> </w:t>
      </w:r>
      <w:bookmarkStart w:name="（2）政府补助项目" w:id="312"/>
      <w:bookmarkEnd w:id="312"/>
      <w:r>
        <w:rPr/>
        <w:t>政</w:t>
      </w:r>
      <w:r>
        <w:rPr/>
        <w:t>府补助项目</w:t>
      </w:r>
    </w:p>
    <w:p>
      <w:pPr>
        <w:spacing w:line="240" w:lineRule="auto" w:before="13"/>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1363"/>
        <w:gridCol w:w="1581"/>
        <w:gridCol w:w="1417"/>
        <w:gridCol w:w="1296"/>
        <w:gridCol w:w="546"/>
        <w:gridCol w:w="1417"/>
        <w:gridCol w:w="1103"/>
      </w:tblGrid>
      <w:tr>
        <w:trPr>
          <w:trHeight w:val="565" w:hRule="exact"/>
        </w:trPr>
        <w:tc>
          <w:tcPr>
            <w:tcW w:w="136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9"/>
              <w:ind w:left="36" w:right="0"/>
              <w:jc w:val="left"/>
              <w:rPr>
                <w:rFonts w:ascii="宋体" w:hAnsi="宋体" w:cs="宋体" w:eastAsia="宋体" w:hint="default"/>
                <w:sz w:val="18"/>
                <w:szCs w:val="18"/>
              </w:rPr>
            </w:pPr>
            <w:r>
              <w:rPr>
                <w:rFonts w:ascii="宋体" w:hAnsi="宋体" w:cs="宋体" w:eastAsia="宋体" w:hint="default"/>
                <w:b/>
                <w:bCs/>
                <w:sz w:val="18"/>
                <w:szCs w:val="18"/>
              </w:rPr>
              <w:t>政府补助项目</w:t>
            </w:r>
            <w:r>
              <w:rPr>
                <w:rFonts w:ascii="宋体" w:hAnsi="宋体" w:cs="宋体" w:eastAsia="宋体" w:hint="default"/>
                <w:sz w:val="18"/>
                <w:szCs w:val="18"/>
              </w:rPr>
            </w:r>
          </w:p>
        </w:tc>
        <w:tc>
          <w:tcPr>
            <w:tcW w:w="158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9"/>
              <w:ind w:left="427"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417"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8"/>
              <w:ind w:left="615" w:right="69" w:hanging="540"/>
              <w:jc w:val="left"/>
              <w:rPr>
                <w:rFonts w:ascii="宋体" w:hAnsi="宋体" w:cs="宋体" w:eastAsia="宋体" w:hint="default"/>
                <w:sz w:val="18"/>
                <w:szCs w:val="18"/>
              </w:rPr>
            </w:pPr>
            <w:r>
              <w:rPr>
                <w:rFonts w:ascii="宋体" w:hAnsi="宋体" w:cs="宋体" w:eastAsia="宋体" w:hint="default"/>
                <w:b/>
                <w:bCs/>
                <w:sz w:val="18"/>
                <w:szCs w:val="18"/>
              </w:rPr>
              <w:t>本年新增补助金</w:t>
            </w:r>
            <w:r>
              <w:rPr>
                <w:rFonts w:ascii="宋体" w:hAnsi="宋体" w:cs="宋体" w:eastAsia="宋体" w:hint="default"/>
                <w:b/>
                <w:bCs/>
                <w:w w:val="99"/>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c>
        <w:tc>
          <w:tcPr>
            <w:tcW w:w="1296"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8"/>
              <w:ind w:left="286" w:right="100" w:hanging="180"/>
              <w:jc w:val="left"/>
              <w:rPr>
                <w:rFonts w:ascii="宋体" w:hAnsi="宋体" w:cs="宋体" w:eastAsia="宋体" w:hint="default"/>
                <w:sz w:val="18"/>
                <w:szCs w:val="18"/>
              </w:rPr>
            </w:pPr>
            <w:r>
              <w:rPr>
                <w:rFonts w:ascii="宋体" w:hAnsi="宋体" w:cs="宋体" w:eastAsia="宋体" w:hint="default"/>
                <w:b/>
                <w:bCs/>
                <w:sz w:val="18"/>
                <w:szCs w:val="18"/>
              </w:rPr>
              <w:t>本年计入其他</w:t>
            </w:r>
            <w:r>
              <w:rPr>
                <w:rFonts w:ascii="宋体" w:hAnsi="宋体" w:cs="宋体" w:eastAsia="宋体" w:hint="default"/>
                <w:b/>
                <w:bCs/>
                <w:w w:val="99"/>
                <w:sz w:val="18"/>
                <w:szCs w:val="18"/>
              </w:rPr>
              <w:t> </w:t>
            </w:r>
            <w:r>
              <w:rPr>
                <w:rFonts w:ascii="宋体" w:hAnsi="宋体" w:cs="宋体" w:eastAsia="宋体" w:hint="default"/>
                <w:b/>
                <w:bCs/>
                <w:sz w:val="18"/>
                <w:szCs w:val="18"/>
              </w:rPr>
              <w:t>收益金额</w:t>
            </w:r>
            <w:r>
              <w:rPr>
                <w:rFonts w:ascii="宋体" w:hAnsi="宋体" w:cs="宋体" w:eastAsia="宋体" w:hint="default"/>
                <w:sz w:val="18"/>
                <w:szCs w:val="18"/>
              </w:rPr>
            </w:r>
          </w:p>
        </w:tc>
        <w:tc>
          <w:tcPr>
            <w:tcW w:w="546"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8"/>
              <w:ind w:left="91" w:right="87"/>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b/>
                <w:bCs/>
                <w:w w:val="99"/>
                <w:sz w:val="18"/>
                <w:szCs w:val="18"/>
              </w:rPr>
              <w:t> </w:t>
            </w:r>
            <w:r>
              <w:rPr>
                <w:rFonts w:ascii="宋体" w:hAnsi="宋体" w:cs="宋体" w:eastAsia="宋体" w:hint="default"/>
                <w:b/>
                <w:bCs/>
                <w:sz w:val="18"/>
                <w:szCs w:val="18"/>
              </w:rPr>
              <w:t>变动</w:t>
            </w:r>
            <w:r>
              <w:rPr>
                <w:rFonts w:ascii="宋体" w:hAnsi="宋体" w:cs="宋体" w:eastAsia="宋体" w:hint="default"/>
                <w:sz w:val="18"/>
                <w:szCs w:val="18"/>
              </w:rPr>
            </w:r>
          </w:p>
        </w:tc>
        <w:tc>
          <w:tcPr>
            <w:tcW w:w="14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9"/>
              <w:ind w:left="344"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103"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8"/>
              <w:ind w:left="99" w:right="52" w:hanging="46"/>
              <w:jc w:val="left"/>
              <w:rPr>
                <w:rFonts w:ascii="宋体" w:hAnsi="宋体" w:cs="宋体" w:eastAsia="宋体" w:hint="default"/>
                <w:sz w:val="18"/>
                <w:szCs w:val="18"/>
              </w:rPr>
            </w:pPr>
            <w:r>
              <w:rPr>
                <w:rFonts w:ascii="宋体" w:hAnsi="宋体" w:cs="宋体" w:eastAsia="宋体" w:hint="default"/>
                <w:b/>
                <w:bCs/>
                <w:sz w:val="18"/>
                <w:szCs w:val="18"/>
              </w:rPr>
              <w:t>与资产相关/</w:t>
            </w:r>
            <w:r>
              <w:rPr>
                <w:rFonts w:ascii="宋体" w:hAnsi="宋体" w:cs="宋体" w:eastAsia="宋体" w:hint="default"/>
                <w:b/>
                <w:bCs/>
                <w:w w:val="99"/>
                <w:sz w:val="18"/>
                <w:szCs w:val="18"/>
              </w:rPr>
              <w:t> </w:t>
            </w:r>
            <w:r>
              <w:rPr>
                <w:rFonts w:ascii="宋体" w:hAnsi="宋体" w:cs="宋体" w:eastAsia="宋体" w:hint="default"/>
                <w:b/>
                <w:bCs/>
                <w:sz w:val="18"/>
                <w:szCs w:val="18"/>
              </w:rPr>
              <w:t>与收益相关</w:t>
            </w:r>
            <w:r>
              <w:rPr>
                <w:rFonts w:ascii="宋体" w:hAnsi="宋体" w:cs="宋体" w:eastAsia="宋体" w:hint="default"/>
                <w:sz w:val="18"/>
                <w:szCs w:val="18"/>
              </w:rPr>
            </w:r>
          </w:p>
        </w:tc>
      </w:tr>
      <w:tr>
        <w:trPr>
          <w:trHeight w:val="785"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36" w:right="30"/>
              <w:jc w:val="both"/>
              <w:rPr>
                <w:rFonts w:ascii="宋体" w:hAnsi="宋体" w:cs="宋体" w:eastAsia="宋体" w:hint="default"/>
                <w:sz w:val="18"/>
                <w:szCs w:val="18"/>
              </w:rPr>
            </w:pPr>
            <w:r>
              <w:rPr>
                <w:rFonts w:ascii="宋体" w:hAnsi="宋体" w:cs="宋体" w:eastAsia="宋体" w:hint="default"/>
                <w:spacing w:val="3"/>
                <w:sz w:val="18"/>
                <w:szCs w:val="18"/>
              </w:rPr>
              <w:t>北京市单位内部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公用充电设施建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设补助资金</w:t>
            </w:r>
          </w:p>
        </w:tc>
        <w:tc>
          <w:tcPr>
            <w:tcW w:w="15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1"/>
              <w:jc w:val="right"/>
              <w:rPr>
                <w:rFonts w:ascii="宋体" w:hAnsi="宋体" w:cs="宋体" w:eastAsia="宋体" w:hint="default"/>
                <w:sz w:val="18"/>
                <w:szCs w:val="18"/>
              </w:rPr>
            </w:pPr>
            <w:r>
              <w:rPr>
                <w:rFonts w:ascii="宋体"/>
                <w:spacing w:val="-1"/>
                <w:sz w:val="18"/>
              </w:rPr>
              <w:t>13,666,700.73</w:t>
            </w:r>
          </w:p>
        </w:tc>
        <w:tc>
          <w:tcPr>
            <w:tcW w:w="1417" w:type="dxa"/>
            <w:tcBorders>
              <w:top w:val="single" w:sz="2" w:space="0" w:color="000000"/>
              <w:left w:val="single" w:sz="2" w:space="0" w:color="000000"/>
              <w:bottom w:val="single" w:sz="2" w:space="0" w:color="000000"/>
              <w:right w:val="single" w:sz="2" w:space="0" w:color="000000"/>
            </w:tcBorders>
          </w:tcPr>
          <w:p>
            <w:pPr/>
          </w:p>
        </w:tc>
        <w:tc>
          <w:tcPr>
            <w:tcW w:w="1296" w:type="dxa"/>
            <w:tcBorders>
              <w:top w:val="single" w:sz="2" w:space="0" w:color="000000"/>
              <w:left w:val="single" w:sz="2" w:space="0" w:color="000000"/>
              <w:bottom w:val="single" w:sz="2" w:space="0" w:color="000000"/>
              <w:right w:val="single" w:sz="2" w:space="0" w:color="000000"/>
            </w:tcBorders>
          </w:tcPr>
          <w:p>
            <w:pP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2"/>
              <w:jc w:val="right"/>
              <w:rPr>
                <w:rFonts w:ascii="宋体" w:hAnsi="宋体" w:cs="宋体" w:eastAsia="宋体" w:hint="default"/>
                <w:sz w:val="18"/>
                <w:szCs w:val="18"/>
              </w:rPr>
            </w:pPr>
            <w:r>
              <w:rPr>
                <w:rFonts w:ascii="宋体"/>
                <w:spacing w:val="-1"/>
                <w:sz w:val="18"/>
              </w:rPr>
              <w:t>13,666,700.73</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552"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7"/>
              <w:ind w:left="36" w:right="30"/>
              <w:jc w:val="left"/>
              <w:rPr>
                <w:rFonts w:ascii="宋体" w:hAnsi="宋体" w:cs="宋体" w:eastAsia="宋体" w:hint="default"/>
                <w:sz w:val="18"/>
                <w:szCs w:val="18"/>
              </w:rPr>
            </w:pPr>
            <w:r>
              <w:rPr>
                <w:rFonts w:ascii="宋体" w:hAnsi="宋体" w:cs="宋体" w:eastAsia="宋体" w:hint="default"/>
                <w:spacing w:val="3"/>
                <w:sz w:val="18"/>
                <w:szCs w:val="18"/>
              </w:rPr>
              <w:t>充换电设施投入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市财政补助资金</w:t>
            </w:r>
          </w:p>
        </w:tc>
        <w:tc>
          <w:tcPr>
            <w:tcW w:w="15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31"/>
              <w:jc w:val="right"/>
              <w:rPr>
                <w:rFonts w:ascii="宋体" w:hAnsi="宋体" w:cs="宋体" w:eastAsia="宋体" w:hint="default"/>
                <w:sz w:val="18"/>
                <w:szCs w:val="18"/>
              </w:rPr>
            </w:pPr>
            <w:r>
              <w:rPr>
                <w:rFonts w:ascii="宋体"/>
                <w:spacing w:val="-1"/>
                <w:sz w:val="18"/>
              </w:rPr>
              <w:t>9,741,013.91</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35" w:right="0"/>
              <w:jc w:val="left"/>
              <w:rPr>
                <w:rFonts w:ascii="宋体" w:hAnsi="宋体" w:cs="宋体" w:eastAsia="宋体" w:hint="default"/>
                <w:sz w:val="18"/>
                <w:szCs w:val="18"/>
              </w:rPr>
            </w:pPr>
            <w:r>
              <w:rPr>
                <w:rFonts w:ascii="宋体"/>
                <w:sz w:val="18"/>
              </w:rPr>
              <w:t>17,292,592.00</w:t>
            </w:r>
          </w:p>
        </w:tc>
        <w:tc>
          <w:tcPr>
            <w:tcW w:w="12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06" w:right="0"/>
              <w:jc w:val="left"/>
              <w:rPr>
                <w:rFonts w:ascii="宋体" w:hAnsi="宋体" w:cs="宋体" w:eastAsia="宋体" w:hint="default"/>
                <w:sz w:val="18"/>
                <w:szCs w:val="18"/>
              </w:rPr>
            </w:pPr>
            <w:r>
              <w:rPr>
                <w:rFonts w:ascii="宋体"/>
                <w:sz w:val="18"/>
              </w:rPr>
              <w:t>2,829,335.83</w:t>
            </w: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36" w:right="0"/>
              <w:jc w:val="left"/>
              <w:rPr>
                <w:rFonts w:ascii="宋体" w:hAnsi="宋体" w:cs="宋体" w:eastAsia="宋体" w:hint="default"/>
                <w:sz w:val="18"/>
                <w:szCs w:val="18"/>
              </w:rPr>
            </w:pPr>
            <w:r>
              <w:rPr>
                <w:rFonts w:ascii="宋体"/>
                <w:sz w:val="18"/>
              </w:rPr>
              <w:t>24,204,270.08</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552"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7"/>
              <w:ind w:left="36" w:right="30"/>
              <w:jc w:val="left"/>
              <w:rPr>
                <w:rFonts w:ascii="宋体" w:hAnsi="宋体" w:cs="宋体" w:eastAsia="宋体" w:hint="default"/>
                <w:sz w:val="18"/>
                <w:szCs w:val="18"/>
              </w:rPr>
            </w:pPr>
            <w:r>
              <w:rPr>
                <w:rFonts w:ascii="宋体" w:hAnsi="宋体" w:cs="宋体" w:eastAsia="宋体" w:hint="default"/>
                <w:spacing w:val="3"/>
                <w:sz w:val="18"/>
                <w:szCs w:val="18"/>
              </w:rPr>
              <w:t>电动车智慧充电</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研究院</w:t>
            </w:r>
          </w:p>
        </w:tc>
        <w:tc>
          <w:tcPr>
            <w:tcW w:w="1581"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226" w:right="0"/>
              <w:jc w:val="left"/>
              <w:rPr>
                <w:rFonts w:ascii="宋体" w:hAnsi="宋体" w:cs="宋体" w:eastAsia="宋体" w:hint="default"/>
                <w:sz w:val="18"/>
                <w:szCs w:val="18"/>
              </w:rPr>
            </w:pPr>
            <w:r>
              <w:rPr>
                <w:rFonts w:ascii="宋体"/>
                <w:sz w:val="18"/>
              </w:rPr>
              <w:t>4,841,478.40</w:t>
            </w:r>
          </w:p>
        </w:tc>
        <w:tc>
          <w:tcPr>
            <w:tcW w:w="12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06" w:right="0"/>
              <w:jc w:val="left"/>
              <w:rPr>
                <w:rFonts w:ascii="宋体" w:hAnsi="宋体" w:cs="宋体" w:eastAsia="宋体" w:hint="default"/>
                <w:sz w:val="18"/>
                <w:szCs w:val="18"/>
              </w:rPr>
            </w:pPr>
            <w:r>
              <w:rPr>
                <w:rFonts w:ascii="宋体"/>
                <w:sz w:val="18"/>
              </w:rPr>
              <w:t>1,516,219.05</w:t>
            </w: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227" w:right="0"/>
              <w:jc w:val="left"/>
              <w:rPr>
                <w:rFonts w:ascii="宋体" w:hAnsi="宋体" w:cs="宋体" w:eastAsia="宋体" w:hint="default"/>
                <w:sz w:val="18"/>
                <w:szCs w:val="18"/>
              </w:rPr>
            </w:pPr>
            <w:r>
              <w:rPr>
                <w:rFonts w:ascii="宋体"/>
                <w:sz w:val="18"/>
              </w:rPr>
              <w:t>3,325,259.35</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85"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36" w:right="30"/>
              <w:jc w:val="both"/>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39"/>
                <w:sz w:val="18"/>
                <w:szCs w:val="18"/>
              </w:rPr>
              <w:t> </w:t>
            </w:r>
            <w:r>
              <w:rPr>
                <w:rFonts w:ascii="宋体" w:hAnsi="宋体" w:cs="宋体" w:eastAsia="宋体" w:hint="default"/>
                <w:sz w:val="18"/>
                <w:szCs w:val="18"/>
              </w:rPr>
              <w:t>2</w:t>
            </w:r>
            <w:r>
              <w:rPr>
                <w:rFonts w:ascii="宋体" w:hAnsi="宋体" w:cs="宋体" w:eastAsia="宋体" w:hint="default"/>
                <w:spacing w:val="-40"/>
                <w:sz w:val="18"/>
                <w:szCs w:val="18"/>
              </w:rPr>
              <w:t> </w:t>
            </w:r>
            <w:r>
              <w:rPr>
                <w:rFonts w:ascii="宋体" w:hAnsi="宋体" w:cs="宋体" w:eastAsia="宋体" w:hint="default"/>
                <w:spacing w:val="3"/>
                <w:sz w:val="18"/>
                <w:szCs w:val="18"/>
              </w:rPr>
              <w:t>万吨超高</w:t>
            </w:r>
            <w:r>
              <w:rPr>
                <w:rFonts w:ascii="宋体" w:hAnsi="宋体" w:cs="宋体" w:eastAsia="宋体" w:hint="default"/>
                <w:sz w:val="18"/>
                <w:szCs w:val="18"/>
              </w:rPr>
              <w:t> </w:t>
            </w:r>
            <w:r>
              <w:rPr>
                <w:rFonts w:ascii="宋体" w:hAnsi="宋体" w:cs="宋体" w:eastAsia="宋体" w:hint="default"/>
                <w:spacing w:val="3"/>
                <w:sz w:val="18"/>
                <w:szCs w:val="18"/>
              </w:rPr>
              <w:t>压电缆绝缘料”</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项目政府补助</w:t>
            </w:r>
          </w:p>
        </w:tc>
        <w:tc>
          <w:tcPr>
            <w:tcW w:w="15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1"/>
              <w:jc w:val="right"/>
              <w:rPr>
                <w:rFonts w:ascii="宋体" w:hAnsi="宋体" w:cs="宋体" w:eastAsia="宋体" w:hint="default"/>
                <w:sz w:val="18"/>
                <w:szCs w:val="18"/>
              </w:rPr>
            </w:pPr>
            <w:r>
              <w:rPr>
                <w:rFonts w:ascii="宋体"/>
                <w:spacing w:val="-1"/>
                <w:sz w:val="18"/>
              </w:rPr>
              <w:t>3,313,500.00</w:t>
            </w:r>
          </w:p>
        </w:tc>
        <w:tc>
          <w:tcPr>
            <w:tcW w:w="1417" w:type="dxa"/>
            <w:tcBorders>
              <w:top w:val="single" w:sz="2" w:space="0" w:color="000000"/>
              <w:left w:val="single" w:sz="2" w:space="0" w:color="000000"/>
              <w:bottom w:val="single" w:sz="2" w:space="0" w:color="000000"/>
              <w:right w:val="single" w:sz="2" w:space="0" w:color="000000"/>
            </w:tcBorders>
          </w:tcPr>
          <w:p>
            <w:pPr/>
          </w:p>
        </w:tc>
        <w:tc>
          <w:tcPr>
            <w:tcW w:w="1296" w:type="dxa"/>
            <w:tcBorders>
              <w:top w:val="single" w:sz="2" w:space="0" w:color="000000"/>
              <w:left w:val="single" w:sz="2" w:space="0" w:color="000000"/>
              <w:bottom w:val="single" w:sz="2" w:space="0" w:color="000000"/>
              <w:right w:val="single" w:sz="2" w:space="0" w:color="000000"/>
            </w:tcBorders>
          </w:tcPr>
          <w:p>
            <w:pP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3,313,500.00</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86"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7"/>
              <w:ind w:left="36" w:right="30"/>
              <w:jc w:val="both"/>
              <w:rPr>
                <w:rFonts w:ascii="宋体" w:hAnsi="宋体" w:cs="宋体" w:eastAsia="宋体" w:hint="default"/>
                <w:sz w:val="18"/>
                <w:szCs w:val="18"/>
              </w:rPr>
            </w:pPr>
            <w:r>
              <w:rPr>
                <w:rFonts w:ascii="宋体" w:hAnsi="宋体" w:cs="宋体" w:eastAsia="宋体" w:hint="default"/>
                <w:spacing w:val="3"/>
                <w:sz w:val="18"/>
                <w:szCs w:val="18"/>
              </w:rPr>
              <w:t>青山湖科技城创</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新载体建设项目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补贴</w:t>
            </w:r>
          </w:p>
        </w:tc>
        <w:tc>
          <w:tcPr>
            <w:tcW w:w="15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1"/>
              <w:jc w:val="right"/>
              <w:rPr>
                <w:rFonts w:ascii="宋体" w:hAnsi="宋体" w:cs="宋体" w:eastAsia="宋体" w:hint="default"/>
                <w:sz w:val="18"/>
                <w:szCs w:val="18"/>
              </w:rPr>
            </w:pPr>
            <w:r>
              <w:rPr>
                <w:rFonts w:ascii="宋体"/>
                <w:spacing w:val="-1"/>
                <w:sz w:val="18"/>
              </w:rPr>
              <w:t>1,500,000.00</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98" w:right="0"/>
              <w:jc w:val="left"/>
              <w:rPr>
                <w:rFonts w:ascii="宋体" w:hAnsi="宋体" w:cs="宋体" w:eastAsia="宋体" w:hint="default"/>
                <w:sz w:val="18"/>
                <w:szCs w:val="18"/>
              </w:rPr>
            </w:pPr>
            <w:r>
              <w:rPr>
                <w:rFonts w:ascii="宋体"/>
                <w:sz w:val="18"/>
              </w:rPr>
              <w:t>2,000,000.00</w:t>
            </w:r>
          </w:p>
        </w:tc>
        <w:tc>
          <w:tcPr>
            <w:tcW w:w="12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0"/>
              <w:jc w:val="right"/>
              <w:rPr>
                <w:rFonts w:ascii="宋体" w:hAnsi="宋体" w:cs="宋体" w:eastAsia="宋体" w:hint="default"/>
                <w:sz w:val="18"/>
                <w:szCs w:val="18"/>
              </w:rPr>
            </w:pPr>
            <w:r>
              <w:rPr>
                <w:rFonts w:ascii="宋体"/>
                <w:spacing w:val="-1"/>
                <w:sz w:val="18"/>
              </w:rPr>
              <w:t>1,151,492.94</w:t>
            </w: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2,348,507.06</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85"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36" w:right="30"/>
              <w:jc w:val="both"/>
              <w:rPr>
                <w:rFonts w:ascii="宋体" w:hAnsi="宋体" w:cs="宋体" w:eastAsia="宋体" w:hint="default"/>
                <w:sz w:val="18"/>
                <w:szCs w:val="18"/>
              </w:rPr>
            </w:pPr>
            <w:r>
              <w:rPr>
                <w:rFonts w:ascii="宋体" w:hAnsi="宋体" w:cs="宋体" w:eastAsia="宋体" w:hint="default"/>
                <w:sz w:val="18"/>
                <w:szCs w:val="18"/>
              </w:rPr>
              <w:t>年 产 100 公</w:t>
            </w:r>
            <w:r>
              <w:rPr>
                <w:rFonts w:ascii="宋体" w:hAnsi="宋体" w:cs="宋体" w:eastAsia="宋体" w:hint="default"/>
                <w:spacing w:val="-62"/>
                <w:sz w:val="18"/>
                <w:szCs w:val="18"/>
              </w:rPr>
              <w:t> </w:t>
            </w:r>
            <w:r>
              <w:rPr>
                <w:rFonts w:ascii="宋体" w:hAnsi="宋体" w:cs="宋体" w:eastAsia="宋体" w:hint="default"/>
                <w:sz w:val="18"/>
                <w:szCs w:val="18"/>
              </w:rPr>
              <w:t>里</w:t>
            </w:r>
            <w:r>
              <w:rPr>
                <w:rFonts w:ascii="宋体" w:hAnsi="宋体" w:cs="宋体" w:eastAsia="宋体" w:hint="default"/>
                <w:sz w:val="18"/>
                <w:szCs w:val="18"/>
              </w:rPr>
              <w:t> 500kV</w:t>
            </w:r>
            <w:r>
              <w:rPr>
                <w:rFonts w:ascii="宋体" w:hAnsi="宋体" w:cs="宋体" w:eastAsia="宋体" w:hint="default"/>
                <w:spacing w:val="-28"/>
                <w:sz w:val="18"/>
                <w:szCs w:val="18"/>
              </w:rPr>
              <w:t> </w:t>
            </w:r>
            <w:r>
              <w:rPr>
                <w:rFonts w:ascii="宋体" w:hAnsi="宋体" w:cs="宋体" w:eastAsia="宋体" w:hint="default"/>
                <w:spacing w:val="14"/>
                <w:sz w:val="18"/>
                <w:szCs w:val="18"/>
              </w:rPr>
              <w:t>交联电缆</w:t>
            </w:r>
            <w:r>
              <w:rPr>
                <w:rFonts w:ascii="宋体" w:hAnsi="宋体" w:cs="宋体" w:eastAsia="宋体" w:hint="default"/>
                <w:sz w:val="18"/>
                <w:szCs w:val="18"/>
              </w:rPr>
              <w:t> 项目</w:t>
            </w:r>
          </w:p>
        </w:tc>
        <w:tc>
          <w:tcPr>
            <w:tcW w:w="15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31"/>
              <w:jc w:val="right"/>
              <w:rPr>
                <w:rFonts w:ascii="宋体" w:hAnsi="宋体" w:cs="宋体" w:eastAsia="宋体" w:hint="default"/>
                <w:sz w:val="18"/>
                <w:szCs w:val="18"/>
              </w:rPr>
            </w:pPr>
            <w:r>
              <w:rPr>
                <w:rFonts w:ascii="宋体"/>
                <w:spacing w:val="-1"/>
                <w:sz w:val="18"/>
              </w:rPr>
              <w:t>1,050,000.00</w:t>
            </w:r>
          </w:p>
        </w:tc>
        <w:tc>
          <w:tcPr>
            <w:tcW w:w="1417" w:type="dxa"/>
            <w:tcBorders>
              <w:top w:val="single" w:sz="2" w:space="0" w:color="000000"/>
              <w:left w:val="single" w:sz="2" w:space="0" w:color="000000"/>
              <w:bottom w:val="single" w:sz="2" w:space="0" w:color="000000"/>
              <w:right w:val="single" w:sz="2" w:space="0" w:color="000000"/>
            </w:tcBorders>
          </w:tcPr>
          <w:p>
            <w:pPr/>
          </w:p>
        </w:tc>
        <w:tc>
          <w:tcPr>
            <w:tcW w:w="1296" w:type="dxa"/>
            <w:tcBorders>
              <w:top w:val="single" w:sz="2" w:space="0" w:color="000000"/>
              <w:left w:val="single" w:sz="2" w:space="0" w:color="000000"/>
              <w:bottom w:val="single" w:sz="2" w:space="0" w:color="000000"/>
              <w:right w:val="single" w:sz="2" w:space="0" w:color="000000"/>
            </w:tcBorders>
          </w:tcPr>
          <w:p>
            <w:pP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1,050,000.00</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552"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36" w:right="30"/>
              <w:jc w:val="left"/>
              <w:rPr>
                <w:rFonts w:ascii="宋体" w:hAnsi="宋体" w:cs="宋体" w:eastAsia="宋体" w:hint="default"/>
                <w:sz w:val="18"/>
                <w:szCs w:val="18"/>
              </w:rPr>
            </w:pPr>
            <w:r>
              <w:rPr>
                <w:rFonts w:ascii="宋体" w:hAnsi="宋体" w:cs="宋体" w:eastAsia="宋体" w:hint="default"/>
                <w:spacing w:val="3"/>
                <w:sz w:val="18"/>
                <w:szCs w:val="18"/>
              </w:rPr>
              <w:t>基于锂电池项目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政府补贴</w:t>
            </w:r>
          </w:p>
        </w:tc>
        <w:tc>
          <w:tcPr>
            <w:tcW w:w="15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31"/>
              <w:jc w:val="right"/>
              <w:rPr>
                <w:rFonts w:ascii="宋体" w:hAnsi="宋体" w:cs="宋体" w:eastAsia="宋体" w:hint="default"/>
                <w:sz w:val="18"/>
                <w:szCs w:val="18"/>
              </w:rPr>
            </w:pPr>
            <w:r>
              <w:rPr>
                <w:rFonts w:ascii="宋体"/>
                <w:spacing w:val="-1"/>
                <w:sz w:val="18"/>
              </w:rPr>
              <w:t>1,605,225.70</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298" w:right="0"/>
              <w:jc w:val="left"/>
              <w:rPr>
                <w:rFonts w:ascii="宋体" w:hAnsi="宋体" w:cs="宋体" w:eastAsia="宋体" w:hint="default"/>
                <w:sz w:val="18"/>
                <w:szCs w:val="18"/>
              </w:rPr>
            </w:pPr>
            <w:r>
              <w:rPr>
                <w:rFonts w:ascii="宋体"/>
                <w:sz w:val="18"/>
              </w:rPr>
              <w:t>3,000,000.00</w:t>
            </w:r>
          </w:p>
        </w:tc>
        <w:tc>
          <w:tcPr>
            <w:tcW w:w="12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30"/>
              <w:jc w:val="right"/>
              <w:rPr>
                <w:rFonts w:ascii="宋体" w:hAnsi="宋体" w:cs="宋体" w:eastAsia="宋体" w:hint="default"/>
                <w:sz w:val="18"/>
                <w:szCs w:val="18"/>
              </w:rPr>
            </w:pPr>
            <w:r>
              <w:rPr>
                <w:rFonts w:ascii="宋体"/>
                <w:spacing w:val="-1"/>
                <w:sz w:val="18"/>
              </w:rPr>
              <w:t>4,001,681.61</w:t>
            </w: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29"/>
              <w:jc w:val="right"/>
              <w:rPr>
                <w:rFonts w:ascii="宋体" w:hAnsi="宋体" w:cs="宋体" w:eastAsia="宋体" w:hint="default"/>
                <w:sz w:val="18"/>
                <w:szCs w:val="18"/>
              </w:rPr>
            </w:pPr>
            <w:r>
              <w:rPr>
                <w:rFonts w:ascii="宋体"/>
                <w:spacing w:val="-1"/>
                <w:sz w:val="18"/>
              </w:rPr>
              <w:t>603,544.09</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85" w:hRule="exact"/>
        </w:trPr>
        <w:tc>
          <w:tcPr>
            <w:tcW w:w="136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5"/>
              <w:ind w:left="36" w:right="30"/>
              <w:jc w:val="both"/>
              <w:rPr>
                <w:rFonts w:ascii="宋体" w:hAnsi="宋体" w:cs="宋体" w:eastAsia="宋体" w:hint="default"/>
                <w:sz w:val="18"/>
                <w:szCs w:val="18"/>
              </w:rPr>
            </w:pPr>
            <w:r>
              <w:rPr>
                <w:rFonts w:ascii="宋体" w:hAnsi="宋体" w:cs="宋体" w:eastAsia="宋体" w:hint="default"/>
                <w:spacing w:val="3"/>
                <w:sz w:val="18"/>
                <w:szCs w:val="18"/>
              </w:rPr>
              <w:t>武汉市新能源汽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车充电基础设施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补贴</w:t>
            </w:r>
          </w:p>
        </w:tc>
        <w:tc>
          <w:tcPr>
            <w:tcW w:w="15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1"/>
              <w:jc w:val="right"/>
              <w:rPr>
                <w:rFonts w:ascii="宋体" w:hAnsi="宋体" w:cs="宋体" w:eastAsia="宋体" w:hint="default"/>
                <w:sz w:val="18"/>
                <w:szCs w:val="18"/>
              </w:rPr>
            </w:pPr>
            <w:r>
              <w:rPr>
                <w:rFonts w:ascii="宋体"/>
                <w:spacing w:val="-1"/>
                <w:sz w:val="18"/>
              </w:rPr>
              <w:t>198,521.64</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0"/>
              <w:jc w:val="right"/>
              <w:rPr>
                <w:rFonts w:ascii="宋体" w:hAnsi="宋体" w:cs="宋体" w:eastAsia="宋体" w:hint="default"/>
                <w:sz w:val="18"/>
                <w:szCs w:val="18"/>
              </w:rPr>
            </w:pPr>
            <w:r>
              <w:rPr>
                <w:rFonts w:ascii="宋体"/>
                <w:spacing w:val="-1"/>
                <w:sz w:val="18"/>
              </w:rPr>
              <w:t>973,000.00</w:t>
            </w:r>
          </w:p>
        </w:tc>
        <w:tc>
          <w:tcPr>
            <w:tcW w:w="12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0"/>
              <w:jc w:val="right"/>
              <w:rPr>
                <w:rFonts w:ascii="宋体" w:hAnsi="宋体" w:cs="宋体" w:eastAsia="宋体" w:hint="default"/>
                <w:sz w:val="18"/>
                <w:szCs w:val="18"/>
              </w:rPr>
            </w:pPr>
            <w:r>
              <w:rPr>
                <w:rFonts w:ascii="宋体"/>
                <w:spacing w:val="-1"/>
                <w:sz w:val="18"/>
              </w:rPr>
              <w:t>316,312.54</w:t>
            </w:r>
          </w:p>
        </w:tc>
        <w:tc>
          <w:tcPr>
            <w:tcW w:w="546" w:type="dxa"/>
            <w:tcBorders>
              <w:top w:val="single" w:sz="2" w:space="0" w:color="000000"/>
              <w:left w:val="single" w:sz="2" w:space="0" w:color="000000"/>
              <w:bottom w:val="single" w:sz="2" w:space="0" w:color="000000"/>
              <w:right w:val="single" w:sz="2" w:space="0" w:color="000000"/>
            </w:tcBorders>
          </w:tcPr>
          <w:p>
            <w:pP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855,209.10</w:t>
            </w:r>
          </w:p>
        </w:tc>
        <w:tc>
          <w:tcPr>
            <w:tcW w:w="110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14" w:hRule="exact"/>
        </w:trPr>
        <w:tc>
          <w:tcPr>
            <w:tcW w:w="136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36"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8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b/>
                <w:w w:val="95"/>
                <w:sz w:val="18"/>
              </w:rPr>
              <w:t>31,074,961.98</w:t>
            </w:r>
            <w:r>
              <w:rPr>
                <w:rFonts w:ascii="宋体"/>
                <w:sz w:val="18"/>
              </w:rPr>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b/>
                <w:w w:val="95"/>
                <w:sz w:val="18"/>
              </w:rPr>
              <w:t>28,107,070.40</w:t>
            </w:r>
            <w:r>
              <w:rPr>
                <w:rFonts w:ascii="宋体"/>
                <w:sz w:val="18"/>
              </w:rPr>
            </w:r>
          </w:p>
        </w:tc>
        <w:tc>
          <w:tcPr>
            <w:tcW w:w="129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b/>
                <w:w w:val="95"/>
                <w:sz w:val="18"/>
              </w:rPr>
              <w:t>9,815,041.97</w:t>
            </w:r>
            <w:r>
              <w:rPr>
                <w:rFonts w:ascii="宋体"/>
                <w:sz w:val="18"/>
              </w:rPr>
            </w:r>
          </w:p>
        </w:tc>
        <w:tc>
          <w:tcPr>
            <w:tcW w:w="546" w:type="dxa"/>
            <w:tcBorders>
              <w:top w:val="single" w:sz="2" w:space="0" w:color="000000"/>
              <w:left w:val="single" w:sz="2" w:space="0" w:color="000000"/>
              <w:bottom w:val="single" w:sz="12" w:space="0" w:color="000000"/>
              <w:right w:val="single" w:sz="2" w:space="0" w:color="000000"/>
            </w:tcBorders>
          </w:tcPr>
          <w:p>
            <w:pP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b/>
                <w:w w:val="95"/>
                <w:sz w:val="18"/>
              </w:rPr>
              <w:t>49,366,990.41</w:t>
            </w:r>
            <w:r>
              <w:rPr>
                <w:rFonts w:ascii="宋体"/>
                <w:sz w:val="18"/>
              </w:rPr>
            </w:r>
          </w:p>
        </w:tc>
        <w:tc>
          <w:tcPr>
            <w:tcW w:w="1103" w:type="dxa"/>
            <w:tcBorders>
              <w:top w:val="single" w:sz="2" w:space="0" w:color="000000"/>
              <w:left w:val="single" w:sz="2"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32.</w:t>
      </w:r>
      <w:r>
        <w:rPr>
          <w:spacing w:val="-46"/>
        </w:rPr>
        <w:t> </w:t>
      </w:r>
      <w:bookmarkStart w:name="32.股本" w:id="313"/>
      <w:bookmarkEnd w:id="313"/>
      <w:r>
        <w:rPr/>
        <w:t>股</w:t>
      </w:r>
      <w:r>
        <w:rPr/>
        <w:t>本</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960"/>
        <w:gridCol w:w="1699"/>
        <w:gridCol w:w="993"/>
        <w:gridCol w:w="708"/>
        <w:gridCol w:w="1136"/>
        <w:gridCol w:w="708"/>
        <w:gridCol w:w="823"/>
        <w:gridCol w:w="1696"/>
      </w:tblGrid>
      <w:tr>
        <w:trPr>
          <w:trHeight w:val="415" w:hRule="exact"/>
        </w:trPr>
        <w:tc>
          <w:tcPr>
            <w:tcW w:w="960" w:type="dxa"/>
            <w:vMerge w:val="restart"/>
            <w:tcBorders>
              <w:top w:val="single" w:sz="12" w:space="0" w:color="000000"/>
              <w:left w:val="nil" w:sz="6" w:space="0" w:color="auto"/>
              <w:right w:val="single" w:sz="2"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99" w:type="dxa"/>
            <w:vMerge w:val="restart"/>
            <w:tcBorders>
              <w:top w:val="single" w:sz="12" w:space="0" w:color="000000"/>
              <w:left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4368" w:type="dxa"/>
            <w:gridSpan w:val="5"/>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1282" w:right="0"/>
              <w:jc w:val="left"/>
              <w:rPr>
                <w:rFonts w:ascii="宋体" w:hAnsi="宋体" w:cs="宋体" w:eastAsia="宋体" w:hint="default"/>
                <w:sz w:val="18"/>
                <w:szCs w:val="18"/>
              </w:rPr>
            </w:pPr>
            <w:r>
              <w:rPr>
                <w:rFonts w:ascii="宋体" w:hAnsi="宋体" w:cs="宋体" w:eastAsia="宋体" w:hint="default"/>
                <w:b/>
                <w:bCs/>
                <w:sz w:val="18"/>
                <w:szCs w:val="18"/>
              </w:rPr>
              <w:t>本年变动增减（+、-）</w:t>
            </w:r>
            <w:r>
              <w:rPr>
                <w:rFonts w:ascii="宋体" w:hAnsi="宋体" w:cs="宋体" w:eastAsia="宋体" w:hint="default"/>
                <w:sz w:val="18"/>
                <w:szCs w:val="18"/>
              </w:rPr>
            </w:r>
          </w:p>
        </w:tc>
        <w:tc>
          <w:tcPr>
            <w:tcW w:w="1696" w:type="dxa"/>
            <w:vMerge w:val="restart"/>
            <w:tcBorders>
              <w:top w:val="single" w:sz="12" w:space="0" w:color="000000"/>
              <w:left w:val="single" w:sz="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960" w:type="dxa"/>
            <w:vMerge/>
            <w:tcBorders>
              <w:left w:val="nil" w:sz="6" w:space="0" w:color="auto"/>
              <w:bottom w:val="single" w:sz="2" w:space="0" w:color="000000"/>
              <w:right w:val="single" w:sz="2" w:space="0" w:color="000000"/>
            </w:tcBorders>
          </w:tcPr>
          <w:p>
            <w:pPr/>
          </w:p>
        </w:tc>
        <w:tc>
          <w:tcPr>
            <w:tcW w:w="1699" w:type="dxa"/>
            <w:vMerge/>
            <w:tcBorders>
              <w:left w:val="single" w:sz="2" w:space="0" w:color="000000"/>
              <w:bottom w:val="single" w:sz="2" w:space="0" w:color="000000"/>
              <w:right w:val="single" w:sz="2" w:space="0" w:color="000000"/>
            </w:tcBorders>
          </w:tcPr>
          <w:p>
            <w:pP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32" w:right="0"/>
              <w:jc w:val="left"/>
              <w:rPr>
                <w:rFonts w:ascii="宋体" w:hAnsi="宋体" w:cs="宋体" w:eastAsia="宋体" w:hint="default"/>
                <w:sz w:val="18"/>
                <w:szCs w:val="18"/>
              </w:rPr>
            </w:pPr>
            <w:r>
              <w:rPr>
                <w:rFonts w:ascii="宋体" w:hAnsi="宋体" w:cs="宋体" w:eastAsia="宋体" w:hint="default"/>
                <w:b/>
                <w:bCs/>
                <w:sz w:val="18"/>
                <w:szCs w:val="18"/>
              </w:rPr>
              <w:t>发行新股</w:t>
            </w:r>
            <w:r>
              <w:rPr>
                <w:rFonts w:ascii="宋体" w:hAnsi="宋体" w:cs="宋体" w:eastAsia="宋体" w:hint="default"/>
                <w:sz w:val="18"/>
                <w:szCs w:val="18"/>
              </w:rPr>
            </w: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71" w:right="0"/>
              <w:jc w:val="left"/>
              <w:rPr>
                <w:rFonts w:ascii="宋体" w:hAnsi="宋体" w:cs="宋体" w:eastAsia="宋体" w:hint="default"/>
                <w:sz w:val="18"/>
                <w:szCs w:val="18"/>
              </w:rPr>
            </w:pPr>
            <w:r>
              <w:rPr>
                <w:rFonts w:ascii="宋体" w:hAnsi="宋体" w:cs="宋体" w:eastAsia="宋体" w:hint="default"/>
                <w:b/>
                <w:bCs/>
                <w:sz w:val="18"/>
                <w:szCs w:val="18"/>
              </w:rPr>
              <w:t>送股</w:t>
            </w:r>
            <w:r>
              <w:rPr>
                <w:rFonts w:ascii="宋体" w:hAnsi="宋体" w:cs="宋体" w:eastAsia="宋体" w:hint="default"/>
                <w:sz w:val="18"/>
                <w:szCs w:val="18"/>
              </w:rPr>
            </w:r>
          </w:p>
        </w:tc>
        <w:tc>
          <w:tcPr>
            <w:tcW w:w="11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16" w:right="0"/>
              <w:jc w:val="left"/>
              <w:rPr>
                <w:rFonts w:ascii="宋体" w:hAnsi="宋体" w:cs="宋体" w:eastAsia="宋体" w:hint="default"/>
                <w:sz w:val="18"/>
                <w:szCs w:val="18"/>
              </w:rPr>
            </w:pPr>
            <w:r>
              <w:rPr>
                <w:rFonts w:ascii="宋体" w:hAnsi="宋体" w:cs="宋体" w:eastAsia="宋体" w:hint="default"/>
                <w:b/>
                <w:bCs/>
                <w:sz w:val="18"/>
                <w:szCs w:val="18"/>
              </w:rPr>
              <w:t>公积金转股</w:t>
            </w:r>
            <w:r>
              <w:rPr>
                <w:rFonts w:ascii="宋体" w:hAnsi="宋体" w:cs="宋体" w:eastAsia="宋体" w:hint="default"/>
                <w:sz w:val="18"/>
                <w:szCs w:val="18"/>
              </w:rPr>
            </w: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71"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82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228"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696" w:type="dxa"/>
            <w:vMerge/>
            <w:tcBorders>
              <w:left w:val="single" w:sz="2" w:space="0" w:color="000000"/>
              <w:bottom w:val="single" w:sz="2" w:space="0" w:color="000000"/>
              <w:right w:val="nil" w:sz="6" w:space="0" w:color="auto"/>
            </w:tcBorders>
          </w:tcPr>
          <w:p>
            <w:pPr/>
          </w:p>
        </w:tc>
      </w:tr>
      <w:tr>
        <w:trPr>
          <w:trHeight w:val="414" w:hRule="exact"/>
        </w:trPr>
        <w:tc>
          <w:tcPr>
            <w:tcW w:w="96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股份总额</w:t>
            </w:r>
          </w:p>
        </w:tc>
        <w:tc>
          <w:tcPr>
            <w:tcW w:w="169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202" w:right="0"/>
              <w:jc w:val="left"/>
              <w:rPr>
                <w:rFonts w:ascii="宋体" w:hAnsi="宋体" w:cs="宋体" w:eastAsia="宋体" w:hint="default"/>
                <w:sz w:val="18"/>
                <w:szCs w:val="18"/>
              </w:rPr>
            </w:pPr>
            <w:r>
              <w:rPr>
                <w:rFonts w:ascii="宋体"/>
                <w:sz w:val="18"/>
              </w:rPr>
              <w:t>1,035,489,098.00</w:t>
            </w:r>
          </w:p>
        </w:tc>
        <w:tc>
          <w:tcPr>
            <w:tcW w:w="993" w:type="dxa"/>
            <w:tcBorders>
              <w:top w:val="single" w:sz="2" w:space="0" w:color="000000"/>
              <w:left w:val="single" w:sz="2" w:space="0" w:color="000000"/>
              <w:bottom w:val="single" w:sz="12" w:space="0" w:color="000000"/>
              <w:right w:val="single" w:sz="2" w:space="0" w:color="000000"/>
            </w:tcBorders>
          </w:tcPr>
          <w:p>
            <w:pPr/>
          </w:p>
        </w:tc>
        <w:tc>
          <w:tcPr>
            <w:tcW w:w="708" w:type="dxa"/>
            <w:tcBorders>
              <w:top w:val="single" w:sz="2" w:space="0" w:color="000000"/>
              <w:left w:val="single" w:sz="2" w:space="0" w:color="000000"/>
              <w:bottom w:val="single" w:sz="12" w:space="0" w:color="000000"/>
              <w:right w:val="single" w:sz="2" w:space="0" w:color="000000"/>
            </w:tcBorders>
          </w:tcPr>
          <w:p>
            <w:pPr/>
          </w:p>
        </w:tc>
        <w:tc>
          <w:tcPr>
            <w:tcW w:w="1136" w:type="dxa"/>
            <w:tcBorders>
              <w:top w:val="single" w:sz="2" w:space="0" w:color="000000"/>
              <w:left w:val="single" w:sz="2" w:space="0" w:color="000000"/>
              <w:bottom w:val="single" w:sz="12" w:space="0" w:color="000000"/>
              <w:right w:val="single" w:sz="2" w:space="0" w:color="000000"/>
            </w:tcBorders>
          </w:tcPr>
          <w:p>
            <w:pPr/>
          </w:p>
        </w:tc>
        <w:tc>
          <w:tcPr>
            <w:tcW w:w="708" w:type="dxa"/>
            <w:tcBorders>
              <w:top w:val="single" w:sz="2" w:space="0" w:color="000000"/>
              <w:left w:val="single" w:sz="2" w:space="0" w:color="000000"/>
              <w:bottom w:val="single" w:sz="12" w:space="0" w:color="000000"/>
              <w:right w:val="single" w:sz="2" w:space="0" w:color="000000"/>
            </w:tcBorders>
          </w:tcPr>
          <w:p>
            <w:pPr/>
          </w:p>
        </w:tc>
        <w:tc>
          <w:tcPr>
            <w:tcW w:w="823" w:type="dxa"/>
            <w:tcBorders>
              <w:top w:val="single" w:sz="2" w:space="0" w:color="000000"/>
              <w:left w:val="single" w:sz="2" w:space="0" w:color="000000"/>
              <w:bottom w:val="single" w:sz="12" w:space="0" w:color="000000"/>
              <w:right w:val="single" w:sz="2" w:space="0" w:color="000000"/>
            </w:tcBorders>
          </w:tcPr>
          <w:p>
            <w:pPr/>
          </w:p>
        </w:tc>
        <w:tc>
          <w:tcPr>
            <w:tcW w:w="169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200" w:right="0"/>
              <w:jc w:val="left"/>
              <w:rPr>
                <w:rFonts w:ascii="宋体" w:hAnsi="宋体" w:cs="宋体" w:eastAsia="宋体" w:hint="default"/>
                <w:sz w:val="18"/>
                <w:szCs w:val="18"/>
              </w:rPr>
            </w:pPr>
            <w:r>
              <w:rPr>
                <w:rFonts w:ascii="宋体"/>
                <w:sz w:val="18"/>
              </w:rPr>
              <w:t>1,035,489,098.00</w:t>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33.</w:t>
      </w:r>
      <w:r>
        <w:rPr>
          <w:spacing w:val="-48"/>
        </w:rPr>
        <w:t> </w:t>
      </w:r>
      <w:bookmarkStart w:name="33.资本公积" w:id="314"/>
      <w:bookmarkEnd w:id="314"/>
      <w:r>
        <w:rPr/>
        <w:t>资</w:t>
      </w:r>
      <w:r>
        <w:rPr/>
        <w:t>本公积</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592"/>
        <w:gridCol w:w="1991"/>
        <w:gridCol w:w="1724"/>
        <w:gridCol w:w="1425"/>
        <w:gridCol w:w="1991"/>
      </w:tblGrid>
      <w:tr>
        <w:trPr>
          <w:trHeight w:val="415" w:hRule="exact"/>
        </w:trPr>
        <w:tc>
          <w:tcPr>
            <w:tcW w:w="1592"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33"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72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00"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42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50"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991"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31"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1592"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股本溢价</w:t>
            </w:r>
          </w:p>
        </w:tc>
        <w:tc>
          <w:tcPr>
            <w:tcW w:w="1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1,542,111,313.12</w:t>
            </w:r>
          </w:p>
        </w:tc>
        <w:tc>
          <w:tcPr>
            <w:tcW w:w="1724" w:type="dxa"/>
            <w:tcBorders>
              <w:top w:val="single" w:sz="2" w:space="0" w:color="000000"/>
              <w:left w:val="single" w:sz="2" w:space="0" w:color="000000"/>
              <w:bottom w:val="single" w:sz="2" w:space="0" w:color="000000"/>
              <w:right w:val="single" w:sz="2" w:space="0" w:color="000000"/>
            </w:tcBorders>
          </w:tcPr>
          <w:p>
            <w:pPr/>
          </w:p>
        </w:tc>
        <w:tc>
          <w:tcPr>
            <w:tcW w:w="1425" w:type="dxa"/>
            <w:tcBorders>
              <w:top w:val="single" w:sz="2" w:space="0" w:color="000000"/>
              <w:left w:val="single" w:sz="2" w:space="0" w:color="000000"/>
              <w:bottom w:val="single" w:sz="2" w:space="0" w:color="000000"/>
              <w:right w:val="single" w:sz="2" w:space="0" w:color="000000"/>
            </w:tcBorders>
          </w:tcPr>
          <w:p>
            <w:pPr/>
          </w:p>
        </w:tc>
        <w:tc>
          <w:tcPr>
            <w:tcW w:w="199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1,542,111,313.12</w:t>
            </w:r>
          </w:p>
        </w:tc>
      </w:tr>
      <w:tr>
        <w:trPr>
          <w:trHeight w:val="400" w:hRule="exact"/>
        </w:trPr>
        <w:tc>
          <w:tcPr>
            <w:tcW w:w="1592"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13,086,400.00</w:t>
            </w:r>
          </w:p>
        </w:tc>
        <w:tc>
          <w:tcPr>
            <w:tcW w:w="1724" w:type="dxa"/>
            <w:tcBorders>
              <w:top w:val="single" w:sz="2" w:space="0" w:color="000000"/>
              <w:left w:val="single" w:sz="2" w:space="0" w:color="000000"/>
              <w:bottom w:val="single" w:sz="2" w:space="0" w:color="000000"/>
              <w:right w:val="single" w:sz="2" w:space="0" w:color="000000"/>
            </w:tcBorders>
          </w:tcPr>
          <w:p>
            <w:pPr/>
          </w:p>
        </w:tc>
        <w:tc>
          <w:tcPr>
            <w:tcW w:w="1425" w:type="dxa"/>
            <w:tcBorders>
              <w:top w:val="single" w:sz="2" w:space="0" w:color="000000"/>
              <w:left w:val="single" w:sz="2" w:space="0" w:color="000000"/>
              <w:bottom w:val="single" w:sz="2" w:space="0" w:color="000000"/>
              <w:right w:val="single" w:sz="2" w:space="0" w:color="000000"/>
            </w:tcBorders>
          </w:tcPr>
          <w:p>
            <w:pPr/>
          </w:p>
        </w:tc>
        <w:tc>
          <w:tcPr>
            <w:tcW w:w="199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13,086,400.00</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9"/>
        <w:rPr>
          <w:rFonts w:ascii="Times New Roman" w:hAnsi="Times New Roman" w:cs="Times New Roman" w:eastAsia="Times New Roman"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1592"/>
        <w:gridCol w:w="1991"/>
        <w:gridCol w:w="1724"/>
        <w:gridCol w:w="1425"/>
        <w:gridCol w:w="1991"/>
      </w:tblGrid>
      <w:tr>
        <w:trPr>
          <w:trHeight w:val="415" w:hRule="exact"/>
        </w:trPr>
        <w:tc>
          <w:tcPr>
            <w:tcW w:w="1592"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33"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72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00"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42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50"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991"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31"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14" w:hRule="exact"/>
        </w:trPr>
        <w:tc>
          <w:tcPr>
            <w:tcW w:w="1592"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441" w:right="0"/>
              <w:jc w:val="left"/>
              <w:rPr>
                <w:rFonts w:ascii="宋体" w:hAnsi="宋体" w:cs="宋体" w:eastAsia="宋体" w:hint="default"/>
                <w:sz w:val="18"/>
                <w:szCs w:val="18"/>
              </w:rPr>
            </w:pPr>
            <w:r>
              <w:rPr>
                <w:rFonts w:ascii="宋体"/>
                <w:b/>
                <w:sz w:val="18"/>
              </w:rPr>
              <w:t>1,555,197,713.12</w:t>
            </w:r>
            <w:r>
              <w:rPr>
                <w:rFonts w:ascii="宋体"/>
                <w:sz w:val="18"/>
              </w:rPr>
            </w:r>
          </w:p>
        </w:tc>
        <w:tc>
          <w:tcPr>
            <w:tcW w:w="1724" w:type="dxa"/>
            <w:tcBorders>
              <w:top w:val="single" w:sz="2" w:space="0" w:color="000000"/>
              <w:left w:val="single" w:sz="2" w:space="0" w:color="000000"/>
              <w:bottom w:val="single" w:sz="12" w:space="0" w:color="000000"/>
              <w:right w:val="single" w:sz="2" w:space="0" w:color="000000"/>
            </w:tcBorders>
          </w:tcPr>
          <w:p>
            <w:pPr/>
          </w:p>
        </w:tc>
        <w:tc>
          <w:tcPr>
            <w:tcW w:w="1425" w:type="dxa"/>
            <w:tcBorders>
              <w:top w:val="single" w:sz="2" w:space="0" w:color="000000"/>
              <w:left w:val="single" w:sz="2" w:space="0" w:color="000000"/>
              <w:bottom w:val="single" w:sz="12" w:space="0" w:color="000000"/>
              <w:right w:val="single" w:sz="2" w:space="0" w:color="000000"/>
            </w:tcBorders>
          </w:tcPr>
          <w:p>
            <w:pPr/>
          </w:p>
        </w:tc>
        <w:tc>
          <w:tcPr>
            <w:tcW w:w="1991"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439" w:right="0"/>
              <w:jc w:val="left"/>
              <w:rPr>
                <w:rFonts w:ascii="宋体" w:hAnsi="宋体" w:cs="宋体" w:eastAsia="宋体" w:hint="default"/>
                <w:sz w:val="18"/>
                <w:szCs w:val="18"/>
              </w:rPr>
            </w:pPr>
            <w:r>
              <w:rPr>
                <w:rFonts w:ascii="宋体"/>
                <w:b/>
                <w:sz w:val="18"/>
              </w:rPr>
              <w:t>1,555,197,713.12</w:t>
            </w:r>
            <w:r>
              <w:rPr>
                <w:rFonts w:ascii="宋体"/>
                <w:sz w:val="18"/>
              </w:rPr>
            </w:r>
          </w:p>
        </w:tc>
      </w:tr>
    </w:tbl>
    <w:p>
      <w:pPr>
        <w:spacing w:after="0" w:line="240" w:lineRule="auto"/>
        <w:jc w:val="left"/>
        <w:rPr>
          <w:rFonts w:ascii="宋体" w:hAnsi="宋体" w:cs="宋体" w:eastAsia="宋体" w:hint="default"/>
          <w:sz w:val="18"/>
          <w:szCs w:val="18"/>
        </w:rPr>
        <w:sectPr>
          <w:pgSz w:w="11910" w:h="16840"/>
          <w:pgMar w:header="939" w:footer="883" w:top="1940" w:bottom="1080" w:left="1460" w:right="0"/>
        </w:sectPr>
      </w:pPr>
    </w:p>
    <w:p>
      <w:pPr>
        <w:pStyle w:val="Heading4"/>
        <w:spacing w:line="240" w:lineRule="auto" w:before="3"/>
        <w:ind w:left="238" w:right="0"/>
        <w:jc w:val="left"/>
        <w:rPr>
          <w:b w:val="0"/>
          <w:bCs w:val="0"/>
        </w:rPr>
      </w:pPr>
      <w:r>
        <w:rPr/>
        <w:pict>
          <v:shape style="position:absolute;margin-left:589.160217pt;margin-top:570.55481pt;width:42.077306pt;height:18.950848pt;mso-position-horizontal-relative:page;mso-position-vertical-relative:page;z-index:1768" type="#_x0000_t75" stroked="false">
            <v:imagedata r:id="rId48" o:title=""/>
          </v:shape>
        </w:pict>
      </w:r>
      <w:r>
        <w:rPr/>
        <w:t>浙江万马股份有限公司财务报表附注</w:t>
      </w:r>
      <w:r>
        <w:rPr>
          <w:b w:val="0"/>
          <w:bCs w:val="0"/>
        </w:rPr>
      </w:r>
    </w:p>
    <w:p>
      <w:pPr>
        <w:spacing w:before="109"/>
        <w:ind w:left="238"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38"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p>
      <w:pPr>
        <w:spacing w:line="240" w:lineRule="auto" w:before="7"/>
        <w:rPr>
          <w:rFonts w:ascii="宋体" w:hAnsi="宋体" w:cs="宋体" w:eastAsia="宋体" w:hint="default"/>
          <w:sz w:val="6"/>
          <w:szCs w:val="6"/>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95.6pt;height:.75pt;mso-position-horizontal-relative:char;mso-position-vertical-relative:line" coordorigin="0,0" coordsize="13912,15">
            <v:group style="position:absolute;left:8;top:8;width:13897;height:2" coordorigin="8,8" coordsize="13897,2">
              <v:shape style="position:absolute;left:8;top:8;width:13897;height:2" coordorigin="8,8" coordsize="13897,0" path="m8,8l13905,8e" filled="false" stroked="true" strokeweight=".75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7"/>
          <w:szCs w:val="7"/>
        </w:rPr>
      </w:pPr>
    </w:p>
    <w:p>
      <w:pPr>
        <w:pStyle w:val="BodyText"/>
        <w:spacing w:line="240" w:lineRule="auto"/>
        <w:ind w:left="641" w:right="0"/>
        <w:jc w:val="left"/>
      </w:pPr>
      <w:r>
        <w:rPr/>
        <w:t>34.</w:t>
      </w:r>
      <w:r>
        <w:rPr>
          <w:spacing w:val="-50"/>
        </w:rPr>
        <w:t> </w:t>
      </w:r>
      <w:bookmarkStart w:name="34.其他综合收益" w:id="315"/>
      <w:bookmarkEnd w:id="315"/>
      <w:r>
        <w:rPr/>
        <w:t>其</w:t>
      </w:r>
      <w:r>
        <w:rPr/>
        <w:t>他综合收益</w:t>
      </w:r>
    </w:p>
    <w:p>
      <w:pPr>
        <w:spacing w:line="240" w:lineRule="auto" w:before="6"/>
        <w:rPr>
          <w:rFonts w:ascii="宋体" w:hAnsi="宋体" w:cs="宋体" w:eastAsia="宋体" w:hint="default"/>
          <w:sz w:val="22"/>
          <w:szCs w:val="22"/>
        </w:rPr>
      </w:pPr>
    </w:p>
    <w:tbl>
      <w:tblPr>
        <w:tblW w:w="0" w:type="auto"/>
        <w:jc w:val="left"/>
        <w:tblInd w:w="115" w:type="dxa"/>
        <w:tblLayout w:type="fixed"/>
        <w:tblCellMar>
          <w:top w:w="0" w:type="dxa"/>
          <w:left w:w="0" w:type="dxa"/>
          <w:bottom w:w="0" w:type="dxa"/>
          <w:right w:w="0" w:type="dxa"/>
        </w:tblCellMar>
        <w:tblLook w:val="01E0"/>
      </w:tblPr>
      <w:tblGrid>
        <w:gridCol w:w="2514"/>
        <w:gridCol w:w="1680"/>
        <w:gridCol w:w="1680"/>
        <w:gridCol w:w="1680"/>
        <w:gridCol w:w="1768"/>
        <w:gridCol w:w="1700"/>
        <w:gridCol w:w="1515"/>
        <w:gridCol w:w="1677"/>
      </w:tblGrid>
      <w:tr>
        <w:trPr>
          <w:trHeight w:val="415" w:hRule="exact"/>
        </w:trPr>
        <w:tc>
          <w:tcPr>
            <w:tcW w:w="2514" w:type="dxa"/>
            <w:vMerge w:val="restart"/>
            <w:tcBorders>
              <w:top w:val="single" w:sz="12" w:space="0" w:color="000000"/>
              <w:left w:val="nil" w:sz="6" w:space="0" w:color="auto"/>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80" w:type="dxa"/>
            <w:vMerge w:val="restart"/>
            <w:tcBorders>
              <w:top w:val="single" w:sz="12" w:space="0" w:color="000000"/>
              <w:left w:val="single" w:sz="2" w:space="0" w:color="000000"/>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8343" w:type="dxa"/>
            <w:gridSpan w:val="5"/>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2" w:right="0"/>
              <w:jc w:val="center"/>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677" w:type="dxa"/>
            <w:vMerge w:val="restart"/>
            <w:tcBorders>
              <w:top w:val="single" w:sz="12" w:space="0" w:color="000000"/>
              <w:left w:val="single" w:sz="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785" w:hRule="exact"/>
        </w:trPr>
        <w:tc>
          <w:tcPr>
            <w:tcW w:w="2514" w:type="dxa"/>
            <w:vMerge/>
            <w:tcBorders>
              <w:left w:val="nil" w:sz="6" w:space="0" w:color="auto"/>
              <w:bottom w:val="single" w:sz="2" w:space="0" w:color="000000"/>
              <w:right w:val="single" w:sz="2" w:space="0" w:color="000000"/>
            </w:tcBorders>
          </w:tcPr>
          <w:p>
            <w:pPr/>
          </w:p>
        </w:tc>
        <w:tc>
          <w:tcPr>
            <w:tcW w:w="1680" w:type="dxa"/>
            <w:vMerge/>
            <w:tcBorders>
              <w:left w:val="single" w:sz="2" w:space="0" w:color="000000"/>
              <w:bottom w:val="single" w:sz="2" w:space="0" w:color="000000"/>
              <w:right w:val="single" w:sz="2" w:space="0" w:color="000000"/>
            </w:tcBorders>
          </w:tcPr>
          <w:p>
            <w:pP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1"/>
              <w:ind w:left="748" w:right="111" w:hanging="632"/>
              <w:jc w:val="left"/>
              <w:rPr>
                <w:rFonts w:ascii="宋体" w:hAnsi="宋体" w:cs="宋体" w:eastAsia="宋体" w:hint="default"/>
                <w:sz w:val="18"/>
                <w:szCs w:val="18"/>
              </w:rPr>
            </w:pPr>
            <w:r>
              <w:rPr>
                <w:rFonts w:ascii="宋体" w:hAnsi="宋体" w:cs="宋体" w:eastAsia="宋体" w:hint="default"/>
                <w:b/>
                <w:bCs/>
                <w:sz w:val="18"/>
                <w:szCs w:val="18"/>
              </w:rPr>
              <w:t>本年所得税前发生</w:t>
            </w:r>
            <w:r>
              <w:rPr>
                <w:rFonts w:ascii="宋体" w:hAnsi="宋体" w:cs="宋体" w:eastAsia="宋体" w:hint="default"/>
                <w:b/>
                <w:bCs/>
                <w:w w:val="99"/>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4" w:right="46"/>
              <w:jc w:val="center"/>
              <w:rPr>
                <w:rFonts w:ascii="宋体" w:hAnsi="宋体" w:cs="宋体" w:eastAsia="宋体" w:hint="default"/>
                <w:sz w:val="18"/>
                <w:szCs w:val="18"/>
              </w:rPr>
            </w:pPr>
            <w:r>
              <w:rPr>
                <w:rFonts w:ascii="宋体" w:hAnsi="宋体" w:cs="宋体" w:eastAsia="宋体" w:hint="default"/>
                <w:b/>
                <w:bCs/>
                <w:spacing w:val="-6"/>
                <w:sz w:val="18"/>
                <w:szCs w:val="18"/>
              </w:rPr>
              <w:t>减：前期计入其他综</w:t>
            </w:r>
            <w:r>
              <w:rPr>
                <w:rFonts w:ascii="宋体" w:hAnsi="宋体" w:cs="宋体" w:eastAsia="宋体" w:hint="default"/>
                <w:b/>
                <w:bCs/>
                <w:w w:val="99"/>
                <w:sz w:val="18"/>
                <w:szCs w:val="18"/>
              </w:rPr>
              <w:t> </w:t>
            </w:r>
            <w:r>
              <w:rPr>
                <w:rFonts w:ascii="宋体" w:hAnsi="宋体" w:cs="宋体" w:eastAsia="宋体" w:hint="default"/>
                <w:b/>
                <w:bCs/>
                <w:sz w:val="18"/>
                <w:szCs w:val="18"/>
              </w:rPr>
              <w:t>合收益当期转入损</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7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b/>
                <w:bCs/>
                <w:sz w:val="18"/>
                <w:szCs w:val="18"/>
              </w:rPr>
              <w:t>减：所得税费用</w:t>
            </w:r>
            <w:r>
              <w:rPr>
                <w:rFonts w:ascii="宋体" w:hAnsi="宋体" w:cs="宋体" w:eastAsia="宋体" w:hint="default"/>
                <w:sz w:val="18"/>
                <w:szCs w:val="18"/>
              </w:rPr>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21"/>
              <w:jc w:val="right"/>
              <w:rPr>
                <w:rFonts w:ascii="宋体" w:hAnsi="宋体" w:cs="宋体" w:eastAsia="宋体" w:hint="default"/>
                <w:sz w:val="18"/>
                <w:szCs w:val="18"/>
              </w:rPr>
            </w:pPr>
            <w:r>
              <w:rPr>
                <w:rFonts w:ascii="宋体" w:hAnsi="宋体" w:cs="宋体" w:eastAsia="宋体" w:hint="default"/>
                <w:b/>
                <w:bCs/>
                <w:w w:val="95"/>
                <w:sz w:val="18"/>
                <w:szCs w:val="18"/>
              </w:rPr>
              <w:t>税后归属于母公司</w:t>
            </w:r>
            <w:r>
              <w:rPr>
                <w:rFonts w:ascii="宋体" w:hAnsi="宋体" w:cs="宋体" w:eastAsia="宋体" w:hint="default"/>
                <w:sz w:val="18"/>
                <w:szCs w:val="18"/>
              </w:rPr>
            </w:r>
          </w:p>
        </w:tc>
        <w:tc>
          <w:tcPr>
            <w:tcW w:w="1515"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1"/>
              <w:ind w:left="575" w:right="119" w:hanging="452"/>
              <w:jc w:val="left"/>
              <w:rPr>
                <w:rFonts w:ascii="宋体" w:hAnsi="宋体" w:cs="宋体" w:eastAsia="宋体" w:hint="default"/>
                <w:sz w:val="18"/>
                <w:szCs w:val="18"/>
              </w:rPr>
            </w:pPr>
            <w:r>
              <w:rPr>
                <w:rFonts w:ascii="宋体" w:hAnsi="宋体" w:cs="宋体" w:eastAsia="宋体" w:hint="default"/>
                <w:b/>
                <w:bCs/>
                <w:sz w:val="18"/>
                <w:szCs w:val="18"/>
              </w:rPr>
              <w:t>税后归属于少数</w:t>
            </w:r>
            <w:r>
              <w:rPr>
                <w:rFonts w:ascii="宋体" w:hAnsi="宋体" w:cs="宋体" w:eastAsia="宋体" w:hint="default"/>
                <w:b/>
                <w:bCs/>
                <w:w w:val="99"/>
                <w:sz w:val="18"/>
                <w:szCs w:val="18"/>
              </w:rPr>
              <w:t> </w:t>
            </w:r>
            <w:r>
              <w:rPr>
                <w:rFonts w:ascii="宋体" w:hAnsi="宋体" w:cs="宋体" w:eastAsia="宋体" w:hint="default"/>
                <w:b/>
                <w:bCs/>
                <w:sz w:val="18"/>
                <w:szCs w:val="18"/>
              </w:rPr>
              <w:t>股东</w:t>
            </w:r>
            <w:r>
              <w:rPr>
                <w:rFonts w:ascii="宋体" w:hAnsi="宋体" w:cs="宋体" w:eastAsia="宋体" w:hint="default"/>
                <w:sz w:val="18"/>
                <w:szCs w:val="18"/>
              </w:rPr>
            </w:r>
          </w:p>
        </w:tc>
        <w:tc>
          <w:tcPr>
            <w:tcW w:w="1677" w:type="dxa"/>
            <w:vMerge/>
            <w:tcBorders>
              <w:left w:val="single" w:sz="2" w:space="0" w:color="000000"/>
              <w:bottom w:val="single" w:sz="2" w:space="0" w:color="000000"/>
              <w:right w:val="nil" w:sz="6" w:space="0" w:color="auto"/>
            </w:tcBorders>
          </w:tcPr>
          <w:p>
            <w:pPr/>
          </w:p>
        </w:tc>
      </w:tr>
      <w:tr>
        <w:trPr>
          <w:trHeight w:val="552" w:hRule="exact"/>
        </w:trPr>
        <w:tc>
          <w:tcPr>
            <w:tcW w:w="2514"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49" w:firstLine="4"/>
              <w:jc w:val="left"/>
              <w:rPr>
                <w:rFonts w:ascii="宋体" w:hAnsi="宋体" w:cs="宋体" w:eastAsia="宋体" w:hint="default"/>
                <w:sz w:val="18"/>
                <w:szCs w:val="18"/>
              </w:rPr>
            </w:pPr>
            <w:r>
              <w:rPr>
                <w:rFonts w:ascii="宋体" w:hAnsi="宋体" w:cs="宋体" w:eastAsia="宋体" w:hint="default"/>
                <w:spacing w:val="4"/>
                <w:sz w:val="18"/>
                <w:szCs w:val="18"/>
              </w:rPr>
              <w:t>一、以后不能重分类进损益的</w:t>
            </w:r>
            <w:r>
              <w:rPr>
                <w:rFonts w:ascii="宋体" w:hAnsi="宋体" w:cs="宋体" w:eastAsia="宋体" w:hint="default"/>
                <w:sz w:val="18"/>
                <w:szCs w:val="18"/>
              </w:rPr>
              <w:t> 其他综合收益</w:t>
            </w:r>
          </w:p>
        </w:tc>
        <w:tc>
          <w:tcPr>
            <w:tcW w:w="1680" w:type="dxa"/>
            <w:tcBorders>
              <w:top w:val="single" w:sz="2" w:space="0" w:color="000000"/>
              <w:left w:val="single" w:sz="2" w:space="0" w:color="000000"/>
              <w:bottom w:val="single" w:sz="2" w:space="0" w:color="000000"/>
              <w:right w:val="single" w:sz="2" w:space="0" w:color="000000"/>
            </w:tcBorders>
          </w:tcPr>
          <w:p>
            <w:pPr/>
          </w:p>
        </w:tc>
        <w:tc>
          <w:tcPr>
            <w:tcW w:w="1680" w:type="dxa"/>
            <w:tcBorders>
              <w:top w:val="single" w:sz="2" w:space="0" w:color="000000"/>
              <w:left w:val="single" w:sz="2" w:space="0" w:color="000000"/>
              <w:bottom w:val="single" w:sz="2" w:space="0" w:color="000000"/>
              <w:right w:val="single" w:sz="2" w:space="0" w:color="000000"/>
            </w:tcBorders>
          </w:tcPr>
          <w:p>
            <w:pPr/>
          </w:p>
        </w:tc>
        <w:tc>
          <w:tcPr>
            <w:tcW w:w="1680" w:type="dxa"/>
            <w:tcBorders>
              <w:top w:val="single" w:sz="2" w:space="0" w:color="000000"/>
              <w:left w:val="single" w:sz="2" w:space="0" w:color="000000"/>
              <w:bottom w:val="single" w:sz="2" w:space="0" w:color="000000"/>
              <w:right w:val="single" w:sz="2" w:space="0" w:color="000000"/>
            </w:tcBorders>
          </w:tcPr>
          <w:p>
            <w:pPr/>
          </w:p>
        </w:tc>
        <w:tc>
          <w:tcPr>
            <w:tcW w:w="1768" w:type="dxa"/>
            <w:tcBorders>
              <w:top w:val="single" w:sz="2" w:space="0" w:color="000000"/>
              <w:left w:val="single" w:sz="2" w:space="0" w:color="000000"/>
              <w:bottom w:val="single" w:sz="2" w:space="0" w:color="000000"/>
              <w:right w:val="single" w:sz="2" w:space="0" w:color="000000"/>
            </w:tcBorders>
          </w:tcPr>
          <w:p>
            <w:pPr/>
          </w:p>
        </w:tc>
        <w:tc>
          <w:tcPr>
            <w:tcW w:w="1700" w:type="dxa"/>
            <w:tcBorders>
              <w:top w:val="single" w:sz="2" w:space="0" w:color="000000"/>
              <w:left w:val="single" w:sz="2" w:space="0" w:color="000000"/>
              <w:bottom w:val="single" w:sz="2" w:space="0" w:color="000000"/>
              <w:right w:val="single" w:sz="2" w:space="0" w:color="000000"/>
            </w:tcBorders>
          </w:tcPr>
          <w:p>
            <w:pPr/>
          </w:p>
        </w:tc>
        <w:tc>
          <w:tcPr>
            <w:tcW w:w="1515" w:type="dxa"/>
            <w:tcBorders>
              <w:top w:val="single" w:sz="2" w:space="0" w:color="000000"/>
              <w:left w:val="single" w:sz="2" w:space="0" w:color="000000"/>
              <w:bottom w:val="single" w:sz="2" w:space="0" w:color="000000"/>
              <w:right w:val="single" w:sz="2" w:space="0" w:color="000000"/>
            </w:tcBorders>
          </w:tcPr>
          <w:p>
            <w:pPr/>
          </w:p>
        </w:tc>
        <w:tc>
          <w:tcPr>
            <w:tcW w:w="1677" w:type="dxa"/>
            <w:tcBorders>
              <w:top w:val="single" w:sz="2" w:space="0" w:color="000000"/>
              <w:left w:val="single" w:sz="2" w:space="0" w:color="000000"/>
              <w:bottom w:val="single" w:sz="2" w:space="0" w:color="000000"/>
              <w:right w:val="nil" w:sz="6" w:space="0" w:color="auto"/>
            </w:tcBorders>
          </w:tcPr>
          <w:p>
            <w:pPr/>
          </w:p>
        </w:tc>
      </w:tr>
      <w:tr>
        <w:trPr>
          <w:trHeight w:val="552" w:hRule="exact"/>
        </w:trPr>
        <w:tc>
          <w:tcPr>
            <w:tcW w:w="2514"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6"/>
              <w:ind w:left="53" w:right="49" w:firstLine="4"/>
              <w:jc w:val="left"/>
              <w:rPr>
                <w:rFonts w:ascii="宋体" w:hAnsi="宋体" w:cs="宋体" w:eastAsia="宋体" w:hint="default"/>
                <w:sz w:val="18"/>
                <w:szCs w:val="18"/>
              </w:rPr>
            </w:pPr>
            <w:r>
              <w:rPr>
                <w:rFonts w:ascii="宋体" w:hAnsi="宋体" w:cs="宋体" w:eastAsia="宋体" w:hint="default"/>
                <w:spacing w:val="4"/>
                <w:sz w:val="18"/>
                <w:szCs w:val="18"/>
              </w:rPr>
              <w:t>二、以后将重分类进损益的其</w:t>
            </w:r>
            <w:r>
              <w:rPr>
                <w:rFonts w:ascii="宋体" w:hAnsi="宋体" w:cs="宋体" w:eastAsia="宋体" w:hint="default"/>
                <w:sz w:val="18"/>
                <w:szCs w:val="18"/>
              </w:rPr>
              <w:t> 他综合收益</w:t>
            </w: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36"/>
              <w:jc w:val="right"/>
              <w:rPr>
                <w:rFonts w:ascii="宋体" w:hAnsi="宋体" w:cs="宋体" w:eastAsia="宋体" w:hint="default"/>
                <w:sz w:val="18"/>
                <w:szCs w:val="18"/>
              </w:rPr>
            </w:pPr>
            <w:r>
              <w:rPr>
                <w:rFonts w:ascii="宋体"/>
                <w:b/>
                <w:sz w:val="18"/>
              </w:rPr>
              <w:t>-35,709,017.16</w:t>
            </w:r>
            <w:r>
              <w:rPr>
                <w:rFonts w:ascii="宋体"/>
                <w:sz w:val="18"/>
              </w:rPr>
            </w: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91"/>
              <w:jc w:val="right"/>
              <w:rPr>
                <w:rFonts w:ascii="宋体" w:hAnsi="宋体" w:cs="宋体" w:eastAsia="宋体" w:hint="default"/>
                <w:sz w:val="18"/>
                <w:szCs w:val="18"/>
              </w:rPr>
            </w:pPr>
            <w:r>
              <w:rPr>
                <w:rFonts w:ascii="宋体"/>
                <w:b/>
                <w:w w:val="95"/>
                <w:sz w:val="18"/>
              </w:rPr>
              <w:t>40,552,220.37</w:t>
            </w:r>
            <w:r>
              <w:rPr>
                <w:rFonts w:ascii="宋体"/>
                <w:sz w:val="18"/>
              </w:rPr>
            </w:r>
          </w:p>
        </w:tc>
        <w:tc>
          <w:tcPr>
            <w:tcW w:w="1680" w:type="dxa"/>
            <w:tcBorders>
              <w:top w:val="single" w:sz="2" w:space="0" w:color="000000"/>
              <w:left w:val="single" w:sz="2" w:space="0" w:color="000000"/>
              <w:bottom w:val="single" w:sz="2" w:space="0" w:color="000000"/>
              <w:right w:val="single" w:sz="2" w:space="0" w:color="000000"/>
            </w:tcBorders>
          </w:tcPr>
          <w:p>
            <w:pPr/>
          </w:p>
        </w:tc>
        <w:tc>
          <w:tcPr>
            <w:tcW w:w="17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92"/>
              <w:jc w:val="right"/>
              <w:rPr>
                <w:rFonts w:ascii="宋体" w:hAnsi="宋体" w:cs="宋体" w:eastAsia="宋体" w:hint="default"/>
                <w:sz w:val="18"/>
                <w:szCs w:val="18"/>
              </w:rPr>
            </w:pPr>
            <w:r>
              <w:rPr>
                <w:rFonts w:ascii="宋体"/>
                <w:b/>
                <w:w w:val="95"/>
                <w:sz w:val="18"/>
              </w:rPr>
              <w:t>6,123,562.00</w:t>
            </w:r>
            <w:r>
              <w:rPr>
                <w:rFonts w:ascii="宋体"/>
                <w:sz w:val="18"/>
              </w:rPr>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91"/>
              <w:jc w:val="right"/>
              <w:rPr>
                <w:rFonts w:ascii="宋体" w:hAnsi="宋体" w:cs="宋体" w:eastAsia="宋体" w:hint="default"/>
                <w:sz w:val="18"/>
                <w:szCs w:val="18"/>
              </w:rPr>
            </w:pPr>
            <w:r>
              <w:rPr>
                <w:rFonts w:ascii="宋体"/>
                <w:b/>
                <w:w w:val="95"/>
                <w:sz w:val="18"/>
              </w:rPr>
              <w:t>34,350,241.73</w:t>
            </w:r>
            <w:r>
              <w:rPr>
                <w:rFonts w:ascii="宋体"/>
                <w:sz w:val="18"/>
              </w:rPr>
            </w:r>
          </w:p>
        </w:tc>
        <w:tc>
          <w:tcPr>
            <w:tcW w:w="15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3"/>
              <w:jc w:val="right"/>
              <w:rPr>
                <w:rFonts w:ascii="宋体" w:hAnsi="宋体" w:cs="宋体" w:eastAsia="宋体" w:hint="default"/>
                <w:sz w:val="18"/>
                <w:szCs w:val="18"/>
              </w:rPr>
            </w:pPr>
            <w:r>
              <w:rPr>
                <w:rFonts w:ascii="宋体"/>
                <w:spacing w:val="-1"/>
                <w:sz w:val="18"/>
              </w:rPr>
              <w:t>78,416.64</w:t>
            </w:r>
          </w:p>
        </w:tc>
        <w:tc>
          <w:tcPr>
            <w:tcW w:w="167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93"/>
              <w:jc w:val="right"/>
              <w:rPr>
                <w:rFonts w:ascii="宋体" w:hAnsi="宋体" w:cs="宋体" w:eastAsia="宋体" w:hint="default"/>
                <w:sz w:val="18"/>
                <w:szCs w:val="18"/>
              </w:rPr>
            </w:pPr>
            <w:r>
              <w:rPr>
                <w:rFonts w:ascii="宋体"/>
                <w:b/>
                <w:w w:val="95"/>
                <w:sz w:val="18"/>
              </w:rPr>
              <w:t>-1,358,775.43</w:t>
            </w:r>
            <w:r>
              <w:rPr>
                <w:rFonts w:ascii="宋体"/>
                <w:sz w:val="18"/>
              </w:rPr>
            </w:r>
          </w:p>
        </w:tc>
      </w:tr>
      <w:tr>
        <w:trPr>
          <w:trHeight w:val="402" w:hRule="exact"/>
        </w:trPr>
        <w:tc>
          <w:tcPr>
            <w:tcW w:w="25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8" w:right="0"/>
              <w:jc w:val="left"/>
              <w:rPr>
                <w:rFonts w:ascii="宋体" w:hAnsi="宋体" w:cs="宋体" w:eastAsia="宋体" w:hint="default"/>
                <w:sz w:val="18"/>
                <w:szCs w:val="18"/>
              </w:rPr>
            </w:pPr>
            <w:r>
              <w:rPr>
                <w:rFonts w:ascii="宋体" w:hAnsi="宋体" w:cs="宋体" w:eastAsia="宋体" w:hint="default"/>
                <w:sz w:val="18"/>
                <w:szCs w:val="18"/>
              </w:rPr>
              <w:t>其中：外币财务报表折算差额</w:t>
            </w: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-13,701.51</w:t>
            </w: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171,740.38</w:t>
            </w:r>
          </w:p>
        </w:tc>
        <w:tc>
          <w:tcPr>
            <w:tcW w:w="1680" w:type="dxa"/>
            <w:tcBorders>
              <w:top w:val="single" w:sz="2" w:space="0" w:color="000000"/>
              <w:left w:val="single" w:sz="2" w:space="0" w:color="000000"/>
              <w:bottom w:val="single" w:sz="2" w:space="0" w:color="000000"/>
              <w:right w:val="single" w:sz="2" w:space="0" w:color="000000"/>
            </w:tcBorders>
          </w:tcPr>
          <w:p>
            <w:pPr/>
          </w:p>
        </w:tc>
        <w:tc>
          <w:tcPr>
            <w:tcW w:w="1768" w:type="dxa"/>
            <w:tcBorders>
              <w:top w:val="single" w:sz="2" w:space="0" w:color="000000"/>
              <w:left w:val="single" w:sz="2" w:space="0" w:color="000000"/>
              <w:bottom w:val="single" w:sz="2" w:space="0" w:color="000000"/>
              <w:right w:val="single" w:sz="2" w:space="0" w:color="000000"/>
            </w:tcBorders>
          </w:tcPr>
          <w:p>
            <w:pP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171,740.38</w:t>
            </w:r>
          </w:p>
        </w:tc>
        <w:tc>
          <w:tcPr>
            <w:tcW w:w="1515" w:type="dxa"/>
            <w:tcBorders>
              <w:top w:val="single" w:sz="2" w:space="0" w:color="000000"/>
              <w:left w:val="single" w:sz="2" w:space="0" w:color="000000"/>
              <w:bottom w:val="single" w:sz="2" w:space="0" w:color="000000"/>
              <w:right w:val="single" w:sz="2" w:space="0" w:color="000000"/>
            </w:tcBorders>
          </w:tcPr>
          <w:p>
            <w:pPr/>
          </w:p>
        </w:tc>
        <w:tc>
          <w:tcPr>
            <w:tcW w:w="167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158,038.87</w:t>
            </w:r>
          </w:p>
        </w:tc>
      </w:tr>
      <w:tr>
        <w:trPr>
          <w:trHeight w:val="552" w:hRule="exact"/>
        </w:trPr>
        <w:tc>
          <w:tcPr>
            <w:tcW w:w="2514" w:type="dxa"/>
            <w:tcBorders>
              <w:top w:val="single" w:sz="2" w:space="0" w:color="000000"/>
              <w:left w:val="nil" w:sz="6" w:space="0" w:color="auto"/>
              <w:bottom w:val="single" w:sz="2" w:space="0" w:color="000000"/>
              <w:right w:val="single" w:sz="2" w:space="0" w:color="000000"/>
            </w:tcBorders>
          </w:tcPr>
          <w:p>
            <w:pPr>
              <w:pStyle w:val="TableParagraph"/>
              <w:spacing w:line="234" w:lineRule="exact" w:before="13"/>
              <w:ind w:left="598" w:right="0"/>
              <w:jc w:val="left"/>
              <w:rPr>
                <w:rFonts w:ascii="宋体" w:hAnsi="宋体" w:cs="宋体" w:eastAsia="宋体" w:hint="default"/>
                <w:sz w:val="18"/>
                <w:szCs w:val="18"/>
              </w:rPr>
            </w:pPr>
            <w:r>
              <w:rPr>
                <w:rFonts w:ascii="宋体" w:hAnsi="宋体" w:cs="宋体" w:eastAsia="宋体" w:hint="default"/>
                <w:spacing w:val="6"/>
                <w:sz w:val="18"/>
                <w:szCs w:val="18"/>
              </w:rPr>
              <w:t>现金流量套期损益的有</w:t>
            </w:r>
          </w:p>
          <w:p>
            <w:pPr>
              <w:pStyle w:val="TableParagraph"/>
              <w:spacing w:line="234" w:lineRule="exact"/>
              <w:ind w:left="53"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48"/>
              <w:jc w:val="right"/>
              <w:rPr>
                <w:rFonts w:ascii="宋体" w:hAnsi="宋体" w:cs="宋体" w:eastAsia="宋体" w:hint="default"/>
                <w:sz w:val="18"/>
                <w:szCs w:val="18"/>
              </w:rPr>
            </w:pPr>
            <w:r>
              <w:rPr>
                <w:rFonts w:ascii="宋体"/>
                <w:spacing w:val="-1"/>
                <w:sz w:val="18"/>
              </w:rPr>
              <w:t>-35,695,315.65</w:t>
            </w:r>
          </w:p>
        </w:tc>
        <w:tc>
          <w:tcPr>
            <w:tcW w:w="16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50"/>
              <w:jc w:val="right"/>
              <w:rPr>
                <w:rFonts w:ascii="宋体" w:hAnsi="宋体" w:cs="宋体" w:eastAsia="宋体" w:hint="default"/>
                <w:sz w:val="18"/>
                <w:szCs w:val="18"/>
              </w:rPr>
            </w:pPr>
            <w:r>
              <w:rPr>
                <w:rFonts w:ascii="宋体"/>
                <w:spacing w:val="-1"/>
                <w:sz w:val="18"/>
              </w:rPr>
              <w:t>40,380,479.99</w:t>
            </w:r>
          </w:p>
        </w:tc>
        <w:tc>
          <w:tcPr>
            <w:tcW w:w="1680" w:type="dxa"/>
            <w:tcBorders>
              <w:top w:val="single" w:sz="2" w:space="0" w:color="000000"/>
              <w:left w:val="single" w:sz="2" w:space="0" w:color="000000"/>
              <w:bottom w:val="single" w:sz="2" w:space="0" w:color="000000"/>
              <w:right w:val="single" w:sz="2" w:space="0" w:color="000000"/>
            </w:tcBorders>
          </w:tcPr>
          <w:p>
            <w:pPr/>
          </w:p>
        </w:tc>
        <w:tc>
          <w:tcPr>
            <w:tcW w:w="17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49"/>
              <w:jc w:val="right"/>
              <w:rPr>
                <w:rFonts w:ascii="宋体" w:hAnsi="宋体" w:cs="宋体" w:eastAsia="宋体" w:hint="default"/>
                <w:sz w:val="18"/>
                <w:szCs w:val="18"/>
              </w:rPr>
            </w:pPr>
            <w:r>
              <w:rPr>
                <w:rFonts w:ascii="宋体"/>
                <w:spacing w:val="-1"/>
                <w:sz w:val="18"/>
              </w:rPr>
              <w:t>6,123,562.00</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50"/>
              <w:jc w:val="right"/>
              <w:rPr>
                <w:rFonts w:ascii="宋体" w:hAnsi="宋体" w:cs="宋体" w:eastAsia="宋体" w:hint="default"/>
                <w:sz w:val="18"/>
                <w:szCs w:val="18"/>
              </w:rPr>
            </w:pPr>
            <w:r>
              <w:rPr>
                <w:rFonts w:ascii="宋体"/>
                <w:spacing w:val="-1"/>
                <w:sz w:val="18"/>
              </w:rPr>
              <w:t>34,178,501.35</w:t>
            </w:r>
          </w:p>
        </w:tc>
        <w:tc>
          <w:tcPr>
            <w:tcW w:w="151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48"/>
              <w:jc w:val="right"/>
              <w:rPr>
                <w:rFonts w:ascii="宋体" w:hAnsi="宋体" w:cs="宋体" w:eastAsia="宋体" w:hint="default"/>
                <w:sz w:val="18"/>
                <w:szCs w:val="18"/>
              </w:rPr>
            </w:pPr>
            <w:r>
              <w:rPr>
                <w:rFonts w:ascii="宋体"/>
                <w:spacing w:val="-1"/>
                <w:sz w:val="18"/>
              </w:rPr>
              <w:t>78,416.64</w:t>
            </w:r>
          </w:p>
        </w:tc>
        <w:tc>
          <w:tcPr>
            <w:tcW w:w="167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52"/>
              <w:jc w:val="right"/>
              <w:rPr>
                <w:rFonts w:ascii="宋体" w:hAnsi="宋体" w:cs="宋体" w:eastAsia="宋体" w:hint="default"/>
                <w:sz w:val="18"/>
                <w:szCs w:val="18"/>
              </w:rPr>
            </w:pPr>
            <w:r>
              <w:rPr>
                <w:rFonts w:ascii="宋体"/>
                <w:spacing w:val="-1"/>
                <w:sz w:val="18"/>
              </w:rPr>
              <w:t>-1,516,814.30</w:t>
            </w:r>
          </w:p>
        </w:tc>
      </w:tr>
      <w:tr>
        <w:trPr>
          <w:trHeight w:val="414" w:hRule="exact"/>
        </w:trPr>
        <w:tc>
          <w:tcPr>
            <w:tcW w:w="251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b/>
                <w:bCs/>
                <w:sz w:val="18"/>
                <w:szCs w:val="18"/>
              </w:rPr>
              <w:t>其他综合收益合计</w:t>
            </w:r>
            <w:r>
              <w:rPr>
                <w:rFonts w:ascii="宋体" w:hAnsi="宋体" w:cs="宋体" w:eastAsia="宋体" w:hint="default"/>
                <w:sz w:val="18"/>
                <w:szCs w:val="18"/>
              </w:rPr>
            </w:r>
          </w:p>
        </w:tc>
        <w:tc>
          <w:tcPr>
            <w:tcW w:w="168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36"/>
              <w:jc w:val="right"/>
              <w:rPr>
                <w:rFonts w:ascii="宋体" w:hAnsi="宋体" w:cs="宋体" w:eastAsia="宋体" w:hint="default"/>
                <w:sz w:val="18"/>
                <w:szCs w:val="18"/>
              </w:rPr>
            </w:pPr>
            <w:r>
              <w:rPr>
                <w:rFonts w:ascii="宋体"/>
                <w:b/>
                <w:sz w:val="18"/>
              </w:rPr>
              <w:t>-35,709,017.16</w:t>
            </w:r>
            <w:r>
              <w:rPr>
                <w:rFonts w:ascii="宋体"/>
                <w:sz w:val="18"/>
              </w:rPr>
            </w:r>
          </w:p>
        </w:tc>
        <w:tc>
          <w:tcPr>
            <w:tcW w:w="168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1"/>
              <w:jc w:val="right"/>
              <w:rPr>
                <w:rFonts w:ascii="宋体" w:hAnsi="宋体" w:cs="宋体" w:eastAsia="宋体" w:hint="default"/>
                <w:sz w:val="18"/>
                <w:szCs w:val="18"/>
              </w:rPr>
            </w:pPr>
            <w:r>
              <w:rPr>
                <w:rFonts w:ascii="宋体"/>
                <w:b/>
                <w:w w:val="95"/>
                <w:sz w:val="18"/>
              </w:rPr>
              <w:t>40,552,220.37</w:t>
            </w:r>
            <w:r>
              <w:rPr>
                <w:rFonts w:ascii="宋体"/>
                <w:sz w:val="18"/>
              </w:rPr>
            </w:r>
          </w:p>
        </w:tc>
        <w:tc>
          <w:tcPr>
            <w:tcW w:w="1680" w:type="dxa"/>
            <w:tcBorders>
              <w:top w:val="single" w:sz="2" w:space="0" w:color="000000"/>
              <w:left w:val="single" w:sz="2" w:space="0" w:color="000000"/>
              <w:bottom w:val="single" w:sz="12" w:space="0" w:color="000000"/>
              <w:right w:val="single" w:sz="2" w:space="0" w:color="000000"/>
            </w:tcBorders>
          </w:tcPr>
          <w:p>
            <w:pPr/>
          </w:p>
        </w:tc>
        <w:tc>
          <w:tcPr>
            <w:tcW w:w="176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2"/>
              <w:jc w:val="right"/>
              <w:rPr>
                <w:rFonts w:ascii="宋体" w:hAnsi="宋体" w:cs="宋体" w:eastAsia="宋体" w:hint="default"/>
                <w:sz w:val="18"/>
                <w:szCs w:val="18"/>
              </w:rPr>
            </w:pPr>
            <w:r>
              <w:rPr>
                <w:rFonts w:ascii="宋体"/>
                <w:b/>
                <w:w w:val="95"/>
                <w:sz w:val="18"/>
              </w:rPr>
              <w:t>6,123,562.00</w:t>
            </w:r>
            <w:r>
              <w:rPr>
                <w:rFonts w:ascii="宋体"/>
                <w:sz w:val="18"/>
              </w:rPr>
            </w:r>
          </w:p>
        </w:tc>
        <w:tc>
          <w:tcPr>
            <w:tcW w:w="170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1"/>
              <w:jc w:val="right"/>
              <w:rPr>
                <w:rFonts w:ascii="宋体" w:hAnsi="宋体" w:cs="宋体" w:eastAsia="宋体" w:hint="default"/>
                <w:sz w:val="18"/>
                <w:szCs w:val="18"/>
              </w:rPr>
            </w:pPr>
            <w:r>
              <w:rPr>
                <w:rFonts w:ascii="宋体"/>
                <w:b/>
                <w:w w:val="95"/>
                <w:sz w:val="18"/>
              </w:rPr>
              <w:t>34,350,241.73</w:t>
            </w:r>
            <w:r>
              <w:rPr>
                <w:rFonts w:ascii="宋体"/>
                <w:sz w:val="18"/>
              </w:rPr>
            </w:r>
          </w:p>
        </w:tc>
        <w:tc>
          <w:tcPr>
            <w:tcW w:w="151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78,416.64</w:t>
            </w:r>
          </w:p>
        </w:tc>
        <w:tc>
          <w:tcPr>
            <w:tcW w:w="167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3"/>
              <w:jc w:val="right"/>
              <w:rPr>
                <w:rFonts w:ascii="宋体" w:hAnsi="宋体" w:cs="宋体" w:eastAsia="宋体" w:hint="default"/>
                <w:sz w:val="18"/>
                <w:szCs w:val="18"/>
              </w:rPr>
            </w:pPr>
            <w:r>
              <w:rPr>
                <w:rFonts w:ascii="宋体"/>
                <w:b/>
                <w:w w:val="95"/>
                <w:sz w:val="18"/>
              </w:rPr>
              <w:t>-1,358,775.43</w:t>
            </w:r>
            <w:r>
              <w:rPr>
                <w:rFonts w:ascii="宋体"/>
                <w:sz w:val="18"/>
              </w:rPr>
            </w:r>
          </w:p>
        </w:tc>
      </w:tr>
    </w:tbl>
    <w:p>
      <w:pPr>
        <w:spacing w:after="0" w:line="240" w:lineRule="auto"/>
        <w:jc w:val="right"/>
        <w:rPr>
          <w:rFonts w:ascii="宋体" w:hAnsi="宋体" w:cs="宋体" w:eastAsia="宋体" w:hint="default"/>
          <w:sz w:val="18"/>
          <w:szCs w:val="18"/>
        </w:rPr>
        <w:sectPr>
          <w:headerReference w:type="default" r:id="rId61"/>
          <w:footerReference w:type="default" r:id="rId62"/>
          <w:pgSz w:w="16840" w:h="11910" w:orient="landscape"/>
          <w:pgMar w:header="0" w:footer="886" w:top="860" w:bottom="1080" w:left="1180" w:right="1180"/>
        </w:sectPr>
      </w:pPr>
    </w:p>
    <w:p>
      <w:pPr>
        <w:spacing w:line="240" w:lineRule="auto" w:before="7"/>
        <w:rPr>
          <w:rFonts w:ascii="宋体" w:hAnsi="宋体" w:cs="宋体" w:eastAsia="宋体" w:hint="default"/>
          <w:sz w:val="6"/>
          <w:szCs w:val="6"/>
        </w:rPr>
      </w:pPr>
      <w:r>
        <w:rPr/>
        <w:pict>
          <v:shape style="position:absolute;margin-left:535.638184pt;margin-top:806.509705pt;width:59.477876pt;height:26.787746pt;mso-position-horizontal-relative:page;mso-position-vertical-relative:page;z-index:1816" type="#_x0000_t75" stroked="false">
            <v:imagedata r:id="rId48" o:title=""/>
          </v:shape>
        </w:pict>
      </w:r>
    </w:p>
    <w:p>
      <w:pPr>
        <w:spacing w:line="20" w:lineRule="exact"/>
        <w:ind w:left="206" w:right="0" w:firstLine="0"/>
        <w:rPr>
          <w:rFonts w:ascii="宋体" w:hAnsi="宋体" w:cs="宋体" w:eastAsia="宋体" w:hint="default"/>
          <w:sz w:val="2"/>
          <w:szCs w:val="2"/>
        </w:rPr>
      </w:pPr>
      <w:r>
        <w:rPr>
          <w:rFonts w:ascii="宋体" w:hAnsi="宋体" w:cs="宋体" w:eastAsia="宋体" w:hint="default"/>
          <w:sz w:val="2"/>
          <w:szCs w:val="2"/>
        </w:rPr>
        <w:pict>
          <v:group style="width:434.55pt;height:.75pt;mso-position-horizontal-relative:char;mso-position-vertical-relative:line" coordorigin="0,0" coordsize="8691,15">
            <v:group style="position:absolute;left:8;top:8;width:8676;height:2" coordorigin="8,8" coordsize="8676,2">
              <v:shape style="position:absolute;left:8;top:8;width:8676;height:2" coordorigin="8,8" coordsize="8676,0" path="m8,8l8684,8e" filled="false" stroked="true" strokeweight=".75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12"/>
          <w:szCs w:val="12"/>
        </w:rPr>
      </w:pPr>
    </w:p>
    <w:p>
      <w:pPr>
        <w:pStyle w:val="BodyText"/>
        <w:spacing w:line="240" w:lineRule="auto"/>
        <w:ind w:left="644" w:right="1445"/>
        <w:jc w:val="left"/>
      </w:pPr>
      <w:r>
        <w:rPr/>
        <w:t>35.</w:t>
      </w:r>
      <w:r>
        <w:rPr>
          <w:spacing w:val="-48"/>
        </w:rPr>
        <w:t> </w:t>
      </w:r>
      <w:bookmarkStart w:name="35.盈余公积" w:id="316"/>
      <w:bookmarkEnd w:id="316"/>
      <w:r>
        <w:rPr/>
        <w:t>盈</w:t>
      </w:r>
      <w:r>
        <w:rPr/>
        <w:t>余公积</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2177"/>
        <w:gridCol w:w="1769"/>
        <w:gridCol w:w="1658"/>
        <w:gridCol w:w="1350"/>
        <w:gridCol w:w="1769"/>
      </w:tblGrid>
      <w:tr>
        <w:trPr>
          <w:trHeight w:val="415" w:hRule="exact"/>
        </w:trPr>
        <w:tc>
          <w:tcPr>
            <w:tcW w:w="217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6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21"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65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65"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35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12"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769"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52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2" w:hRule="exact"/>
        </w:trPr>
        <w:tc>
          <w:tcPr>
            <w:tcW w:w="21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7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222,369,887.21</w:t>
            </w:r>
          </w:p>
        </w:tc>
        <w:tc>
          <w:tcPr>
            <w:tcW w:w="16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36,944,075.43</w:t>
            </w:r>
          </w:p>
        </w:tc>
        <w:tc>
          <w:tcPr>
            <w:tcW w:w="1350" w:type="dxa"/>
            <w:tcBorders>
              <w:top w:val="single" w:sz="2" w:space="0" w:color="000000"/>
              <w:left w:val="single" w:sz="2" w:space="0" w:color="000000"/>
              <w:bottom w:val="single" w:sz="2" w:space="0" w:color="000000"/>
              <w:right w:val="single" w:sz="2" w:space="0" w:color="000000"/>
            </w:tcBorders>
          </w:tcPr>
          <w:p>
            <w:pPr/>
          </w:p>
        </w:tc>
        <w:tc>
          <w:tcPr>
            <w:tcW w:w="176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259,313,962.64</w:t>
            </w:r>
          </w:p>
        </w:tc>
      </w:tr>
      <w:tr>
        <w:trPr>
          <w:trHeight w:val="414" w:hRule="exact"/>
        </w:trPr>
        <w:tc>
          <w:tcPr>
            <w:tcW w:w="217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6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sz w:val="18"/>
              </w:rPr>
              <w:t>222,369,887.21</w:t>
            </w:r>
            <w:r>
              <w:rPr>
                <w:rFonts w:ascii="宋体"/>
                <w:sz w:val="18"/>
              </w:rPr>
            </w:r>
          </w:p>
        </w:tc>
        <w:tc>
          <w:tcPr>
            <w:tcW w:w="16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w w:val="95"/>
                <w:sz w:val="18"/>
              </w:rPr>
              <w:t>36,944,075.43</w:t>
            </w:r>
            <w:r>
              <w:rPr>
                <w:rFonts w:ascii="宋体"/>
                <w:sz w:val="18"/>
              </w:rPr>
            </w:r>
          </w:p>
        </w:tc>
        <w:tc>
          <w:tcPr>
            <w:tcW w:w="1350" w:type="dxa"/>
            <w:tcBorders>
              <w:top w:val="single" w:sz="2" w:space="0" w:color="000000"/>
              <w:left w:val="single" w:sz="2" w:space="0" w:color="000000"/>
              <w:bottom w:val="single" w:sz="12" w:space="0" w:color="000000"/>
              <w:right w:val="single" w:sz="2" w:space="0" w:color="000000"/>
            </w:tcBorders>
          </w:tcPr>
          <w:p>
            <w:pPr/>
          </w:p>
        </w:tc>
        <w:tc>
          <w:tcPr>
            <w:tcW w:w="176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259,313,962.64</w:t>
            </w:r>
            <w:r>
              <w:rPr>
                <w:rFonts w:ascii="宋体"/>
                <w:sz w:val="18"/>
              </w:rPr>
            </w:r>
          </w:p>
        </w:tc>
      </w:tr>
    </w:tbl>
    <w:p>
      <w:pPr>
        <w:spacing w:line="240" w:lineRule="auto" w:before="3"/>
        <w:rPr>
          <w:rFonts w:ascii="宋体" w:hAnsi="宋体" w:cs="宋体" w:eastAsia="宋体" w:hint="default"/>
          <w:sz w:val="9"/>
          <w:szCs w:val="9"/>
        </w:rPr>
      </w:pPr>
    </w:p>
    <w:p>
      <w:pPr>
        <w:pStyle w:val="BodyText"/>
        <w:spacing w:line="300" w:lineRule="auto"/>
        <w:ind w:left="241" w:right="1445" w:firstLine="439"/>
        <w:jc w:val="left"/>
      </w:pPr>
      <w:r>
        <w:rPr>
          <w:spacing w:val="-3"/>
        </w:rPr>
        <w:t>注：盈余公积本年增加为按本公司及盈利子公司本年净利润的</w:t>
      </w:r>
      <w:r>
        <w:rPr>
          <w:spacing w:val="-31"/>
        </w:rPr>
        <w:t> </w:t>
      </w:r>
      <w:r>
        <w:rPr/>
        <w:t>10%计提的法定盈余公</w:t>
      </w:r>
      <w:r>
        <w:rPr>
          <w:w w:val="100"/>
        </w:rPr>
        <w:t> </w:t>
      </w:r>
      <w:r>
        <w:rPr/>
        <w:t>积。</w:t>
      </w:r>
    </w:p>
    <w:p>
      <w:pPr>
        <w:pStyle w:val="BodyText"/>
        <w:spacing w:line="240" w:lineRule="auto" w:before="137"/>
        <w:ind w:left="644" w:right="1445"/>
        <w:jc w:val="left"/>
      </w:pPr>
      <w:r>
        <w:rPr/>
        <w:t>36.</w:t>
      </w:r>
      <w:r>
        <w:rPr>
          <w:spacing w:val="-48"/>
        </w:rPr>
        <w:t> </w:t>
      </w:r>
      <w:bookmarkStart w:name="36.未分配利润 " w:id="317"/>
      <w:bookmarkEnd w:id="317"/>
      <w:r>
        <w:rPr/>
        <w:t>未</w:t>
      </w:r>
      <w:r>
        <w:rPr/>
        <w:t>分配利润</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503"/>
        <w:gridCol w:w="2109"/>
        <w:gridCol w:w="2111"/>
      </w:tblGrid>
      <w:tr>
        <w:trPr>
          <w:trHeight w:val="415" w:hRule="exact"/>
        </w:trPr>
        <w:tc>
          <w:tcPr>
            <w:tcW w:w="450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0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c>
        <w:tc>
          <w:tcPr>
            <w:tcW w:w="2111"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right="3"/>
              <w:jc w:val="center"/>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tc>
      </w:tr>
      <w:tr>
        <w:trPr>
          <w:trHeight w:val="402"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上年年末余额</w:t>
            </w:r>
            <w:r>
              <w:rPr>
                <w:rFonts w:ascii="宋体" w:hAnsi="宋体" w:cs="宋体" w:eastAsia="宋体" w:hint="default"/>
                <w:sz w:val="18"/>
                <w:szCs w:val="18"/>
              </w:rPr>
            </w:r>
          </w:p>
        </w:tc>
        <w:tc>
          <w:tcPr>
            <w:tcW w:w="210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1,238,073,456.06</w:t>
            </w:r>
          </w:p>
        </w:tc>
        <w:tc>
          <w:tcPr>
            <w:tcW w:w="211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1,148,281,471.50</w:t>
            </w:r>
          </w:p>
        </w:tc>
      </w:tr>
      <w:tr>
        <w:trPr>
          <w:trHeight w:val="402"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加：年初未分配利润调整数</w:t>
            </w:r>
          </w:p>
        </w:tc>
        <w:tc>
          <w:tcPr>
            <w:tcW w:w="210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-563,128.39</w:t>
            </w:r>
          </w:p>
        </w:tc>
        <w:tc>
          <w:tcPr>
            <w:tcW w:w="2111"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68" w:right="0"/>
              <w:jc w:val="left"/>
              <w:rPr>
                <w:rFonts w:ascii="宋体" w:hAnsi="宋体" w:cs="宋体" w:eastAsia="宋体" w:hint="default"/>
                <w:sz w:val="18"/>
                <w:szCs w:val="18"/>
              </w:rPr>
            </w:pPr>
            <w:r>
              <w:rPr>
                <w:rFonts w:ascii="宋体" w:hAnsi="宋体" w:cs="宋体" w:eastAsia="宋体" w:hint="default"/>
                <w:sz w:val="18"/>
                <w:szCs w:val="18"/>
              </w:rPr>
              <w:t>其中：会计政策变更</w:t>
            </w:r>
          </w:p>
        </w:tc>
        <w:tc>
          <w:tcPr>
            <w:tcW w:w="210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-563,128.39</w:t>
            </w:r>
          </w:p>
        </w:tc>
        <w:tc>
          <w:tcPr>
            <w:tcW w:w="2111"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本年年初余额</w:t>
            </w:r>
            <w:r>
              <w:rPr>
                <w:rFonts w:ascii="宋体" w:hAnsi="宋体" w:cs="宋体" w:eastAsia="宋体" w:hint="default"/>
                <w:sz w:val="18"/>
                <w:szCs w:val="18"/>
              </w:rPr>
            </w:r>
          </w:p>
        </w:tc>
        <w:tc>
          <w:tcPr>
            <w:tcW w:w="210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1,237,510,327.67</w:t>
            </w:r>
          </w:p>
        </w:tc>
        <w:tc>
          <w:tcPr>
            <w:tcW w:w="211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1,148,281,471.50</w:t>
            </w:r>
          </w:p>
        </w:tc>
      </w:tr>
      <w:tr>
        <w:trPr>
          <w:trHeight w:val="402"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加：本年归属于母公司所有者的净利润</w:t>
            </w:r>
          </w:p>
        </w:tc>
        <w:tc>
          <w:tcPr>
            <w:tcW w:w="210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220,879,359.32</w:t>
            </w:r>
          </w:p>
        </w:tc>
        <w:tc>
          <w:tcPr>
            <w:tcW w:w="211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111,714,711.22</w:t>
            </w:r>
          </w:p>
        </w:tc>
      </w:tr>
      <w:tr>
        <w:trPr>
          <w:trHeight w:val="402"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10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36,944,075.43</w:t>
            </w:r>
          </w:p>
        </w:tc>
        <w:tc>
          <w:tcPr>
            <w:tcW w:w="211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21,922,726.66</w:t>
            </w:r>
          </w:p>
        </w:tc>
      </w:tr>
      <w:tr>
        <w:trPr>
          <w:trHeight w:val="402"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68"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10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20,709,781.96</w:t>
            </w:r>
          </w:p>
        </w:tc>
        <w:tc>
          <w:tcPr>
            <w:tcW w:w="2111"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450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本年年末余额</w:t>
            </w:r>
            <w:r>
              <w:rPr>
                <w:rFonts w:ascii="宋体" w:hAnsi="宋体" w:cs="宋体" w:eastAsia="宋体" w:hint="default"/>
                <w:sz w:val="18"/>
                <w:szCs w:val="18"/>
              </w:rPr>
            </w:r>
          </w:p>
        </w:tc>
        <w:tc>
          <w:tcPr>
            <w:tcW w:w="210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89"/>
              <w:jc w:val="right"/>
              <w:rPr>
                <w:rFonts w:ascii="宋体" w:hAnsi="宋体" w:cs="宋体" w:eastAsia="宋体" w:hint="default"/>
                <w:sz w:val="18"/>
                <w:szCs w:val="18"/>
              </w:rPr>
            </w:pPr>
            <w:r>
              <w:rPr>
                <w:rFonts w:ascii="宋体"/>
                <w:b/>
                <w:w w:val="95"/>
                <w:sz w:val="18"/>
              </w:rPr>
              <w:t>1,400,735,829.60</w:t>
            </w:r>
            <w:r>
              <w:rPr>
                <w:rFonts w:ascii="宋体"/>
                <w:sz w:val="18"/>
              </w:rPr>
            </w:r>
          </w:p>
        </w:tc>
        <w:tc>
          <w:tcPr>
            <w:tcW w:w="2111"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1,238,073,456.06</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37.</w:t>
      </w:r>
      <w:r>
        <w:rPr>
          <w:spacing w:val="-52"/>
        </w:rPr>
        <w:t> </w:t>
      </w:r>
      <w:bookmarkStart w:name="37.营业收入、营业成本" w:id="318"/>
      <w:bookmarkEnd w:id="318"/>
      <w:r>
        <w:rPr/>
        <w:t>营</w:t>
      </w:r>
      <w:r>
        <w:rPr/>
        <w:t>业收入、营业成本</w:t>
      </w:r>
    </w:p>
    <w:p>
      <w:pPr>
        <w:spacing w:before="133"/>
        <w:ind w:left="241" w:right="1445"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38"/>
        <w:ind w:left="241" w:right="1445" w:firstLine="0"/>
        <w:jc w:val="left"/>
        <w:rPr>
          <w:rFonts w:ascii="宋体" w:hAnsi="宋体" w:cs="宋体" w:eastAsia="宋体" w:hint="default"/>
          <w:sz w:val="18"/>
          <w:szCs w:val="18"/>
        </w:rPr>
      </w:pPr>
      <w:r>
        <w:rPr>
          <w:rFonts w:ascii="宋体" w:hAnsi="宋体" w:cs="宋体" w:eastAsia="宋体" w:hint="default"/>
          <w:sz w:val="18"/>
          <w:szCs w:val="18"/>
        </w:rPr>
        <w:t>□ 是 √</w:t>
      </w:r>
      <w:r>
        <w:rPr>
          <w:rFonts w:ascii="宋体" w:hAnsi="宋体" w:cs="宋体" w:eastAsia="宋体" w:hint="default"/>
          <w:spacing w:val="-3"/>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1116"/>
        <w:gridCol w:w="1973"/>
        <w:gridCol w:w="1975"/>
        <w:gridCol w:w="1829"/>
        <w:gridCol w:w="1830"/>
      </w:tblGrid>
      <w:tr>
        <w:trPr>
          <w:trHeight w:val="415" w:hRule="exact"/>
        </w:trPr>
        <w:tc>
          <w:tcPr>
            <w:tcW w:w="1116" w:type="dxa"/>
            <w:vMerge w:val="restart"/>
            <w:tcBorders>
              <w:top w:val="single" w:sz="12" w:space="0" w:color="000000"/>
              <w:left w:val="nil" w:sz="6" w:space="0" w:color="auto"/>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948"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3659"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1116" w:type="dxa"/>
            <w:vMerge/>
            <w:tcBorders>
              <w:left w:val="nil" w:sz="6" w:space="0" w:color="auto"/>
              <w:bottom w:val="single" w:sz="2" w:space="0" w:color="000000"/>
              <w:right w:val="single" w:sz="2" w:space="0" w:color="000000"/>
            </w:tcBorders>
          </w:tcPr>
          <w:p>
            <w:pPr/>
          </w:p>
        </w:tc>
        <w:tc>
          <w:tcPr>
            <w:tcW w:w="197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9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8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r>
      <w:tr>
        <w:trPr>
          <w:trHeight w:val="402" w:hRule="exact"/>
        </w:trPr>
        <w:tc>
          <w:tcPr>
            <w:tcW w:w="111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7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9,630,097,242.20</w:t>
            </w:r>
          </w:p>
        </w:tc>
        <w:tc>
          <w:tcPr>
            <w:tcW w:w="19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8,017,448,333.85</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8,679,071,130.95</w:t>
            </w:r>
          </w:p>
        </w:tc>
        <w:tc>
          <w:tcPr>
            <w:tcW w:w="18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7,398,125,380.21</w:t>
            </w:r>
          </w:p>
        </w:tc>
      </w:tr>
      <w:tr>
        <w:trPr>
          <w:trHeight w:val="402" w:hRule="exact"/>
        </w:trPr>
        <w:tc>
          <w:tcPr>
            <w:tcW w:w="111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7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115,311,542.02</w:t>
            </w:r>
          </w:p>
        </w:tc>
        <w:tc>
          <w:tcPr>
            <w:tcW w:w="19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94,825,669.64</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60,763,474.97</w:t>
            </w:r>
          </w:p>
        </w:tc>
        <w:tc>
          <w:tcPr>
            <w:tcW w:w="18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47,023,479.98</w:t>
            </w:r>
          </w:p>
        </w:tc>
      </w:tr>
      <w:tr>
        <w:trPr>
          <w:trHeight w:val="414" w:hRule="exact"/>
        </w:trPr>
        <w:tc>
          <w:tcPr>
            <w:tcW w:w="111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7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w w:val="95"/>
                <w:sz w:val="18"/>
              </w:rPr>
              <w:t>9,745,408,784.22</w:t>
            </w:r>
            <w:r>
              <w:rPr>
                <w:rFonts w:ascii="宋体"/>
                <w:sz w:val="18"/>
              </w:rPr>
            </w:r>
          </w:p>
        </w:tc>
        <w:tc>
          <w:tcPr>
            <w:tcW w:w="197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89"/>
              <w:jc w:val="right"/>
              <w:rPr>
                <w:rFonts w:ascii="宋体" w:hAnsi="宋体" w:cs="宋体" w:eastAsia="宋体" w:hint="default"/>
                <w:sz w:val="18"/>
                <w:szCs w:val="18"/>
              </w:rPr>
            </w:pPr>
            <w:r>
              <w:rPr>
                <w:rFonts w:ascii="宋体"/>
                <w:b/>
                <w:w w:val="95"/>
                <w:sz w:val="18"/>
              </w:rPr>
              <w:t>8,112,274,003.49</w:t>
            </w:r>
            <w:r>
              <w:rPr>
                <w:rFonts w:ascii="宋体"/>
                <w:sz w:val="18"/>
              </w:rPr>
            </w:r>
          </w:p>
        </w:tc>
        <w:tc>
          <w:tcPr>
            <w:tcW w:w="18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w w:val="95"/>
                <w:sz w:val="18"/>
              </w:rPr>
              <w:t>8,739,834,605.92</w:t>
            </w:r>
            <w:r>
              <w:rPr>
                <w:rFonts w:ascii="宋体"/>
                <w:sz w:val="18"/>
              </w:rPr>
            </w:r>
          </w:p>
        </w:tc>
        <w:tc>
          <w:tcPr>
            <w:tcW w:w="1830"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7,445,148,860.19</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38.</w:t>
      </w:r>
      <w:r>
        <w:rPr>
          <w:spacing w:val="-48"/>
        </w:rPr>
        <w:t> </w:t>
      </w:r>
      <w:bookmarkStart w:name="38.税金及附加" w:id="319"/>
      <w:bookmarkEnd w:id="319"/>
      <w:r>
        <w:rPr/>
        <w:t>税</w:t>
      </w:r>
      <w:r>
        <w:rPr/>
        <w:t>金及附加</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13,008,014.76</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10,322,068.08</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9,641,946.77</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7,506,364.20</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水利建设基金</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14,151.30</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7,371.41</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5,643,593.00</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4,706,082.75</w:t>
            </w:r>
          </w:p>
        </w:tc>
      </w:tr>
      <w:tr>
        <w:trPr>
          <w:trHeight w:val="400"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129,351.79</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26,112.31</w:t>
            </w:r>
          </w:p>
        </w:tc>
      </w:tr>
    </w:tbl>
    <w:p>
      <w:pPr>
        <w:spacing w:after="0" w:line="240" w:lineRule="auto"/>
        <w:jc w:val="right"/>
        <w:rPr>
          <w:rFonts w:ascii="宋体" w:hAnsi="宋体" w:cs="宋体" w:eastAsia="宋体" w:hint="default"/>
          <w:sz w:val="18"/>
          <w:szCs w:val="18"/>
        </w:rPr>
        <w:sectPr>
          <w:headerReference w:type="default" r:id="rId63"/>
          <w:footerReference w:type="default" r:id="rId64"/>
          <w:pgSz w:w="11910" w:h="16840"/>
          <w:pgMar w:header="939" w:footer="886" w:top="18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1,049,677.21</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1,365,373.31</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2,952,594.46</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3,240,560.93</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残保金</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1,357,045.51</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1,013,852.97</w:t>
            </w: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w w:val="95"/>
                <w:sz w:val="18"/>
              </w:rPr>
              <w:t>33,796,374.80</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28,187,785.96</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39.</w:t>
      </w:r>
      <w:r>
        <w:rPr>
          <w:spacing w:val="-48"/>
        </w:rPr>
        <w:t> </w:t>
      </w:r>
      <w:bookmarkStart w:name="39.销售费用" w:id="320"/>
      <w:bookmarkEnd w:id="320"/>
      <w:r>
        <w:rPr/>
        <w:t>销</w:t>
      </w:r>
      <w:r>
        <w:rPr/>
        <w:t>售费用</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代理服务费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135,021,109.06</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45,668,632.39</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107,048,210.12</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135,975,485.02</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运费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136,402,497.38</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110,175,805.42</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41,218,944.38</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27,575,345.79</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58,885,082.91</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53,507,373.48</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业务费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55,079,560.22</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48,676,612.47</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中标服务费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27,081,893.57</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25,893,306.03</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电缆安装费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10,885,207.50</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16,936,929.12</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销售管理费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36,337,987.49</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26,333,711.47</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营运管理费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53,548,021.13</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32,596,588.61</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3,784,086.49</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5,580,774.98</w:t>
            </w: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0"/>
              <w:jc w:val="right"/>
              <w:rPr>
                <w:rFonts w:ascii="宋体" w:hAnsi="宋体" w:cs="宋体" w:eastAsia="宋体" w:hint="default"/>
                <w:sz w:val="18"/>
                <w:szCs w:val="18"/>
              </w:rPr>
            </w:pPr>
            <w:r>
              <w:rPr>
                <w:rFonts w:ascii="宋体"/>
                <w:b/>
                <w:sz w:val="18"/>
              </w:rPr>
              <w:t>665,292,600.25</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528,920,564.78</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40.</w:t>
      </w:r>
      <w:r>
        <w:rPr>
          <w:spacing w:val="-48"/>
        </w:rPr>
        <w:t> </w:t>
      </w:r>
      <w:bookmarkStart w:name="40.管理费用" w:id="321"/>
      <w:bookmarkEnd w:id="321"/>
      <w:r>
        <w:rPr/>
        <w:t>管</w:t>
      </w:r>
      <w:r>
        <w:rPr/>
        <w:t>理费用</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宋体" w:hAnsi="宋体" w:cs="宋体" w:eastAsia="宋体" w:hint="default"/>
                <w:sz w:val="18"/>
                <w:szCs w:val="18"/>
              </w:rPr>
            </w:pPr>
            <w:r>
              <w:rPr>
                <w:rFonts w:ascii="宋体"/>
                <w:spacing w:val="-1"/>
                <w:sz w:val="18"/>
              </w:rPr>
              <w:t>148,435,216.22</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126,948,802.71</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折旧及摊销</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22,861,648.73</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18,367,550.61</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4"/>
              <w:jc w:val="right"/>
              <w:rPr>
                <w:rFonts w:ascii="宋体" w:hAnsi="宋体" w:cs="宋体" w:eastAsia="宋体" w:hint="default"/>
                <w:sz w:val="18"/>
                <w:szCs w:val="18"/>
              </w:rPr>
            </w:pPr>
            <w:r>
              <w:rPr>
                <w:rFonts w:ascii="宋体"/>
                <w:spacing w:val="-1"/>
                <w:sz w:val="18"/>
              </w:rPr>
              <w:t>13,144,295.20</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15,239,892.22</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9,858,510.79</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11,435,313.27</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4"/>
              <w:jc w:val="right"/>
              <w:rPr>
                <w:rFonts w:ascii="宋体" w:hAnsi="宋体" w:cs="宋体" w:eastAsia="宋体" w:hint="default"/>
                <w:sz w:val="18"/>
                <w:szCs w:val="18"/>
              </w:rPr>
            </w:pPr>
            <w:r>
              <w:rPr>
                <w:rFonts w:ascii="宋体"/>
                <w:spacing w:val="-1"/>
                <w:sz w:val="18"/>
              </w:rPr>
              <w:t>13,810,560.63</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7,748,560.97</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车辆使用费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3,598,692.81</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5,252,063.40</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咨询费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4"/>
              <w:jc w:val="right"/>
              <w:rPr>
                <w:rFonts w:ascii="宋体" w:hAnsi="宋体" w:cs="宋体" w:eastAsia="宋体" w:hint="default"/>
                <w:sz w:val="18"/>
                <w:szCs w:val="18"/>
              </w:rPr>
            </w:pPr>
            <w:r>
              <w:rPr>
                <w:rFonts w:ascii="宋体"/>
                <w:spacing w:val="-1"/>
                <w:sz w:val="18"/>
              </w:rPr>
              <w:t>14,603,842.71</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6,499,641.69</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5,759,877.70</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6,391,523.83</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审计审核费</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宋体" w:hAnsi="宋体" w:cs="宋体" w:eastAsia="宋体" w:hint="default"/>
                <w:sz w:val="18"/>
                <w:szCs w:val="18"/>
              </w:rPr>
            </w:pPr>
            <w:r>
              <w:rPr>
                <w:rFonts w:ascii="宋体"/>
                <w:spacing w:val="-1"/>
                <w:sz w:val="18"/>
              </w:rPr>
              <w:t>1,726,963.14</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1,719,239.34</w:t>
            </w:r>
          </w:p>
        </w:tc>
      </w:tr>
      <w:tr>
        <w:trPr>
          <w:trHeight w:val="400"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8,004,929.21</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6,498,998.18</w:t>
            </w:r>
          </w:p>
        </w:tc>
      </w:tr>
    </w:tbl>
    <w:p>
      <w:pPr>
        <w:spacing w:after="0" w:line="240" w:lineRule="auto"/>
        <w:jc w:val="right"/>
        <w:rPr>
          <w:rFonts w:ascii="宋体" w:hAnsi="宋体" w:cs="宋体" w:eastAsia="宋体" w:hint="default"/>
          <w:sz w:val="18"/>
          <w:szCs w:val="18"/>
        </w:rPr>
        <w:sectPr>
          <w:headerReference w:type="default" r:id="rId65"/>
          <w:footerReference w:type="default" r:id="rId66"/>
          <w:pgSz w:w="11910" w:h="16840"/>
          <w:pgMar w:header="939" w:footer="883" w:top="1940" w:bottom="1080" w:left="1460" w:right="0"/>
          <w:pgNumType w:start="145"/>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881" w:right="0"/>
              <w:jc w:val="left"/>
              <w:rPr>
                <w:rFonts w:ascii="宋体" w:hAnsi="宋体" w:cs="宋体" w:eastAsia="宋体" w:hint="default"/>
                <w:sz w:val="18"/>
                <w:szCs w:val="18"/>
              </w:rPr>
            </w:pPr>
            <w:r>
              <w:rPr>
                <w:rFonts w:ascii="宋体"/>
                <w:b/>
                <w:sz w:val="18"/>
              </w:rPr>
              <w:t>241,804,537.14</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880" w:right="0"/>
              <w:jc w:val="left"/>
              <w:rPr>
                <w:rFonts w:ascii="宋体" w:hAnsi="宋体" w:cs="宋体" w:eastAsia="宋体" w:hint="default"/>
                <w:sz w:val="18"/>
                <w:szCs w:val="18"/>
              </w:rPr>
            </w:pPr>
            <w:r>
              <w:rPr>
                <w:rFonts w:ascii="宋体"/>
                <w:b/>
                <w:sz w:val="18"/>
              </w:rPr>
              <w:t>206,101,586.22</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41.</w:t>
      </w:r>
      <w:r>
        <w:rPr>
          <w:spacing w:val="-48"/>
        </w:rPr>
        <w:t> </w:t>
      </w:r>
      <w:bookmarkStart w:name="41.研发费用" w:id="322"/>
      <w:bookmarkEnd w:id="322"/>
      <w:r>
        <w:rPr/>
        <w:t>研</w:t>
      </w:r>
      <w:r>
        <w:rPr/>
        <w:t>发费用</w:t>
      </w:r>
    </w:p>
    <w:p>
      <w:pPr>
        <w:spacing w:line="240" w:lineRule="auto" w:before="4"/>
        <w:rPr>
          <w:rFonts w:ascii="宋体" w:hAnsi="宋体" w:cs="宋体" w:eastAsia="宋体" w:hint="default"/>
          <w:sz w:val="12"/>
          <w:szCs w:val="12"/>
        </w:rPr>
      </w:pPr>
    </w:p>
    <w:tbl>
      <w:tblPr>
        <w:tblW w:w="0" w:type="auto"/>
        <w:jc w:val="left"/>
        <w:tblInd w:w="226" w:type="dxa"/>
        <w:tblLayout w:type="fixed"/>
        <w:tblCellMar>
          <w:top w:w="0" w:type="dxa"/>
          <w:left w:w="0" w:type="dxa"/>
          <w:bottom w:w="0" w:type="dxa"/>
          <w:right w:w="0" w:type="dxa"/>
        </w:tblCellMar>
        <w:tblLook w:val="01E0"/>
      </w:tblPr>
      <w:tblGrid>
        <w:gridCol w:w="2879"/>
        <w:gridCol w:w="2881"/>
        <w:gridCol w:w="2880"/>
      </w:tblGrid>
      <w:tr>
        <w:trPr>
          <w:trHeight w:val="333" w:hRule="exact"/>
        </w:trPr>
        <w:tc>
          <w:tcPr>
            <w:tcW w:w="287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8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88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2"/>
              <w:ind w:right="5"/>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4" w:hRule="exact"/>
        </w:trPr>
        <w:tc>
          <w:tcPr>
            <w:tcW w:w="2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8" w:right="0"/>
              <w:jc w:val="left"/>
              <w:rPr>
                <w:rFonts w:ascii="宋体" w:hAnsi="宋体" w:cs="宋体" w:eastAsia="宋体" w:hint="default"/>
                <w:sz w:val="18"/>
                <w:szCs w:val="18"/>
              </w:rPr>
            </w:pPr>
            <w:r>
              <w:rPr>
                <w:rFonts w:ascii="宋体" w:hAnsi="宋体" w:cs="宋体" w:eastAsia="宋体" w:hint="default"/>
                <w:sz w:val="18"/>
                <w:szCs w:val="18"/>
              </w:rPr>
              <w:t>直接投入</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261,296,699.91</w:t>
            </w:r>
          </w:p>
        </w:tc>
        <w:tc>
          <w:tcPr>
            <w:tcW w:w="28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231,118,970.01</w:t>
            </w:r>
          </w:p>
        </w:tc>
      </w:tr>
      <w:tr>
        <w:trPr>
          <w:trHeight w:val="323" w:hRule="exact"/>
        </w:trPr>
        <w:tc>
          <w:tcPr>
            <w:tcW w:w="2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87,359,901.41</w:t>
            </w:r>
          </w:p>
        </w:tc>
        <w:tc>
          <w:tcPr>
            <w:tcW w:w="28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65,194,301.52</w:t>
            </w:r>
          </w:p>
        </w:tc>
      </w:tr>
      <w:tr>
        <w:trPr>
          <w:trHeight w:val="324" w:hRule="exact"/>
        </w:trPr>
        <w:tc>
          <w:tcPr>
            <w:tcW w:w="2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4,696,573.67</w:t>
            </w:r>
          </w:p>
        </w:tc>
        <w:tc>
          <w:tcPr>
            <w:tcW w:w="28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4"/>
              <w:jc w:val="right"/>
              <w:rPr>
                <w:rFonts w:ascii="Times New Roman" w:hAnsi="Times New Roman" w:cs="Times New Roman" w:eastAsia="Times New Roman" w:hint="default"/>
                <w:sz w:val="18"/>
                <w:szCs w:val="18"/>
              </w:rPr>
            </w:pPr>
            <w:r>
              <w:rPr>
                <w:rFonts w:ascii="Times New Roman"/>
                <w:spacing w:val="-1"/>
                <w:sz w:val="18"/>
              </w:rPr>
              <w:t>4,975,237.74</w:t>
            </w:r>
          </w:p>
        </w:tc>
      </w:tr>
      <w:tr>
        <w:trPr>
          <w:trHeight w:val="323" w:hRule="exact"/>
        </w:trPr>
        <w:tc>
          <w:tcPr>
            <w:tcW w:w="28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10,790,293.71</w:t>
            </w:r>
          </w:p>
        </w:tc>
        <w:tc>
          <w:tcPr>
            <w:tcW w:w="28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10,796,763.37</w:t>
            </w:r>
          </w:p>
        </w:tc>
      </w:tr>
      <w:tr>
        <w:trPr>
          <w:trHeight w:val="334" w:hRule="exact"/>
        </w:trPr>
        <w:tc>
          <w:tcPr>
            <w:tcW w:w="287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
              <w:ind w:left="10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364,143,468.70</w:t>
            </w:r>
          </w:p>
        </w:tc>
        <w:tc>
          <w:tcPr>
            <w:tcW w:w="288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312,085,272.64</w:t>
            </w:r>
          </w:p>
        </w:tc>
      </w:tr>
    </w:tbl>
    <w:p>
      <w:pPr>
        <w:spacing w:before="12"/>
        <w:ind w:left="241" w:right="1445"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8"/>
        <w:rPr>
          <w:rFonts w:ascii="宋体" w:hAnsi="宋体" w:cs="宋体" w:eastAsia="宋体" w:hint="default"/>
          <w:sz w:val="13"/>
          <w:szCs w:val="13"/>
        </w:rPr>
      </w:pPr>
    </w:p>
    <w:p>
      <w:pPr>
        <w:pStyle w:val="BodyText"/>
        <w:spacing w:line="240" w:lineRule="auto" w:before="0"/>
        <w:ind w:left="644" w:right="1445"/>
        <w:jc w:val="left"/>
      </w:pPr>
      <w:r>
        <w:rPr/>
        <w:t>42.</w:t>
      </w:r>
      <w:r>
        <w:rPr>
          <w:spacing w:val="-48"/>
        </w:rPr>
        <w:t> </w:t>
      </w:r>
      <w:bookmarkStart w:name="42.财务费用" w:id="323"/>
      <w:bookmarkEnd w:id="323"/>
      <w:r>
        <w:rPr/>
        <w:t>财</w:t>
      </w:r>
      <w:r>
        <w:rPr/>
        <w:t>务费用</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73,529,586.98</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82,397,613.76</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7,557,152.58</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4,793,546.47</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加：汇兑损失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-2,592,692.43</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11,490,427.70</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加：其他支出</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16,236,723.04</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8,558,776.46</w:t>
            </w: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2"/>
              <w:jc w:val="right"/>
              <w:rPr>
                <w:rFonts w:ascii="宋体" w:hAnsi="宋体" w:cs="宋体" w:eastAsia="宋体" w:hint="default"/>
                <w:sz w:val="18"/>
                <w:szCs w:val="18"/>
              </w:rPr>
            </w:pPr>
            <w:r>
              <w:rPr>
                <w:rFonts w:ascii="宋体"/>
                <w:b/>
                <w:w w:val="95"/>
                <w:sz w:val="18"/>
              </w:rPr>
              <w:t>79,616,465.01</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97,653,271.45</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43.</w:t>
      </w:r>
      <w:r>
        <w:rPr>
          <w:spacing w:val="-48"/>
        </w:rPr>
        <w:t> </w:t>
      </w:r>
      <w:bookmarkStart w:name="43.其他收益" w:id="324"/>
      <w:bookmarkEnd w:id="324"/>
      <w:r>
        <w:rPr/>
        <w:t>其</w:t>
      </w:r>
      <w:r>
        <w:rPr/>
        <w:t>他收益</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增值税退税收入</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68,395,860.46</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71,699,215.36</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与日常经营活动相关的政府补助</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31,662,272.28</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19,075,752.77</w:t>
            </w: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0"/>
              <w:jc w:val="right"/>
              <w:rPr>
                <w:rFonts w:ascii="宋体" w:hAnsi="宋体" w:cs="宋体" w:eastAsia="宋体" w:hint="default"/>
                <w:sz w:val="18"/>
                <w:szCs w:val="18"/>
              </w:rPr>
            </w:pPr>
            <w:r>
              <w:rPr>
                <w:rFonts w:ascii="宋体"/>
                <w:b/>
                <w:sz w:val="18"/>
              </w:rPr>
              <w:t>100,058,132.74</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90,774,968.13</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44.</w:t>
      </w:r>
      <w:r>
        <w:rPr>
          <w:spacing w:val="-48"/>
        </w:rPr>
        <w:t> </w:t>
      </w:r>
      <w:bookmarkStart w:name="44.投资收益" w:id="325"/>
      <w:bookmarkEnd w:id="325"/>
      <w:r>
        <w:rPr/>
        <w:t>投</w:t>
      </w:r>
      <w:r>
        <w:rPr/>
        <w:t>资收益</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929"/>
        <w:gridCol w:w="1842"/>
        <w:gridCol w:w="1952"/>
      </w:tblGrid>
      <w:tr>
        <w:trPr>
          <w:trHeight w:val="415" w:hRule="exact"/>
        </w:trPr>
        <w:tc>
          <w:tcPr>
            <w:tcW w:w="492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69"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9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523"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-4,178,553.64</w:t>
            </w:r>
          </w:p>
        </w:tc>
        <w:tc>
          <w:tcPr>
            <w:tcW w:w="19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-4,436,956.48</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其他非流动金融资产在持有期间取得的股利收入</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420,000.00</w:t>
            </w:r>
          </w:p>
        </w:tc>
        <w:tc>
          <w:tcPr>
            <w:tcW w:w="195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1842" w:type="dxa"/>
            <w:tcBorders>
              <w:top w:val="single" w:sz="2" w:space="0" w:color="000000"/>
              <w:left w:val="single" w:sz="2" w:space="0" w:color="000000"/>
              <w:bottom w:val="single" w:sz="2" w:space="0" w:color="000000"/>
              <w:right w:val="single" w:sz="2" w:space="0" w:color="000000"/>
            </w:tcBorders>
          </w:tcPr>
          <w:p>
            <w:pPr/>
          </w:p>
        </w:tc>
        <w:tc>
          <w:tcPr>
            <w:tcW w:w="19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350,000.00</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套期投资收益</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2,310,715.00</w:t>
            </w:r>
          </w:p>
        </w:tc>
        <w:tc>
          <w:tcPr>
            <w:tcW w:w="19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-11,398,961.08</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银行理财收益</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12,680,714.96</w:t>
            </w:r>
          </w:p>
        </w:tc>
        <w:tc>
          <w:tcPr>
            <w:tcW w:w="19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13,766,720.37</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远期结购汇交割收益</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-60,714.89</w:t>
            </w:r>
          </w:p>
        </w:tc>
        <w:tc>
          <w:tcPr>
            <w:tcW w:w="19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-411,279.60</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期货投资收益</w:t>
            </w:r>
          </w:p>
        </w:tc>
        <w:tc>
          <w:tcPr>
            <w:tcW w:w="1842" w:type="dxa"/>
            <w:tcBorders>
              <w:top w:val="single" w:sz="2" w:space="0" w:color="000000"/>
              <w:left w:val="single" w:sz="2" w:space="0" w:color="000000"/>
              <w:bottom w:val="single" w:sz="2" w:space="0" w:color="000000"/>
              <w:right w:val="single" w:sz="2" w:space="0" w:color="000000"/>
            </w:tcBorders>
          </w:tcPr>
          <w:p>
            <w:pPr/>
          </w:p>
        </w:tc>
        <w:tc>
          <w:tcPr>
            <w:tcW w:w="19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-63,789.93</w:t>
            </w:r>
          </w:p>
        </w:tc>
      </w:tr>
      <w:tr>
        <w:trPr>
          <w:trHeight w:val="400"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-575,947.15</w:t>
            </w:r>
          </w:p>
        </w:tc>
        <w:tc>
          <w:tcPr>
            <w:tcW w:w="1952" w:type="dxa"/>
            <w:tcBorders>
              <w:top w:val="single" w:sz="2" w:space="0" w:color="000000"/>
              <w:left w:val="single" w:sz="2" w:space="0" w:color="000000"/>
              <w:bottom w:val="single" w:sz="2" w:space="0" w:color="000000"/>
              <w:right w:val="nil" w:sz="6" w:space="0" w:color="auto"/>
            </w:tcBorders>
          </w:tcPr>
          <w:p>
            <w:pPr/>
          </w:p>
        </w:tc>
      </w:tr>
    </w:tbl>
    <w:p>
      <w:pPr>
        <w:spacing w:after="0"/>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929"/>
        <w:gridCol w:w="1842"/>
        <w:gridCol w:w="1952"/>
      </w:tblGrid>
      <w:tr>
        <w:trPr>
          <w:trHeight w:val="415" w:hRule="exact"/>
        </w:trPr>
        <w:tc>
          <w:tcPr>
            <w:tcW w:w="492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69"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9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523"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14" w:hRule="exact"/>
        </w:trPr>
        <w:tc>
          <w:tcPr>
            <w:tcW w:w="492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4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560" w:right="0"/>
              <w:jc w:val="left"/>
              <w:rPr>
                <w:rFonts w:ascii="宋体" w:hAnsi="宋体" w:cs="宋体" w:eastAsia="宋体" w:hint="default"/>
                <w:sz w:val="18"/>
                <w:szCs w:val="18"/>
              </w:rPr>
            </w:pPr>
            <w:r>
              <w:rPr>
                <w:rFonts w:ascii="宋体"/>
                <w:b/>
                <w:sz w:val="18"/>
              </w:rPr>
              <w:t>10,596,214.28</w:t>
            </w:r>
            <w:r>
              <w:rPr>
                <w:rFonts w:ascii="宋体"/>
                <w:sz w:val="18"/>
              </w:rPr>
            </w:r>
          </w:p>
        </w:tc>
        <w:tc>
          <w:tcPr>
            <w:tcW w:w="19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671" w:right="0"/>
              <w:jc w:val="left"/>
              <w:rPr>
                <w:rFonts w:ascii="宋体" w:hAnsi="宋体" w:cs="宋体" w:eastAsia="宋体" w:hint="default"/>
                <w:sz w:val="18"/>
                <w:szCs w:val="18"/>
              </w:rPr>
            </w:pPr>
            <w:r>
              <w:rPr>
                <w:rFonts w:ascii="宋体"/>
                <w:b/>
                <w:sz w:val="18"/>
              </w:rPr>
              <w:t>-2,194,266.72</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45.</w:t>
      </w:r>
      <w:r>
        <w:rPr>
          <w:spacing w:val="-50"/>
        </w:rPr>
        <w:t> </w:t>
      </w:r>
      <w:bookmarkStart w:name="45.公允价值变动收益" w:id="326"/>
      <w:bookmarkEnd w:id="326"/>
      <w:r>
        <w:rPr/>
        <w:t>公</w:t>
      </w:r>
      <w:r>
        <w:rPr/>
        <w:t>允价值变动收益</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期货合约浮盈浮亏</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4,461,700.00</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-6,899,641.06</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远期结购汇浮亏</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-1,686,480.27</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-823,991.28</w:t>
            </w: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2"/>
              <w:jc w:val="right"/>
              <w:rPr>
                <w:rFonts w:ascii="宋体" w:hAnsi="宋体" w:cs="宋体" w:eastAsia="宋体" w:hint="default"/>
                <w:sz w:val="18"/>
                <w:szCs w:val="18"/>
              </w:rPr>
            </w:pPr>
            <w:r>
              <w:rPr>
                <w:rFonts w:ascii="宋体"/>
                <w:b/>
                <w:w w:val="95"/>
                <w:sz w:val="18"/>
              </w:rPr>
              <w:t>2,775,219.73</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-7,723,632.34</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46.</w:t>
      </w:r>
      <w:r>
        <w:rPr>
          <w:spacing w:val="-50"/>
        </w:rPr>
        <w:t> </w:t>
      </w:r>
      <w:bookmarkStart w:name="46.信用减值损失" w:id="327"/>
      <w:bookmarkEnd w:id="327"/>
      <w:r>
        <w:rPr/>
        <w:t>信</w:t>
      </w:r>
      <w:r>
        <w:rPr/>
        <w:t>用减值损失</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应收账款坏账损失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宋体" w:hAnsi="宋体" w:cs="宋体" w:eastAsia="宋体" w:hint="default"/>
                <w:sz w:val="18"/>
                <w:szCs w:val="18"/>
              </w:rPr>
            </w:pPr>
            <w:r>
              <w:rPr>
                <w:rFonts w:ascii="宋体"/>
                <w:spacing w:val="-1"/>
                <w:sz w:val="18"/>
              </w:rPr>
              <w:t>-28,544,146.80</w:t>
            </w:r>
          </w:p>
        </w:tc>
        <w:tc>
          <w:tcPr>
            <w:tcW w:w="225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其他应收款坏账损失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-3,425,503.45</w:t>
            </w:r>
          </w:p>
        </w:tc>
        <w:tc>
          <w:tcPr>
            <w:tcW w:w="225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应收票据坏账损失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4"/>
              <w:jc w:val="right"/>
              <w:rPr>
                <w:rFonts w:ascii="宋体" w:hAnsi="宋体" w:cs="宋体" w:eastAsia="宋体" w:hint="default"/>
                <w:sz w:val="18"/>
                <w:szCs w:val="18"/>
              </w:rPr>
            </w:pPr>
            <w:r>
              <w:rPr>
                <w:rFonts w:ascii="宋体"/>
                <w:spacing w:val="-1"/>
                <w:sz w:val="18"/>
              </w:rPr>
              <w:t>-3,651,070.68</w:t>
            </w:r>
          </w:p>
        </w:tc>
        <w:tc>
          <w:tcPr>
            <w:tcW w:w="2252"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sz w:val="18"/>
              </w:rPr>
              <w:t>-35,620,720.93</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47.</w:t>
      </w:r>
      <w:r>
        <w:rPr>
          <w:spacing w:val="-50"/>
        </w:rPr>
        <w:t> </w:t>
      </w:r>
      <w:bookmarkStart w:name="47.资产减值损失" w:id="328"/>
      <w:bookmarkEnd w:id="328"/>
      <w:r>
        <w:rPr/>
        <w:t>资</w:t>
      </w:r>
      <w:r>
        <w:rPr/>
        <w:t>产减值损失</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219"/>
        <w:gridCol w:w="2252"/>
        <w:gridCol w:w="2252"/>
      </w:tblGrid>
      <w:tr>
        <w:trPr>
          <w:trHeight w:val="415" w:hRule="exact"/>
        </w:trPr>
        <w:tc>
          <w:tcPr>
            <w:tcW w:w="421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6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67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252" w:type="dxa"/>
            <w:tcBorders>
              <w:top w:val="single" w:sz="2" w:space="0" w:color="000000"/>
              <w:left w:val="single" w:sz="2" w:space="0" w:color="000000"/>
              <w:bottom w:val="single" w:sz="2" w:space="0" w:color="000000"/>
              <w:right w:val="single" w:sz="2" w:space="0" w:color="000000"/>
            </w:tcBorders>
          </w:tcPr>
          <w:p>
            <w:pP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-52,700,496.13</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-9,963,296.77</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-10,259,522.51</w:t>
            </w: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-2,546,943.02</w:t>
            </w:r>
          </w:p>
        </w:tc>
        <w:tc>
          <w:tcPr>
            <w:tcW w:w="225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工程物资减值损失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-13,630,154.25</w:t>
            </w:r>
          </w:p>
        </w:tc>
        <w:tc>
          <w:tcPr>
            <w:tcW w:w="225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在建工程减值损失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-73,076.91</w:t>
            </w:r>
          </w:p>
        </w:tc>
        <w:tc>
          <w:tcPr>
            <w:tcW w:w="225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21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商誉减值损失</w:t>
            </w:r>
          </w:p>
        </w:tc>
        <w:tc>
          <w:tcPr>
            <w:tcW w:w="22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-51,917,205.46</w:t>
            </w:r>
          </w:p>
        </w:tc>
        <w:tc>
          <w:tcPr>
            <w:tcW w:w="22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-20,913,702.38</w:t>
            </w:r>
          </w:p>
        </w:tc>
      </w:tr>
      <w:tr>
        <w:trPr>
          <w:trHeight w:val="414" w:hRule="exact"/>
        </w:trPr>
        <w:tc>
          <w:tcPr>
            <w:tcW w:w="421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0"/>
              <w:jc w:val="right"/>
              <w:rPr>
                <w:rFonts w:ascii="宋体" w:hAnsi="宋体" w:cs="宋体" w:eastAsia="宋体" w:hint="default"/>
                <w:sz w:val="18"/>
                <w:szCs w:val="18"/>
              </w:rPr>
            </w:pPr>
            <w:r>
              <w:rPr>
                <w:rFonts w:ascii="宋体"/>
                <w:b/>
                <w:sz w:val="18"/>
              </w:rPr>
              <w:t>-78,130,676.41</w:t>
            </w:r>
            <w:r>
              <w:rPr>
                <w:rFonts w:ascii="宋体"/>
                <w:sz w:val="18"/>
              </w:rPr>
            </w:r>
          </w:p>
        </w:tc>
        <w:tc>
          <w:tcPr>
            <w:tcW w:w="22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-83,873,721.02</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44" w:right="1445"/>
        <w:jc w:val="left"/>
      </w:pPr>
      <w:r>
        <w:rPr/>
        <w:t>48.</w:t>
      </w:r>
      <w:r>
        <w:rPr>
          <w:spacing w:val="-56"/>
        </w:rPr>
        <w:t> </w:t>
      </w:r>
      <w:bookmarkStart w:name="48.资产处置收益（损失以“－”号填列）" w:id="329"/>
      <w:bookmarkEnd w:id="329"/>
      <w:r>
        <w:rPr/>
        <w:t>资</w:t>
      </w:r>
      <w:r>
        <w:rPr/>
        <w:t>产处置收益（损失以“－”号填列）</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651"/>
        <w:gridCol w:w="1844"/>
        <w:gridCol w:w="1560"/>
        <w:gridCol w:w="1668"/>
      </w:tblGrid>
      <w:tr>
        <w:trPr>
          <w:trHeight w:val="565" w:hRule="exact"/>
        </w:trPr>
        <w:tc>
          <w:tcPr>
            <w:tcW w:w="365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9"/>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4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9"/>
              <w:ind w:left="470"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56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9"/>
              <w:ind w:left="327"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c>
          <w:tcPr>
            <w:tcW w:w="1668"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6"/>
              <w:ind w:left="380" w:right="106" w:hanging="269"/>
              <w:jc w:val="left"/>
              <w:rPr>
                <w:rFonts w:ascii="宋体" w:hAnsi="宋体" w:cs="宋体" w:eastAsia="宋体" w:hint="default"/>
                <w:sz w:val="18"/>
                <w:szCs w:val="18"/>
              </w:rPr>
            </w:pPr>
            <w:r>
              <w:rPr>
                <w:rFonts w:ascii="宋体" w:hAnsi="宋体" w:cs="宋体" w:eastAsia="宋体" w:hint="default"/>
                <w:b/>
                <w:bCs/>
                <w:sz w:val="18"/>
                <w:szCs w:val="18"/>
              </w:rPr>
              <w:t>计入本年非经常性</w:t>
            </w:r>
            <w:r>
              <w:rPr>
                <w:rFonts w:ascii="宋体" w:hAnsi="宋体" w:cs="宋体" w:eastAsia="宋体" w:hint="default"/>
                <w:b/>
                <w:bCs/>
                <w:w w:val="99"/>
                <w:sz w:val="18"/>
                <w:szCs w:val="18"/>
              </w:rPr>
              <w:t> </w:t>
            </w:r>
            <w:r>
              <w:rPr>
                <w:rFonts w:ascii="宋体" w:hAnsi="宋体" w:cs="宋体" w:eastAsia="宋体" w:hint="default"/>
                <w:b/>
                <w:bCs/>
                <w:sz w:val="18"/>
                <w:szCs w:val="18"/>
              </w:rPr>
              <w:t>损益的金额</w:t>
            </w:r>
            <w:r>
              <w:rPr>
                <w:rFonts w:ascii="宋体" w:hAnsi="宋体" w:cs="宋体" w:eastAsia="宋体" w:hint="default"/>
                <w:sz w:val="18"/>
                <w:szCs w:val="18"/>
              </w:rPr>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非流动资产处置收益</w:t>
            </w:r>
          </w:p>
        </w:tc>
        <w:tc>
          <w:tcPr>
            <w:tcW w:w="18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-2,919,377.56</w:t>
            </w:r>
            <w:r>
              <w:rPr>
                <w:rFonts w:ascii="宋体"/>
                <w:sz w:val="18"/>
              </w:rPr>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280" w:right="0"/>
              <w:jc w:val="left"/>
              <w:rPr>
                <w:rFonts w:ascii="宋体" w:hAnsi="宋体" w:cs="宋体" w:eastAsia="宋体" w:hint="default"/>
                <w:sz w:val="18"/>
                <w:szCs w:val="18"/>
              </w:rPr>
            </w:pPr>
            <w:r>
              <w:rPr>
                <w:rFonts w:ascii="宋体"/>
                <w:b/>
                <w:sz w:val="18"/>
              </w:rPr>
              <w:t>-1,042,270.13</w:t>
            </w:r>
            <w:r>
              <w:rPr>
                <w:rFonts w:ascii="宋体"/>
                <w:sz w:val="18"/>
              </w:rPr>
            </w:r>
          </w:p>
        </w:tc>
        <w:tc>
          <w:tcPr>
            <w:tcW w:w="166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-2,919,377.56</w:t>
            </w:r>
            <w:r>
              <w:rPr>
                <w:rFonts w:ascii="宋体"/>
                <w:sz w:val="18"/>
              </w:rPr>
            </w:r>
          </w:p>
        </w:tc>
      </w:tr>
      <w:tr>
        <w:trPr>
          <w:trHeight w:val="55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4"/>
              <w:ind w:left="108" w:right="103" w:firstLine="180"/>
              <w:jc w:val="left"/>
              <w:rPr>
                <w:rFonts w:ascii="宋体" w:hAnsi="宋体" w:cs="宋体" w:eastAsia="宋体" w:hint="default"/>
                <w:sz w:val="18"/>
                <w:szCs w:val="18"/>
              </w:rPr>
            </w:pPr>
            <w:r>
              <w:rPr>
                <w:rFonts w:ascii="宋体" w:hAnsi="宋体" w:cs="宋体" w:eastAsia="宋体" w:hint="default"/>
                <w:spacing w:val="5"/>
                <w:sz w:val="18"/>
                <w:szCs w:val="18"/>
              </w:rPr>
              <w:t>其中:未划分为持有待售的非流动资产处</w:t>
            </w:r>
            <w:r>
              <w:rPr>
                <w:rFonts w:ascii="宋体" w:hAnsi="宋体" w:cs="宋体" w:eastAsia="宋体" w:hint="default"/>
                <w:sz w:val="18"/>
                <w:szCs w:val="18"/>
              </w:rPr>
              <w:t> 置收益</w:t>
            </w:r>
          </w:p>
        </w:tc>
        <w:tc>
          <w:tcPr>
            <w:tcW w:w="18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03"/>
              <w:jc w:val="right"/>
              <w:rPr>
                <w:rFonts w:ascii="宋体" w:hAnsi="宋体" w:cs="宋体" w:eastAsia="宋体" w:hint="default"/>
                <w:sz w:val="18"/>
                <w:szCs w:val="18"/>
              </w:rPr>
            </w:pPr>
            <w:r>
              <w:rPr>
                <w:rFonts w:ascii="宋体"/>
                <w:spacing w:val="-1"/>
                <w:sz w:val="18"/>
              </w:rPr>
              <w:t>-2,919,377.56</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280" w:right="0"/>
              <w:jc w:val="left"/>
              <w:rPr>
                <w:rFonts w:ascii="宋体" w:hAnsi="宋体" w:cs="宋体" w:eastAsia="宋体" w:hint="default"/>
                <w:sz w:val="18"/>
                <w:szCs w:val="18"/>
              </w:rPr>
            </w:pPr>
            <w:r>
              <w:rPr>
                <w:rFonts w:ascii="宋体"/>
                <w:sz w:val="18"/>
              </w:rPr>
              <w:t>-1,042,270.13</w:t>
            </w:r>
          </w:p>
        </w:tc>
        <w:tc>
          <w:tcPr>
            <w:tcW w:w="166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105"/>
              <w:jc w:val="right"/>
              <w:rPr>
                <w:rFonts w:ascii="宋体" w:hAnsi="宋体" w:cs="宋体" w:eastAsia="宋体" w:hint="default"/>
                <w:sz w:val="18"/>
                <w:szCs w:val="18"/>
              </w:rPr>
            </w:pPr>
            <w:r>
              <w:rPr>
                <w:rFonts w:ascii="宋体"/>
                <w:spacing w:val="-1"/>
                <w:sz w:val="18"/>
              </w:rPr>
              <w:t>-2,919,377.56</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0"/>
              <w:ind w:right="1289"/>
              <w:jc w:val="right"/>
              <w:rPr>
                <w:rFonts w:ascii="宋体" w:hAnsi="宋体" w:cs="宋体" w:eastAsia="宋体" w:hint="default"/>
                <w:sz w:val="18"/>
                <w:szCs w:val="18"/>
              </w:rPr>
            </w:pPr>
            <w:r>
              <w:rPr>
                <w:rFonts w:ascii="宋体" w:hAnsi="宋体" w:cs="宋体" w:eastAsia="宋体" w:hint="default"/>
                <w:spacing w:val="-1"/>
                <w:sz w:val="18"/>
                <w:szCs w:val="18"/>
              </w:rPr>
              <w:t>其中:固定资产处置收益</w:t>
            </w:r>
          </w:p>
        </w:tc>
        <w:tc>
          <w:tcPr>
            <w:tcW w:w="18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right="103"/>
              <w:jc w:val="right"/>
              <w:rPr>
                <w:rFonts w:ascii="宋体" w:hAnsi="宋体" w:cs="宋体" w:eastAsia="宋体" w:hint="default"/>
                <w:sz w:val="18"/>
                <w:szCs w:val="18"/>
              </w:rPr>
            </w:pPr>
            <w:r>
              <w:rPr>
                <w:rFonts w:ascii="宋体"/>
                <w:spacing w:val="-1"/>
                <w:sz w:val="18"/>
              </w:rPr>
              <w:t>-2,714,043.85</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280" w:right="0"/>
              <w:jc w:val="left"/>
              <w:rPr>
                <w:rFonts w:ascii="宋体" w:hAnsi="宋体" w:cs="宋体" w:eastAsia="宋体" w:hint="default"/>
                <w:sz w:val="18"/>
                <w:szCs w:val="18"/>
              </w:rPr>
            </w:pPr>
            <w:r>
              <w:rPr>
                <w:rFonts w:ascii="宋体"/>
                <w:sz w:val="18"/>
              </w:rPr>
              <w:t>-1,042,270.13</w:t>
            </w:r>
          </w:p>
        </w:tc>
        <w:tc>
          <w:tcPr>
            <w:tcW w:w="166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0"/>
              <w:ind w:right="105"/>
              <w:jc w:val="right"/>
              <w:rPr>
                <w:rFonts w:ascii="宋体" w:hAnsi="宋体" w:cs="宋体" w:eastAsia="宋体" w:hint="default"/>
                <w:sz w:val="18"/>
                <w:szCs w:val="18"/>
              </w:rPr>
            </w:pPr>
            <w:r>
              <w:rPr>
                <w:rFonts w:ascii="宋体"/>
                <w:spacing w:val="-1"/>
                <w:sz w:val="18"/>
              </w:rPr>
              <w:t>-2,714,043.85</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right="1289"/>
              <w:jc w:val="right"/>
              <w:rPr>
                <w:rFonts w:ascii="宋体" w:hAnsi="宋体" w:cs="宋体" w:eastAsia="宋体" w:hint="default"/>
                <w:sz w:val="18"/>
                <w:szCs w:val="18"/>
              </w:rPr>
            </w:pPr>
            <w:r>
              <w:rPr>
                <w:rFonts w:ascii="宋体" w:hAnsi="宋体" w:cs="宋体" w:eastAsia="宋体" w:hint="default"/>
                <w:sz w:val="18"/>
                <w:szCs w:val="18"/>
              </w:rPr>
              <w:t>工程物资处置收益</w:t>
            </w:r>
          </w:p>
        </w:tc>
        <w:tc>
          <w:tcPr>
            <w:tcW w:w="184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-205,333.71</w:t>
            </w:r>
          </w:p>
        </w:tc>
        <w:tc>
          <w:tcPr>
            <w:tcW w:w="1560" w:type="dxa"/>
            <w:tcBorders>
              <w:top w:val="single" w:sz="2" w:space="0" w:color="000000"/>
              <w:left w:val="single" w:sz="2" w:space="0" w:color="000000"/>
              <w:bottom w:val="single" w:sz="2" w:space="0" w:color="000000"/>
              <w:right w:val="single" w:sz="2" w:space="0" w:color="000000"/>
            </w:tcBorders>
          </w:tcPr>
          <w:p>
            <w:pPr/>
          </w:p>
        </w:tc>
        <w:tc>
          <w:tcPr>
            <w:tcW w:w="166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-205,333.71</w:t>
            </w:r>
          </w:p>
        </w:tc>
      </w:tr>
      <w:tr>
        <w:trPr>
          <w:trHeight w:val="414" w:hRule="exact"/>
        </w:trPr>
        <w:tc>
          <w:tcPr>
            <w:tcW w:w="365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4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91"/>
              <w:jc w:val="right"/>
              <w:rPr>
                <w:rFonts w:ascii="宋体" w:hAnsi="宋体" w:cs="宋体" w:eastAsia="宋体" w:hint="default"/>
                <w:sz w:val="18"/>
                <w:szCs w:val="18"/>
              </w:rPr>
            </w:pPr>
            <w:r>
              <w:rPr>
                <w:rFonts w:ascii="宋体"/>
                <w:b/>
                <w:w w:val="95"/>
                <w:sz w:val="18"/>
              </w:rPr>
              <w:t>-2,919,377.56</w:t>
            </w:r>
            <w:r>
              <w:rPr>
                <w:rFonts w:ascii="宋体"/>
                <w:sz w:val="18"/>
              </w:rPr>
            </w:r>
          </w:p>
        </w:tc>
        <w:tc>
          <w:tcPr>
            <w:tcW w:w="156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left="280" w:right="0"/>
              <w:jc w:val="left"/>
              <w:rPr>
                <w:rFonts w:ascii="宋体" w:hAnsi="宋体" w:cs="宋体" w:eastAsia="宋体" w:hint="default"/>
                <w:sz w:val="18"/>
                <w:szCs w:val="18"/>
              </w:rPr>
            </w:pPr>
            <w:r>
              <w:rPr>
                <w:rFonts w:ascii="宋体"/>
                <w:b/>
                <w:sz w:val="18"/>
              </w:rPr>
              <w:t>-1,042,270.13</w:t>
            </w:r>
            <w:r>
              <w:rPr>
                <w:rFonts w:ascii="宋体"/>
                <w:sz w:val="18"/>
              </w:rPr>
            </w:r>
          </w:p>
        </w:tc>
        <w:tc>
          <w:tcPr>
            <w:tcW w:w="166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0"/>
              <w:ind w:right="93"/>
              <w:jc w:val="right"/>
              <w:rPr>
                <w:rFonts w:ascii="宋体" w:hAnsi="宋体" w:cs="宋体" w:eastAsia="宋体" w:hint="default"/>
                <w:sz w:val="18"/>
                <w:szCs w:val="18"/>
              </w:rPr>
            </w:pPr>
            <w:r>
              <w:rPr>
                <w:rFonts w:ascii="宋体"/>
                <w:b/>
                <w:w w:val="95"/>
                <w:sz w:val="18"/>
              </w:rPr>
              <w:t>-2,919,377.56</w:t>
            </w:r>
            <w:r>
              <w:rPr>
                <w:rFonts w:ascii="宋体"/>
                <w:sz w:val="18"/>
              </w:rPr>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3"/>
        <w:rPr>
          <w:rFonts w:ascii="宋体" w:hAnsi="宋体" w:cs="宋体" w:eastAsia="宋体" w:hint="default"/>
          <w:sz w:val="12"/>
          <w:szCs w:val="12"/>
        </w:rPr>
      </w:pPr>
    </w:p>
    <w:p>
      <w:pPr>
        <w:pStyle w:val="BodyText"/>
        <w:spacing w:line="240" w:lineRule="auto"/>
        <w:ind w:left="644" w:right="1445"/>
        <w:jc w:val="left"/>
      </w:pPr>
      <w:r>
        <w:rPr/>
        <w:t>49.</w:t>
      </w:r>
      <w:r>
        <w:rPr>
          <w:spacing w:val="-48"/>
        </w:rPr>
        <w:t> </w:t>
      </w:r>
      <w:bookmarkStart w:name="49.营业外收入" w:id="330"/>
      <w:bookmarkEnd w:id="330"/>
      <w:r>
        <w:rPr/>
        <w:t>营</w:t>
      </w:r>
      <w:r>
        <w:rPr/>
        <w:t>业外收入</w:t>
      </w:r>
    </w:p>
    <w:p>
      <w:pPr>
        <w:pStyle w:val="BodyText"/>
        <w:spacing w:line="240" w:lineRule="auto" w:before="192"/>
        <w:ind w:left="666" w:right="1445"/>
        <w:jc w:val="left"/>
      </w:pPr>
      <w:r>
        <w:rPr/>
        <w:t>（</w:t>
      </w:r>
      <w:r>
        <w:rPr>
          <w:rFonts w:ascii="Times New Roman" w:hAnsi="Times New Roman" w:cs="Times New Roman" w:eastAsia="Times New Roman" w:hint="default"/>
        </w:rPr>
        <w:t>1</w:t>
      </w:r>
      <w:r>
        <w:rPr/>
        <w:t>）</w:t>
      </w:r>
      <w:r>
        <w:rPr>
          <w:spacing w:val="9"/>
        </w:rPr>
        <w:t> </w:t>
      </w:r>
      <w:bookmarkStart w:name="（1）营业外收入明细" w:id="331"/>
      <w:bookmarkEnd w:id="331"/>
      <w:r>
        <w:rPr/>
        <w:t>营</w:t>
      </w:r>
      <w:r>
        <w:rPr/>
        <w:t>业外收入明细</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3015"/>
        <w:gridCol w:w="1903"/>
        <w:gridCol w:w="1903"/>
        <w:gridCol w:w="1902"/>
      </w:tblGrid>
      <w:tr>
        <w:trPr>
          <w:trHeight w:val="565" w:hRule="exact"/>
        </w:trPr>
        <w:tc>
          <w:tcPr>
            <w:tcW w:w="301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7"/>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0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7"/>
              <w:ind w:left="499"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90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7"/>
              <w:ind w:left="499"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c>
          <w:tcPr>
            <w:tcW w:w="1902"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7"/>
              <w:ind w:left="588" w:right="133" w:hanging="449"/>
              <w:jc w:val="left"/>
              <w:rPr>
                <w:rFonts w:ascii="宋体" w:hAnsi="宋体" w:cs="宋体" w:eastAsia="宋体" w:hint="default"/>
                <w:sz w:val="18"/>
                <w:szCs w:val="18"/>
              </w:rPr>
            </w:pPr>
            <w:r>
              <w:rPr>
                <w:rFonts w:ascii="宋体" w:hAnsi="宋体" w:cs="宋体" w:eastAsia="宋体" w:hint="default"/>
                <w:b/>
                <w:bCs/>
                <w:sz w:val="18"/>
                <w:szCs w:val="18"/>
              </w:rPr>
              <w:t>计入本年非经常性损</w:t>
            </w:r>
            <w:r>
              <w:rPr>
                <w:rFonts w:ascii="宋体" w:hAnsi="宋体" w:cs="宋体" w:eastAsia="宋体" w:hint="default"/>
                <w:b/>
                <w:bCs/>
                <w:w w:val="99"/>
                <w:sz w:val="18"/>
                <w:szCs w:val="18"/>
              </w:rPr>
              <w:t> </w:t>
            </w:r>
            <w:r>
              <w:rPr>
                <w:rFonts w:ascii="宋体" w:hAnsi="宋体" w:cs="宋体" w:eastAsia="宋体" w:hint="default"/>
                <w:b/>
                <w:bCs/>
                <w:sz w:val="18"/>
                <w:szCs w:val="18"/>
              </w:rPr>
              <w:t>益的金额</w:t>
            </w:r>
            <w:r>
              <w:rPr>
                <w:rFonts w:ascii="宋体" w:hAnsi="宋体" w:cs="宋体" w:eastAsia="宋体" w:hint="default"/>
                <w:sz w:val="18"/>
                <w:szCs w:val="18"/>
              </w:rPr>
            </w:r>
          </w:p>
        </w:tc>
      </w:tr>
      <w:tr>
        <w:trPr>
          <w:trHeight w:val="402" w:hRule="exact"/>
        </w:trPr>
        <w:tc>
          <w:tcPr>
            <w:tcW w:w="301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非流动资产毁损报废利得</w:t>
            </w:r>
          </w:p>
        </w:tc>
        <w:tc>
          <w:tcPr>
            <w:tcW w:w="19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87,769.93</w:t>
            </w:r>
          </w:p>
        </w:tc>
        <w:tc>
          <w:tcPr>
            <w:tcW w:w="19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825.00</w:t>
            </w:r>
          </w:p>
        </w:tc>
        <w:tc>
          <w:tcPr>
            <w:tcW w:w="190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87,769.93</w:t>
            </w:r>
          </w:p>
        </w:tc>
      </w:tr>
      <w:tr>
        <w:trPr>
          <w:trHeight w:val="402" w:hRule="exact"/>
        </w:trPr>
        <w:tc>
          <w:tcPr>
            <w:tcW w:w="301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9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10,885,569.39</w:t>
            </w:r>
          </w:p>
        </w:tc>
        <w:tc>
          <w:tcPr>
            <w:tcW w:w="19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1,712,636.48</w:t>
            </w:r>
          </w:p>
        </w:tc>
        <w:tc>
          <w:tcPr>
            <w:tcW w:w="190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10,885,569.39</w:t>
            </w:r>
          </w:p>
        </w:tc>
      </w:tr>
      <w:tr>
        <w:trPr>
          <w:trHeight w:val="402" w:hRule="exact"/>
        </w:trPr>
        <w:tc>
          <w:tcPr>
            <w:tcW w:w="301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5,139,390.32</w:t>
            </w:r>
          </w:p>
        </w:tc>
        <w:tc>
          <w:tcPr>
            <w:tcW w:w="190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2,975,048.93</w:t>
            </w:r>
          </w:p>
        </w:tc>
        <w:tc>
          <w:tcPr>
            <w:tcW w:w="190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5,139,390.32</w:t>
            </w:r>
          </w:p>
        </w:tc>
      </w:tr>
      <w:tr>
        <w:trPr>
          <w:trHeight w:val="414" w:hRule="exact"/>
        </w:trPr>
        <w:tc>
          <w:tcPr>
            <w:tcW w:w="301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0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2"/>
              <w:jc w:val="right"/>
              <w:rPr>
                <w:rFonts w:ascii="宋体" w:hAnsi="宋体" w:cs="宋体" w:eastAsia="宋体" w:hint="default"/>
                <w:sz w:val="18"/>
                <w:szCs w:val="18"/>
              </w:rPr>
            </w:pPr>
            <w:r>
              <w:rPr>
                <w:rFonts w:ascii="宋体"/>
                <w:b/>
                <w:w w:val="95"/>
                <w:sz w:val="18"/>
              </w:rPr>
              <w:t>16,112,729.64</w:t>
            </w:r>
            <w:r>
              <w:rPr>
                <w:rFonts w:ascii="宋体"/>
                <w:sz w:val="18"/>
              </w:rPr>
            </w:r>
          </w:p>
        </w:tc>
        <w:tc>
          <w:tcPr>
            <w:tcW w:w="190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2"/>
              <w:jc w:val="right"/>
              <w:rPr>
                <w:rFonts w:ascii="宋体" w:hAnsi="宋体" w:cs="宋体" w:eastAsia="宋体" w:hint="default"/>
                <w:sz w:val="18"/>
                <w:szCs w:val="18"/>
              </w:rPr>
            </w:pPr>
            <w:r>
              <w:rPr>
                <w:rFonts w:ascii="宋体"/>
                <w:b/>
                <w:w w:val="95"/>
                <w:sz w:val="18"/>
              </w:rPr>
              <w:t>4,688,510.41</w:t>
            </w:r>
            <w:r>
              <w:rPr>
                <w:rFonts w:ascii="宋体"/>
                <w:sz w:val="18"/>
              </w:rPr>
            </w:r>
          </w:p>
        </w:tc>
        <w:tc>
          <w:tcPr>
            <w:tcW w:w="190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3"/>
              <w:jc w:val="right"/>
              <w:rPr>
                <w:rFonts w:ascii="宋体" w:hAnsi="宋体" w:cs="宋体" w:eastAsia="宋体" w:hint="default"/>
                <w:sz w:val="18"/>
                <w:szCs w:val="18"/>
              </w:rPr>
            </w:pPr>
            <w:r>
              <w:rPr>
                <w:rFonts w:ascii="宋体"/>
                <w:b/>
                <w:w w:val="95"/>
                <w:sz w:val="18"/>
              </w:rPr>
              <w:t>16,112,729.64</w:t>
            </w:r>
            <w:r>
              <w:rPr>
                <w:rFonts w:ascii="宋体"/>
                <w:sz w:val="18"/>
              </w:rPr>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223" w:type="dxa"/>
        <w:tblLayout w:type="fixed"/>
        <w:tblCellMar>
          <w:top w:w="0" w:type="dxa"/>
          <w:left w:w="0" w:type="dxa"/>
          <w:bottom w:w="0" w:type="dxa"/>
          <w:right w:w="0" w:type="dxa"/>
        </w:tblCellMar>
        <w:tblLook w:val="01E0"/>
      </w:tblPr>
      <w:tblGrid>
        <w:gridCol w:w="999"/>
        <w:gridCol w:w="1738"/>
        <w:gridCol w:w="591"/>
        <w:gridCol w:w="919"/>
        <w:gridCol w:w="741"/>
        <w:gridCol w:w="601"/>
        <w:gridCol w:w="1069"/>
        <w:gridCol w:w="854"/>
        <w:gridCol w:w="788"/>
      </w:tblGrid>
      <w:tr>
        <w:trPr>
          <w:trHeight w:val="902" w:hRule="exact"/>
        </w:trPr>
        <w:tc>
          <w:tcPr>
            <w:tcW w:w="99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78" w:right="0"/>
              <w:jc w:val="left"/>
              <w:rPr>
                <w:rFonts w:ascii="宋体" w:hAnsi="宋体" w:cs="宋体" w:eastAsia="宋体" w:hint="default"/>
                <w:sz w:val="16"/>
                <w:szCs w:val="16"/>
              </w:rPr>
            </w:pPr>
            <w:r>
              <w:rPr>
                <w:rFonts w:ascii="宋体" w:hAnsi="宋体" w:cs="宋体" w:eastAsia="宋体" w:hint="default"/>
                <w:sz w:val="16"/>
                <w:szCs w:val="16"/>
              </w:rPr>
              <w:t>补助项目</w:t>
            </w:r>
          </w:p>
        </w:tc>
        <w:tc>
          <w:tcPr>
            <w:tcW w:w="173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543" w:right="0"/>
              <w:jc w:val="left"/>
              <w:rPr>
                <w:rFonts w:ascii="宋体" w:hAnsi="宋体" w:cs="宋体" w:eastAsia="宋体" w:hint="default"/>
                <w:sz w:val="16"/>
                <w:szCs w:val="16"/>
              </w:rPr>
            </w:pPr>
            <w:r>
              <w:rPr>
                <w:rFonts w:ascii="宋体" w:hAnsi="宋体" w:cs="宋体" w:eastAsia="宋体" w:hint="default"/>
                <w:sz w:val="16"/>
                <w:szCs w:val="16"/>
              </w:rPr>
              <w:t>发放主体</w:t>
            </w:r>
          </w:p>
        </w:tc>
        <w:tc>
          <w:tcPr>
            <w:tcW w:w="59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06" w:lineRule="exact"/>
              <w:ind w:left="129" w:right="127"/>
              <w:jc w:val="left"/>
              <w:rPr>
                <w:rFonts w:ascii="宋体" w:hAnsi="宋体" w:cs="宋体" w:eastAsia="宋体" w:hint="default"/>
                <w:sz w:val="16"/>
                <w:szCs w:val="16"/>
              </w:rPr>
            </w:pPr>
            <w:r>
              <w:rPr>
                <w:rFonts w:ascii="宋体" w:hAnsi="宋体" w:cs="宋体" w:eastAsia="宋体" w:hint="default"/>
                <w:sz w:val="16"/>
                <w:szCs w:val="16"/>
              </w:rPr>
              <w:t>发放</w:t>
            </w:r>
            <w:r>
              <w:rPr>
                <w:rFonts w:ascii="宋体" w:hAnsi="宋体" w:cs="宋体" w:eastAsia="宋体" w:hint="default"/>
                <w:w w:val="100"/>
                <w:sz w:val="16"/>
                <w:szCs w:val="16"/>
              </w:rPr>
              <w:t> </w:t>
            </w:r>
            <w:r>
              <w:rPr>
                <w:rFonts w:ascii="宋体" w:hAnsi="宋体" w:cs="宋体" w:eastAsia="宋体" w:hint="default"/>
                <w:sz w:val="16"/>
                <w:szCs w:val="16"/>
              </w:rPr>
              <w:t>原因</w:t>
            </w:r>
          </w:p>
        </w:tc>
        <w:tc>
          <w:tcPr>
            <w:tcW w:w="91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33" w:right="0"/>
              <w:jc w:val="left"/>
              <w:rPr>
                <w:rFonts w:ascii="宋体" w:hAnsi="宋体" w:cs="宋体" w:eastAsia="宋体" w:hint="default"/>
                <w:sz w:val="16"/>
                <w:szCs w:val="16"/>
              </w:rPr>
            </w:pPr>
            <w:r>
              <w:rPr>
                <w:rFonts w:ascii="宋体" w:hAnsi="宋体" w:cs="宋体" w:eastAsia="宋体" w:hint="default"/>
                <w:sz w:val="16"/>
                <w:szCs w:val="16"/>
              </w:rPr>
              <w:t>性质类型</w:t>
            </w:r>
          </w:p>
        </w:tc>
        <w:tc>
          <w:tcPr>
            <w:tcW w:w="741" w:type="dxa"/>
            <w:tcBorders>
              <w:top w:val="single" w:sz="12" w:space="0" w:color="000000"/>
              <w:left w:val="single" w:sz="4" w:space="0" w:color="000000"/>
              <w:bottom w:val="single" w:sz="4" w:space="0" w:color="000000"/>
              <w:right w:val="single" w:sz="4" w:space="0" w:color="000000"/>
            </w:tcBorders>
          </w:tcPr>
          <w:p>
            <w:pPr>
              <w:pStyle w:val="TableParagraph"/>
              <w:spacing w:line="237" w:lineRule="auto" w:before="4"/>
              <w:ind w:left="124" w:right="124"/>
              <w:jc w:val="center"/>
              <w:rPr>
                <w:rFonts w:ascii="宋体" w:hAnsi="宋体" w:cs="宋体" w:eastAsia="宋体" w:hint="default"/>
                <w:sz w:val="16"/>
                <w:szCs w:val="16"/>
              </w:rPr>
            </w:pPr>
            <w:r>
              <w:rPr>
                <w:rFonts w:ascii="宋体" w:hAnsi="宋体" w:cs="宋体" w:eastAsia="宋体" w:hint="default"/>
                <w:sz w:val="16"/>
                <w:szCs w:val="16"/>
              </w:rPr>
              <w:t>补贴是</w:t>
            </w:r>
            <w:r>
              <w:rPr>
                <w:rFonts w:ascii="宋体" w:hAnsi="宋体" w:cs="宋体" w:eastAsia="宋体" w:hint="default"/>
                <w:w w:val="100"/>
                <w:sz w:val="16"/>
                <w:szCs w:val="16"/>
              </w:rPr>
              <w:t> </w:t>
            </w:r>
            <w:r>
              <w:rPr>
                <w:rFonts w:ascii="宋体" w:hAnsi="宋体" w:cs="宋体" w:eastAsia="宋体" w:hint="default"/>
                <w:sz w:val="16"/>
                <w:szCs w:val="16"/>
              </w:rPr>
              <w:t>否影响</w:t>
            </w:r>
            <w:r>
              <w:rPr>
                <w:rFonts w:ascii="宋体" w:hAnsi="宋体" w:cs="宋体" w:eastAsia="宋体" w:hint="default"/>
                <w:w w:val="100"/>
                <w:sz w:val="16"/>
                <w:szCs w:val="16"/>
              </w:rPr>
              <w:t> </w:t>
            </w:r>
            <w:r>
              <w:rPr>
                <w:rFonts w:ascii="宋体" w:hAnsi="宋体" w:cs="宋体" w:eastAsia="宋体" w:hint="default"/>
                <w:sz w:val="16"/>
                <w:szCs w:val="16"/>
              </w:rPr>
              <w:t>当年盈</w:t>
            </w:r>
            <w:r>
              <w:rPr>
                <w:rFonts w:ascii="宋体" w:hAnsi="宋体" w:cs="宋体" w:eastAsia="宋体" w:hint="default"/>
                <w:w w:val="100"/>
                <w:sz w:val="16"/>
                <w:szCs w:val="16"/>
              </w:rPr>
              <w:t> </w:t>
            </w:r>
            <w:r>
              <w:rPr>
                <w:rFonts w:ascii="宋体" w:hAnsi="宋体" w:cs="宋体" w:eastAsia="宋体" w:hint="default"/>
                <w:sz w:val="16"/>
                <w:szCs w:val="16"/>
              </w:rPr>
              <w:t>亏</w:t>
            </w:r>
          </w:p>
        </w:tc>
        <w:tc>
          <w:tcPr>
            <w:tcW w:w="601" w:type="dxa"/>
            <w:tcBorders>
              <w:top w:val="single" w:sz="12" w:space="0" w:color="000000"/>
              <w:left w:val="single" w:sz="4" w:space="0" w:color="000000"/>
              <w:bottom w:val="single" w:sz="4" w:space="0" w:color="000000"/>
              <w:right w:val="single" w:sz="4" w:space="0" w:color="000000"/>
            </w:tcBorders>
          </w:tcPr>
          <w:p>
            <w:pPr>
              <w:pStyle w:val="TableParagraph"/>
              <w:spacing w:line="237" w:lineRule="auto" w:before="105"/>
              <w:ind w:left="134" w:right="132"/>
              <w:jc w:val="both"/>
              <w:rPr>
                <w:rFonts w:ascii="宋体" w:hAnsi="宋体" w:cs="宋体" w:eastAsia="宋体" w:hint="default"/>
                <w:sz w:val="16"/>
                <w:szCs w:val="16"/>
              </w:rPr>
            </w:pPr>
            <w:r>
              <w:rPr>
                <w:rFonts w:ascii="宋体" w:hAnsi="宋体" w:cs="宋体" w:eastAsia="宋体" w:hint="default"/>
                <w:sz w:val="16"/>
                <w:szCs w:val="16"/>
              </w:rPr>
              <w:t>是否</w:t>
            </w:r>
            <w:r>
              <w:rPr>
                <w:rFonts w:ascii="宋体" w:hAnsi="宋体" w:cs="宋体" w:eastAsia="宋体" w:hint="default"/>
                <w:w w:val="100"/>
                <w:sz w:val="16"/>
                <w:szCs w:val="16"/>
              </w:rPr>
              <w:t> </w:t>
            </w:r>
            <w:r>
              <w:rPr>
                <w:rFonts w:ascii="宋体" w:hAnsi="宋体" w:cs="宋体" w:eastAsia="宋体" w:hint="default"/>
                <w:sz w:val="16"/>
                <w:szCs w:val="16"/>
              </w:rPr>
              <w:t>特殊</w:t>
            </w:r>
            <w:r>
              <w:rPr>
                <w:rFonts w:ascii="宋体" w:hAnsi="宋体" w:cs="宋体" w:eastAsia="宋体" w:hint="default"/>
                <w:w w:val="100"/>
                <w:sz w:val="16"/>
                <w:szCs w:val="16"/>
              </w:rPr>
              <w:t> </w:t>
            </w:r>
            <w:r>
              <w:rPr>
                <w:rFonts w:ascii="宋体" w:hAnsi="宋体" w:cs="宋体" w:eastAsia="宋体" w:hint="default"/>
                <w:sz w:val="16"/>
                <w:szCs w:val="16"/>
              </w:rPr>
              <w:t>补贴</w:t>
            </w:r>
          </w:p>
        </w:tc>
        <w:tc>
          <w:tcPr>
            <w:tcW w:w="106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06" w:lineRule="exact"/>
              <w:ind w:left="208" w:right="126" w:hanging="80"/>
              <w:jc w:val="left"/>
              <w:rPr>
                <w:rFonts w:ascii="宋体" w:hAnsi="宋体" w:cs="宋体" w:eastAsia="宋体" w:hint="default"/>
                <w:sz w:val="16"/>
                <w:szCs w:val="16"/>
              </w:rPr>
            </w:pPr>
            <w:r>
              <w:rPr>
                <w:rFonts w:ascii="宋体" w:hAnsi="宋体" w:cs="宋体" w:eastAsia="宋体" w:hint="default"/>
                <w:sz w:val="16"/>
                <w:szCs w:val="16"/>
              </w:rPr>
              <w:t>本期发生金</w:t>
            </w:r>
            <w:r>
              <w:rPr>
                <w:rFonts w:ascii="宋体" w:hAnsi="宋体" w:cs="宋体" w:eastAsia="宋体" w:hint="default"/>
                <w:w w:val="100"/>
                <w:sz w:val="16"/>
                <w:szCs w:val="16"/>
              </w:rPr>
              <w:t> </w:t>
            </w:r>
            <w:r>
              <w:rPr>
                <w:rFonts w:ascii="宋体" w:hAnsi="宋体" w:cs="宋体" w:eastAsia="宋体" w:hint="default"/>
                <w:sz w:val="16"/>
                <w:szCs w:val="16"/>
              </w:rPr>
              <w:t>额（元）</w:t>
            </w:r>
          </w:p>
        </w:tc>
        <w:tc>
          <w:tcPr>
            <w:tcW w:w="8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3"/>
              <w:ind w:left="183" w:right="179"/>
              <w:jc w:val="left"/>
              <w:rPr>
                <w:rFonts w:ascii="宋体" w:hAnsi="宋体" w:cs="宋体" w:eastAsia="宋体" w:hint="default"/>
                <w:sz w:val="16"/>
                <w:szCs w:val="16"/>
              </w:rPr>
            </w:pPr>
            <w:r>
              <w:rPr>
                <w:rFonts w:ascii="宋体" w:hAnsi="宋体" w:cs="宋体" w:eastAsia="宋体" w:hint="default"/>
                <w:sz w:val="16"/>
                <w:szCs w:val="16"/>
              </w:rPr>
              <w:t>上期发</w:t>
            </w:r>
            <w:r>
              <w:rPr>
                <w:rFonts w:ascii="宋体" w:hAnsi="宋体" w:cs="宋体" w:eastAsia="宋体" w:hint="default"/>
                <w:w w:val="100"/>
                <w:sz w:val="16"/>
                <w:szCs w:val="16"/>
              </w:rPr>
              <w:t> </w:t>
            </w:r>
            <w:r>
              <w:rPr>
                <w:rFonts w:ascii="宋体" w:hAnsi="宋体" w:cs="宋体" w:eastAsia="宋体" w:hint="default"/>
                <w:sz w:val="16"/>
                <w:szCs w:val="16"/>
              </w:rPr>
              <w:t>生金额</w:t>
            </w:r>
          </w:p>
          <w:p>
            <w:pPr>
              <w:pStyle w:val="TableParagraph"/>
              <w:spacing w:line="206" w:lineRule="exact"/>
              <w:ind w:left="183" w:right="0"/>
              <w:jc w:val="left"/>
              <w:rPr>
                <w:rFonts w:ascii="宋体" w:hAnsi="宋体" w:cs="宋体" w:eastAsia="宋体" w:hint="default"/>
                <w:sz w:val="16"/>
                <w:szCs w:val="16"/>
              </w:rPr>
            </w:pPr>
            <w:r>
              <w:rPr>
                <w:rFonts w:ascii="宋体" w:hAnsi="宋体" w:cs="宋体" w:eastAsia="宋体" w:hint="default"/>
                <w:sz w:val="16"/>
                <w:szCs w:val="16"/>
              </w:rPr>
              <w:t>（元）</w:t>
            </w:r>
          </w:p>
        </w:tc>
        <w:tc>
          <w:tcPr>
            <w:tcW w:w="788" w:type="dxa"/>
            <w:tcBorders>
              <w:top w:val="single" w:sz="12" w:space="0" w:color="000000"/>
              <w:left w:val="single" w:sz="4" w:space="0" w:color="000000"/>
              <w:bottom w:val="single" w:sz="4" w:space="0" w:color="000000"/>
              <w:right w:val="nil" w:sz="6" w:space="0" w:color="auto"/>
            </w:tcBorders>
          </w:tcPr>
          <w:p>
            <w:pPr>
              <w:pStyle w:val="TableParagraph"/>
              <w:spacing w:line="237" w:lineRule="auto" w:before="4"/>
              <w:ind w:left="109" w:right="110"/>
              <w:jc w:val="center"/>
              <w:rPr>
                <w:rFonts w:ascii="宋体" w:hAnsi="宋体" w:cs="宋体" w:eastAsia="宋体" w:hint="default"/>
                <w:sz w:val="16"/>
                <w:szCs w:val="16"/>
              </w:rPr>
            </w:pPr>
            <w:r>
              <w:rPr>
                <w:rFonts w:ascii="宋体" w:hAnsi="宋体" w:cs="宋体" w:eastAsia="宋体" w:hint="default"/>
                <w:sz w:val="16"/>
                <w:szCs w:val="16"/>
              </w:rPr>
              <w:t>与资产</w:t>
            </w:r>
            <w:r>
              <w:rPr>
                <w:rFonts w:ascii="宋体" w:hAnsi="宋体" w:cs="宋体" w:eastAsia="宋体" w:hint="default"/>
                <w:w w:val="100"/>
                <w:sz w:val="16"/>
                <w:szCs w:val="16"/>
              </w:rPr>
              <w:t> </w:t>
            </w:r>
            <w:r>
              <w:rPr>
                <w:rFonts w:ascii="宋体" w:hAnsi="宋体" w:cs="宋体" w:eastAsia="宋体" w:hint="default"/>
                <w:spacing w:val="-1"/>
                <w:sz w:val="16"/>
                <w:szCs w:val="16"/>
              </w:rPr>
              <w:t>相关/与</w:t>
            </w:r>
            <w:r>
              <w:rPr>
                <w:rFonts w:ascii="宋体" w:hAnsi="宋体" w:cs="宋体" w:eastAsia="宋体" w:hint="default"/>
                <w:w w:val="100"/>
                <w:sz w:val="16"/>
                <w:szCs w:val="16"/>
              </w:rPr>
              <w:t> </w:t>
            </w:r>
            <w:r>
              <w:rPr>
                <w:rFonts w:ascii="宋体" w:hAnsi="宋体" w:cs="宋体" w:eastAsia="宋体" w:hint="default"/>
                <w:sz w:val="16"/>
                <w:szCs w:val="16"/>
              </w:rPr>
              <w:t>收益相</w:t>
            </w:r>
            <w:r>
              <w:rPr>
                <w:rFonts w:ascii="宋体" w:hAnsi="宋体" w:cs="宋体" w:eastAsia="宋体" w:hint="default"/>
                <w:w w:val="100"/>
                <w:sz w:val="16"/>
                <w:szCs w:val="16"/>
              </w:rPr>
              <w:t> </w:t>
            </w:r>
            <w:r>
              <w:rPr>
                <w:rFonts w:ascii="宋体" w:hAnsi="宋体" w:cs="宋体" w:eastAsia="宋体" w:hint="default"/>
                <w:sz w:val="16"/>
                <w:szCs w:val="16"/>
              </w:rPr>
              <w:t>关</w:t>
            </w:r>
          </w:p>
        </w:tc>
      </w:tr>
      <w:tr>
        <w:trPr>
          <w:trHeight w:val="1463" w:hRule="exact"/>
        </w:trPr>
        <w:tc>
          <w:tcPr>
            <w:tcW w:w="999" w:type="dxa"/>
            <w:tcBorders>
              <w:top w:val="single" w:sz="4" w:space="0" w:color="000000"/>
              <w:left w:val="nil" w:sz="6" w:space="0" w:color="auto"/>
              <w:bottom w:val="single" w:sz="4" w:space="0" w:color="000000"/>
              <w:right w:val="single" w:sz="4" w:space="0" w:color="000000"/>
            </w:tcBorders>
          </w:tcPr>
          <w:p>
            <w:pPr>
              <w:pStyle w:val="TableParagraph"/>
              <w:spacing w:line="237" w:lineRule="auto" w:before="78"/>
              <w:ind w:left="106" w:right="203"/>
              <w:jc w:val="both"/>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41"/>
                <w:sz w:val="16"/>
                <w:szCs w:val="16"/>
              </w:rPr>
              <w:t> </w:t>
            </w:r>
            <w:r>
              <w:rPr>
                <w:rFonts w:ascii="宋体" w:hAnsi="宋体" w:cs="宋体" w:eastAsia="宋体" w:hint="default"/>
                <w:sz w:val="16"/>
                <w:szCs w:val="16"/>
              </w:rPr>
              <w:t>年电</w:t>
            </w:r>
            <w:r>
              <w:rPr>
                <w:rFonts w:ascii="宋体" w:hAnsi="宋体" w:cs="宋体" w:eastAsia="宋体" w:hint="default"/>
                <w:w w:val="100"/>
                <w:sz w:val="16"/>
                <w:szCs w:val="16"/>
              </w:rPr>
              <w:t> </w:t>
            </w:r>
            <w:r>
              <w:rPr>
                <w:rFonts w:ascii="宋体" w:hAnsi="宋体" w:cs="宋体" w:eastAsia="宋体" w:hint="default"/>
                <w:sz w:val="16"/>
                <w:szCs w:val="16"/>
              </w:rPr>
              <w:t>线电缆制</w:t>
            </w:r>
            <w:r>
              <w:rPr>
                <w:rFonts w:ascii="宋体" w:hAnsi="宋体" w:cs="宋体" w:eastAsia="宋体" w:hint="default"/>
                <w:w w:val="100"/>
                <w:sz w:val="16"/>
                <w:szCs w:val="16"/>
              </w:rPr>
              <w:t> </w:t>
            </w:r>
            <w:r>
              <w:rPr>
                <w:rFonts w:ascii="宋体" w:hAnsi="宋体" w:cs="宋体" w:eastAsia="宋体" w:hint="default"/>
                <w:sz w:val="16"/>
                <w:szCs w:val="16"/>
              </w:rPr>
              <w:t>造业改造</w:t>
            </w:r>
            <w:r>
              <w:rPr>
                <w:rFonts w:ascii="宋体" w:hAnsi="宋体" w:cs="宋体" w:eastAsia="宋体" w:hint="default"/>
                <w:w w:val="100"/>
                <w:sz w:val="16"/>
                <w:szCs w:val="16"/>
              </w:rPr>
              <w:t> </w:t>
            </w:r>
            <w:r>
              <w:rPr>
                <w:rFonts w:ascii="宋体" w:hAnsi="宋体" w:cs="宋体" w:eastAsia="宋体" w:hint="default"/>
                <w:sz w:val="16"/>
                <w:szCs w:val="16"/>
              </w:rPr>
              <w:t>提升专项</w:t>
            </w:r>
            <w:r>
              <w:rPr>
                <w:rFonts w:ascii="宋体" w:hAnsi="宋体" w:cs="宋体" w:eastAsia="宋体" w:hint="default"/>
                <w:w w:val="100"/>
                <w:sz w:val="16"/>
                <w:szCs w:val="16"/>
              </w:rPr>
              <w:t> </w:t>
            </w:r>
            <w:r>
              <w:rPr>
                <w:rFonts w:ascii="宋体" w:hAnsi="宋体" w:cs="宋体" w:eastAsia="宋体" w:hint="default"/>
                <w:sz w:val="16"/>
                <w:szCs w:val="16"/>
              </w:rPr>
              <w:t>财政资助</w:t>
            </w:r>
            <w:r>
              <w:rPr>
                <w:rFonts w:ascii="宋体" w:hAnsi="宋体" w:cs="宋体" w:eastAsia="宋体" w:hint="default"/>
                <w:w w:val="100"/>
                <w:sz w:val="16"/>
                <w:szCs w:val="16"/>
              </w:rPr>
              <w:t> </w:t>
            </w:r>
            <w:r>
              <w:rPr>
                <w:rFonts w:ascii="宋体" w:hAnsi="宋体" w:cs="宋体" w:eastAsia="宋体" w:hint="default"/>
                <w:sz w:val="16"/>
                <w:szCs w:val="16"/>
              </w:rPr>
              <w:t>奖励资金</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183" w:lineRule="exact"/>
              <w:ind w:left="103" w:right="0"/>
              <w:jc w:val="left"/>
              <w:rPr>
                <w:rFonts w:ascii="宋体" w:hAnsi="宋体" w:cs="宋体" w:eastAsia="宋体" w:hint="default"/>
                <w:sz w:val="16"/>
                <w:szCs w:val="16"/>
              </w:rPr>
            </w:pPr>
            <w:r>
              <w:rPr>
                <w:rFonts w:ascii="宋体" w:hAnsi="宋体" w:cs="宋体" w:eastAsia="宋体" w:hint="default"/>
                <w:sz w:val="16"/>
                <w:szCs w:val="16"/>
              </w:rPr>
              <w:t>杭州市临安区经济和</w:t>
            </w:r>
          </w:p>
          <w:p>
            <w:pPr>
              <w:pStyle w:val="TableParagraph"/>
              <w:spacing w:line="237" w:lineRule="auto" w:before="1"/>
              <w:ind w:left="103" w:right="19"/>
              <w:jc w:val="left"/>
              <w:rPr>
                <w:rFonts w:ascii="宋体" w:hAnsi="宋体" w:cs="宋体" w:eastAsia="宋体" w:hint="default"/>
                <w:sz w:val="16"/>
                <w:szCs w:val="16"/>
              </w:rPr>
            </w:pPr>
            <w:r>
              <w:rPr>
                <w:rFonts w:ascii="宋体" w:hAnsi="宋体" w:cs="宋体" w:eastAsia="宋体" w:hint="default"/>
                <w:spacing w:val="-10"/>
                <w:w w:val="100"/>
                <w:sz w:val="16"/>
                <w:szCs w:val="16"/>
              </w:rPr>
              <w:t>信息化局、杭州市临安</w:t>
            </w:r>
            <w:r>
              <w:rPr>
                <w:rFonts w:ascii="宋体" w:hAnsi="宋体" w:cs="宋体" w:eastAsia="宋体" w:hint="default"/>
                <w:spacing w:val="-72"/>
                <w:w w:val="100"/>
                <w:sz w:val="16"/>
                <w:szCs w:val="16"/>
              </w:rPr>
              <w:t> </w:t>
            </w:r>
            <w:r>
              <w:rPr>
                <w:rFonts w:ascii="宋体" w:hAnsi="宋体" w:cs="宋体" w:eastAsia="宋体" w:hint="default"/>
                <w:spacing w:val="-72"/>
                <w:w w:val="100"/>
                <w:sz w:val="16"/>
                <w:szCs w:val="16"/>
              </w:rPr>
            </w:r>
            <w:r>
              <w:rPr>
                <w:rFonts w:ascii="宋体" w:hAnsi="宋体" w:cs="宋体" w:eastAsia="宋体" w:hint="default"/>
                <w:sz w:val="16"/>
                <w:szCs w:val="16"/>
              </w:rPr>
              <w:t>区财政局关于《2018</w:t>
            </w:r>
            <w:r>
              <w:rPr>
                <w:rFonts w:ascii="宋体" w:hAnsi="宋体" w:cs="宋体" w:eastAsia="宋体" w:hint="default"/>
                <w:w w:val="100"/>
                <w:sz w:val="16"/>
                <w:szCs w:val="16"/>
              </w:rPr>
              <w:t> </w:t>
            </w:r>
            <w:r>
              <w:rPr>
                <w:rFonts w:ascii="宋体" w:hAnsi="宋体" w:cs="宋体" w:eastAsia="宋体" w:hint="default"/>
                <w:sz w:val="16"/>
                <w:szCs w:val="16"/>
              </w:rPr>
              <w:t>年电线电缆制造业改</w:t>
            </w:r>
            <w:r>
              <w:rPr>
                <w:rFonts w:ascii="宋体" w:hAnsi="宋体" w:cs="宋体" w:eastAsia="宋体" w:hint="default"/>
                <w:w w:val="100"/>
                <w:sz w:val="16"/>
                <w:szCs w:val="16"/>
              </w:rPr>
              <w:t> </w:t>
            </w:r>
            <w:r>
              <w:rPr>
                <w:rFonts w:ascii="宋体" w:hAnsi="宋体" w:cs="宋体" w:eastAsia="宋体" w:hint="default"/>
                <w:sz w:val="16"/>
                <w:szCs w:val="16"/>
              </w:rPr>
              <w:t>造提升专项资金的通</w:t>
            </w:r>
            <w:r>
              <w:rPr>
                <w:rFonts w:ascii="宋体" w:hAnsi="宋体" w:cs="宋体" w:eastAsia="宋体" w:hint="default"/>
                <w:w w:val="100"/>
                <w:sz w:val="16"/>
                <w:szCs w:val="16"/>
              </w:rPr>
              <w:t> </w:t>
            </w:r>
            <w:r>
              <w:rPr>
                <w:rFonts w:ascii="宋体" w:hAnsi="宋体" w:cs="宋体" w:eastAsia="宋体" w:hint="default"/>
                <w:sz w:val="16"/>
                <w:szCs w:val="16"/>
              </w:rPr>
              <w:t>知》</w:t>
            </w:r>
            <w:r>
              <w:rPr>
                <w:rFonts w:ascii="宋体" w:hAnsi="宋体" w:cs="宋体" w:eastAsia="宋体" w:hint="default"/>
                <w:spacing w:val="-35"/>
                <w:sz w:val="16"/>
                <w:szCs w:val="16"/>
              </w:rPr>
              <w:t> </w:t>
            </w:r>
            <w:r>
              <w:rPr>
                <w:rFonts w:ascii="宋体" w:hAnsi="宋体" w:cs="宋体" w:eastAsia="宋体" w:hint="default"/>
                <w:spacing w:val="-5"/>
                <w:sz w:val="16"/>
                <w:szCs w:val="16"/>
              </w:rPr>
              <w:t>临经信综〔2019〕</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112</w:t>
            </w:r>
            <w:r>
              <w:rPr>
                <w:rFonts w:ascii="宋体" w:hAnsi="宋体" w:cs="宋体" w:eastAsia="宋体" w:hint="default"/>
                <w:spacing w:val="-42"/>
                <w:sz w:val="16"/>
                <w:szCs w:val="16"/>
              </w:rPr>
              <w:t> </w:t>
            </w:r>
            <w:r>
              <w:rPr>
                <w:rFonts w:ascii="宋体" w:hAnsi="宋体" w:cs="宋体" w:eastAsia="宋体" w:hint="default"/>
                <w:sz w:val="16"/>
                <w:szCs w:val="16"/>
              </w:rPr>
              <w:t>号</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183" w:lineRule="exact"/>
              <w:ind w:left="102" w:right="0"/>
              <w:jc w:val="both"/>
              <w:rPr>
                <w:rFonts w:ascii="宋体" w:hAnsi="宋体" w:cs="宋体" w:eastAsia="宋体" w:hint="default"/>
                <w:sz w:val="16"/>
                <w:szCs w:val="16"/>
              </w:rPr>
            </w:pPr>
            <w:r>
              <w:rPr>
                <w:rFonts w:ascii="宋体" w:hAnsi="宋体" w:cs="宋体" w:eastAsia="宋体" w:hint="default"/>
                <w:sz w:val="16"/>
                <w:szCs w:val="16"/>
              </w:rPr>
              <w:t>因符合地</w:t>
            </w:r>
          </w:p>
          <w:p>
            <w:pPr>
              <w:pStyle w:val="TableParagraph"/>
              <w:spacing w:line="237" w:lineRule="auto" w:before="1"/>
              <w:ind w:left="102" w:right="163"/>
              <w:jc w:val="both"/>
              <w:rPr>
                <w:rFonts w:ascii="宋体" w:hAnsi="宋体" w:cs="宋体" w:eastAsia="宋体" w:hint="default"/>
                <w:sz w:val="16"/>
                <w:szCs w:val="16"/>
              </w:rPr>
            </w:pPr>
            <w:r>
              <w:rPr>
                <w:rFonts w:ascii="宋体" w:hAnsi="宋体" w:cs="宋体" w:eastAsia="宋体" w:hint="default"/>
                <w:sz w:val="16"/>
                <w:szCs w:val="16"/>
              </w:rPr>
              <w:t>方政府招</w:t>
            </w:r>
            <w:r>
              <w:rPr>
                <w:rFonts w:ascii="宋体" w:hAnsi="宋体" w:cs="宋体" w:eastAsia="宋体" w:hint="default"/>
                <w:w w:val="100"/>
                <w:sz w:val="16"/>
                <w:szCs w:val="16"/>
              </w:rPr>
              <w:t> </w:t>
            </w:r>
            <w:r>
              <w:rPr>
                <w:rFonts w:ascii="宋体" w:hAnsi="宋体" w:cs="宋体" w:eastAsia="宋体" w:hint="default"/>
                <w:sz w:val="16"/>
                <w:szCs w:val="16"/>
              </w:rPr>
              <w:t>商引资等</w:t>
            </w:r>
            <w:r>
              <w:rPr>
                <w:rFonts w:ascii="宋体" w:hAnsi="宋体" w:cs="宋体" w:eastAsia="宋体" w:hint="default"/>
                <w:w w:val="100"/>
                <w:sz w:val="16"/>
                <w:szCs w:val="16"/>
              </w:rPr>
              <w:t> </w:t>
            </w:r>
            <w:r>
              <w:rPr>
                <w:rFonts w:ascii="宋体" w:hAnsi="宋体" w:cs="宋体" w:eastAsia="宋体" w:hint="default"/>
                <w:sz w:val="16"/>
                <w:szCs w:val="16"/>
              </w:rPr>
              <w:t>地方性扶</w:t>
            </w:r>
            <w:r>
              <w:rPr>
                <w:rFonts w:ascii="宋体" w:hAnsi="宋体" w:cs="宋体" w:eastAsia="宋体" w:hint="default"/>
                <w:w w:val="100"/>
                <w:sz w:val="16"/>
                <w:szCs w:val="16"/>
              </w:rPr>
              <w:t> </w:t>
            </w:r>
            <w:r>
              <w:rPr>
                <w:rFonts w:ascii="宋体" w:hAnsi="宋体" w:cs="宋体" w:eastAsia="宋体" w:hint="default"/>
                <w:sz w:val="16"/>
                <w:szCs w:val="16"/>
              </w:rPr>
              <w:t>持政策而</w:t>
            </w:r>
            <w:r>
              <w:rPr>
                <w:rFonts w:ascii="宋体" w:hAnsi="宋体" w:cs="宋体" w:eastAsia="宋体" w:hint="default"/>
                <w:w w:val="100"/>
                <w:sz w:val="16"/>
                <w:szCs w:val="16"/>
              </w:rPr>
              <w:t> </w:t>
            </w:r>
            <w:r>
              <w:rPr>
                <w:rFonts w:ascii="宋体" w:hAnsi="宋体" w:cs="宋体" w:eastAsia="宋体" w:hint="default"/>
                <w:sz w:val="16"/>
                <w:szCs w:val="16"/>
              </w:rPr>
              <w:t>获得的补</w:t>
            </w:r>
            <w:r>
              <w:rPr>
                <w:rFonts w:ascii="宋体" w:hAnsi="宋体" w:cs="宋体" w:eastAsia="宋体" w:hint="default"/>
                <w:w w:val="100"/>
                <w:sz w:val="16"/>
                <w:szCs w:val="16"/>
              </w:rPr>
              <w:t> </w:t>
            </w:r>
            <w:r>
              <w:rPr>
                <w:rFonts w:ascii="宋体" w:hAnsi="宋体" w:cs="宋体" w:eastAsia="宋体" w:hint="default"/>
                <w:sz w:val="16"/>
                <w:szCs w:val="16"/>
              </w:rPr>
              <w:t>助</w:t>
            </w:r>
          </w:p>
        </w:tc>
        <w:tc>
          <w:tcPr>
            <w:tcW w:w="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08" w:lineRule="exact"/>
              <w:ind w:right="101"/>
              <w:jc w:val="right"/>
              <w:rPr>
                <w:rFonts w:ascii="宋体" w:hAnsi="宋体" w:cs="宋体" w:eastAsia="宋体" w:hint="default"/>
                <w:sz w:val="16"/>
                <w:szCs w:val="16"/>
              </w:rPr>
            </w:pPr>
            <w:r>
              <w:rPr>
                <w:rFonts w:ascii="宋体"/>
                <w:spacing w:val="-1"/>
                <w:sz w:val="16"/>
              </w:rPr>
              <w:t>10,000,000</w:t>
            </w:r>
          </w:p>
          <w:p>
            <w:pPr>
              <w:pStyle w:val="TableParagraph"/>
              <w:spacing w:line="208" w:lineRule="exact"/>
              <w:ind w:right="99"/>
              <w:jc w:val="right"/>
              <w:rPr>
                <w:rFonts w:ascii="宋体" w:hAnsi="宋体" w:cs="宋体" w:eastAsia="宋体" w:hint="default"/>
                <w:sz w:val="16"/>
                <w:szCs w:val="16"/>
              </w:rPr>
            </w:pPr>
            <w:r>
              <w:rPr>
                <w:rFonts w:ascii="宋体"/>
                <w:spacing w:val="-1"/>
                <w:sz w:val="16"/>
              </w:rPr>
              <w:t>.00</w:t>
            </w:r>
          </w:p>
        </w:tc>
        <w:tc>
          <w:tcPr>
            <w:tcW w:w="854"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06" w:lineRule="exact"/>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1670" w:hRule="exact"/>
        </w:trPr>
        <w:tc>
          <w:tcPr>
            <w:tcW w:w="999" w:type="dxa"/>
            <w:tcBorders>
              <w:top w:val="single" w:sz="4" w:space="0" w:color="000000"/>
              <w:left w:val="nil" w:sz="6" w:space="0" w:color="auto"/>
              <w:bottom w:val="single" w:sz="4" w:space="0" w:color="000000"/>
              <w:right w:val="single" w:sz="4" w:space="0" w:color="000000"/>
            </w:tcBorders>
          </w:tcPr>
          <w:p>
            <w:pPr>
              <w:pStyle w:val="TableParagraph"/>
              <w:spacing w:line="237" w:lineRule="auto" w:before="77"/>
              <w:ind w:left="106" w:right="203"/>
              <w:jc w:val="both"/>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41"/>
                <w:sz w:val="16"/>
                <w:szCs w:val="16"/>
              </w:rPr>
              <w:t> </w:t>
            </w:r>
            <w:r>
              <w:rPr>
                <w:rFonts w:ascii="宋体" w:hAnsi="宋体" w:cs="宋体" w:eastAsia="宋体" w:hint="default"/>
                <w:sz w:val="16"/>
                <w:szCs w:val="16"/>
              </w:rPr>
              <w:t>年度</w:t>
            </w:r>
            <w:r>
              <w:rPr>
                <w:rFonts w:ascii="宋体" w:hAnsi="宋体" w:cs="宋体" w:eastAsia="宋体" w:hint="default"/>
                <w:w w:val="100"/>
                <w:sz w:val="16"/>
                <w:szCs w:val="16"/>
              </w:rPr>
              <w:t> </w:t>
            </w:r>
            <w:r>
              <w:rPr>
                <w:rFonts w:ascii="宋体" w:hAnsi="宋体" w:cs="宋体" w:eastAsia="宋体" w:hint="default"/>
                <w:sz w:val="16"/>
                <w:szCs w:val="16"/>
              </w:rPr>
              <w:t>杭州市临</w:t>
            </w:r>
            <w:r>
              <w:rPr>
                <w:rFonts w:ascii="宋体" w:hAnsi="宋体" w:cs="宋体" w:eastAsia="宋体" w:hint="default"/>
                <w:w w:val="100"/>
                <w:sz w:val="16"/>
                <w:szCs w:val="16"/>
              </w:rPr>
              <w:t> </w:t>
            </w:r>
            <w:r>
              <w:rPr>
                <w:rFonts w:ascii="宋体" w:hAnsi="宋体" w:cs="宋体" w:eastAsia="宋体" w:hint="default"/>
                <w:sz w:val="16"/>
                <w:szCs w:val="16"/>
              </w:rPr>
              <w:t>安区骨干</w:t>
            </w:r>
            <w:r>
              <w:rPr>
                <w:rFonts w:ascii="宋体" w:hAnsi="宋体" w:cs="宋体" w:eastAsia="宋体" w:hint="default"/>
                <w:w w:val="100"/>
                <w:sz w:val="16"/>
                <w:szCs w:val="16"/>
              </w:rPr>
              <w:t> </w:t>
            </w:r>
            <w:r>
              <w:rPr>
                <w:rFonts w:ascii="宋体" w:hAnsi="宋体" w:cs="宋体" w:eastAsia="宋体" w:hint="default"/>
                <w:sz w:val="16"/>
                <w:szCs w:val="16"/>
              </w:rPr>
              <w:t>企业带动</w:t>
            </w:r>
            <w:r>
              <w:rPr>
                <w:rFonts w:ascii="宋体" w:hAnsi="宋体" w:cs="宋体" w:eastAsia="宋体" w:hint="default"/>
                <w:w w:val="100"/>
                <w:sz w:val="16"/>
                <w:szCs w:val="16"/>
              </w:rPr>
              <w:t> </w:t>
            </w:r>
            <w:r>
              <w:rPr>
                <w:rFonts w:ascii="宋体" w:hAnsi="宋体" w:cs="宋体" w:eastAsia="宋体" w:hint="default"/>
                <w:sz w:val="16"/>
                <w:szCs w:val="16"/>
              </w:rPr>
              <w:t>产业链发</w:t>
            </w:r>
            <w:r>
              <w:rPr>
                <w:rFonts w:ascii="宋体" w:hAnsi="宋体" w:cs="宋体" w:eastAsia="宋体" w:hint="default"/>
                <w:w w:val="100"/>
                <w:sz w:val="16"/>
                <w:szCs w:val="16"/>
              </w:rPr>
              <w:t> </w:t>
            </w:r>
            <w:r>
              <w:rPr>
                <w:rFonts w:ascii="宋体" w:hAnsi="宋体" w:cs="宋体" w:eastAsia="宋体" w:hint="default"/>
                <w:sz w:val="16"/>
                <w:szCs w:val="16"/>
              </w:rPr>
              <w:t>展财政专</w:t>
            </w:r>
            <w:r>
              <w:rPr>
                <w:rFonts w:ascii="宋体" w:hAnsi="宋体" w:cs="宋体" w:eastAsia="宋体" w:hint="default"/>
                <w:w w:val="100"/>
                <w:sz w:val="16"/>
                <w:szCs w:val="16"/>
              </w:rPr>
              <w:t> </w:t>
            </w:r>
            <w:r>
              <w:rPr>
                <w:rFonts w:ascii="宋体" w:hAnsi="宋体" w:cs="宋体" w:eastAsia="宋体" w:hint="default"/>
                <w:sz w:val="16"/>
                <w:szCs w:val="16"/>
              </w:rPr>
              <w:t>项资金</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6"/>
                <w:szCs w:val="16"/>
              </w:rPr>
            </w:pPr>
            <w:r>
              <w:rPr>
                <w:rFonts w:ascii="宋体" w:hAnsi="宋体" w:cs="宋体" w:eastAsia="宋体" w:hint="default"/>
                <w:sz w:val="16"/>
                <w:szCs w:val="16"/>
              </w:rPr>
              <w:t>杭州市临安区经济和</w:t>
            </w:r>
          </w:p>
          <w:p>
            <w:pPr>
              <w:pStyle w:val="TableParagraph"/>
              <w:spacing w:line="206" w:lineRule="exact" w:before="20"/>
              <w:ind w:left="103" w:right="98"/>
              <w:jc w:val="left"/>
              <w:rPr>
                <w:rFonts w:ascii="宋体" w:hAnsi="宋体" w:cs="宋体" w:eastAsia="宋体" w:hint="default"/>
                <w:sz w:val="16"/>
                <w:szCs w:val="16"/>
              </w:rPr>
            </w:pPr>
            <w:r>
              <w:rPr>
                <w:rFonts w:ascii="宋体" w:hAnsi="宋体" w:cs="宋体" w:eastAsia="宋体" w:hint="default"/>
                <w:spacing w:val="-10"/>
                <w:w w:val="100"/>
                <w:sz w:val="16"/>
                <w:szCs w:val="16"/>
              </w:rPr>
              <w:t>信息化局、杭州市临安</w:t>
            </w:r>
            <w:r>
              <w:rPr>
                <w:rFonts w:ascii="宋体" w:hAnsi="宋体" w:cs="宋体" w:eastAsia="宋体" w:hint="default"/>
                <w:spacing w:val="-72"/>
                <w:w w:val="100"/>
                <w:sz w:val="16"/>
                <w:szCs w:val="16"/>
              </w:rPr>
              <w:t> </w:t>
            </w:r>
            <w:r>
              <w:rPr>
                <w:rFonts w:ascii="宋体" w:hAnsi="宋体" w:cs="宋体" w:eastAsia="宋体" w:hint="default"/>
                <w:spacing w:val="-72"/>
                <w:w w:val="100"/>
                <w:sz w:val="16"/>
                <w:szCs w:val="16"/>
              </w:rPr>
            </w:r>
            <w:r>
              <w:rPr>
                <w:rFonts w:ascii="宋体" w:hAnsi="宋体" w:cs="宋体" w:eastAsia="宋体" w:hint="default"/>
                <w:sz w:val="16"/>
                <w:szCs w:val="16"/>
              </w:rPr>
              <w:t>区财政局关于下达</w:t>
            </w:r>
          </w:p>
          <w:p>
            <w:pPr>
              <w:pStyle w:val="TableParagraph"/>
              <w:spacing w:line="206" w:lineRule="exact" w:before="3"/>
              <w:ind w:left="103" w:right="144"/>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46"/>
                <w:sz w:val="16"/>
                <w:szCs w:val="16"/>
              </w:rPr>
              <w:t> </w:t>
            </w:r>
            <w:r>
              <w:rPr>
                <w:rFonts w:ascii="宋体" w:hAnsi="宋体" w:cs="宋体" w:eastAsia="宋体" w:hint="default"/>
                <w:sz w:val="16"/>
                <w:szCs w:val="16"/>
              </w:rPr>
              <w:t>年度杭州市临</w:t>
            </w:r>
            <w:r>
              <w:rPr>
                <w:rFonts w:ascii="宋体" w:hAnsi="宋体" w:cs="宋体" w:eastAsia="宋体" w:hint="default"/>
                <w:w w:val="100"/>
                <w:sz w:val="16"/>
                <w:szCs w:val="16"/>
              </w:rPr>
              <w:t> </w:t>
            </w:r>
            <w:r>
              <w:rPr>
                <w:rFonts w:ascii="宋体" w:hAnsi="宋体" w:cs="宋体" w:eastAsia="宋体" w:hint="default"/>
                <w:sz w:val="16"/>
                <w:szCs w:val="16"/>
              </w:rPr>
              <w:t>安区骨干企业带动产</w:t>
            </w:r>
          </w:p>
          <w:p>
            <w:pPr>
              <w:pStyle w:val="TableParagraph"/>
              <w:spacing w:line="206" w:lineRule="exact" w:before="3"/>
              <w:ind w:left="103" w:right="100"/>
              <w:jc w:val="left"/>
              <w:rPr>
                <w:rFonts w:ascii="宋体" w:hAnsi="宋体" w:cs="宋体" w:eastAsia="宋体" w:hint="default"/>
                <w:sz w:val="16"/>
                <w:szCs w:val="16"/>
              </w:rPr>
            </w:pPr>
            <w:r>
              <w:rPr>
                <w:rFonts w:ascii="宋体" w:hAnsi="宋体" w:cs="宋体" w:eastAsia="宋体" w:hint="default"/>
                <w:sz w:val="16"/>
                <w:szCs w:val="16"/>
              </w:rPr>
              <w:t>业链发展财政专项资</w:t>
            </w:r>
            <w:r>
              <w:rPr>
                <w:rFonts w:ascii="宋体" w:hAnsi="宋体" w:cs="宋体" w:eastAsia="宋体" w:hint="default"/>
                <w:w w:val="100"/>
                <w:sz w:val="16"/>
                <w:szCs w:val="16"/>
              </w:rPr>
              <w:t> </w:t>
            </w:r>
            <w:r>
              <w:rPr>
                <w:rFonts w:ascii="宋体" w:hAnsi="宋体" w:cs="宋体" w:eastAsia="宋体" w:hint="default"/>
                <w:spacing w:val="-10"/>
                <w:w w:val="100"/>
                <w:sz w:val="16"/>
                <w:szCs w:val="16"/>
              </w:rPr>
              <w:t>金的通知》（临经信综</w:t>
            </w:r>
          </w:p>
          <w:p>
            <w:pPr>
              <w:pStyle w:val="TableParagraph"/>
              <w:spacing w:line="190" w:lineRule="exact"/>
              <w:ind w:left="103" w:right="0"/>
              <w:jc w:val="left"/>
              <w:rPr>
                <w:rFonts w:ascii="宋体" w:hAnsi="宋体" w:cs="宋体" w:eastAsia="宋体" w:hint="default"/>
                <w:sz w:val="16"/>
                <w:szCs w:val="16"/>
              </w:rPr>
            </w:pPr>
            <w:r>
              <w:rPr>
                <w:rFonts w:ascii="宋体" w:hAnsi="宋体" w:cs="宋体" w:eastAsia="宋体" w:hint="default"/>
                <w:sz w:val="16"/>
                <w:szCs w:val="16"/>
              </w:rPr>
              <w:t>[2018]121</w:t>
            </w:r>
            <w:r>
              <w:rPr>
                <w:rFonts w:ascii="宋体" w:hAnsi="宋体" w:cs="宋体" w:eastAsia="宋体" w:hint="default"/>
                <w:spacing w:val="-45"/>
                <w:sz w:val="16"/>
                <w:szCs w:val="16"/>
              </w:rPr>
              <w:t> </w:t>
            </w:r>
            <w:r>
              <w:rPr>
                <w:rFonts w:ascii="宋体" w:hAnsi="宋体" w:cs="宋体" w:eastAsia="宋体" w:hint="default"/>
                <w:sz w:val="16"/>
                <w:szCs w:val="16"/>
              </w:rPr>
              <w:t>号）</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77"/>
              <w:ind w:left="102" w:right="163"/>
              <w:jc w:val="both"/>
              <w:rPr>
                <w:rFonts w:ascii="宋体" w:hAnsi="宋体" w:cs="宋体" w:eastAsia="宋体" w:hint="default"/>
                <w:sz w:val="16"/>
                <w:szCs w:val="16"/>
              </w:rPr>
            </w:pPr>
            <w:r>
              <w:rPr>
                <w:rFonts w:ascii="宋体" w:hAnsi="宋体" w:cs="宋体" w:eastAsia="宋体" w:hint="default"/>
                <w:sz w:val="16"/>
                <w:szCs w:val="16"/>
              </w:rPr>
              <w:t>因符合地</w:t>
            </w:r>
            <w:r>
              <w:rPr>
                <w:rFonts w:ascii="宋体" w:hAnsi="宋体" w:cs="宋体" w:eastAsia="宋体" w:hint="default"/>
                <w:w w:val="100"/>
                <w:sz w:val="16"/>
                <w:szCs w:val="16"/>
              </w:rPr>
              <w:t> </w:t>
            </w:r>
            <w:r>
              <w:rPr>
                <w:rFonts w:ascii="宋体" w:hAnsi="宋体" w:cs="宋体" w:eastAsia="宋体" w:hint="default"/>
                <w:sz w:val="16"/>
                <w:szCs w:val="16"/>
              </w:rPr>
              <w:t>方政府招</w:t>
            </w:r>
            <w:r>
              <w:rPr>
                <w:rFonts w:ascii="宋体" w:hAnsi="宋体" w:cs="宋体" w:eastAsia="宋体" w:hint="default"/>
                <w:w w:val="100"/>
                <w:sz w:val="16"/>
                <w:szCs w:val="16"/>
              </w:rPr>
              <w:t> </w:t>
            </w:r>
            <w:r>
              <w:rPr>
                <w:rFonts w:ascii="宋体" w:hAnsi="宋体" w:cs="宋体" w:eastAsia="宋体" w:hint="default"/>
                <w:sz w:val="16"/>
                <w:szCs w:val="16"/>
              </w:rPr>
              <w:t>商引资等</w:t>
            </w:r>
            <w:r>
              <w:rPr>
                <w:rFonts w:ascii="宋体" w:hAnsi="宋体" w:cs="宋体" w:eastAsia="宋体" w:hint="default"/>
                <w:w w:val="100"/>
                <w:sz w:val="16"/>
                <w:szCs w:val="16"/>
              </w:rPr>
              <w:t> </w:t>
            </w:r>
            <w:r>
              <w:rPr>
                <w:rFonts w:ascii="宋体" w:hAnsi="宋体" w:cs="宋体" w:eastAsia="宋体" w:hint="default"/>
                <w:sz w:val="16"/>
                <w:szCs w:val="16"/>
              </w:rPr>
              <w:t>地方性扶</w:t>
            </w:r>
            <w:r>
              <w:rPr>
                <w:rFonts w:ascii="宋体" w:hAnsi="宋体" w:cs="宋体" w:eastAsia="宋体" w:hint="default"/>
                <w:w w:val="100"/>
                <w:sz w:val="16"/>
                <w:szCs w:val="16"/>
              </w:rPr>
              <w:t> </w:t>
            </w:r>
            <w:r>
              <w:rPr>
                <w:rFonts w:ascii="宋体" w:hAnsi="宋体" w:cs="宋体" w:eastAsia="宋体" w:hint="default"/>
                <w:sz w:val="16"/>
                <w:szCs w:val="16"/>
              </w:rPr>
              <w:t>持政策而</w:t>
            </w:r>
            <w:r>
              <w:rPr>
                <w:rFonts w:ascii="宋体" w:hAnsi="宋体" w:cs="宋体" w:eastAsia="宋体" w:hint="default"/>
                <w:w w:val="100"/>
                <w:sz w:val="16"/>
                <w:szCs w:val="16"/>
              </w:rPr>
              <w:t> </w:t>
            </w:r>
            <w:r>
              <w:rPr>
                <w:rFonts w:ascii="宋体" w:hAnsi="宋体" w:cs="宋体" w:eastAsia="宋体" w:hint="default"/>
                <w:sz w:val="16"/>
                <w:szCs w:val="16"/>
              </w:rPr>
              <w:t>获得的补</w:t>
            </w:r>
            <w:r>
              <w:rPr>
                <w:rFonts w:ascii="宋体" w:hAnsi="宋体" w:cs="宋体" w:eastAsia="宋体" w:hint="default"/>
                <w:w w:val="100"/>
                <w:sz w:val="16"/>
                <w:szCs w:val="16"/>
              </w:rPr>
              <w:t> </w:t>
            </w:r>
            <w:r>
              <w:rPr>
                <w:rFonts w:ascii="宋体" w:hAnsi="宋体" w:cs="宋体" w:eastAsia="宋体" w:hint="default"/>
                <w:sz w:val="16"/>
                <w:szCs w:val="16"/>
              </w:rPr>
              <w:t>助</w:t>
            </w:r>
          </w:p>
        </w:tc>
        <w:tc>
          <w:tcPr>
            <w:tcW w:w="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宋体" w:hAnsi="宋体" w:cs="宋体" w:eastAsia="宋体" w:hint="default"/>
                <w:sz w:val="16"/>
                <w:szCs w:val="16"/>
              </w:rPr>
            </w:pPr>
            <w:r>
              <w:rPr>
                <w:rFonts w:ascii="宋体"/>
                <w:spacing w:val="-1"/>
                <w:sz w:val="16"/>
              </w:rPr>
              <w:t>487,400.00</w:t>
            </w:r>
          </w:p>
        </w:tc>
        <w:tc>
          <w:tcPr>
            <w:tcW w:w="854"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06" w:lineRule="exact"/>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1476" w:hRule="exact"/>
        </w:trPr>
        <w:tc>
          <w:tcPr>
            <w:tcW w:w="999" w:type="dxa"/>
            <w:tcBorders>
              <w:top w:val="single" w:sz="4" w:space="0" w:color="000000"/>
              <w:left w:val="nil" w:sz="6" w:space="0" w:color="auto"/>
              <w:bottom w:val="single" w:sz="4" w:space="0" w:color="000000"/>
              <w:right w:val="single" w:sz="4" w:space="0" w:color="000000"/>
            </w:tcBorders>
          </w:tcPr>
          <w:p>
            <w:pPr>
              <w:pStyle w:val="TableParagraph"/>
              <w:spacing w:line="235" w:lineRule="auto" w:before="86"/>
              <w:ind w:left="106" w:right="83"/>
              <w:jc w:val="left"/>
              <w:rPr>
                <w:rFonts w:ascii="宋体" w:hAnsi="宋体" w:cs="宋体" w:eastAsia="宋体" w:hint="default"/>
                <w:sz w:val="16"/>
                <w:szCs w:val="16"/>
              </w:rPr>
            </w:pPr>
            <w:r>
              <w:rPr>
                <w:rFonts w:ascii="Times New Roman" w:hAnsi="Times New Roman" w:cs="Times New Roman" w:eastAsia="Times New Roman" w:hint="default"/>
                <w:sz w:val="16"/>
                <w:szCs w:val="16"/>
              </w:rPr>
              <w:t>2019</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年杭</w:t>
            </w:r>
            <w:r>
              <w:rPr>
                <w:rFonts w:ascii="宋体" w:hAnsi="宋体" w:cs="宋体" w:eastAsia="宋体" w:hint="default"/>
                <w:w w:val="100"/>
                <w:sz w:val="16"/>
                <w:szCs w:val="16"/>
              </w:rPr>
              <w:t> </w:t>
            </w:r>
            <w:r>
              <w:rPr>
                <w:rFonts w:ascii="宋体" w:hAnsi="宋体" w:cs="宋体" w:eastAsia="宋体" w:hint="default"/>
                <w:sz w:val="16"/>
                <w:szCs w:val="16"/>
              </w:rPr>
              <w:t>州市第二</w:t>
            </w:r>
            <w:r>
              <w:rPr>
                <w:rFonts w:ascii="宋体" w:hAnsi="宋体" w:cs="宋体" w:eastAsia="宋体" w:hint="default"/>
                <w:w w:val="100"/>
                <w:sz w:val="16"/>
                <w:szCs w:val="16"/>
              </w:rPr>
              <w:t> </w:t>
            </w:r>
            <w:r>
              <w:rPr>
                <w:rFonts w:ascii="宋体" w:hAnsi="宋体" w:cs="宋体" w:eastAsia="宋体" w:hint="default"/>
                <w:sz w:val="16"/>
                <w:szCs w:val="16"/>
              </w:rPr>
              <w:t>批商务发</w:t>
            </w:r>
            <w:r>
              <w:rPr>
                <w:rFonts w:ascii="宋体" w:hAnsi="宋体" w:cs="宋体" w:eastAsia="宋体" w:hint="default"/>
                <w:w w:val="100"/>
                <w:sz w:val="16"/>
                <w:szCs w:val="16"/>
              </w:rPr>
              <w:t> </w:t>
            </w:r>
            <w:r>
              <w:rPr>
                <w:rFonts w:ascii="宋体" w:hAnsi="宋体" w:cs="宋体" w:eastAsia="宋体" w:hint="default"/>
                <w:sz w:val="16"/>
                <w:szCs w:val="16"/>
              </w:rPr>
              <w:t>展（外贸）</w:t>
            </w:r>
            <w:r>
              <w:rPr>
                <w:rFonts w:ascii="宋体" w:hAnsi="宋体" w:cs="宋体" w:eastAsia="宋体" w:hint="default"/>
                <w:w w:val="100"/>
                <w:sz w:val="16"/>
                <w:szCs w:val="16"/>
              </w:rPr>
              <w:t> </w:t>
            </w:r>
            <w:r>
              <w:rPr>
                <w:rFonts w:ascii="宋体" w:hAnsi="宋体" w:cs="宋体" w:eastAsia="宋体" w:hint="default"/>
                <w:sz w:val="16"/>
                <w:szCs w:val="16"/>
              </w:rPr>
              <w:t>财政专项</w:t>
            </w:r>
            <w:r>
              <w:rPr>
                <w:rFonts w:ascii="宋体" w:hAnsi="宋体" w:cs="宋体" w:eastAsia="宋体" w:hint="default"/>
                <w:w w:val="100"/>
                <w:sz w:val="16"/>
                <w:szCs w:val="16"/>
              </w:rPr>
              <w:t> </w:t>
            </w:r>
            <w:r>
              <w:rPr>
                <w:rFonts w:ascii="宋体" w:hAnsi="宋体" w:cs="宋体" w:eastAsia="宋体" w:hint="default"/>
                <w:sz w:val="16"/>
                <w:szCs w:val="16"/>
              </w:rPr>
              <w:t>资金</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86"/>
              <w:ind w:left="103" w:right="99"/>
              <w:jc w:val="left"/>
              <w:rPr>
                <w:rFonts w:ascii="宋体" w:hAnsi="宋体" w:cs="宋体" w:eastAsia="宋体" w:hint="default"/>
                <w:sz w:val="16"/>
                <w:szCs w:val="16"/>
              </w:rPr>
            </w:pPr>
            <w:r>
              <w:rPr>
                <w:rFonts w:ascii="宋体" w:hAnsi="宋体" w:cs="宋体" w:eastAsia="宋体" w:hint="default"/>
                <w:spacing w:val="-10"/>
                <w:w w:val="100"/>
                <w:sz w:val="16"/>
                <w:szCs w:val="16"/>
              </w:rPr>
              <w:t>杭州市财政局、杭州市</w:t>
            </w:r>
            <w:r>
              <w:rPr>
                <w:rFonts w:ascii="宋体" w:hAnsi="宋体" w:cs="宋体" w:eastAsia="宋体" w:hint="default"/>
                <w:spacing w:val="-75"/>
                <w:w w:val="100"/>
                <w:sz w:val="16"/>
                <w:szCs w:val="16"/>
              </w:rPr>
              <w:t> </w:t>
            </w:r>
            <w:r>
              <w:rPr>
                <w:rFonts w:ascii="宋体" w:hAnsi="宋体" w:cs="宋体" w:eastAsia="宋体" w:hint="default"/>
                <w:spacing w:val="-75"/>
                <w:w w:val="100"/>
                <w:sz w:val="16"/>
                <w:szCs w:val="16"/>
              </w:rPr>
            </w:r>
            <w:r>
              <w:rPr>
                <w:rFonts w:ascii="宋体" w:hAnsi="宋体" w:cs="宋体" w:eastAsia="宋体" w:hint="default"/>
                <w:spacing w:val="-8"/>
                <w:w w:val="100"/>
                <w:sz w:val="16"/>
                <w:szCs w:val="16"/>
              </w:rPr>
              <w:t>商务局关于下达《</w:t>
            </w:r>
            <w:r>
              <w:rPr>
                <w:rFonts w:ascii="Times New Roman" w:hAnsi="Times New Roman" w:cs="Times New Roman" w:eastAsia="Times New Roman" w:hint="default"/>
                <w:spacing w:val="-8"/>
                <w:w w:val="100"/>
                <w:sz w:val="16"/>
                <w:szCs w:val="16"/>
              </w:rPr>
              <w:t>2019</w:t>
            </w:r>
            <w:r>
              <w:rPr>
                <w:rFonts w:ascii="Times New Roman" w:hAnsi="Times New Roman" w:cs="Times New Roman" w:eastAsia="Times New Roman" w:hint="default"/>
                <w:spacing w:val="-39"/>
                <w:w w:val="100"/>
                <w:sz w:val="16"/>
                <w:szCs w:val="16"/>
              </w:rPr>
              <w:t> </w:t>
            </w:r>
            <w:r>
              <w:rPr>
                <w:rFonts w:ascii="Times New Roman" w:hAnsi="Times New Roman" w:cs="Times New Roman" w:eastAsia="Times New Roman" w:hint="default"/>
                <w:spacing w:val="-39"/>
                <w:w w:val="100"/>
                <w:sz w:val="16"/>
                <w:szCs w:val="16"/>
              </w:rPr>
            </w:r>
            <w:r>
              <w:rPr>
                <w:rFonts w:ascii="宋体" w:hAnsi="宋体" w:cs="宋体" w:eastAsia="宋体" w:hint="default"/>
                <w:sz w:val="16"/>
                <w:szCs w:val="16"/>
              </w:rPr>
              <w:t>年杭州市第二批商务</w:t>
            </w:r>
            <w:r>
              <w:rPr>
                <w:rFonts w:ascii="宋体" w:hAnsi="宋体" w:cs="宋体" w:eastAsia="宋体" w:hint="default"/>
                <w:w w:val="100"/>
                <w:sz w:val="16"/>
                <w:szCs w:val="16"/>
              </w:rPr>
              <w:t> </w:t>
            </w:r>
            <w:r>
              <w:rPr>
                <w:rFonts w:ascii="宋体" w:hAnsi="宋体" w:cs="宋体" w:eastAsia="宋体" w:hint="default"/>
                <w:spacing w:val="-10"/>
                <w:sz w:val="16"/>
                <w:szCs w:val="16"/>
              </w:rPr>
              <w:t>发展（外贸）财政专项</w:t>
            </w:r>
            <w:r>
              <w:rPr>
                <w:rFonts w:ascii="宋体" w:hAnsi="宋体" w:cs="宋体" w:eastAsia="宋体" w:hint="default"/>
                <w:spacing w:val="-63"/>
                <w:sz w:val="16"/>
                <w:szCs w:val="16"/>
              </w:rPr>
              <w:t> </w:t>
            </w:r>
            <w:r>
              <w:rPr>
                <w:rFonts w:ascii="宋体" w:hAnsi="宋体" w:cs="宋体" w:eastAsia="宋体" w:hint="default"/>
                <w:spacing w:val="-63"/>
                <w:sz w:val="16"/>
                <w:szCs w:val="16"/>
              </w:rPr>
            </w:r>
            <w:r>
              <w:rPr>
                <w:rFonts w:ascii="宋体" w:hAnsi="宋体" w:cs="宋体" w:eastAsia="宋体" w:hint="default"/>
                <w:sz w:val="16"/>
                <w:szCs w:val="16"/>
              </w:rPr>
              <w:t>资金的通知》杭财企</w:t>
            </w:r>
          </w:p>
          <w:p>
            <w:pPr>
              <w:pStyle w:val="TableParagraph"/>
              <w:spacing w:line="219" w:lineRule="exact"/>
              <w:ind w:left="103"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2019</w:t>
            </w:r>
            <w:r>
              <w:rPr>
                <w:rFonts w:ascii="宋体" w:hAnsi="宋体" w:cs="宋体" w:eastAsia="宋体" w:hint="default"/>
                <w:sz w:val="16"/>
                <w:szCs w:val="16"/>
              </w:rPr>
              <w:t>〕</w:t>
            </w:r>
            <w:r>
              <w:rPr>
                <w:rFonts w:ascii="Times New Roman" w:hAnsi="Times New Roman" w:cs="Times New Roman" w:eastAsia="Times New Roman" w:hint="default"/>
                <w:sz w:val="16"/>
                <w:szCs w:val="16"/>
              </w:rPr>
              <w:t>51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号</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before="1"/>
              <w:ind w:left="102" w:right="163"/>
              <w:jc w:val="left"/>
              <w:rPr>
                <w:rFonts w:ascii="宋体" w:hAnsi="宋体" w:cs="宋体" w:eastAsia="宋体" w:hint="default"/>
                <w:sz w:val="16"/>
                <w:szCs w:val="16"/>
              </w:rPr>
            </w:pPr>
            <w:r>
              <w:rPr>
                <w:rFonts w:ascii="宋体" w:hAnsi="宋体" w:cs="宋体" w:eastAsia="宋体" w:hint="default"/>
                <w:sz w:val="16"/>
                <w:szCs w:val="16"/>
              </w:rPr>
              <w:t>因符合地</w:t>
            </w:r>
            <w:r>
              <w:rPr>
                <w:rFonts w:ascii="宋体" w:hAnsi="宋体" w:cs="宋体" w:eastAsia="宋体" w:hint="default"/>
                <w:w w:val="100"/>
                <w:sz w:val="16"/>
                <w:szCs w:val="16"/>
              </w:rPr>
              <w:t> </w:t>
            </w:r>
            <w:r>
              <w:rPr>
                <w:rFonts w:ascii="宋体" w:hAnsi="宋体" w:cs="宋体" w:eastAsia="宋体" w:hint="default"/>
                <w:sz w:val="16"/>
                <w:szCs w:val="16"/>
              </w:rPr>
              <w:t>方政府招</w:t>
            </w:r>
          </w:p>
          <w:p>
            <w:pPr>
              <w:pStyle w:val="TableParagraph"/>
              <w:spacing w:line="206" w:lineRule="exact" w:before="3"/>
              <w:ind w:left="102" w:right="163"/>
              <w:jc w:val="left"/>
              <w:rPr>
                <w:rFonts w:ascii="宋体" w:hAnsi="宋体" w:cs="宋体" w:eastAsia="宋体" w:hint="default"/>
                <w:sz w:val="16"/>
                <w:szCs w:val="16"/>
              </w:rPr>
            </w:pPr>
            <w:r>
              <w:rPr>
                <w:rFonts w:ascii="宋体" w:hAnsi="宋体" w:cs="宋体" w:eastAsia="宋体" w:hint="default"/>
                <w:sz w:val="16"/>
                <w:szCs w:val="16"/>
              </w:rPr>
              <w:t>商引资等</w:t>
            </w:r>
            <w:r>
              <w:rPr>
                <w:rFonts w:ascii="宋体" w:hAnsi="宋体" w:cs="宋体" w:eastAsia="宋体" w:hint="default"/>
                <w:w w:val="100"/>
                <w:sz w:val="16"/>
                <w:szCs w:val="16"/>
              </w:rPr>
              <w:t> </w:t>
            </w:r>
            <w:r>
              <w:rPr>
                <w:rFonts w:ascii="宋体" w:hAnsi="宋体" w:cs="宋体" w:eastAsia="宋体" w:hint="default"/>
                <w:sz w:val="16"/>
                <w:szCs w:val="16"/>
              </w:rPr>
              <w:t>地方性扶</w:t>
            </w:r>
          </w:p>
          <w:p>
            <w:pPr>
              <w:pStyle w:val="TableParagraph"/>
              <w:spacing w:line="206" w:lineRule="exact" w:before="3"/>
              <w:ind w:left="102" w:right="163"/>
              <w:jc w:val="left"/>
              <w:rPr>
                <w:rFonts w:ascii="宋体" w:hAnsi="宋体" w:cs="宋体" w:eastAsia="宋体" w:hint="default"/>
                <w:sz w:val="16"/>
                <w:szCs w:val="16"/>
              </w:rPr>
            </w:pPr>
            <w:r>
              <w:rPr>
                <w:rFonts w:ascii="宋体" w:hAnsi="宋体" w:cs="宋体" w:eastAsia="宋体" w:hint="default"/>
                <w:sz w:val="16"/>
                <w:szCs w:val="16"/>
              </w:rPr>
              <w:t>持政策而</w:t>
            </w:r>
            <w:r>
              <w:rPr>
                <w:rFonts w:ascii="宋体" w:hAnsi="宋体" w:cs="宋体" w:eastAsia="宋体" w:hint="default"/>
                <w:w w:val="100"/>
                <w:sz w:val="16"/>
                <w:szCs w:val="16"/>
              </w:rPr>
              <w:t> </w:t>
            </w:r>
            <w:r>
              <w:rPr>
                <w:rFonts w:ascii="宋体" w:hAnsi="宋体" w:cs="宋体" w:eastAsia="宋体" w:hint="default"/>
                <w:sz w:val="16"/>
                <w:szCs w:val="16"/>
              </w:rPr>
              <w:t>获得的补</w:t>
            </w:r>
          </w:p>
          <w:p>
            <w:pPr>
              <w:pStyle w:val="TableParagraph"/>
              <w:spacing w:line="190" w:lineRule="exact"/>
              <w:ind w:left="102" w:right="0"/>
              <w:jc w:val="left"/>
              <w:rPr>
                <w:rFonts w:ascii="宋体" w:hAnsi="宋体" w:cs="宋体" w:eastAsia="宋体" w:hint="default"/>
                <w:sz w:val="16"/>
                <w:szCs w:val="16"/>
              </w:rPr>
            </w:pPr>
            <w:r>
              <w:rPr>
                <w:rFonts w:ascii="宋体" w:hAnsi="宋体" w:cs="宋体" w:eastAsia="宋体" w:hint="default"/>
                <w:w w:val="100"/>
                <w:sz w:val="16"/>
                <w:szCs w:val="16"/>
              </w:rPr>
              <w:t>助</w:t>
            </w:r>
          </w:p>
        </w:tc>
        <w:tc>
          <w:tcPr>
            <w:tcW w:w="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6"/>
                <w:szCs w:val="16"/>
              </w:rPr>
            </w:pPr>
            <w:r>
              <w:rPr>
                <w:rFonts w:ascii="Times New Roman"/>
                <w:spacing w:val="-1"/>
                <w:sz w:val="16"/>
              </w:rPr>
              <w:t>188,721.24</w:t>
            </w:r>
          </w:p>
        </w:tc>
        <w:tc>
          <w:tcPr>
            <w:tcW w:w="854"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06" w:lineRule="exact"/>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11" w:hRule="exact"/>
        </w:trPr>
        <w:tc>
          <w:tcPr>
            <w:tcW w:w="999" w:type="dxa"/>
            <w:tcBorders>
              <w:top w:val="single" w:sz="4" w:space="0" w:color="000000"/>
              <w:left w:val="nil" w:sz="6" w:space="0" w:color="auto"/>
              <w:bottom w:val="nil" w:sz="6" w:space="0" w:color="auto"/>
              <w:right w:val="single" w:sz="4" w:space="0" w:color="000000"/>
            </w:tcBorders>
          </w:tcPr>
          <w:p>
            <w:pPr/>
          </w:p>
        </w:tc>
        <w:tc>
          <w:tcPr>
            <w:tcW w:w="1738" w:type="dxa"/>
            <w:tcBorders>
              <w:top w:val="single" w:sz="4" w:space="0" w:color="000000"/>
              <w:left w:val="single" w:sz="4" w:space="0" w:color="000000"/>
              <w:bottom w:val="nil" w:sz="6" w:space="0" w:color="auto"/>
              <w:right w:val="single" w:sz="4" w:space="0" w:color="000000"/>
            </w:tcBorders>
          </w:tcPr>
          <w:p>
            <w:pPr/>
          </w:p>
        </w:tc>
        <w:tc>
          <w:tcPr>
            <w:tcW w:w="591"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Style w:val="TableParagraph"/>
              <w:spacing w:line="182" w:lineRule="exact"/>
              <w:ind w:left="102" w:right="0"/>
              <w:jc w:val="left"/>
              <w:rPr>
                <w:rFonts w:ascii="宋体" w:hAnsi="宋体" w:cs="宋体" w:eastAsia="宋体" w:hint="default"/>
                <w:sz w:val="16"/>
                <w:szCs w:val="16"/>
              </w:rPr>
            </w:pPr>
            <w:r>
              <w:rPr>
                <w:rFonts w:ascii="宋体" w:hAnsi="宋体" w:cs="宋体" w:eastAsia="宋体" w:hint="default"/>
                <w:sz w:val="16"/>
                <w:szCs w:val="16"/>
              </w:rPr>
              <w:t>因符合地</w:t>
            </w:r>
          </w:p>
        </w:tc>
        <w:tc>
          <w:tcPr>
            <w:tcW w:w="741" w:type="dxa"/>
            <w:tcBorders>
              <w:top w:val="single" w:sz="4" w:space="0" w:color="000000"/>
              <w:left w:val="single" w:sz="4" w:space="0" w:color="000000"/>
              <w:bottom w:val="nil" w:sz="6" w:space="0" w:color="auto"/>
              <w:right w:val="single" w:sz="4" w:space="0" w:color="000000"/>
            </w:tcBorders>
          </w:tcPr>
          <w:p>
            <w:pPr/>
          </w:p>
        </w:tc>
        <w:tc>
          <w:tcPr>
            <w:tcW w:w="601" w:type="dxa"/>
            <w:tcBorders>
              <w:top w:val="single" w:sz="4" w:space="0" w:color="000000"/>
              <w:left w:val="single" w:sz="4" w:space="0" w:color="000000"/>
              <w:bottom w:val="nil" w:sz="6" w:space="0" w:color="auto"/>
              <w:right w:val="single" w:sz="4" w:space="0" w:color="000000"/>
            </w:tcBorders>
          </w:tcPr>
          <w:p>
            <w:pPr/>
          </w:p>
        </w:tc>
        <w:tc>
          <w:tcPr>
            <w:tcW w:w="1069" w:type="dxa"/>
            <w:vMerge w:val="restart"/>
            <w:tcBorders>
              <w:top w:val="single" w:sz="4" w:space="0" w:color="000000"/>
              <w:left w:val="single" w:sz="4" w:space="0" w:color="000000"/>
              <w:right w:val="single" w:sz="4" w:space="0" w:color="000000"/>
            </w:tcBorders>
          </w:tcPr>
          <w:p>
            <w:pPr/>
          </w:p>
        </w:tc>
        <w:tc>
          <w:tcPr>
            <w:tcW w:w="854"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nil" w:sz="6" w:space="0" w:color="auto"/>
            </w:tcBorders>
          </w:tcPr>
          <w:p>
            <w:pPr/>
          </w:p>
        </w:tc>
      </w:tr>
      <w:tr>
        <w:trPr>
          <w:trHeight w:val="208" w:hRule="exact"/>
        </w:trPr>
        <w:tc>
          <w:tcPr>
            <w:tcW w:w="999"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03" w:right="0"/>
              <w:jc w:val="left"/>
              <w:rPr>
                <w:rFonts w:ascii="宋体" w:hAnsi="宋体" w:cs="宋体" w:eastAsia="宋体" w:hint="default"/>
                <w:sz w:val="16"/>
                <w:szCs w:val="16"/>
              </w:rPr>
            </w:pPr>
            <w:r>
              <w:rPr>
                <w:rFonts w:ascii="宋体" w:hAnsi="宋体" w:cs="宋体" w:eastAsia="宋体" w:hint="default"/>
                <w:sz w:val="16"/>
                <w:szCs w:val="16"/>
              </w:rPr>
              <w:t>杭州市临安区商务</w:t>
            </w:r>
          </w:p>
        </w:tc>
        <w:tc>
          <w:tcPr>
            <w:tcW w:w="591"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02" w:right="0"/>
              <w:jc w:val="left"/>
              <w:rPr>
                <w:rFonts w:ascii="宋体" w:hAnsi="宋体" w:cs="宋体" w:eastAsia="宋体" w:hint="default"/>
                <w:sz w:val="16"/>
                <w:szCs w:val="16"/>
              </w:rPr>
            </w:pPr>
            <w:r>
              <w:rPr>
                <w:rFonts w:ascii="宋体" w:hAnsi="宋体" w:cs="宋体" w:eastAsia="宋体" w:hint="default"/>
                <w:sz w:val="16"/>
                <w:szCs w:val="16"/>
              </w:rPr>
              <w:t>方政府招</w:t>
            </w:r>
          </w:p>
        </w:tc>
        <w:tc>
          <w:tcPr>
            <w:tcW w:w="741" w:type="dxa"/>
            <w:tcBorders>
              <w:top w:val="nil" w:sz="6" w:space="0" w:color="auto"/>
              <w:left w:val="single" w:sz="4" w:space="0" w:color="000000"/>
              <w:bottom w:val="nil" w:sz="6" w:space="0" w:color="auto"/>
              <w:right w:val="single" w:sz="4" w:space="0" w:color="000000"/>
            </w:tcBorders>
          </w:tcPr>
          <w:p>
            <w:pPr/>
          </w:p>
        </w:tc>
        <w:tc>
          <w:tcPr>
            <w:tcW w:w="601" w:type="dxa"/>
            <w:tcBorders>
              <w:top w:val="nil" w:sz="6" w:space="0" w:color="auto"/>
              <w:left w:val="single" w:sz="4" w:space="0" w:color="000000"/>
              <w:bottom w:val="nil" w:sz="6" w:space="0" w:color="auto"/>
              <w:right w:val="single" w:sz="4" w:space="0" w:color="000000"/>
            </w:tcBorders>
          </w:tcPr>
          <w:p>
            <w:pP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nil" w:sz="6" w:space="0" w:color="auto"/>
            </w:tcBorders>
          </w:tcPr>
          <w:p>
            <w:pPr/>
          </w:p>
        </w:tc>
      </w:tr>
      <w:tr>
        <w:trPr>
          <w:trHeight w:val="626" w:hRule="exact"/>
        </w:trPr>
        <w:tc>
          <w:tcPr>
            <w:tcW w:w="999" w:type="dxa"/>
            <w:tcBorders>
              <w:top w:val="nil" w:sz="6" w:space="0" w:color="auto"/>
              <w:left w:val="nil" w:sz="6" w:space="0" w:color="auto"/>
              <w:bottom w:val="nil" w:sz="6" w:space="0" w:color="auto"/>
              <w:right w:val="single" w:sz="4" w:space="0" w:color="000000"/>
            </w:tcBorders>
          </w:tcPr>
          <w:p>
            <w:pPr>
              <w:pStyle w:val="TableParagraph"/>
              <w:spacing w:line="188" w:lineRule="exact"/>
              <w:ind w:left="10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2017</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年度</w:t>
            </w:r>
          </w:p>
          <w:p>
            <w:pPr>
              <w:pStyle w:val="TableParagraph"/>
              <w:spacing w:line="208" w:lineRule="exact" w:before="13"/>
              <w:ind w:left="106" w:right="244"/>
              <w:jc w:val="left"/>
              <w:rPr>
                <w:rFonts w:ascii="宋体" w:hAnsi="宋体" w:cs="宋体" w:eastAsia="宋体" w:hint="default"/>
                <w:sz w:val="16"/>
                <w:szCs w:val="16"/>
              </w:rPr>
            </w:pPr>
            <w:r>
              <w:rPr>
                <w:rFonts w:ascii="宋体" w:hAnsi="宋体" w:cs="宋体" w:eastAsia="宋体" w:hint="default"/>
                <w:sz w:val="16"/>
                <w:szCs w:val="16"/>
              </w:rPr>
              <w:t>外经贸资</w:t>
            </w:r>
            <w:r>
              <w:rPr>
                <w:rFonts w:ascii="宋体" w:hAnsi="宋体" w:cs="宋体" w:eastAsia="宋体" w:hint="default"/>
                <w:w w:val="100"/>
                <w:sz w:val="16"/>
                <w:szCs w:val="16"/>
              </w:rPr>
              <w:t> </w:t>
            </w:r>
            <w:r>
              <w:rPr>
                <w:rFonts w:ascii="宋体" w:hAnsi="宋体" w:cs="宋体" w:eastAsia="宋体" w:hint="default"/>
                <w:sz w:val="16"/>
                <w:szCs w:val="16"/>
              </w:rPr>
              <w:t>助奖励</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103" w:right="0"/>
              <w:jc w:val="left"/>
              <w:rPr>
                <w:rFonts w:ascii="宋体" w:hAnsi="宋体" w:cs="宋体" w:eastAsia="宋体" w:hint="default"/>
                <w:sz w:val="16"/>
                <w:szCs w:val="16"/>
              </w:rPr>
            </w:pPr>
            <w:r>
              <w:rPr>
                <w:rFonts w:ascii="宋体" w:hAnsi="宋体" w:cs="宋体" w:eastAsia="宋体" w:hint="default"/>
                <w:sz w:val="16"/>
                <w:szCs w:val="16"/>
              </w:rPr>
              <w:t>局、杭州市临安区财</w:t>
            </w:r>
          </w:p>
          <w:p>
            <w:pPr>
              <w:pStyle w:val="TableParagraph"/>
              <w:spacing w:line="208" w:lineRule="exact"/>
              <w:ind w:left="103" w:right="0"/>
              <w:jc w:val="left"/>
              <w:rPr>
                <w:rFonts w:ascii="宋体" w:hAnsi="宋体" w:cs="宋体" w:eastAsia="宋体" w:hint="default"/>
                <w:sz w:val="16"/>
                <w:szCs w:val="16"/>
              </w:rPr>
            </w:pPr>
            <w:r>
              <w:rPr>
                <w:rFonts w:ascii="宋体" w:hAnsi="宋体" w:cs="宋体" w:eastAsia="宋体" w:hint="default"/>
                <w:sz w:val="16"/>
                <w:szCs w:val="16"/>
              </w:rPr>
              <w:t>政局关于《要求兑现</w:t>
            </w:r>
          </w:p>
          <w:p>
            <w:pPr>
              <w:pStyle w:val="TableParagraph"/>
              <w:spacing w:line="220" w:lineRule="exact"/>
              <w:ind w:left="103"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2017</w:t>
            </w:r>
            <w:r>
              <w:rPr>
                <w:rFonts w:ascii="Times New Roman" w:hAnsi="Times New Roman" w:cs="Times New Roman" w:eastAsia="Times New Roman" w:hint="default"/>
                <w:spacing w:val="33"/>
                <w:sz w:val="16"/>
                <w:szCs w:val="16"/>
              </w:rPr>
              <w:t> </w:t>
            </w:r>
            <w:r>
              <w:rPr>
                <w:rFonts w:ascii="宋体" w:hAnsi="宋体" w:cs="宋体" w:eastAsia="宋体" w:hint="default"/>
                <w:sz w:val="16"/>
                <w:szCs w:val="16"/>
              </w:rPr>
              <w:t>年度外经贸资</w:t>
            </w:r>
          </w:p>
        </w:tc>
        <w:tc>
          <w:tcPr>
            <w:tcW w:w="59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102" w:right="0"/>
              <w:jc w:val="left"/>
              <w:rPr>
                <w:rFonts w:ascii="宋体" w:hAnsi="宋体" w:cs="宋体" w:eastAsia="宋体" w:hint="default"/>
                <w:sz w:val="16"/>
                <w:szCs w:val="16"/>
              </w:rPr>
            </w:pPr>
            <w:r>
              <w:rPr>
                <w:rFonts w:ascii="宋体" w:hAnsi="宋体" w:cs="宋体" w:eastAsia="宋体" w:hint="default"/>
                <w:sz w:val="16"/>
                <w:szCs w:val="16"/>
              </w:rPr>
              <w:t>商引资等</w:t>
            </w:r>
          </w:p>
          <w:p>
            <w:pPr>
              <w:pStyle w:val="TableParagraph"/>
              <w:spacing w:line="206" w:lineRule="exact" w:before="21"/>
              <w:ind w:left="102" w:right="163"/>
              <w:jc w:val="left"/>
              <w:rPr>
                <w:rFonts w:ascii="宋体" w:hAnsi="宋体" w:cs="宋体" w:eastAsia="宋体" w:hint="default"/>
                <w:sz w:val="16"/>
                <w:szCs w:val="16"/>
              </w:rPr>
            </w:pPr>
            <w:r>
              <w:rPr>
                <w:rFonts w:ascii="宋体" w:hAnsi="宋体" w:cs="宋体" w:eastAsia="宋体" w:hint="default"/>
                <w:sz w:val="16"/>
                <w:szCs w:val="16"/>
              </w:rPr>
              <w:t>地方性扶</w:t>
            </w:r>
            <w:r>
              <w:rPr>
                <w:rFonts w:ascii="宋体" w:hAnsi="宋体" w:cs="宋体" w:eastAsia="宋体" w:hint="default"/>
                <w:w w:val="100"/>
                <w:sz w:val="16"/>
                <w:szCs w:val="16"/>
              </w:rPr>
              <w:t> </w:t>
            </w:r>
            <w:r>
              <w:rPr>
                <w:rFonts w:ascii="宋体" w:hAnsi="宋体" w:cs="宋体" w:eastAsia="宋体" w:hint="default"/>
                <w:sz w:val="16"/>
                <w:szCs w:val="16"/>
              </w:rPr>
              <w:t>持政策而</w:t>
            </w:r>
          </w:p>
        </w:tc>
        <w:tc>
          <w:tcPr>
            <w:tcW w:w="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183" w:lineRule="exact" w:before="127"/>
              <w:ind w:right="100"/>
              <w:jc w:val="right"/>
              <w:rPr>
                <w:rFonts w:ascii="Times New Roman" w:hAnsi="Times New Roman" w:cs="Times New Roman" w:eastAsia="Times New Roman" w:hint="default"/>
                <w:sz w:val="16"/>
                <w:szCs w:val="16"/>
              </w:rPr>
            </w:pPr>
            <w:r>
              <w:rPr>
                <w:rFonts w:ascii="Times New Roman"/>
                <w:spacing w:val="-1"/>
                <w:sz w:val="16"/>
              </w:rPr>
              <w:t>560,600.</w:t>
            </w:r>
          </w:p>
          <w:p>
            <w:pPr>
              <w:pStyle w:val="TableParagraph"/>
              <w:spacing w:line="183" w:lineRule="exact"/>
              <w:ind w:right="98"/>
              <w:jc w:val="right"/>
              <w:rPr>
                <w:rFonts w:ascii="Times New Roman" w:hAnsi="Times New Roman" w:cs="Times New Roman" w:eastAsia="Times New Roman" w:hint="default"/>
                <w:sz w:val="16"/>
                <w:szCs w:val="16"/>
              </w:rPr>
            </w:pPr>
            <w:r>
              <w:rPr>
                <w:rFonts w:ascii="Times New Roman"/>
                <w:sz w:val="16"/>
              </w:rPr>
              <w:t>00</w:t>
            </w:r>
          </w:p>
        </w:tc>
        <w:tc>
          <w:tcPr>
            <w:tcW w:w="788" w:type="dxa"/>
            <w:tcBorders>
              <w:top w:val="nil" w:sz="6" w:space="0" w:color="auto"/>
              <w:left w:val="single" w:sz="4" w:space="0" w:color="000000"/>
              <w:bottom w:val="nil" w:sz="6" w:space="0" w:color="auto"/>
              <w:right w:val="nil" w:sz="6" w:space="0" w:color="auto"/>
            </w:tcBorders>
          </w:tcPr>
          <w:p>
            <w:pPr>
              <w:pStyle w:val="TableParagraph"/>
              <w:spacing w:line="206" w:lineRule="exact" w:before="99"/>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03" w:hRule="exact"/>
        </w:trPr>
        <w:tc>
          <w:tcPr>
            <w:tcW w:w="999"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03" w:right="0"/>
              <w:jc w:val="left"/>
              <w:rPr>
                <w:rFonts w:ascii="宋体" w:hAnsi="宋体" w:cs="宋体" w:eastAsia="宋体" w:hint="default"/>
                <w:sz w:val="16"/>
                <w:szCs w:val="16"/>
              </w:rPr>
            </w:pPr>
            <w:r>
              <w:rPr>
                <w:rFonts w:ascii="宋体" w:hAnsi="宋体" w:cs="宋体" w:eastAsia="宋体" w:hint="default"/>
                <w:sz w:val="16"/>
                <w:szCs w:val="16"/>
              </w:rPr>
              <w:t>助奖励项目资金的</w:t>
            </w:r>
          </w:p>
        </w:tc>
        <w:tc>
          <w:tcPr>
            <w:tcW w:w="591"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02" w:right="0"/>
              <w:jc w:val="left"/>
              <w:rPr>
                <w:rFonts w:ascii="宋体" w:hAnsi="宋体" w:cs="宋体" w:eastAsia="宋体" w:hint="default"/>
                <w:sz w:val="16"/>
                <w:szCs w:val="16"/>
              </w:rPr>
            </w:pPr>
            <w:r>
              <w:rPr>
                <w:rFonts w:ascii="宋体" w:hAnsi="宋体" w:cs="宋体" w:eastAsia="宋体" w:hint="default"/>
                <w:sz w:val="16"/>
                <w:szCs w:val="16"/>
              </w:rPr>
              <w:t>获得的补</w:t>
            </w:r>
          </w:p>
        </w:tc>
        <w:tc>
          <w:tcPr>
            <w:tcW w:w="741" w:type="dxa"/>
            <w:tcBorders>
              <w:top w:val="nil" w:sz="6" w:space="0" w:color="auto"/>
              <w:left w:val="single" w:sz="4" w:space="0" w:color="000000"/>
              <w:bottom w:val="nil" w:sz="6" w:space="0" w:color="auto"/>
              <w:right w:val="single" w:sz="4" w:space="0" w:color="000000"/>
            </w:tcBorders>
          </w:tcPr>
          <w:p>
            <w:pPr/>
          </w:p>
        </w:tc>
        <w:tc>
          <w:tcPr>
            <w:tcW w:w="601" w:type="dxa"/>
            <w:tcBorders>
              <w:top w:val="nil" w:sz="6" w:space="0" w:color="auto"/>
              <w:left w:val="single" w:sz="4" w:space="0" w:color="000000"/>
              <w:bottom w:val="nil" w:sz="6" w:space="0" w:color="auto"/>
              <w:right w:val="single" w:sz="4" w:space="0" w:color="000000"/>
            </w:tcBorders>
          </w:tcPr>
          <w:p>
            <w:pP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nil" w:sz="6" w:space="0" w:color="auto"/>
            </w:tcBorders>
          </w:tcPr>
          <w:p>
            <w:pPr/>
          </w:p>
        </w:tc>
      </w:tr>
      <w:tr>
        <w:trPr>
          <w:trHeight w:val="214" w:hRule="exact"/>
        </w:trPr>
        <w:tc>
          <w:tcPr>
            <w:tcW w:w="999" w:type="dxa"/>
            <w:tcBorders>
              <w:top w:val="nil" w:sz="6" w:space="0" w:color="auto"/>
              <w:left w:val="nil" w:sz="6" w:space="0" w:color="auto"/>
              <w:bottom w:val="single" w:sz="4" w:space="0" w:color="000000"/>
              <w:right w:val="single" w:sz="4" w:space="0" w:color="000000"/>
            </w:tcBorders>
          </w:tcPr>
          <w:p>
            <w:pPr/>
          </w:p>
        </w:tc>
        <w:tc>
          <w:tcPr>
            <w:tcW w:w="1738" w:type="dxa"/>
            <w:tcBorders>
              <w:top w:val="nil" w:sz="6" w:space="0" w:color="auto"/>
              <w:left w:val="single" w:sz="4" w:space="0" w:color="000000"/>
              <w:bottom w:val="single" w:sz="4" w:space="0" w:color="000000"/>
              <w:right w:val="single" w:sz="4" w:space="0" w:color="000000"/>
            </w:tcBorders>
          </w:tcPr>
          <w:p>
            <w:pPr/>
          </w:p>
        </w:tc>
        <w:tc>
          <w:tcPr>
            <w:tcW w:w="591"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Style w:val="TableParagraph"/>
              <w:spacing w:line="185" w:lineRule="exact"/>
              <w:ind w:left="102" w:right="0"/>
              <w:jc w:val="left"/>
              <w:rPr>
                <w:rFonts w:ascii="宋体" w:hAnsi="宋体" w:cs="宋体" w:eastAsia="宋体" w:hint="default"/>
                <w:sz w:val="16"/>
                <w:szCs w:val="16"/>
              </w:rPr>
            </w:pPr>
            <w:r>
              <w:rPr>
                <w:rFonts w:ascii="宋体" w:hAnsi="宋体" w:cs="宋体" w:eastAsia="宋体" w:hint="default"/>
                <w:w w:val="100"/>
                <w:sz w:val="16"/>
                <w:szCs w:val="16"/>
              </w:rPr>
              <w:t>助</w:t>
            </w:r>
          </w:p>
        </w:tc>
        <w:tc>
          <w:tcPr>
            <w:tcW w:w="741" w:type="dxa"/>
            <w:tcBorders>
              <w:top w:val="nil" w:sz="6" w:space="0" w:color="auto"/>
              <w:left w:val="single" w:sz="4" w:space="0" w:color="000000"/>
              <w:bottom w:val="single" w:sz="4" w:space="0" w:color="000000"/>
              <w:right w:val="single" w:sz="4" w:space="0" w:color="000000"/>
            </w:tcBorders>
          </w:tcPr>
          <w:p>
            <w:pPr/>
          </w:p>
        </w:tc>
        <w:tc>
          <w:tcPr>
            <w:tcW w:w="601" w:type="dxa"/>
            <w:tcBorders>
              <w:top w:val="nil" w:sz="6" w:space="0" w:color="auto"/>
              <w:left w:val="single" w:sz="4" w:space="0" w:color="000000"/>
              <w:bottom w:val="single" w:sz="4" w:space="0" w:color="000000"/>
              <w:right w:val="single" w:sz="4" w:space="0" w:color="000000"/>
            </w:tcBorders>
          </w:tcPr>
          <w:p>
            <w:pPr/>
          </w:p>
        </w:tc>
        <w:tc>
          <w:tcPr>
            <w:tcW w:w="1069" w:type="dxa"/>
            <w:vMerge/>
            <w:tcBorders>
              <w:left w:val="single" w:sz="4" w:space="0" w:color="000000"/>
              <w:bottom w:val="single" w:sz="4" w:space="0" w:color="000000"/>
              <w:right w:val="single" w:sz="4" w:space="0" w:color="000000"/>
            </w:tcBorders>
          </w:tcPr>
          <w:p>
            <w:pPr/>
          </w:p>
        </w:tc>
        <w:tc>
          <w:tcPr>
            <w:tcW w:w="854"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nil" w:sz="6" w:space="0" w:color="auto"/>
            </w:tcBorders>
          </w:tcPr>
          <w:p>
            <w:pPr/>
          </w:p>
        </w:tc>
      </w:tr>
      <w:tr>
        <w:trPr>
          <w:trHeight w:val="212" w:hRule="exact"/>
        </w:trPr>
        <w:tc>
          <w:tcPr>
            <w:tcW w:w="999" w:type="dxa"/>
            <w:tcBorders>
              <w:top w:val="single" w:sz="4" w:space="0" w:color="000000"/>
              <w:left w:val="nil" w:sz="6" w:space="0" w:color="auto"/>
              <w:bottom w:val="nil" w:sz="6" w:space="0" w:color="auto"/>
              <w:right w:val="single" w:sz="4" w:space="0" w:color="000000"/>
            </w:tcBorders>
          </w:tcPr>
          <w:p>
            <w:pPr/>
          </w:p>
        </w:tc>
        <w:tc>
          <w:tcPr>
            <w:tcW w:w="1738" w:type="dxa"/>
            <w:tcBorders>
              <w:top w:val="single" w:sz="4" w:space="0" w:color="000000"/>
              <w:left w:val="single" w:sz="4" w:space="0" w:color="000000"/>
              <w:bottom w:val="nil" w:sz="6" w:space="0" w:color="auto"/>
              <w:right w:val="single" w:sz="4" w:space="0" w:color="000000"/>
            </w:tcBorders>
          </w:tcPr>
          <w:p>
            <w:pPr>
              <w:pStyle w:val="TableParagraph"/>
              <w:spacing w:line="184" w:lineRule="exact"/>
              <w:ind w:left="103" w:right="0"/>
              <w:jc w:val="left"/>
              <w:rPr>
                <w:rFonts w:ascii="宋体" w:hAnsi="宋体" w:cs="宋体" w:eastAsia="宋体" w:hint="default"/>
                <w:sz w:val="16"/>
                <w:szCs w:val="16"/>
              </w:rPr>
            </w:pPr>
            <w:r>
              <w:rPr>
                <w:rFonts w:ascii="宋体" w:hAnsi="宋体" w:cs="宋体" w:eastAsia="宋体" w:hint="default"/>
                <w:sz w:val="16"/>
                <w:szCs w:val="16"/>
              </w:rPr>
              <w:t>杭州市临安区财政</w:t>
            </w:r>
          </w:p>
        </w:tc>
        <w:tc>
          <w:tcPr>
            <w:tcW w:w="591"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
        </w:tc>
        <w:tc>
          <w:tcPr>
            <w:tcW w:w="741" w:type="dxa"/>
            <w:tcBorders>
              <w:top w:val="single" w:sz="4" w:space="0" w:color="000000"/>
              <w:left w:val="single" w:sz="4" w:space="0" w:color="000000"/>
              <w:bottom w:val="nil" w:sz="6" w:space="0" w:color="auto"/>
              <w:right w:val="single" w:sz="4" w:space="0" w:color="000000"/>
            </w:tcBorders>
          </w:tcPr>
          <w:p>
            <w:pPr/>
          </w:p>
        </w:tc>
        <w:tc>
          <w:tcPr>
            <w:tcW w:w="601" w:type="dxa"/>
            <w:tcBorders>
              <w:top w:val="single" w:sz="4" w:space="0" w:color="000000"/>
              <w:left w:val="single" w:sz="4" w:space="0" w:color="000000"/>
              <w:bottom w:val="nil" w:sz="6" w:space="0" w:color="auto"/>
              <w:right w:val="single" w:sz="4" w:space="0" w:color="000000"/>
            </w:tcBorders>
          </w:tcPr>
          <w:p>
            <w:pPr/>
          </w:p>
        </w:tc>
        <w:tc>
          <w:tcPr>
            <w:tcW w:w="1069" w:type="dxa"/>
            <w:vMerge w:val="restart"/>
            <w:tcBorders>
              <w:top w:val="single" w:sz="4" w:space="0" w:color="000000"/>
              <w:left w:val="single" w:sz="4" w:space="0" w:color="000000"/>
              <w:right w:val="single" w:sz="4" w:space="0" w:color="000000"/>
            </w:tcBorders>
          </w:tcPr>
          <w:p>
            <w:pPr/>
          </w:p>
        </w:tc>
        <w:tc>
          <w:tcPr>
            <w:tcW w:w="854"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nil" w:sz="6" w:space="0" w:color="auto"/>
            </w:tcBorders>
          </w:tcPr>
          <w:p>
            <w:pPr/>
          </w:p>
        </w:tc>
      </w:tr>
      <w:tr>
        <w:trPr>
          <w:trHeight w:val="1250" w:hRule="exact"/>
        </w:trPr>
        <w:tc>
          <w:tcPr>
            <w:tcW w:w="999" w:type="dxa"/>
            <w:tcBorders>
              <w:top w:val="nil" w:sz="6" w:space="0" w:color="auto"/>
              <w:left w:val="nil" w:sz="6" w:space="0" w:color="auto"/>
              <w:bottom w:val="nil" w:sz="6" w:space="0" w:color="auto"/>
              <w:right w:val="single" w:sz="4" w:space="0" w:color="000000"/>
            </w:tcBorders>
          </w:tcPr>
          <w:p>
            <w:pPr>
              <w:pStyle w:val="TableParagraph"/>
              <w:spacing w:line="188" w:lineRule="exact"/>
              <w:ind w:left="106" w:right="0"/>
              <w:jc w:val="both"/>
              <w:rPr>
                <w:rFonts w:ascii="宋体" w:hAnsi="宋体" w:cs="宋体" w:eastAsia="宋体" w:hint="default"/>
                <w:sz w:val="16"/>
                <w:szCs w:val="16"/>
              </w:rPr>
            </w:pPr>
            <w:r>
              <w:rPr>
                <w:rFonts w:ascii="Times New Roman" w:hAnsi="Times New Roman" w:cs="Times New Roman" w:eastAsia="Times New Roman" w:hint="default"/>
                <w:sz w:val="16"/>
                <w:szCs w:val="16"/>
              </w:rPr>
              <w:t>2017</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年杭</w:t>
            </w:r>
          </w:p>
          <w:p>
            <w:pPr>
              <w:pStyle w:val="TableParagraph"/>
              <w:spacing w:line="237" w:lineRule="auto"/>
              <w:ind w:left="106" w:right="244"/>
              <w:jc w:val="both"/>
              <w:rPr>
                <w:rFonts w:ascii="宋体" w:hAnsi="宋体" w:cs="宋体" w:eastAsia="宋体" w:hint="default"/>
                <w:sz w:val="16"/>
                <w:szCs w:val="16"/>
              </w:rPr>
            </w:pPr>
            <w:r>
              <w:rPr>
                <w:rFonts w:ascii="宋体" w:hAnsi="宋体" w:cs="宋体" w:eastAsia="宋体" w:hint="default"/>
                <w:sz w:val="16"/>
                <w:szCs w:val="16"/>
              </w:rPr>
              <w:t>州市物联</w:t>
            </w:r>
            <w:r>
              <w:rPr>
                <w:rFonts w:ascii="宋体" w:hAnsi="宋体" w:cs="宋体" w:eastAsia="宋体" w:hint="default"/>
                <w:w w:val="100"/>
                <w:sz w:val="16"/>
                <w:szCs w:val="16"/>
              </w:rPr>
              <w:t> </w:t>
            </w:r>
            <w:r>
              <w:rPr>
                <w:rFonts w:ascii="宋体" w:hAnsi="宋体" w:cs="宋体" w:eastAsia="宋体" w:hint="default"/>
                <w:sz w:val="16"/>
                <w:szCs w:val="16"/>
              </w:rPr>
              <w:t>网和工业</w:t>
            </w:r>
            <w:r>
              <w:rPr>
                <w:rFonts w:ascii="宋体" w:hAnsi="宋体" w:cs="宋体" w:eastAsia="宋体" w:hint="default"/>
                <w:w w:val="100"/>
                <w:sz w:val="16"/>
                <w:szCs w:val="16"/>
              </w:rPr>
              <w:t> </w:t>
            </w:r>
            <w:r>
              <w:rPr>
                <w:rFonts w:ascii="宋体" w:hAnsi="宋体" w:cs="宋体" w:eastAsia="宋体" w:hint="default"/>
                <w:sz w:val="16"/>
                <w:szCs w:val="16"/>
              </w:rPr>
              <w:t>互联网财</w:t>
            </w:r>
            <w:r>
              <w:rPr>
                <w:rFonts w:ascii="宋体" w:hAnsi="宋体" w:cs="宋体" w:eastAsia="宋体" w:hint="default"/>
                <w:w w:val="100"/>
                <w:sz w:val="16"/>
                <w:szCs w:val="16"/>
              </w:rPr>
              <w:t> </w:t>
            </w:r>
            <w:r>
              <w:rPr>
                <w:rFonts w:ascii="宋体" w:hAnsi="宋体" w:cs="宋体" w:eastAsia="宋体" w:hint="default"/>
                <w:sz w:val="16"/>
                <w:szCs w:val="16"/>
              </w:rPr>
              <w:t>政补助项</w:t>
            </w:r>
            <w:r>
              <w:rPr>
                <w:rFonts w:ascii="宋体" w:hAnsi="宋体" w:cs="宋体" w:eastAsia="宋体" w:hint="default"/>
                <w:w w:val="100"/>
                <w:sz w:val="16"/>
                <w:szCs w:val="16"/>
              </w:rPr>
              <w:t> </w:t>
            </w:r>
            <w:r>
              <w:rPr>
                <w:rFonts w:ascii="宋体" w:hAnsi="宋体" w:cs="宋体" w:eastAsia="宋体" w:hint="default"/>
                <w:sz w:val="16"/>
                <w:szCs w:val="16"/>
              </w:rPr>
              <w:t>目资金</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103" w:right="0"/>
              <w:jc w:val="both"/>
              <w:rPr>
                <w:rFonts w:ascii="宋体" w:hAnsi="宋体" w:cs="宋体" w:eastAsia="宋体" w:hint="default"/>
                <w:sz w:val="16"/>
                <w:szCs w:val="16"/>
              </w:rPr>
            </w:pPr>
            <w:r>
              <w:rPr>
                <w:rFonts w:ascii="宋体" w:hAnsi="宋体" w:cs="宋体" w:eastAsia="宋体" w:hint="default"/>
                <w:sz w:val="16"/>
                <w:szCs w:val="16"/>
              </w:rPr>
              <w:t>局、杭州市临安区经</w:t>
            </w:r>
          </w:p>
          <w:p>
            <w:pPr>
              <w:pStyle w:val="TableParagraph"/>
              <w:spacing w:line="235" w:lineRule="auto" w:before="3"/>
              <w:ind w:left="103" w:right="98"/>
              <w:jc w:val="both"/>
              <w:rPr>
                <w:rFonts w:ascii="Times New Roman" w:hAnsi="Times New Roman" w:cs="Times New Roman" w:eastAsia="Times New Roman" w:hint="default"/>
                <w:sz w:val="16"/>
                <w:szCs w:val="16"/>
              </w:rPr>
            </w:pPr>
            <w:r>
              <w:rPr>
                <w:rFonts w:ascii="宋体" w:hAnsi="宋体" w:cs="宋体" w:eastAsia="宋体" w:hint="default"/>
                <w:sz w:val="16"/>
                <w:szCs w:val="16"/>
              </w:rPr>
              <w:t>济和信息化局关于</w:t>
            </w:r>
            <w:r>
              <w:rPr>
                <w:rFonts w:ascii="宋体" w:hAnsi="宋体" w:cs="宋体" w:eastAsia="宋体" w:hint="default"/>
                <w:spacing w:val="-6"/>
                <w:sz w:val="16"/>
                <w:szCs w:val="16"/>
              </w:rPr>
              <w:t> </w:t>
            </w:r>
            <w:r>
              <w:rPr>
                <w:rFonts w:ascii="宋体" w:hAnsi="宋体" w:cs="宋体" w:eastAsia="宋体" w:hint="default"/>
                <w:sz w:val="16"/>
                <w:szCs w:val="16"/>
              </w:rPr>
              <w:t>下</w:t>
            </w:r>
            <w:r>
              <w:rPr>
                <w:rFonts w:ascii="宋体" w:hAnsi="宋体" w:cs="宋体" w:eastAsia="宋体" w:hint="default"/>
                <w:w w:val="100"/>
                <w:sz w:val="16"/>
                <w:szCs w:val="16"/>
              </w:rPr>
              <w:t> </w:t>
            </w:r>
            <w:r>
              <w:rPr>
                <w:rFonts w:ascii="宋体" w:hAnsi="宋体" w:cs="宋体" w:eastAsia="宋体" w:hint="default"/>
                <w:spacing w:val="-14"/>
                <w:w w:val="100"/>
                <w:sz w:val="16"/>
                <w:szCs w:val="16"/>
              </w:rPr>
              <w:t>达《</w:t>
            </w:r>
            <w:r>
              <w:rPr>
                <w:rFonts w:ascii="Times New Roman" w:hAnsi="Times New Roman" w:cs="Times New Roman" w:eastAsia="Times New Roman" w:hint="default"/>
                <w:spacing w:val="-14"/>
                <w:w w:val="100"/>
                <w:sz w:val="16"/>
                <w:szCs w:val="16"/>
              </w:rPr>
              <w:t>2017</w:t>
            </w:r>
            <w:r>
              <w:rPr>
                <w:rFonts w:ascii="Times New Roman" w:hAnsi="Times New Roman" w:cs="Times New Roman" w:eastAsia="Times New Roman" w:hint="default"/>
                <w:w w:val="100"/>
                <w:sz w:val="16"/>
                <w:szCs w:val="16"/>
              </w:rPr>
              <w:t> </w:t>
            </w:r>
            <w:r>
              <w:rPr>
                <w:rFonts w:ascii="宋体" w:hAnsi="宋体" w:cs="宋体" w:eastAsia="宋体" w:hint="default"/>
                <w:spacing w:val="-2"/>
                <w:w w:val="100"/>
                <w:sz w:val="16"/>
                <w:szCs w:val="16"/>
              </w:rPr>
              <w:t>年杭州</w:t>
            </w:r>
            <w:r>
              <w:rPr>
                <w:rFonts w:ascii="宋体" w:hAnsi="宋体" w:cs="宋体" w:eastAsia="宋体" w:hint="default"/>
                <w:spacing w:val="-1"/>
                <w:w w:val="100"/>
                <w:sz w:val="16"/>
                <w:szCs w:val="16"/>
              </w:rPr>
              <w:t> 市物</w:t>
            </w:r>
            <w:r>
              <w:rPr>
                <w:rFonts w:ascii="宋体" w:hAnsi="宋体" w:cs="宋体" w:eastAsia="宋体" w:hint="default"/>
                <w:w w:val="100"/>
                <w:sz w:val="16"/>
                <w:szCs w:val="16"/>
              </w:rPr>
              <w:t> </w:t>
            </w:r>
            <w:r>
              <w:rPr>
                <w:rFonts w:ascii="宋体" w:hAnsi="宋体" w:cs="宋体" w:eastAsia="宋体" w:hint="default"/>
                <w:sz w:val="16"/>
                <w:szCs w:val="16"/>
              </w:rPr>
              <w:t>联网和工业互</w:t>
            </w:r>
            <w:r>
              <w:rPr>
                <w:rFonts w:ascii="宋体" w:hAnsi="宋体" w:cs="宋体" w:eastAsia="宋体" w:hint="default"/>
                <w:spacing w:val="-5"/>
                <w:sz w:val="16"/>
                <w:szCs w:val="16"/>
              </w:rPr>
              <w:t> </w:t>
            </w:r>
            <w:r>
              <w:rPr>
                <w:rFonts w:ascii="宋体" w:hAnsi="宋体" w:cs="宋体" w:eastAsia="宋体" w:hint="default"/>
                <w:sz w:val="16"/>
                <w:szCs w:val="16"/>
              </w:rPr>
              <w:t>联网财</w:t>
            </w:r>
            <w:r>
              <w:rPr>
                <w:rFonts w:ascii="宋体" w:hAnsi="宋体" w:cs="宋体" w:eastAsia="宋体" w:hint="default"/>
                <w:w w:val="100"/>
                <w:sz w:val="16"/>
                <w:szCs w:val="16"/>
              </w:rPr>
              <w:t> </w:t>
            </w:r>
            <w:r>
              <w:rPr>
                <w:rFonts w:ascii="宋体" w:hAnsi="宋体" w:cs="宋体" w:eastAsia="宋体" w:hint="default"/>
                <w:sz w:val="16"/>
                <w:szCs w:val="16"/>
              </w:rPr>
              <w:t>政补助项目</w:t>
            </w:r>
            <w:r>
              <w:rPr>
                <w:rFonts w:ascii="宋体" w:hAnsi="宋体" w:cs="宋体" w:eastAsia="宋体" w:hint="default"/>
                <w:spacing w:val="-6"/>
                <w:sz w:val="16"/>
                <w:szCs w:val="16"/>
              </w:rPr>
              <w:t> </w:t>
            </w:r>
            <w:r>
              <w:rPr>
                <w:rFonts w:ascii="宋体" w:hAnsi="宋体" w:cs="宋体" w:eastAsia="宋体" w:hint="default"/>
                <w:sz w:val="16"/>
                <w:szCs w:val="16"/>
              </w:rPr>
              <w:t>资金的通</w:t>
            </w:r>
            <w:r>
              <w:rPr>
                <w:rFonts w:ascii="宋体" w:hAnsi="宋体" w:cs="宋体" w:eastAsia="宋体" w:hint="default"/>
                <w:w w:val="100"/>
                <w:sz w:val="16"/>
                <w:szCs w:val="16"/>
              </w:rPr>
              <w:t> </w:t>
            </w:r>
            <w:r>
              <w:rPr>
                <w:rFonts w:ascii="宋体" w:hAnsi="宋体" w:cs="宋体" w:eastAsia="宋体" w:hint="default"/>
                <w:sz w:val="16"/>
                <w:szCs w:val="16"/>
              </w:rPr>
              <w:t>知》临财企</w:t>
            </w:r>
            <w:r>
              <w:rPr>
                <w:rFonts w:ascii="宋体" w:hAnsi="宋体" w:cs="宋体" w:eastAsia="宋体" w:hint="default"/>
                <w:spacing w:val="-7"/>
                <w:sz w:val="16"/>
                <w:szCs w:val="16"/>
              </w:rPr>
              <w:t> </w:t>
            </w:r>
            <w:r>
              <w:rPr>
                <w:rFonts w:ascii="Times New Roman" w:hAnsi="Times New Roman" w:cs="Times New Roman" w:eastAsia="Times New Roman" w:hint="default"/>
                <w:sz w:val="16"/>
                <w:szCs w:val="16"/>
              </w:rPr>
              <w:t>[2018]1</w:t>
            </w:r>
          </w:p>
        </w:tc>
        <w:tc>
          <w:tcPr>
            <w:tcW w:w="5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237" w:lineRule="auto" w:before="81"/>
              <w:ind w:left="102" w:right="163"/>
              <w:jc w:val="both"/>
              <w:rPr>
                <w:rFonts w:ascii="宋体" w:hAnsi="宋体" w:cs="宋体" w:eastAsia="宋体" w:hint="default"/>
                <w:sz w:val="16"/>
                <w:szCs w:val="16"/>
              </w:rPr>
            </w:pPr>
            <w:r>
              <w:rPr>
                <w:rFonts w:ascii="宋体" w:hAnsi="宋体" w:cs="宋体" w:eastAsia="宋体" w:hint="default"/>
                <w:sz w:val="16"/>
                <w:szCs w:val="16"/>
              </w:rPr>
              <w:t>因研究开</w:t>
            </w:r>
            <w:r>
              <w:rPr>
                <w:rFonts w:ascii="宋体" w:hAnsi="宋体" w:cs="宋体" w:eastAsia="宋体" w:hint="default"/>
                <w:w w:val="100"/>
                <w:sz w:val="16"/>
                <w:szCs w:val="16"/>
              </w:rPr>
              <w:t> </w:t>
            </w:r>
            <w:r>
              <w:rPr>
                <w:rFonts w:ascii="宋体" w:hAnsi="宋体" w:cs="宋体" w:eastAsia="宋体" w:hint="default"/>
                <w:sz w:val="16"/>
                <w:szCs w:val="16"/>
              </w:rPr>
              <w:t>发、技术</w:t>
            </w:r>
            <w:r>
              <w:rPr>
                <w:rFonts w:ascii="宋体" w:hAnsi="宋体" w:cs="宋体" w:eastAsia="宋体" w:hint="default"/>
                <w:w w:val="100"/>
                <w:sz w:val="16"/>
                <w:szCs w:val="16"/>
              </w:rPr>
              <w:t> </w:t>
            </w:r>
            <w:r>
              <w:rPr>
                <w:rFonts w:ascii="宋体" w:hAnsi="宋体" w:cs="宋体" w:eastAsia="宋体" w:hint="default"/>
                <w:sz w:val="16"/>
                <w:szCs w:val="16"/>
              </w:rPr>
              <w:t>更新及改</w:t>
            </w:r>
            <w:r>
              <w:rPr>
                <w:rFonts w:ascii="宋体" w:hAnsi="宋体" w:cs="宋体" w:eastAsia="宋体" w:hint="default"/>
                <w:w w:val="100"/>
                <w:sz w:val="16"/>
                <w:szCs w:val="16"/>
              </w:rPr>
              <w:t> </w:t>
            </w:r>
            <w:r>
              <w:rPr>
                <w:rFonts w:ascii="宋体" w:hAnsi="宋体" w:cs="宋体" w:eastAsia="宋体" w:hint="default"/>
                <w:sz w:val="16"/>
                <w:szCs w:val="16"/>
              </w:rPr>
              <w:t>造等获得</w:t>
            </w:r>
            <w:r>
              <w:rPr>
                <w:rFonts w:ascii="宋体" w:hAnsi="宋体" w:cs="宋体" w:eastAsia="宋体" w:hint="default"/>
                <w:w w:val="100"/>
                <w:sz w:val="16"/>
                <w:szCs w:val="16"/>
              </w:rPr>
              <w:t> </w:t>
            </w:r>
            <w:r>
              <w:rPr>
                <w:rFonts w:ascii="宋体" w:hAnsi="宋体" w:cs="宋体" w:eastAsia="宋体" w:hint="default"/>
                <w:sz w:val="16"/>
                <w:szCs w:val="16"/>
              </w:rPr>
              <w:t>的补助</w:t>
            </w:r>
          </w:p>
        </w:tc>
        <w:tc>
          <w:tcPr>
            <w:tcW w:w="74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183" w:lineRule="exact"/>
              <w:ind w:right="100"/>
              <w:jc w:val="right"/>
              <w:rPr>
                <w:rFonts w:ascii="Times New Roman" w:hAnsi="Times New Roman" w:cs="Times New Roman" w:eastAsia="Times New Roman" w:hint="default"/>
                <w:sz w:val="16"/>
                <w:szCs w:val="16"/>
              </w:rPr>
            </w:pPr>
            <w:r>
              <w:rPr>
                <w:rFonts w:ascii="Times New Roman"/>
                <w:spacing w:val="-1"/>
                <w:sz w:val="16"/>
              </w:rPr>
              <w:t>374,100.</w:t>
            </w:r>
          </w:p>
          <w:p>
            <w:pPr>
              <w:pStyle w:val="TableParagraph"/>
              <w:spacing w:line="183" w:lineRule="exact"/>
              <w:ind w:right="98"/>
              <w:jc w:val="right"/>
              <w:rPr>
                <w:rFonts w:ascii="Times New Roman" w:hAnsi="Times New Roman" w:cs="Times New Roman" w:eastAsia="Times New Roman" w:hint="default"/>
                <w:sz w:val="16"/>
                <w:szCs w:val="16"/>
              </w:rPr>
            </w:pPr>
            <w:r>
              <w:rPr>
                <w:rFonts w:ascii="Times New Roman"/>
                <w:sz w:val="16"/>
              </w:rPr>
              <w:t>00</w:t>
            </w:r>
          </w:p>
        </w:tc>
        <w:tc>
          <w:tcPr>
            <w:tcW w:w="78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06" w:lineRule="exact"/>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06" w:hRule="exact"/>
        </w:trPr>
        <w:tc>
          <w:tcPr>
            <w:tcW w:w="999" w:type="dxa"/>
            <w:tcBorders>
              <w:top w:val="nil" w:sz="6" w:space="0" w:color="auto"/>
              <w:left w:val="nil" w:sz="6" w:space="0" w:color="auto"/>
              <w:bottom w:val="single" w:sz="4" w:space="0" w:color="000000"/>
              <w:right w:val="single" w:sz="4" w:space="0" w:color="000000"/>
            </w:tcBorders>
          </w:tcPr>
          <w:p>
            <w:pPr/>
          </w:p>
        </w:tc>
        <w:tc>
          <w:tcPr>
            <w:tcW w:w="1738" w:type="dxa"/>
            <w:tcBorders>
              <w:top w:val="nil" w:sz="6" w:space="0" w:color="auto"/>
              <w:left w:val="single" w:sz="4" w:space="0" w:color="000000"/>
              <w:bottom w:val="single" w:sz="4" w:space="0" w:color="000000"/>
              <w:right w:val="single" w:sz="4" w:space="0" w:color="000000"/>
            </w:tcBorders>
          </w:tcPr>
          <w:p>
            <w:pPr>
              <w:pStyle w:val="TableParagraph"/>
              <w:spacing w:line="179" w:lineRule="exact"/>
              <w:ind w:left="103" w:right="0"/>
              <w:jc w:val="left"/>
              <w:rPr>
                <w:rFonts w:ascii="宋体" w:hAnsi="宋体" w:cs="宋体" w:eastAsia="宋体" w:hint="default"/>
                <w:sz w:val="16"/>
                <w:szCs w:val="16"/>
              </w:rPr>
            </w:pPr>
            <w:r>
              <w:rPr>
                <w:rFonts w:ascii="宋体" w:hAnsi="宋体" w:cs="宋体" w:eastAsia="宋体" w:hint="default"/>
                <w:w w:val="100"/>
                <w:sz w:val="16"/>
                <w:szCs w:val="16"/>
              </w:rPr>
              <w:t>号</w:t>
            </w:r>
          </w:p>
        </w:tc>
        <w:tc>
          <w:tcPr>
            <w:tcW w:w="591"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
        </w:tc>
        <w:tc>
          <w:tcPr>
            <w:tcW w:w="741" w:type="dxa"/>
            <w:tcBorders>
              <w:top w:val="nil" w:sz="6" w:space="0" w:color="auto"/>
              <w:left w:val="single" w:sz="4" w:space="0" w:color="000000"/>
              <w:bottom w:val="single" w:sz="4" w:space="0" w:color="000000"/>
              <w:right w:val="single" w:sz="4" w:space="0" w:color="000000"/>
            </w:tcBorders>
          </w:tcPr>
          <w:p>
            <w:pPr/>
          </w:p>
        </w:tc>
        <w:tc>
          <w:tcPr>
            <w:tcW w:w="601" w:type="dxa"/>
            <w:tcBorders>
              <w:top w:val="nil" w:sz="6" w:space="0" w:color="auto"/>
              <w:left w:val="single" w:sz="4" w:space="0" w:color="000000"/>
              <w:bottom w:val="single" w:sz="4" w:space="0" w:color="000000"/>
              <w:right w:val="single" w:sz="4" w:space="0" w:color="000000"/>
            </w:tcBorders>
          </w:tcPr>
          <w:p>
            <w:pPr/>
          </w:p>
        </w:tc>
        <w:tc>
          <w:tcPr>
            <w:tcW w:w="1069" w:type="dxa"/>
            <w:vMerge/>
            <w:tcBorders>
              <w:left w:val="single" w:sz="4" w:space="0" w:color="000000"/>
              <w:bottom w:val="single" w:sz="4" w:space="0" w:color="000000"/>
              <w:right w:val="single" w:sz="4" w:space="0" w:color="000000"/>
            </w:tcBorders>
          </w:tcPr>
          <w:p>
            <w:pPr/>
          </w:p>
        </w:tc>
        <w:tc>
          <w:tcPr>
            <w:tcW w:w="854"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nil" w:sz="6" w:space="0" w:color="auto"/>
            </w:tcBorders>
          </w:tcPr>
          <w:p>
            <w:pPr/>
          </w:p>
        </w:tc>
      </w:tr>
    </w:tbl>
    <w:p>
      <w:pPr>
        <w:spacing w:after="0"/>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223" w:type="dxa"/>
        <w:tblLayout w:type="fixed"/>
        <w:tblCellMar>
          <w:top w:w="0" w:type="dxa"/>
          <w:left w:w="0" w:type="dxa"/>
          <w:bottom w:w="0" w:type="dxa"/>
          <w:right w:w="0" w:type="dxa"/>
        </w:tblCellMar>
        <w:tblLook w:val="01E0"/>
      </w:tblPr>
      <w:tblGrid>
        <w:gridCol w:w="999"/>
        <w:gridCol w:w="1738"/>
        <w:gridCol w:w="591"/>
        <w:gridCol w:w="919"/>
        <w:gridCol w:w="741"/>
        <w:gridCol w:w="601"/>
        <w:gridCol w:w="1069"/>
        <w:gridCol w:w="854"/>
        <w:gridCol w:w="788"/>
      </w:tblGrid>
      <w:tr>
        <w:trPr>
          <w:trHeight w:val="1463" w:hRule="exact"/>
        </w:trPr>
        <w:tc>
          <w:tcPr>
            <w:tcW w:w="9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32" w:lineRule="auto"/>
              <w:ind w:left="106" w:right="203"/>
              <w:jc w:val="both"/>
              <w:rPr>
                <w:rFonts w:ascii="宋体" w:hAnsi="宋体" w:cs="宋体" w:eastAsia="宋体" w:hint="default"/>
                <w:sz w:val="16"/>
                <w:szCs w:val="16"/>
              </w:rPr>
            </w:pP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年中</w:t>
            </w:r>
            <w:r>
              <w:rPr>
                <w:rFonts w:ascii="宋体" w:hAnsi="宋体" w:cs="宋体" w:eastAsia="宋体" w:hint="default"/>
                <w:w w:val="100"/>
                <w:sz w:val="16"/>
                <w:szCs w:val="16"/>
              </w:rPr>
              <w:t> </w:t>
            </w:r>
            <w:r>
              <w:rPr>
                <w:rFonts w:ascii="宋体" w:hAnsi="宋体" w:cs="宋体" w:eastAsia="宋体" w:hint="default"/>
                <w:sz w:val="16"/>
                <w:szCs w:val="16"/>
              </w:rPr>
              <w:t>央外经贸</w:t>
            </w:r>
            <w:r>
              <w:rPr>
                <w:rFonts w:ascii="宋体" w:hAnsi="宋体" w:cs="宋体" w:eastAsia="宋体" w:hint="default"/>
                <w:w w:val="100"/>
                <w:sz w:val="16"/>
                <w:szCs w:val="16"/>
              </w:rPr>
              <w:t> </w:t>
            </w:r>
            <w:r>
              <w:rPr>
                <w:rFonts w:ascii="宋体" w:hAnsi="宋体" w:cs="宋体" w:eastAsia="宋体" w:hint="default"/>
                <w:sz w:val="16"/>
                <w:szCs w:val="16"/>
              </w:rPr>
              <w:t>发展专项</w:t>
            </w:r>
            <w:r>
              <w:rPr>
                <w:rFonts w:ascii="宋体" w:hAnsi="宋体" w:cs="宋体" w:eastAsia="宋体" w:hint="default"/>
                <w:w w:val="100"/>
                <w:sz w:val="16"/>
                <w:szCs w:val="16"/>
              </w:rPr>
              <w:t> </w:t>
            </w:r>
            <w:r>
              <w:rPr>
                <w:rFonts w:ascii="宋体" w:hAnsi="宋体" w:cs="宋体" w:eastAsia="宋体" w:hint="default"/>
                <w:sz w:val="16"/>
                <w:szCs w:val="16"/>
              </w:rPr>
              <w:t>资金</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82"/>
              <w:ind w:left="103" w:right="182"/>
              <w:jc w:val="left"/>
              <w:rPr>
                <w:rFonts w:ascii="宋体" w:hAnsi="宋体" w:cs="宋体" w:eastAsia="宋体" w:hint="default"/>
                <w:sz w:val="16"/>
                <w:szCs w:val="16"/>
              </w:rPr>
            </w:pPr>
            <w:r>
              <w:rPr>
                <w:rFonts w:ascii="宋体" w:hAnsi="宋体" w:cs="宋体" w:eastAsia="宋体" w:hint="default"/>
                <w:spacing w:val="-2"/>
                <w:sz w:val="16"/>
                <w:szCs w:val="16"/>
              </w:rPr>
              <w:t>浙江省财政厅、浙江</w:t>
            </w:r>
            <w:r>
              <w:rPr>
                <w:rFonts w:ascii="宋体" w:hAnsi="宋体" w:cs="宋体" w:eastAsia="宋体" w:hint="default"/>
                <w:spacing w:val="-67"/>
                <w:sz w:val="16"/>
                <w:szCs w:val="16"/>
              </w:rPr>
              <w:t> </w:t>
            </w:r>
            <w:r>
              <w:rPr>
                <w:rFonts w:ascii="宋体" w:hAnsi="宋体" w:cs="宋体" w:eastAsia="宋体" w:hint="default"/>
                <w:spacing w:val="-67"/>
                <w:sz w:val="16"/>
                <w:szCs w:val="16"/>
              </w:rPr>
            </w:r>
            <w:r>
              <w:rPr>
                <w:rFonts w:ascii="宋体" w:hAnsi="宋体" w:cs="宋体" w:eastAsia="宋体" w:hint="default"/>
                <w:spacing w:val="-2"/>
                <w:sz w:val="16"/>
                <w:szCs w:val="16"/>
              </w:rPr>
              <w:t>省商务厅关于《下达</w:t>
            </w:r>
            <w:r>
              <w:rPr>
                <w:rFonts w:ascii="宋体" w:hAnsi="宋体" w:cs="宋体" w:eastAsia="宋体" w:hint="default"/>
                <w:spacing w:val="-67"/>
                <w:sz w:val="16"/>
                <w:szCs w:val="16"/>
              </w:rPr>
              <w:t> </w:t>
            </w:r>
            <w:r>
              <w:rPr>
                <w:rFonts w:ascii="宋体" w:hAnsi="宋体" w:cs="宋体" w:eastAsia="宋体" w:hint="default"/>
                <w:spacing w:val="-67"/>
                <w:sz w:val="16"/>
                <w:szCs w:val="16"/>
              </w:rPr>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35"/>
                <w:sz w:val="16"/>
                <w:szCs w:val="16"/>
              </w:rPr>
              <w:t> </w:t>
            </w:r>
            <w:r>
              <w:rPr>
                <w:rFonts w:ascii="宋体" w:hAnsi="宋体" w:cs="宋体" w:eastAsia="宋体" w:hint="default"/>
                <w:sz w:val="16"/>
                <w:szCs w:val="16"/>
              </w:rPr>
              <w:t>年中央外经贸</w:t>
            </w:r>
            <w:r>
              <w:rPr>
                <w:rFonts w:ascii="宋体" w:hAnsi="宋体" w:cs="宋体" w:eastAsia="宋体" w:hint="default"/>
                <w:w w:val="100"/>
                <w:sz w:val="16"/>
                <w:szCs w:val="16"/>
              </w:rPr>
              <w:t> </w:t>
            </w:r>
            <w:r>
              <w:rPr>
                <w:rFonts w:ascii="宋体" w:hAnsi="宋体" w:cs="宋体" w:eastAsia="宋体" w:hint="default"/>
                <w:spacing w:val="-2"/>
                <w:sz w:val="16"/>
                <w:szCs w:val="16"/>
              </w:rPr>
              <w:t>发展专项资金通知》</w:t>
            </w:r>
          </w:p>
          <w:p>
            <w:pPr>
              <w:pStyle w:val="TableParagraph"/>
              <w:spacing w:line="206" w:lineRule="exact" w:before="22"/>
              <w:ind w:left="103" w:right="181"/>
              <w:jc w:val="left"/>
              <w:rPr>
                <w:rFonts w:ascii="宋体" w:hAnsi="宋体" w:cs="宋体" w:eastAsia="宋体" w:hint="default"/>
                <w:sz w:val="16"/>
                <w:szCs w:val="16"/>
              </w:rPr>
            </w:pPr>
            <w:r>
              <w:rPr>
                <w:rFonts w:ascii="宋体" w:hAnsi="宋体" w:cs="宋体" w:eastAsia="宋体" w:hint="default"/>
                <w:spacing w:val="-2"/>
                <w:sz w:val="16"/>
                <w:szCs w:val="16"/>
              </w:rPr>
              <w:t>（浙财企〔</w:t>
            </w:r>
            <w:r>
              <w:rPr>
                <w:rFonts w:ascii="Times New Roman" w:hAnsi="Times New Roman" w:cs="Times New Roman" w:eastAsia="Times New Roman" w:hint="default"/>
                <w:spacing w:val="-2"/>
                <w:sz w:val="16"/>
                <w:szCs w:val="16"/>
              </w:rPr>
              <w:t>2018</w:t>
            </w:r>
            <w:r>
              <w:rPr>
                <w:rFonts w:ascii="宋体" w:hAnsi="宋体" w:cs="宋体" w:eastAsia="宋体" w:hint="default"/>
                <w:spacing w:val="-2"/>
                <w:sz w:val="16"/>
                <w:szCs w:val="16"/>
              </w:rPr>
              <w:t>〕</w:t>
            </w:r>
            <w:r>
              <w:rPr>
                <w:rFonts w:ascii="Times New Roman" w:hAnsi="Times New Roman" w:cs="Times New Roman" w:eastAsia="Times New Roman" w:hint="default"/>
                <w:spacing w:val="-2"/>
                <w:sz w:val="16"/>
                <w:szCs w:val="16"/>
              </w:rPr>
              <w:t>51</w:t>
            </w:r>
            <w:r>
              <w:rPr>
                <w:rFonts w:ascii="Times New Roman" w:hAnsi="Times New Roman" w:cs="Times New Roman" w:eastAsia="Times New Roman" w:hint="default"/>
                <w:spacing w:val="-21"/>
                <w:sz w:val="16"/>
                <w:szCs w:val="16"/>
              </w:rPr>
              <w:t> </w:t>
            </w:r>
            <w:r>
              <w:rPr>
                <w:rFonts w:ascii="Times New Roman" w:hAnsi="Times New Roman" w:cs="Times New Roman" w:eastAsia="Times New Roman" w:hint="default"/>
                <w:spacing w:val="-21"/>
                <w:sz w:val="16"/>
                <w:szCs w:val="16"/>
              </w:rPr>
            </w:r>
            <w:r>
              <w:rPr>
                <w:rFonts w:ascii="宋体" w:hAnsi="宋体" w:cs="宋体" w:eastAsia="宋体" w:hint="default"/>
                <w:sz w:val="16"/>
                <w:szCs w:val="16"/>
              </w:rPr>
              <w:t>号）</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183" w:lineRule="exact"/>
              <w:ind w:left="102" w:right="0"/>
              <w:jc w:val="both"/>
              <w:rPr>
                <w:rFonts w:ascii="宋体" w:hAnsi="宋体" w:cs="宋体" w:eastAsia="宋体" w:hint="default"/>
                <w:sz w:val="16"/>
                <w:szCs w:val="16"/>
              </w:rPr>
            </w:pPr>
            <w:r>
              <w:rPr>
                <w:rFonts w:ascii="宋体" w:hAnsi="宋体" w:cs="宋体" w:eastAsia="宋体" w:hint="default"/>
                <w:sz w:val="16"/>
                <w:szCs w:val="16"/>
              </w:rPr>
              <w:t>因符合地</w:t>
            </w:r>
          </w:p>
          <w:p>
            <w:pPr>
              <w:pStyle w:val="TableParagraph"/>
              <w:spacing w:line="237" w:lineRule="auto" w:before="1"/>
              <w:ind w:left="102" w:right="163"/>
              <w:jc w:val="both"/>
              <w:rPr>
                <w:rFonts w:ascii="宋体" w:hAnsi="宋体" w:cs="宋体" w:eastAsia="宋体" w:hint="default"/>
                <w:sz w:val="16"/>
                <w:szCs w:val="16"/>
              </w:rPr>
            </w:pPr>
            <w:r>
              <w:rPr>
                <w:rFonts w:ascii="宋体" w:hAnsi="宋体" w:cs="宋体" w:eastAsia="宋体" w:hint="default"/>
                <w:sz w:val="16"/>
                <w:szCs w:val="16"/>
              </w:rPr>
              <w:t>方政府招</w:t>
            </w:r>
            <w:r>
              <w:rPr>
                <w:rFonts w:ascii="宋体" w:hAnsi="宋体" w:cs="宋体" w:eastAsia="宋体" w:hint="default"/>
                <w:w w:val="100"/>
                <w:sz w:val="16"/>
                <w:szCs w:val="16"/>
              </w:rPr>
              <w:t> </w:t>
            </w:r>
            <w:r>
              <w:rPr>
                <w:rFonts w:ascii="宋体" w:hAnsi="宋体" w:cs="宋体" w:eastAsia="宋体" w:hint="default"/>
                <w:sz w:val="16"/>
                <w:szCs w:val="16"/>
              </w:rPr>
              <w:t>商引资等</w:t>
            </w:r>
            <w:r>
              <w:rPr>
                <w:rFonts w:ascii="宋体" w:hAnsi="宋体" w:cs="宋体" w:eastAsia="宋体" w:hint="default"/>
                <w:w w:val="100"/>
                <w:sz w:val="16"/>
                <w:szCs w:val="16"/>
              </w:rPr>
              <w:t> </w:t>
            </w:r>
            <w:r>
              <w:rPr>
                <w:rFonts w:ascii="宋体" w:hAnsi="宋体" w:cs="宋体" w:eastAsia="宋体" w:hint="default"/>
                <w:sz w:val="16"/>
                <w:szCs w:val="16"/>
              </w:rPr>
              <w:t>地方性扶</w:t>
            </w:r>
            <w:r>
              <w:rPr>
                <w:rFonts w:ascii="宋体" w:hAnsi="宋体" w:cs="宋体" w:eastAsia="宋体" w:hint="default"/>
                <w:w w:val="100"/>
                <w:sz w:val="16"/>
                <w:szCs w:val="16"/>
              </w:rPr>
              <w:t> </w:t>
            </w:r>
            <w:r>
              <w:rPr>
                <w:rFonts w:ascii="宋体" w:hAnsi="宋体" w:cs="宋体" w:eastAsia="宋体" w:hint="default"/>
                <w:sz w:val="16"/>
                <w:szCs w:val="16"/>
              </w:rPr>
              <w:t>持政策而</w:t>
            </w:r>
            <w:r>
              <w:rPr>
                <w:rFonts w:ascii="宋体" w:hAnsi="宋体" w:cs="宋体" w:eastAsia="宋体" w:hint="default"/>
                <w:w w:val="100"/>
                <w:sz w:val="16"/>
                <w:szCs w:val="16"/>
              </w:rPr>
              <w:t> </w:t>
            </w:r>
            <w:r>
              <w:rPr>
                <w:rFonts w:ascii="宋体" w:hAnsi="宋体" w:cs="宋体" w:eastAsia="宋体" w:hint="default"/>
                <w:sz w:val="16"/>
                <w:szCs w:val="16"/>
              </w:rPr>
              <w:t>获得的补</w:t>
            </w:r>
            <w:r>
              <w:rPr>
                <w:rFonts w:ascii="宋体" w:hAnsi="宋体" w:cs="宋体" w:eastAsia="宋体" w:hint="default"/>
                <w:w w:val="100"/>
                <w:sz w:val="16"/>
                <w:szCs w:val="16"/>
              </w:rPr>
              <w:t> </w:t>
            </w:r>
            <w:r>
              <w:rPr>
                <w:rFonts w:ascii="宋体" w:hAnsi="宋体" w:cs="宋体" w:eastAsia="宋体" w:hint="default"/>
                <w:sz w:val="16"/>
                <w:szCs w:val="16"/>
              </w:rPr>
              <w:t>助</w:t>
            </w:r>
          </w:p>
        </w:tc>
        <w:tc>
          <w:tcPr>
            <w:tcW w:w="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183" w:lineRule="exact" w:before="122"/>
              <w:ind w:right="100"/>
              <w:jc w:val="right"/>
              <w:rPr>
                <w:rFonts w:ascii="Times New Roman" w:hAnsi="Times New Roman" w:cs="Times New Roman" w:eastAsia="Times New Roman" w:hint="default"/>
                <w:sz w:val="16"/>
                <w:szCs w:val="16"/>
              </w:rPr>
            </w:pPr>
            <w:r>
              <w:rPr>
                <w:rFonts w:ascii="Times New Roman"/>
                <w:spacing w:val="-1"/>
                <w:sz w:val="16"/>
              </w:rPr>
              <w:t>236,700.</w:t>
            </w:r>
          </w:p>
          <w:p>
            <w:pPr>
              <w:pStyle w:val="TableParagraph"/>
              <w:spacing w:line="183" w:lineRule="exact"/>
              <w:ind w:right="98"/>
              <w:jc w:val="right"/>
              <w:rPr>
                <w:rFonts w:ascii="Times New Roman" w:hAnsi="Times New Roman" w:cs="Times New Roman" w:eastAsia="Times New Roman" w:hint="default"/>
                <w:sz w:val="16"/>
                <w:szCs w:val="16"/>
              </w:rPr>
            </w:pPr>
            <w:r>
              <w:rPr>
                <w:rFonts w:ascii="Times New Roman"/>
                <w:sz w:val="16"/>
              </w:rPr>
              <w:t>00</w:t>
            </w:r>
          </w:p>
        </w:tc>
        <w:tc>
          <w:tcPr>
            <w:tcW w:w="78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06" w:lineRule="exact"/>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12" w:hRule="exact"/>
        </w:trPr>
        <w:tc>
          <w:tcPr>
            <w:tcW w:w="999" w:type="dxa"/>
            <w:tcBorders>
              <w:top w:val="single" w:sz="4" w:space="0" w:color="000000"/>
              <w:left w:val="nil" w:sz="6" w:space="0" w:color="auto"/>
              <w:bottom w:val="nil" w:sz="6" w:space="0" w:color="auto"/>
              <w:right w:val="single" w:sz="4" w:space="0" w:color="000000"/>
            </w:tcBorders>
          </w:tcPr>
          <w:p>
            <w:pPr/>
          </w:p>
        </w:tc>
        <w:tc>
          <w:tcPr>
            <w:tcW w:w="1738" w:type="dxa"/>
            <w:tcBorders>
              <w:top w:val="single" w:sz="4" w:space="0" w:color="000000"/>
              <w:left w:val="single" w:sz="4" w:space="0" w:color="000000"/>
              <w:bottom w:val="nil" w:sz="6" w:space="0" w:color="auto"/>
              <w:right w:val="single" w:sz="4" w:space="0" w:color="000000"/>
            </w:tcBorders>
          </w:tcPr>
          <w:p>
            <w:pPr>
              <w:pStyle w:val="TableParagraph"/>
              <w:spacing w:line="184" w:lineRule="exact"/>
              <w:ind w:left="103" w:right="0"/>
              <w:jc w:val="left"/>
              <w:rPr>
                <w:rFonts w:ascii="宋体" w:hAnsi="宋体" w:cs="宋体" w:eastAsia="宋体" w:hint="default"/>
                <w:sz w:val="16"/>
                <w:szCs w:val="16"/>
              </w:rPr>
            </w:pPr>
            <w:r>
              <w:rPr>
                <w:rFonts w:ascii="宋体" w:hAnsi="宋体" w:cs="宋体" w:eastAsia="宋体" w:hint="default"/>
                <w:sz w:val="16"/>
                <w:szCs w:val="16"/>
              </w:rPr>
              <w:t>浙江省人力资源和</w:t>
            </w:r>
            <w:r>
              <w:rPr>
                <w:rFonts w:ascii="宋体" w:hAnsi="宋体" w:cs="宋体" w:eastAsia="宋体" w:hint="default"/>
                <w:spacing w:val="-6"/>
                <w:sz w:val="16"/>
                <w:szCs w:val="16"/>
              </w:rPr>
              <w:t> </w:t>
            </w:r>
            <w:r>
              <w:rPr>
                <w:rFonts w:ascii="宋体" w:hAnsi="宋体" w:cs="宋体" w:eastAsia="宋体" w:hint="default"/>
                <w:sz w:val="16"/>
                <w:szCs w:val="16"/>
              </w:rPr>
              <w:t>社</w:t>
            </w:r>
          </w:p>
        </w:tc>
        <w:tc>
          <w:tcPr>
            <w:tcW w:w="591"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Style w:val="TableParagraph"/>
              <w:spacing w:line="184" w:lineRule="exact"/>
              <w:ind w:left="102" w:right="0"/>
              <w:jc w:val="left"/>
              <w:rPr>
                <w:rFonts w:ascii="宋体" w:hAnsi="宋体" w:cs="宋体" w:eastAsia="宋体" w:hint="default"/>
                <w:sz w:val="16"/>
                <w:szCs w:val="16"/>
              </w:rPr>
            </w:pPr>
            <w:r>
              <w:rPr>
                <w:rFonts w:ascii="宋体" w:hAnsi="宋体" w:cs="宋体" w:eastAsia="宋体" w:hint="default"/>
                <w:sz w:val="16"/>
                <w:szCs w:val="16"/>
              </w:rPr>
              <w:t>因符合地</w:t>
            </w:r>
          </w:p>
        </w:tc>
        <w:tc>
          <w:tcPr>
            <w:tcW w:w="741" w:type="dxa"/>
            <w:tcBorders>
              <w:top w:val="single" w:sz="4" w:space="0" w:color="000000"/>
              <w:left w:val="single" w:sz="4" w:space="0" w:color="000000"/>
              <w:bottom w:val="nil" w:sz="6" w:space="0" w:color="auto"/>
              <w:right w:val="single" w:sz="4" w:space="0" w:color="000000"/>
            </w:tcBorders>
          </w:tcPr>
          <w:p>
            <w:pPr/>
          </w:p>
        </w:tc>
        <w:tc>
          <w:tcPr>
            <w:tcW w:w="601" w:type="dxa"/>
            <w:tcBorders>
              <w:top w:val="single" w:sz="4" w:space="0" w:color="000000"/>
              <w:left w:val="single" w:sz="4" w:space="0" w:color="000000"/>
              <w:bottom w:val="nil" w:sz="6" w:space="0" w:color="auto"/>
              <w:right w:val="single" w:sz="4" w:space="0" w:color="000000"/>
            </w:tcBorders>
          </w:tcPr>
          <w:p>
            <w:pPr/>
          </w:p>
        </w:tc>
        <w:tc>
          <w:tcPr>
            <w:tcW w:w="1069" w:type="dxa"/>
            <w:vMerge w:val="restart"/>
            <w:tcBorders>
              <w:top w:val="single" w:sz="4" w:space="0" w:color="000000"/>
              <w:left w:val="single" w:sz="4" w:space="0" w:color="000000"/>
              <w:right w:val="single" w:sz="4" w:space="0" w:color="000000"/>
            </w:tcBorders>
          </w:tcPr>
          <w:p>
            <w:pPr/>
          </w:p>
        </w:tc>
        <w:tc>
          <w:tcPr>
            <w:tcW w:w="854"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nil" w:sz="6" w:space="0" w:color="auto"/>
            </w:tcBorders>
          </w:tcPr>
          <w:p>
            <w:pPr/>
          </w:p>
        </w:tc>
      </w:tr>
      <w:tr>
        <w:trPr>
          <w:trHeight w:val="206" w:hRule="exact"/>
        </w:trPr>
        <w:tc>
          <w:tcPr>
            <w:tcW w:w="999"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103" w:right="0"/>
              <w:jc w:val="left"/>
              <w:rPr>
                <w:rFonts w:ascii="宋体" w:hAnsi="宋体" w:cs="宋体" w:eastAsia="宋体" w:hint="default"/>
                <w:sz w:val="16"/>
                <w:szCs w:val="16"/>
              </w:rPr>
            </w:pPr>
            <w:r>
              <w:rPr>
                <w:rFonts w:ascii="宋体" w:hAnsi="宋体" w:cs="宋体" w:eastAsia="宋体" w:hint="default"/>
                <w:sz w:val="16"/>
                <w:szCs w:val="16"/>
              </w:rPr>
              <w:t>会保障厅办公室</w:t>
            </w:r>
            <w:r>
              <w:rPr>
                <w:rFonts w:ascii="宋体" w:hAnsi="宋体" w:cs="宋体" w:eastAsia="宋体" w:hint="default"/>
                <w:spacing w:val="-3"/>
                <w:sz w:val="16"/>
                <w:szCs w:val="16"/>
              </w:rPr>
              <w:t> </w:t>
            </w:r>
            <w:r>
              <w:rPr>
                <w:rFonts w:ascii="宋体" w:hAnsi="宋体" w:cs="宋体" w:eastAsia="宋体" w:hint="default"/>
                <w:sz w:val="16"/>
                <w:szCs w:val="16"/>
              </w:rPr>
              <w:t>关于</w:t>
            </w:r>
          </w:p>
        </w:tc>
        <w:tc>
          <w:tcPr>
            <w:tcW w:w="591"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102" w:right="0"/>
              <w:jc w:val="left"/>
              <w:rPr>
                <w:rFonts w:ascii="宋体" w:hAnsi="宋体" w:cs="宋体" w:eastAsia="宋体" w:hint="default"/>
                <w:sz w:val="16"/>
                <w:szCs w:val="16"/>
              </w:rPr>
            </w:pPr>
            <w:r>
              <w:rPr>
                <w:rFonts w:ascii="宋体" w:hAnsi="宋体" w:cs="宋体" w:eastAsia="宋体" w:hint="default"/>
                <w:sz w:val="16"/>
                <w:szCs w:val="16"/>
              </w:rPr>
              <w:t>方政府招</w:t>
            </w:r>
          </w:p>
        </w:tc>
        <w:tc>
          <w:tcPr>
            <w:tcW w:w="741" w:type="dxa"/>
            <w:tcBorders>
              <w:top w:val="nil" w:sz="6" w:space="0" w:color="auto"/>
              <w:left w:val="single" w:sz="4" w:space="0" w:color="000000"/>
              <w:bottom w:val="nil" w:sz="6" w:space="0" w:color="auto"/>
              <w:right w:val="single" w:sz="4" w:space="0" w:color="000000"/>
            </w:tcBorders>
          </w:tcPr>
          <w:p>
            <w:pPr/>
          </w:p>
        </w:tc>
        <w:tc>
          <w:tcPr>
            <w:tcW w:w="601" w:type="dxa"/>
            <w:tcBorders>
              <w:top w:val="nil" w:sz="6" w:space="0" w:color="auto"/>
              <w:left w:val="single" w:sz="4" w:space="0" w:color="000000"/>
              <w:bottom w:val="nil" w:sz="6" w:space="0" w:color="auto"/>
              <w:right w:val="single" w:sz="4" w:space="0" w:color="000000"/>
            </w:tcBorders>
          </w:tcPr>
          <w:p>
            <w:pP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nil" w:sz="6" w:space="0" w:color="auto"/>
            </w:tcBorders>
          </w:tcPr>
          <w:p>
            <w:pPr/>
          </w:p>
        </w:tc>
      </w:tr>
      <w:tr>
        <w:trPr>
          <w:trHeight w:val="623" w:hRule="exact"/>
        </w:trPr>
        <w:tc>
          <w:tcPr>
            <w:tcW w:w="999" w:type="dxa"/>
            <w:tcBorders>
              <w:top w:val="nil" w:sz="6" w:space="0" w:color="auto"/>
              <w:left w:val="nil" w:sz="6" w:space="0" w:color="auto"/>
              <w:bottom w:val="nil" w:sz="6" w:space="0" w:color="auto"/>
              <w:right w:val="single" w:sz="4" w:space="0" w:color="000000"/>
            </w:tcBorders>
          </w:tcPr>
          <w:p>
            <w:pPr>
              <w:pStyle w:val="TableParagraph"/>
              <w:spacing w:line="182" w:lineRule="exact"/>
              <w:ind w:left="106" w:right="0"/>
              <w:jc w:val="left"/>
              <w:rPr>
                <w:rFonts w:ascii="宋体" w:hAnsi="宋体" w:cs="宋体" w:eastAsia="宋体" w:hint="default"/>
                <w:sz w:val="16"/>
                <w:szCs w:val="16"/>
              </w:rPr>
            </w:pPr>
            <w:r>
              <w:rPr>
                <w:rFonts w:ascii="宋体" w:hAnsi="宋体" w:cs="宋体" w:eastAsia="宋体" w:hint="default"/>
                <w:sz w:val="16"/>
                <w:szCs w:val="16"/>
              </w:rPr>
              <w:t>浙江万人</w:t>
            </w:r>
          </w:p>
          <w:p>
            <w:pPr>
              <w:pStyle w:val="TableParagraph"/>
              <w:spacing w:line="240" w:lineRule="auto"/>
              <w:ind w:left="106" w:right="244"/>
              <w:jc w:val="left"/>
              <w:rPr>
                <w:rFonts w:ascii="宋体" w:hAnsi="宋体" w:cs="宋体" w:eastAsia="宋体" w:hint="default"/>
                <w:sz w:val="16"/>
                <w:szCs w:val="16"/>
              </w:rPr>
            </w:pPr>
            <w:r>
              <w:rPr>
                <w:rFonts w:ascii="宋体" w:hAnsi="宋体" w:cs="宋体" w:eastAsia="宋体" w:hint="default"/>
                <w:sz w:val="16"/>
                <w:szCs w:val="16"/>
              </w:rPr>
              <w:t>计划高技</w:t>
            </w:r>
            <w:r>
              <w:rPr>
                <w:rFonts w:ascii="宋体" w:hAnsi="宋体" w:cs="宋体" w:eastAsia="宋体" w:hint="default"/>
                <w:w w:val="100"/>
                <w:sz w:val="16"/>
                <w:szCs w:val="16"/>
              </w:rPr>
              <w:t> </w:t>
            </w:r>
            <w:r>
              <w:rPr>
                <w:rFonts w:ascii="宋体" w:hAnsi="宋体" w:cs="宋体" w:eastAsia="宋体" w:hint="default"/>
                <w:sz w:val="16"/>
                <w:szCs w:val="16"/>
              </w:rPr>
              <w:t>能经费</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103" w:right="0"/>
              <w:jc w:val="left"/>
              <w:rPr>
                <w:rFonts w:ascii="宋体" w:hAnsi="宋体" w:cs="宋体" w:eastAsia="宋体" w:hint="default"/>
                <w:sz w:val="16"/>
                <w:szCs w:val="16"/>
              </w:rPr>
            </w:pPr>
            <w:r>
              <w:rPr>
                <w:rFonts w:ascii="宋体" w:hAnsi="宋体" w:cs="宋体" w:eastAsia="宋体" w:hint="default"/>
                <w:sz w:val="16"/>
                <w:szCs w:val="16"/>
              </w:rPr>
              <w:t>《做好浙江“万</w:t>
            </w:r>
            <w:r>
              <w:rPr>
                <w:rFonts w:ascii="宋体" w:hAnsi="宋体" w:cs="宋体" w:eastAsia="宋体" w:hint="default"/>
                <w:spacing w:val="-3"/>
                <w:sz w:val="16"/>
                <w:szCs w:val="16"/>
              </w:rPr>
              <w:t> </w:t>
            </w:r>
            <w:r>
              <w:rPr>
                <w:rFonts w:ascii="宋体" w:hAnsi="宋体" w:cs="宋体" w:eastAsia="宋体" w:hint="default"/>
                <w:sz w:val="16"/>
                <w:szCs w:val="16"/>
              </w:rPr>
              <w:t>人计</w:t>
            </w:r>
          </w:p>
          <w:p>
            <w:pPr>
              <w:pStyle w:val="TableParagraph"/>
              <w:spacing w:line="206" w:lineRule="exact" w:before="21"/>
              <w:ind w:left="103" w:right="100"/>
              <w:jc w:val="left"/>
              <w:rPr>
                <w:rFonts w:ascii="宋体" w:hAnsi="宋体" w:cs="宋体" w:eastAsia="宋体" w:hint="default"/>
                <w:sz w:val="16"/>
                <w:szCs w:val="16"/>
              </w:rPr>
            </w:pPr>
            <w:r>
              <w:rPr>
                <w:rFonts w:ascii="宋体" w:hAnsi="宋体" w:cs="宋体" w:eastAsia="宋体" w:hint="default"/>
                <w:sz w:val="16"/>
                <w:szCs w:val="16"/>
              </w:rPr>
              <w:t>划”高技能领军</w:t>
            </w:r>
            <w:r>
              <w:rPr>
                <w:rFonts w:ascii="宋体" w:hAnsi="宋体" w:cs="宋体" w:eastAsia="宋体" w:hint="default"/>
                <w:spacing w:val="-3"/>
                <w:sz w:val="16"/>
                <w:szCs w:val="16"/>
              </w:rPr>
              <w:t> </w:t>
            </w:r>
            <w:r>
              <w:rPr>
                <w:rFonts w:ascii="宋体" w:hAnsi="宋体" w:cs="宋体" w:eastAsia="宋体" w:hint="default"/>
                <w:sz w:val="16"/>
                <w:szCs w:val="16"/>
              </w:rPr>
              <w:t>人才</w:t>
            </w:r>
            <w:r>
              <w:rPr>
                <w:rFonts w:ascii="宋体" w:hAnsi="宋体" w:cs="宋体" w:eastAsia="宋体" w:hint="default"/>
                <w:w w:val="100"/>
                <w:sz w:val="16"/>
                <w:szCs w:val="16"/>
              </w:rPr>
              <w:t> </w:t>
            </w:r>
            <w:r>
              <w:rPr>
                <w:rFonts w:ascii="宋体" w:hAnsi="宋体" w:cs="宋体" w:eastAsia="宋体" w:hint="default"/>
                <w:sz w:val="16"/>
                <w:szCs w:val="16"/>
              </w:rPr>
              <w:t>培养支持工作</w:t>
            </w:r>
            <w:r>
              <w:rPr>
                <w:rFonts w:ascii="宋体" w:hAnsi="宋体" w:cs="宋体" w:eastAsia="宋体" w:hint="default"/>
                <w:spacing w:val="-5"/>
                <w:sz w:val="16"/>
                <w:szCs w:val="16"/>
              </w:rPr>
              <w:t> </w:t>
            </w:r>
            <w:r>
              <w:rPr>
                <w:rFonts w:ascii="宋体" w:hAnsi="宋体" w:cs="宋体" w:eastAsia="宋体" w:hint="default"/>
                <w:sz w:val="16"/>
                <w:szCs w:val="16"/>
              </w:rPr>
              <w:t>的通知</w:t>
            </w:r>
          </w:p>
        </w:tc>
        <w:tc>
          <w:tcPr>
            <w:tcW w:w="59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102" w:right="0"/>
              <w:jc w:val="left"/>
              <w:rPr>
                <w:rFonts w:ascii="宋体" w:hAnsi="宋体" w:cs="宋体" w:eastAsia="宋体" w:hint="default"/>
                <w:sz w:val="16"/>
                <w:szCs w:val="16"/>
              </w:rPr>
            </w:pPr>
            <w:r>
              <w:rPr>
                <w:rFonts w:ascii="宋体" w:hAnsi="宋体" w:cs="宋体" w:eastAsia="宋体" w:hint="default"/>
                <w:sz w:val="16"/>
                <w:szCs w:val="16"/>
              </w:rPr>
              <w:t>商引资等</w:t>
            </w:r>
          </w:p>
          <w:p>
            <w:pPr>
              <w:pStyle w:val="TableParagraph"/>
              <w:spacing w:line="206" w:lineRule="exact" w:before="21"/>
              <w:ind w:left="102" w:right="163"/>
              <w:jc w:val="left"/>
              <w:rPr>
                <w:rFonts w:ascii="宋体" w:hAnsi="宋体" w:cs="宋体" w:eastAsia="宋体" w:hint="default"/>
                <w:sz w:val="16"/>
                <w:szCs w:val="16"/>
              </w:rPr>
            </w:pPr>
            <w:r>
              <w:rPr>
                <w:rFonts w:ascii="宋体" w:hAnsi="宋体" w:cs="宋体" w:eastAsia="宋体" w:hint="default"/>
                <w:sz w:val="16"/>
                <w:szCs w:val="16"/>
              </w:rPr>
              <w:t>地方性扶</w:t>
            </w:r>
            <w:r>
              <w:rPr>
                <w:rFonts w:ascii="宋体" w:hAnsi="宋体" w:cs="宋体" w:eastAsia="宋体" w:hint="default"/>
                <w:w w:val="100"/>
                <w:sz w:val="16"/>
                <w:szCs w:val="16"/>
              </w:rPr>
              <w:t> </w:t>
            </w:r>
            <w:r>
              <w:rPr>
                <w:rFonts w:ascii="宋体" w:hAnsi="宋体" w:cs="宋体" w:eastAsia="宋体" w:hint="default"/>
                <w:sz w:val="16"/>
                <w:szCs w:val="16"/>
              </w:rPr>
              <w:t>持政策而</w:t>
            </w:r>
          </w:p>
        </w:tc>
        <w:tc>
          <w:tcPr>
            <w:tcW w:w="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16"/>
                <w:szCs w:val="16"/>
              </w:rPr>
            </w:pPr>
            <w:r>
              <w:rPr>
                <w:rFonts w:ascii="Times New Roman"/>
                <w:spacing w:val="-1"/>
                <w:sz w:val="16"/>
              </w:rPr>
              <w:t>100,000.</w:t>
            </w:r>
          </w:p>
          <w:p>
            <w:pPr>
              <w:pStyle w:val="TableParagraph"/>
              <w:spacing w:line="240" w:lineRule="auto" w:before="1"/>
              <w:ind w:right="98"/>
              <w:jc w:val="right"/>
              <w:rPr>
                <w:rFonts w:ascii="Times New Roman" w:hAnsi="Times New Roman" w:cs="Times New Roman" w:eastAsia="Times New Roman" w:hint="default"/>
                <w:sz w:val="16"/>
                <w:szCs w:val="16"/>
              </w:rPr>
            </w:pPr>
            <w:r>
              <w:rPr>
                <w:rFonts w:ascii="Times New Roman"/>
                <w:sz w:val="16"/>
              </w:rPr>
              <w:t>00</w:t>
            </w:r>
          </w:p>
        </w:tc>
        <w:tc>
          <w:tcPr>
            <w:tcW w:w="788"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12" w:hRule="exact"/>
        </w:trPr>
        <w:tc>
          <w:tcPr>
            <w:tcW w:w="999" w:type="dxa"/>
            <w:tcBorders>
              <w:top w:val="nil" w:sz="6" w:space="0" w:color="auto"/>
              <w:left w:val="nil" w:sz="6" w:space="0" w:color="auto"/>
              <w:bottom w:val="nil" w:sz="6" w:space="0" w:color="auto"/>
              <w:right w:val="single" w:sz="4" w:space="0" w:color="000000"/>
            </w:tcBorders>
          </w:tcPr>
          <w:p>
            <w:pP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03" w:right="0"/>
              <w:jc w:val="left"/>
              <w:rPr>
                <w:rFonts w:ascii="宋体" w:hAnsi="宋体" w:cs="宋体" w:eastAsia="宋体" w:hint="default"/>
                <w:sz w:val="16"/>
                <w:szCs w:val="16"/>
              </w:rPr>
            </w:pPr>
            <w:r>
              <w:rPr>
                <w:rFonts w:ascii="宋体" w:hAnsi="宋体" w:cs="宋体" w:eastAsia="宋体" w:hint="default"/>
                <w:sz w:val="16"/>
                <w:szCs w:val="16"/>
              </w:rPr>
              <w:t>浙人社办发》〔</w:t>
            </w:r>
            <w:r>
              <w:rPr>
                <w:rFonts w:ascii="Times New Roman" w:hAnsi="Times New Roman" w:cs="Times New Roman" w:eastAsia="Times New Roman" w:hint="default"/>
                <w:sz w:val="16"/>
                <w:szCs w:val="16"/>
              </w:rPr>
              <w:t>2018</w:t>
            </w:r>
            <w:r>
              <w:rPr>
                <w:rFonts w:ascii="宋体" w:hAnsi="宋体" w:cs="宋体" w:eastAsia="宋体" w:hint="default"/>
                <w:sz w:val="16"/>
                <w:szCs w:val="16"/>
              </w:rPr>
              <w:t>〕</w:t>
            </w:r>
          </w:p>
        </w:tc>
        <w:tc>
          <w:tcPr>
            <w:tcW w:w="591"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02" w:right="0"/>
              <w:jc w:val="left"/>
              <w:rPr>
                <w:rFonts w:ascii="宋体" w:hAnsi="宋体" w:cs="宋体" w:eastAsia="宋体" w:hint="default"/>
                <w:sz w:val="16"/>
                <w:szCs w:val="16"/>
              </w:rPr>
            </w:pPr>
            <w:r>
              <w:rPr>
                <w:rFonts w:ascii="宋体" w:hAnsi="宋体" w:cs="宋体" w:eastAsia="宋体" w:hint="default"/>
                <w:sz w:val="16"/>
                <w:szCs w:val="16"/>
              </w:rPr>
              <w:t>获得的补</w:t>
            </w:r>
          </w:p>
        </w:tc>
        <w:tc>
          <w:tcPr>
            <w:tcW w:w="741" w:type="dxa"/>
            <w:tcBorders>
              <w:top w:val="nil" w:sz="6" w:space="0" w:color="auto"/>
              <w:left w:val="single" w:sz="4" w:space="0" w:color="000000"/>
              <w:bottom w:val="nil" w:sz="6" w:space="0" w:color="auto"/>
              <w:right w:val="single" w:sz="4" w:space="0" w:color="000000"/>
            </w:tcBorders>
          </w:tcPr>
          <w:p>
            <w:pPr/>
          </w:p>
        </w:tc>
        <w:tc>
          <w:tcPr>
            <w:tcW w:w="601" w:type="dxa"/>
            <w:tcBorders>
              <w:top w:val="nil" w:sz="6" w:space="0" w:color="auto"/>
              <w:left w:val="single" w:sz="4" w:space="0" w:color="000000"/>
              <w:bottom w:val="nil" w:sz="6" w:space="0" w:color="auto"/>
              <w:right w:val="single" w:sz="4" w:space="0" w:color="000000"/>
            </w:tcBorders>
          </w:tcPr>
          <w:p>
            <w:pP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nil" w:sz="6" w:space="0" w:color="auto"/>
            </w:tcBorders>
          </w:tcPr>
          <w:p>
            <w:pPr/>
          </w:p>
        </w:tc>
      </w:tr>
      <w:tr>
        <w:trPr>
          <w:trHeight w:val="209" w:hRule="exact"/>
        </w:trPr>
        <w:tc>
          <w:tcPr>
            <w:tcW w:w="999" w:type="dxa"/>
            <w:tcBorders>
              <w:top w:val="nil" w:sz="6" w:space="0" w:color="auto"/>
              <w:left w:val="nil" w:sz="6" w:space="0" w:color="auto"/>
              <w:bottom w:val="single" w:sz="4" w:space="0" w:color="000000"/>
              <w:right w:val="single" w:sz="4" w:space="0" w:color="000000"/>
            </w:tcBorders>
          </w:tcPr>
          <w:p>
            <w:pPr/>
          </w:p>
        </w:tc>
        <w:tc>
          <w:tcPr>
            <w:tcW w:w="1738" w:type="dxa"/>
            <w:tcBorders>
              <w:top w:val="nil" w:sz="6" w:space="0" w:color="auto"/>
              <w:left w:val="single" w:sz="4" w:space="0" w:color="000000"/>
              <w:bottom w:val="single" w:sz="4" w:space="0" w:color="000000"/>
              <w:right w:val="single" w:sz="4" w:space="0" w:color="000000"/>
            </w:tcBorders>
          </w:tcPr>
          <w:p>
            <w:pPr>
              <w:pStyle w:val="TableParagraph"/>
              <w:spacing w:line="191" w:lineRule="exact"/>
              <w:ind w:left="103"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77  </w:t>
            </w:r>
            <w:r>
              <w:rPr>
                <w:rFonts w:ascii="宋体" w:hAnsi="宋体" w:cs="宋体" w:eastAsia="宋体" w:hint="default"/>
                <w:sz w:val="16"/>
                <w:szCs w:val="16"/>
              </w:rPr>
              <w:t>号</w:t>
            </w:r>
          </w:p>
        </w:tc>
        <w:tc>
          <w:tcPr>
            <w:tcW w:w="591"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Style w:val="TableParagraph"/>
              <w:spacing w:line="179" w:lineRule="exact"/>
              <w:ind w:left="102" w:right="0"/>
              <w:jc w:val="left"/>
              <w:rPr>
                <w:rFonts w:ascii="宋体" w:hAnsi="宋体" w:cs="宋体" w:eastAsia="宋体" w:hint="default"/>
                <w:sz w:val="16"/>
                <w:szCs w:val="16"/>
              </w:rPr>
            </w:pPr>
            <w:r>
              <w:rPr>
                <w:rFonts w:ascii="宋体" w:hAnsi="宋体" w:cs="宋体" w:eastAsia="宋体" w:hint="default"/>
                <w:w w:val="100"/>
                <w:sz w:val="16"/>
                <w:szCs w:val="16"/>
              </w:rPr>
              <w:t>助</w:t>
            </w:r>
          </w:p>
        </w:tc>
        <w:tc>
          <w:tcPr>
            <w:tcW w:w="741" w:type="dxa"/>
            <w:tcBorders>
              <w:top w:val="nil" w:sz="6" w:space="0" w:color="auto"/>
              <w:left w:val="single" w:sz="4" w:space="0" w:color="000000"/>
              <w:bottom w:val="single" w:sz="4" w:space="0" w:color="000000"/>
              <w:right w:val="single" w:sz="4" w:space="0" w:color="000000"/>
            </w:tcBorders>
          </w:tcPr>
          <w:p>
            <w:pPr/>
          </w:p>
        </w:tc>
        <w:tc>
          <w:tcPr>
            <w:tcW w:w="601" w:type="dxa"/>
            <w:tcBorders>
              <w:top w:val="nil" w:sz="6" w:space="0" w:color="auto"/>
              <w:left w:val="single" w:sz="4" w:space="0" w:color="000000"/>
              <w:bottom w:val="single" w:sz="4" w:space="0" w:color="000000"/>
              <w:right w:val="single" w:sz="4" w:space="0" w:color="000000"/>
            </w:tcBorders>
          </w:tcPr>
          <w:p>
            <w:pPr/>
          </w:p>
        </w:tc>
        <w:tc>
          <w:tcPr>
            <w:tcW w:w="1069" w:type="dxa"/>
            <w:vMerge/>
            <w:tcBorders>
              <w:left w:val="single" w:sz="4" w:space="0" w:color="000000"/>
              <w:bottom w:val="single" w:sz="4" w:space="0" w:color="000000"/>
              <w:right w:val="single" w:sz="4" w:space="0" w:color="000000"/>
            </w:tcBorders>
          </w:tcPr>
          <w:p>
            <w:pPr/>
          </w:p>
        </w:tc>
        <w:tc>
          <w:tcPr>
            <w:tcW w:w="854"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nil" w:sz="6" w:space="0" w:color="auto"/>
            </w:tcBorders>
          </w:tcPr>
          <w:p>
            <w:pPr/>
          </w:p>
        </w:tc>
      </w:tr>
      <w:tr>
        <w:trPr>
          <w:trHeight w:val="1067" w:hRule="exact"/>
        </w:trPr>
        <w:tc>
          <w:tcPr>
            <w:tcW w:w="999" w:type="dxa"/>
            <w:tcBorders>
              <w:top w:val="single" w:sz="4" w:space="0" w:color="000000"/>
              <w:left w:val="nil" w:sz="6" w:space="0" w:color="auto"/>
              <w:bottom w:val="single" w:sz="4" w:space="0" w:color="000000"/>
              <w:right w:val="single" w:sz="4" w:space="0" w:color="000000"/>
            </w:tcBorders>
          </w:tcPr>
          <w:p>
            <w:pPr>
              <w:pStyle w:val="TableParagraph"/>
              <w:spacing w:line="232" w:lineRule="auto" w:before="92"/>
              <w:ind w:left="106" w:right="203"/>
              <w:jc w:val="both"/>
              <w:rPr>
                <w:rFonts w:ascii="宋体" w:hAnsi="宋体" w:cs="宋体" w:eastAsia="宋体" w:hint="default"/>
                <w:sz w:val="16"/>
                <w:szCs w:val="16"/>
              </w:rPr>
            </w:pP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年第</w:t>
            </w:r>
            <w:r>
              <w:rPr>
                <w:rFonts w:ascii="宋体" w:hAnsi="宋体" w:cs="宋体" w:eastAsia="宋体" w:hint="default"/>
                <w:w w:val="100"/>
                <w:sz w:val="16"/>
                <w:szCs w:val="16"/>
              </w:rPr>
              <w:t> </w:t>
            </w:r>
            <w:r>
              <w:rPr>
                <w:rFonts w:ascii="宋体" w:hAnsi="宋体" w:cs="宋体" w:eastAsia="宋体" w:hint="default"/>
                <w:sz w:val="16"/>
                <w:szCs w:val="16"/>
              </w:rPr>
              <w:t>一批临安</w:t>
            </w:r>
            <w:r>
              <w:rPr>
                <w:rFonts w:ascii="宋体" w:hAnsi="宋体" w:cs="宋体" w:eastAsia="宋体" w:hint="default"/>
                <w:w w:val="100"/>
                <w:sz w:val="16"/>
                <w:szCs w:val="16"/>
              </w:rPr>
              <w:t> </w:t>
            </w:r>
            <w:r>
              <w:rPr>
                <w:rFonts w:ascii="宋体" w:hAnsi="宋体" w:cs="宋体" w:eastAsia="宋体" w:hint="default"/>
                <w:sz w:val="16"/>
                <w:szCs w:val="16"/>
              </w:rPr>
              <w:t>区科技创</w:t>
            </w:r>
            <w:r>
              <w:rPr>
                <w:rFonts w:ascii="宋体" w:hAnsi="宋体" w:cs="宋体" w:eastAsia="宋体" w:hint="default"/>
                <w:w w:val="100"/>
                <w:sz w:val="16"/>
                <w:szCs w:val="16"/>
              </w:rPr>
              <w:t> </w:t>
            </w:r>
            <w:r>
              <w:rPr>
                <w:rFonts w:ascii="宋体" w:hAnsi="宋体" w:cs="宋体" w:eastAsia="宋体" w:hint="default"/>
                <w:sz w:val="16"/>
                <w:szCs w:val="16"/>
              </w:rPr>
              <w:t>新券经费</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92"/>
              <w:ind w:left="103" w:right="98"/>
              <w:jc w:val="both"/>
              <w:rPr>
                <w:rFonts w:ascii="宋体" w:hAnsi="宋体" w:cs="宋体" w:eastAsia="宋体" w:hint="default"/>
                <w:sz w:val="16"/>
                <w:szCs w:val="16"/>
              </w:rPr>
            </w:pPr>
            <w:r>
              <w:rPr>
                <w:rFonts w:ascii="宋体" w:hAnsi="宋体" w:cs="宋体" w:eastAsia="宋体" w:hint="default"/>
                <w:sz w:val="16"/>
                <w:szCs w:val="16"/>
              </w:rPr>
              <w:t>临安区科学技术局</w:t>
            </w:r>
            <w:r>
              <w:rPr>
                <w:rFonts w:ascii="宋体" w:hAnsi="宋体" w:cs="宋体" w:eastAsia="宋体" w:hint="default"/>
                <w:spacing w:val="-6"/>
                <w:sz w:val="16"/>
                <w:szCs w:val="16"/>
              </w:rPr>
              <w:t> </w:t>
            </w:r>
            <w:r>
              <w:rPr>
                <w:rFonts w:ascii="宋体" w:hAnsi="宋体" w:cs="宋体" w:eastAsia="宋体" w:hint="default"/>
                <w:sz w:val="16"/>
                <w:szCs w:val="16"/>
              </w:rPr>
              <w:t>关</w:t>
            </w:r>
            <w:r>
              <w:rPr>
                <w:rFonts w:ascii="宋体" w:hAnsi="宋体" w:cs="宋体" w:eastAsia="宋体" w:hint="default"/>
                <w:w w:val="100"/>
                <w:sz w:val="16"/>
                <w:szCs w:val="16"/>
              </w:rPr>
              <w:t> </w:t>
            </w:r>
            <w:r>
              <w:rPr>
                <w:rFonts w:ascii="宋体" w:hAnsi="宋体" w:cs="宋体" w:eastAsia="宋体" w:hint="default"/>
                <w:spacing w:val="-14"/>
                <w:w w:val="100"/>
                <w:sz w:val="16"/>
                <w:szCs w:val="16"/>
              </w:rPr>
              <w:t>于《</w:t>
            </w:r>
            <w:r>
              <w:rPr>
                <w:rFonts w:ascii="Times New Roman" w:hAnsi="Times New Roman" w:cs="Times New Roman" w:eastAsia="Times New Roman" w:hint="default"/>
                <w:spacing w:val="-14"/>
                <w:w w:val="100"/>
                <w:sz w:val="16"/>
                <w:szCs w:val="16"/>
              </w:rPr>
              <w:t>2018</w:t>
            </w:r>
            <w:r>
              <w:rPr>
                <w:rFonts w:ascii="Times New Roman" w:hAnsi="Times New Roman" w:cs="Times New Roman" w:eastAsia="Times New Roman" w:hint="default"/>
                <w:w w:val="100"/>
                <w:sz w:val="16"/>
                <w:szCs w:val="16"/>
              </w:rPr>
              <w:t> </w:t>
            </w:r>
            <w:r>
              <w:rPr>
                <w:rFonts w:ascii="宋体" w:hAnsi="宋体" w:cs="宋体" w:eastAsia="宋体" w:hint="default"/>
                <w:spacing w:val="-2"/>
                <w:w w:val="100"/>
                <w:sz w:val="16"/>
                <w:szCs w:val="16"/>
              </w:rPr>
              <w:t>年第一</w:t>
            </w:r>
            <w:r>
              <w:rPr>
                <w:rFonts w:ascii="宋体" w:hAnsi="宋体" w:cs="宋体" w:eastAsia="宋体" w:hint="default"/>
                <w:spacing w:val="-1"/>
                <w:w w:val="100"/>
                <w:sz w:val="16"/>
                <w:szCs w:val="16"/>
              </w:rPr>
              <w:t> 批临</w:t>
            </w:r>
            <w:r>
              <w:rPr>
                <w:rFonts w:ascii="宋体" w:hAnsi="宋体" w:cs="宋体" w:eastAsia="宋体" w:hint="default"/>
                <w:w w:val="100"/>
                <w:sz w:val="16"/>
                <w:szCs w:val="16"/>
              </w:rPr>
              <w:t> </w:t>
            </w:r>
            <w:r>
              <w:rPr>
                <w:rFonts w:ascii="宋体" w:hAnsi="宋体" w:cs="宋体" w:eastAsia="宋体" w:hint="default"/>
                <w:sz w:val="16"/>
                <w:szCs w:val="16"/>
              </w:rPr>
              <w:t>安区科技创新</w:t>
            </w:r>
            <w:r>
              <w:rPr>
                <w:rFonts w:ascii="宋体" w:hAnsi="宋体" w:cs="宋体" w:eastAsia="宋体" w:hint="default"/>
                <w:spacing w:val="-5"/>
                <w:sz w:val="16"/>
                <w:szCs w:val="16"/>
              </w:rPr>
              <w:t> </w:t>
            </w:r>
            <w:r>
              <w:rPr>
                <w:rFonts w:ascii="宋体" w:hAnsi="宋体" w:cs="宋体" w:eastAsia="宋体" w:hint="default"/>
                <w:sz w:val="16"/>
                <w:szCs w:val="16"/>
              </w:rPr>
              <w:t>券经费</w:t>
            </w:r>
            <w:r>
              <w:rPr>
                <w:rFonts w:ascii="宋体" w:hAnsi="宋体" w:cs="宋体" w:eastAsia="宋体" w:hint="default"/>
                <w:w w:val="100"/>
                <w:sz w:val="16"/>
                <w:szCs w:val="16"/>
              </w:rPr>
              <w:t> </w:t>
            </w:r>
            <w:r>
              <w:rPr>
                <w:rFonts w:ascii="宋体" w:hAnsi="宋体" w:cs="宋体" w:eastAsia="宋体" w:hint="default"/>
                <w:sz w:val="16"/>
                <w:szCs w:val="16"/>
              </w:rPr>
              <w:t>安排表》</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before="5"/>
              <w:ind w:left="102" w:right="163"/>
              <w:jc w:val="left"/>
              <w:rPr>
                <w:rFonts w:ascii="宋体" w:hAnsi="宋体" w:cs="宋体" w:eastAsia="宋体" w:hint="default"/>
                <w:sz w:val="16"/>
                <w:szCs w:val="16"/>
              </w:rPr>
            </w:pPr>
            <w:r>
              <w:rPr>
                <w:rFonts w:ascii="宋体" w:hAnsi="宋体" w:cs="宋体" w:eastAsia="宋体" w:hint="default"/>
                <w:sz w:val="16"/>
                <w:szCs w:val="16"/>
              </w:rPr>
              <w:t>因研究开</w:t>
            </w:r>
            <w:r>
              <w:rPr>
                <w:rFonts w:ascii="宋体" w:hAnsi="宋体" w:cs="宋体" w:eastAsia="宋体" w:hint="default"/>
                <w:w w:val="100"/>
                <w:sz w:val="16"/>
                <w:szCs w:val="16"/>
              </w:rPr>
              <w:t> </w:t>
            </w:r>
            <w:r>
              <w:rPr>
                <w:rFonts w:ascii="宋体" w:hAnsi="宋体" w:cs="宋体" w:eastAsia="宋体" w:hint="default"/>
                <w:sz w:val="16"/>
                <w:szCs w:val="16"/>
              </w:rPr>
              <w:t>发、技术</w:t>
            </w:r>
          </w:p>
          <w:p>
            <w:pPr>
              <w:pStyle w:val="TableParagraph"/>
              <w:spacing w:line="206" w:lineRule="exact" w:before="2"/>
              <w:ind w:left="102" w:right="163"/>
              <w:jc w:val="left"/>
              <w:rPr>
                <w:rFonts w:ascii="宋体" w:hAnsi="宋体" w:cs="宋体" w:eastAsia="宋体" w:hint="default"/>
                <w:sz w:val="16"/>
                <w:szCs w:val="16"/>
              </w:rPr>
            </w:pPr>
            <w:r>
              <w:rPr>
                <w:rFonts w:ascii="宋体" w:hAnsi="宋体" w:cs="宋体" w:eastAsia="宋体" w:hint="default"/>
                <w:sz w:val="16"/>
                <w:szCs w:val="16"/>
              </w:rPr>
              <w:t>更新及改</w:t>
            </w:r>
            <w:r>
              <w:rPr>
                <w:rFonts w:ascii="宋体" w:hAnsi="宋体" w:cs="宋体" w:eastAsia="宋体" w:hint="default"/>
                <w:w w:val="100"/>
                <w:sz w:val="16"/>
                <w:szCs w:val="16"/>
              </w:rPr>
              <w:t> </w:t>
            </w:r>
            <w:r>
              <w:rPr>
                <w:rFonts w:ascii="宋体" w:hAnsi="宋体" w:cs="宋体" w:eastAsia="宋体" w:hint="default"/>
                <w:sz w:val="16"/>
                <w:szCs w:val="16"/>
              </w:rPr>
              <w:t>造等获得</w:t>
            </w:r>
          </w:p>
          <w:p>
            <w:pPr>
              <w:pStyle w:val="TableParagraph"/>
              <w:spacing w:line="190" w:lineRule="exact"/>
              <w:ind w:left="102" w:right="0"/>
              <w:jc w:val="left"/>
              <w:rPr>
                <w:rFonts w:ascii="宋体" w:hAnsi="宋体" w:cs="宋体" w:eastAsia="宋体" w:hint="default"/>
                <w:sz w:val="16"/>
                <w:szCs w:val="16"/>
              </w:rPr>
            </w:pPr>
            <w:r>
              <w:rPr>
                <w:rFonts w:ascii="宋体" w:hAnsi="宋体" w:cs="宋体" w:eastAsia="宋体" w:hint="default"/>
                <w:sz w:val="16"/>
                <w:szCs w:val="16"/>
              </w:rPr>
              <w:t>的补助</w:t>
            </w:r>
          </w:p>
        </w:tc>
        <w:tc>
          <w:tcPr>
            <w:tcW w:w="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3"/>
              <w:ind w:right="100"/>
              <w:jc w:val="right"/>
              <w:rPr>
                <w:rFonts w:ascii="Times New Roman" w:hAnsi="Times New Roman" w:cs="Times New Roman" w:eastAsia="Times New Roman" w:hint="default"/>
                <w:sz w:val="16"/>
                <w:szCs w:val="16"/>
              </w:rPr>
            </w:pPr>
            <w:r>
              <w:rPr>
                <w:rFonts w:ascii="Times New Roman"/>
                <w:spacing w:val="-1"/>
                <w:sz w:val="16"/>
              </w:rPr>
              <w:t>100,000.</w:t>
            </w:r>
          </w:p>
          <w:p>
            <w:pPr>
              <w:pStyle w:val="TableParagraph"/>
              <w:spacing w:line="240" w:lineRule="auto" w:before="1"/>
              <w:ind w:right="98"/>
              <w:jc w:val="right"/>
              <w:rPr>
                <w:rFonts w:ascii="Times New Roman" w:hAnsi="Times New Roman" w:cs="Times New Roman" w:eastAsia="Times New Roman" w:hint="default"/>
                <w:sz w:val="16"/>
                <w:szCs w:val="16"/>
              </w:rPr>
            </w:pPr>
            <w:r>
              <w:rPr>
                <w:rFonts w:ascii="Times New Roman"/>
                <w:sz w:val="16"/>
              </w:rPr>
              <w:t>00</w:t>
            </w:r>
          </w:p>
        </w:tc>
        <w:tc>
          <w:tcPr>
            <w:tcW w:w="78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06" w:lineRule="exact" w:before="108"/>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21" w:hRule="exact"/>
        </w:trPr>
        <w:tc>
          <w:tcPr>
            <w:tcW w:w="999" w:type="dxa"/>
            <w:tcBorders>
              <w:top w:val="single" w:sz="4" w:space="0" w:color="000000"/>
              <w:left w:val="nil" w:sz="6" w:space="0" w:color="auto"/>
              <w:bottom w:val="nil" w:sz="6" w:space="0" w:color="auto"/>
              <w:right w:val="single" w:sz="4" w:space="0" w:color="000000"/>
            </w:tcBorders>
          </w:tcPr>
          <w:p>
            <w:pPr/>
          </w:p>
        </w:tc>
        <w:tc>
          <w:tcPr>
            <w:tcW w:w="1738" w:type="dxa"/>
            <w:tcBorders>
              <w:top w:val="single" w:sz="4" w:space="0" w:color="000000"/>
              <w:left w:val="single" w:sz="4" w:space="0" w:color="000000"/>
              <w:bottom w:val="nil" w:sz="6" w:space="0" w:color="auto"/>
              <w:right w:val="single" w:sz="4" w:space="0" w:color="000000"/>
            </w:tcBorders>
          </w:tcPr>
          <w:p>
            <w:pPr/>
          </w:p>
        </w:tc>
        <w:tc>
          <w:tcPr>
            <w:tcW w:w="591"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Style w:val="TableParagraph"/>
              <w:spacing w:line="192" w:lineRule="exact"/>
              <w:ind w:left="102" w:right="0"/>
              <w:jc w:val="left"/>
              <w:rPr>
                <w:rFonts w:ascii="宋体" w:hAnsi="宋体" w:cs="宋体" w:eastAsia="宋体" w:hint="default"/>
                <w:sz w:val="16"/>
                <w:szCs w:val="16"/>
              </w:rPr>
            </w:pPr>
            <w:r>
              <w:rPr>
                <w:rFonts w:ascii="宋体" w:hAnsi="宋体" w:cs="宋体" w:eastAsia="宋体" w:hint="default"/>
                <w:sz w:val="16"/>
                <w:szCs w:val="16"/>
              </w:rPr>
              <w:t>因研究开</w:t>
            </w:r>
          </w:p>
        </w:tc>
        <w:tc>
          <w:tcPr>
            <w:tcW w:w="741" w:type="dxa"/>
            <w:tcBorders>
              <w:top w:val="single" w:sz="4" w:space="0" w:color="000000"/>
              <w:left w:val="single" w:sz="4" w:space="0" w:color="000000"/>
              <w:bottom w:val="nil" w:sz="6" w:space="0" w:color="auto"/>
              <w:right w:val="single" w:sz="4" w:space="0" w:color="000000"/>
            </w:tcBorders>
          </w:tcPr>
          <w:p>
            <w:pPr/>
          </w:p>
        </w:tc>
        <w:tc>
          <w:tcPr>
            <w:tcW w:w="601" w:type="dxa"/>
            <w:tcBorders>
              <w:top w:val="single" w:sz="4" w:space="0" w:color="000000"/>
              <w:left w:val="single" w:sz="4" w:space="0" w:color="000000"/>
              <w:bottom w:val="nil" w:sz="6" w:space="0" w:color="auto"/>
              <w:right w:val="single" w:sz="4" w:space="0" w:color="000000"/>
            </w:tcBorders>
          </w:tcPr>
          <w:p>
            <w:pPr/>
          </w:p>
        </w:tc>
        <w:tc>
          <w:tcPr>
            <w:tcW w:w="1069" w:type="dxa"/>
            <w:vMerge w:val="restart"/>
            <w:tcBorders>
              <w:top w:val="single" w:sz="4" w:space="0" w:color="000000"/>
              <w:left w:val="single" w:sz="4" w:space="0" w:color="000000"/>
              <w:right w:val="single" w:sz="4" w:space="0" w:color="000000"/>
            </w:tcBorders>
          </w:tcPr>
          <w:p>
            <w:pPr/>
          </w:p>
        </w:tc>
        <w:tc>
          <w:tcPr>
            <w:tcW w:w="854"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nil" w:sz="6" w:space="0" w:color="auto"/>
            </w:tcBorders>
          </w:tcPr>
          <w:p>
            <w:pPr/>
          </w:p>
        </w:tc>
      </w:tr>
      <w:tr>
        <w:trPr>
          <w:trHeight w:val="623" w:hRule="exact"/>
        </w:trPr>
        <w:tc>
          <w:tcPr>
            <w:tcW w:w="99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6" w:right="0"/>
              <w:jc w:val="left"/>
              <w:rPr>
                <w:rFonts w:ascii="宋体" w:hAnsi="宋体" w:cs="宋体" w:eastAsia="宋体" w:hint="default"/>
                <w:sz w:val="16"/>
                <w:szCs w:val="16"/>
              </w:rPr>
            </w:pPr>
            <w:r>
              <w:rPr>
                <w:rFonts w:ascii="宋体" w:hAnsi="宋体" w:cs="宋体" w:eastAsia="宋体" w:hint="default"/>
                <w:sz w:val="16"/>
                <w:szCs w:val="16"/>
              </w:rPr>
              <w:t>专利资助</w:t>
            </w:r>
          </w:p>
        </w:tc>
        <w:tc>
          <w:tcPr>
            <w:tcW w:w="1738"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left="103" w:right="182"/>
              <w:jc w:val="left"/>
              <w:rPr>
                <w:rFonts w:ascii="宋体" w:hAnsi="宋体" w:cs="宋体" w:eastAsia="宋体" w:hint="default"/>
                <w:sz w:val="16"/>
                <w:szCs w:val="16"/>
              </w:rPr>
            </w:pPr>
            <w:r>
              <w:rPr>
                <w:rFonts w:ascii="宋体" w:hAnsi="宋体" w:cs="宋体" w:eastAsia="宋体" w:hint="default"/>
                <w:spacing w:val="-2"/>
                <w:sz w:val="16"/>
                <w:szCs w:val="16"/>
              </w:rPr>
              <w:t>杭州市临安区科学技</w:t>
            </w:r>
            <w:r>
              <w:rPr>
                <w:rFonts w:ascii="宋体" w:hAnsi="宋体" w:cs="宋体" w:eastAsia="宋体" w:hint="default"/>
                <w:spacing w:val="-67"/>
                <w:sz w:val="16"/>
                <w:szCs w:val="16"/>
              </w:rPr>
              <w:t> </w:t>
            </w:r>
            <w:r>
              <w:rPr>
                <w:rFonts w:ascii="宋体" w:hAnsi="宋体" w:cs="宋体" w:eastAsia="宋体" w:hint="default"/>
                <w:spacing w:val="-67"/>
                <w:sz w:val="16"/>
                <w:szCs w:val="16"/>
              </w:rPr>
            </w:r>
            <w:r>
              <w:rPr>
                <w:rFonts w:ascii="宋体" w:hAnsi="宋体" w:cs="宋体" w:eastAsia="宋体" w:hint="default"/>
                <w:sz w:val="16"/>
                <w:szCs w:val="16"/>
              </w:rPr>
              <w:t>术局</w:t>
            </w:r>
          </w:p>
        </w:tc>
        <w:tc>
          <w:tcPr>
            <w:tcW w:w="59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102" w:right="0"/>
              <w:jc w:val="left"/>
              <w:rPr>
                <w:rFonts w:ascii="宋体" w:hAnsi="宋体" w:cs="宋体" w:eastAsia="宋体" w:hint="default"/>
                <w:sz w:val="16"/>
                <w:szCs w:val="16"/>
              </w:rPr>
            </w:pPr>
            <w:r>
              <w:rPr>
                <w:rFonts w:ascii="宋体" w:hAnsi="宋体" w:cs="宋体" w:eastAsia="宋体" w:hint="default"/>
                <w:sz w:val="16"/>
                <w:szCs w:val="16"/>
              </w:rPr>
              <w:t>发、技术</w:t>
            </w:r>
          </w:p>
          <w:p>
            <w:pPr>
              <w:pStyle w:val="TableParagraph"/>
              <w:spacing w:line="240" w:lineRule="auto"/>
              <w:ind w:left="102" w:right="163"/>
              <w:jc w:val="left"/>
              <w:rPr>
                <w:rFonts w:ascii="宋体" w:hAnsi="宋体" w:cs="宋体" w:eastAsia="宋体" w:hint="default"/>
                <w:sz w:val="16"/>
                <w:szCs w:val="16"/>
              </w:rPr>
            </w:pPr>
            <w:r>
              <w:rPr>
                <w:rFonts w:ascii="宋体" w:hAnsi="宋体" w:cs="宋体" w:eastAsia="宋体" w:hint="default"/>
                <w:sz w:val="16"/>
                <w:szCs w:val="16"/>
              </w:rPr>
              <w:t>更新及改</w:t>
            </w:r>
            <w:r>
              <w:rPr>
                <w:rFonts w:ascii="宋体" w:hAnsi="宋体" w:cs="宋体" w:eastAsia="宋体" w:hint="default"/>
                <w:w w:val="100"/>
                <w:sz w:val="16"/>
                <w:szCs w:val="16"/>
              </w:rPr>
              <w:t> </w:t>
            </w:r>
            <w:r>
              <w:rPr>
                <w:rFonts w:ascii="宋体" w:hAnsi="宋体" w:cs="宋体" w:eastAsia="宋体" w:hint="default"/>
                <w:sz w:val="16"/>
                <w:szCs w:val="16"/>
              </w:rPr>
              <w:t>造等获得</w:t>
            </w:r>
          </w:p>
        </w:tc>
        <w:tc>
          <w:tcPr>
            <w:tcW w:w="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vMerge/>
            <w:tcBorders>
              <w:left w:val="single" w:sz="4" w:space="0" w:color="000000"/>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183" w:lineRule="exact" w:before="128"/>
              <w:ind w:right="100"/>
              <w:jc w:val="right"/>
              <w:rPr>
                <w:rFonts w:ascii="Times New Roman" w:hAnsi="Times New Roman" w:cs="Times New Roman" w:eastAsia="Times New Roman" w:hint="default"/>
                <w:sz w:val="16"/>
                <w:szCs w:val="16"/>
              </w:rPr>
            </w:pPr>
            <w:r>
              <w:rPr>
                <w:rFonts w:ascii="Times New Roman"/>
                <w:spacing w:val="-1"/>
                <w:sz w:val="16"/>
              </w:rPr>
              <w:t>100,000.</w:t>
            </w:r>
          </w:p>
          <w:p>
            <w:pPr>
              <w:pStyle w:val="TableParagraph"/>
              <w:spacing w:line="183" w:lineRule="exact"/>
              <w:ind w:right="98"/>
              <w:jc w:val="right"/>
              <w:rPr>
                <w:rFonts w:ascii="Times New Roman" w:hAnsi="Times New Roman" w:cs="Times New Roman" w:eastAsia="Times New Roman" w:hint="default"/>
                <w:sz w:val="16"/>
                <w:szCs w:val="16"/>
              </w:rPr>
            </w:pPr>
            <w:r>
              <w:rPr>
                <w:rFonts w:ascii="Times New Roman"/>
                <w:sz w:val="16"/>
              </w:rPr>
              <w:t>00</w:t>
            </w:r>
          </w:p>
        </w:tc>
        <w:tc>
          <w:tcPr>
            <w:tcW w:w="788"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24" w:hRule="exact"/>
        </w:trPr>
        <w:tc>
          <w:tcPr>
            <w:tcW w:w="999" w:type="dxa"/>
            <w:tcBorders>
              <w:top w:val="nil" w:sz="6" w:space="0" w:color="auto"/>
              <w:left w:val="nil" w:sz="6" w:space="0" w:color="auto"/>
              <w:bottom w:val="single" w:sz="4" w:space="0" w:color="000000"/>
              <w:right w:val="single" w:sz="4" w:space="0" w:color="000000"/>
            </w:tcBorders>
          </w:tcPr>
          <w:p>
            <w:pPr/>
          </w:p>
        </w:tc>
        <w:tc>
          <w:tcPr>
            <w:tcW w:w="1738" w:type="dxa"/>
            <w:tcBorders>
              <w:top w:val="nil" w:sz="6" w:space="0" w:color="auto"/>
              <w:left w:val="single" w:sz="4" w:space="0" w:color="000000"/>
              <w:bottom w:val="single" w:sz="4" w:space="0" w:color="000000"/>
              <w:right w:val="single" w:sz="4" w:space="0" w:color="000000"/>
            </w:tcBorders>
          </w:tcPr>
          <w:p>
            <w:pPr/>
          </w:p>
        </w:tc>
        <w:tc>
          <w:tcPr>
            <w:tcW w:w="591"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Style w:val="TableParagraph"/>
              <w:spacing w:line="184" w:lineRule="exact"/>
              <w:ind w:left="102" w:right="0"/>
              <w:jc w:val="left"/>
              <w:rPr>
                <w:rFonts w:ascii="宋体" w:hAnsi="宋体" w:cs="宋体" w:eastAsia="宋体" w:hint="default"/>
                <w:sz w:val="16"/>
                <w:szCs w:val="16"/>
              </w:rPr>
            </w:pPr>
            <w:r>
              <w:rPr>
                <w:rFonts w:ascii="宋体" w:hAnsi="宋体" w:cs="宋体" w:eastAsia="宋体" w:hint="default"/>
                <w:sz w:val="16"/>
                <w:szCs w:val="16"/>
              </w:rPr>
              <w:t>的补助</w:t>
            </w:r>
          </w:p>
        </w:tc>
        <w:tc>
          <w:tcPr>
            <w:tcW w:w="741" w:type="dxa"/>
            <w:tcBorders>
              <w:top w:val="nil" w:sz="6" w:space="0" w:color="auto"/>
              <w:left w:val="single" w:sz="4" w:space="0" w:color="000000"/>
              <w:bottom w:val="single" w:sz="4" w:space="0" w:color="000000"/>
              <w:right w:val="single" w:sz="4" w:space="0" w:color="000000"/>
            </w:tcBorders>
          </w:tcPr>
          <w:p>
            <w:pPr/>
          </w:p>
        </w:tc>
        <w:tc>
          <w:tcPr>
            <w:tcW w:w="601" w:type="dxa"/>
            <w:tcBorders>
              <w:top w:val="nil" w:sz="6" w:space="0" w:color="auto"/>
              <w:left w:val="single" w:sz="4" w:space="0" w:color="000000"/>
              <w:bottom w:val="single" w:sz="4" w:space="0" w:color="000000"/>
              <w:right w:val="single" w:sz="4" w:space="0" w:color="000000"/>
            </w:tcBorders>
          </w:tcPr>
          <w:p>
            <w:pPr/>
          </w:p>
        </w:tc>
        <w:tc>
          <w:tcPr>
            <w:tcW w:w="1069" w:type="dxa"/>
            <w:vMerge/>
            <w:tcBorders>
              <w:left w:val="single" w:sz="4" w:space="0" w:color="000000"/>
              <w:bottom w:val="single" w:sz="4" w:space="0" w:color="000000"/>
              <w:right w:val="single" w:sz="4" w:space="0" w:color="000000"/>
            </w:tcBorders>
          </w:tcPr>
          <w:p>
            <w:pPr/>
          </w:p>
        </w:tc>
        <w:tc>
          <w:tcPr>
            <w:tcW w:w="854"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nil" w:sz="6" w:space="0" w:color="auto"/>
            </w:tcBorders>
          </w:tcPr>
          <w:p>
            <w:pPr/>
          </w:p>
        </w:tc>
      </w:tr>
      <w:tr>
        <w:trPr>
          <w:trHeight w:val="212" w:hRule="exact"/>
        </w:trPr>
        <w:tc>
          <w:tcPr>
            <w:tcW w:w="999" w:type="dxa"/>
            <w:tcBorders>
              <w:top w:val="single" w:sz="4" w:space="0" w:color="000000"/>
              <w:left w:val="nil" w:sz="6" w:space="0" w:color="auto"/>
              <w:bottom w:val="nil" w:sz="6" w:space="0" w:color="auto"/>
              <w:right w:val="single" w:sz="4" w:space="0" w:color="000000"/>
            </w:tcBorders>
          </w:tcPr>
          <w:p>
            <w:pPr/>
          </w:p>
        </w:tc>
        <w:tc>
          <w:tcPr>
            <w:tcW w:w="1738" w:type="dxa"/>
            <w:vMerge w:val="restart"/>
            <w:tcBorders>
              <w:top w:val="single" w:sz="4" w:space="0" w:color="000000"/>
              <w:left w:val="single" w:sz="4" w:space="0" w:color="000000"/>
              <w:right w:val="single" w:sz="4" w:space="0" w:color="000000"/>
            </w:tcBorders>
          </w:tcPr>
          <w:p>
            <w:pPr/>
          </w:p>
        </w:tc>
        <w:tc>
          <w:tcPr>
            <w:tcW w:w="591"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Style w:val="TableParagraph"/>
              <w:spacing w:line="183" w:lineRule="exact"/>
              <w:ind w:left="102" w:right="0"/>
              <w:jc w:val="left"/>
              <w:rPr>
                <w:rFonts w:ascii="宋体" w:hAnsi="宋体" w:cs="宋体" w:eastAsia="宋体" w:hint="default"/>
                <w:sz w:val="16"/>
                <w:szCs w:val="16"/>
              </w:rPr>
            </w:pPr>
            <w:r>
              <w:rPr>
                <w:rFonts w:ascii="宋体" w:hAnsi="宋体" w:cs="宋体" w:eastAsia="宋体" w:hint="default"/>
                <w:sz w:val="16"/>
                <w:szCs w:val="16"/>
              </w:rPr>
              <w:t>因符合地</w:t>
            </w:r>
          </w:p>
        </w:tc>
        <w:tc>
          <w:tcPr>
            <w:tcW w:w="741" w:type="dxa"/>
            <w:tcBorders>
              <w:top w:val="single" w:sz="4" w:space="0" w:color="000000"/>
              <w:left w:val="single" w:sz="4" w:space="0" w:color="000000"/>
              <w:bottom w:val="nil" w:sz="6" w:space="0" w:color="auto"/>
              <w:right w:val="single" w:sz="4" w:space="0" w:color="000000"/>
            </w:tcBorders>
          </w:tcPr>
          <w:p>
            <w:pPr/>
          </w:p>
        </w:tc>
        <w:tc>
          <w:tcPr>
            <w:tcW w:w="601" w:type="dxa"/>
            <w:tcBorders>
              <w:top w:val="single" w:sz="4" w:space="0" w:color="000000"/>
              <w:left w:val="single" w:sz="4" w:space="0" w:color="000000"/>
              <w:bottom w:val="nil" w:sz="6" w:space="0" w:color="auto"/>
              <w:right w:val="single" w:sz="4" w:space="0" w:color="000000"/>
            </w:tcBorders>
          </w:tcPr>
          <w:p>
            <w:pPr/>
          </w:p>
        </w:tc>
        <w:tc>
          <w:tcPr>
            <w:tcW w:w="1069" w:type="dxa"/>
            <w:tcBorders>
              <w:top w:val="single" w:sz="4" w:space="0" w:color="000000"/>
              <w:left w:val="single" w:sz="4" w:space="0" w:color="000000"/>
              <w:bottom w:val="nil" w:sz="6" w:space="0" w:color="auto"/>
              <w:right w:val="single" w:sz="4" w:space="0" w:color="000000"/>
            </w:tcBorders>
          </w:tcPr>
          <w:p>
            <w:pPr/>
          </w:p>
        </w:tc>
        <w:tc>
          <w:tcPr>
            <w:tcW w:w="854"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nil" w:sz="6" w:space="0" w:color="auto"/>
            </w:tcBorders>
          </w:tcPr>
          <w:p>
            <w:pPr/>
          </w:p>
        </w:tc>
      </w:tr>
      <w:tr>
        <w:trPr>
          <w:trHeight w:val="208" w:hRule="exact"/>
        </w:trPr>
        <w:tc>
          <w:tcPr>
            <w:tcW w:w="999" w:type="dxa"/>
            <w:tcBorders>
              <w:top w:val="nil" w:sz="6" w:space="0" w:color="auto"/>
              <w:left w:val="nil" w:sz="6" w:space="0" w:color="auto"/>
              <w:bottom w:val="nil" w:sz="6" w:space="0" w:color="auto"/>
              <w:right w:val="single" w:sz="4" w:space="0" w:color="000000"/>
            </w:tcBorders>
          </w:tcPr>
          <w:p>
            <w:pPr/>
          </w:p>
        </w:tc>
        <w:tc>
          <w:tcPr>
            <w:tcW w:w="1738" w:type="dxa"/>
            <w:vMerge/>
            <w:tcBorders>
              <w:left w:val="single" w:sz="4" w:space="0" w:color="000000"/>
              <w:right w:val="single" w:sz="4" w:space="0" w:color="000000"/>
            </w:tcBorders>
          </w:tcPr>
          <w:p>
            <w:pPr/>
          </w:p>
        </w:tc>
        <w:tc>
          <w:tcPr>
            <w:tcW w:w="591"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02" w:right="0"/>
              <w:jc w:val="left"/>
              <w:rPr>
                <w:rFonts w:ascii="宋体" w:hAnsi="宋体" w:cs="宋体" w:eastAsia="宋体" w:hint="default"/>
                <w:sz w:val="16"/>
                <w:szCs w:val="16"/>
              </w:rPr>
            </w:pPr>
            <w:r>
              <w:rPr>
                <w:rFonts w:ascii="宋体" w:hAnsi="宋体" w:cs="宋体" w:eastAsia="宋体" w:hint="default"/>
                <w:sz w:val="16"/>
                <w:szCs w:val="16"/>
              </w:rPr>
              <w:t>方政府招</w:t>
            </w:r>
          </w:p>
        </w:tc>
        <w:tc>
          <w:tcPr>
            <w:tcW w:w="741" w:type="dxa"/>
            <w:tcBorders>
              <w:top w:val="nil" w:sz="6" w:space="0" w:color="auto"/>
              <w:left w:val="single" w:sz="4" w:space="0" w:color="000000"/>
              <w:bottom w:val="nil" w:sz="6" w:space="0" w:color="auto"/>
              <w:right w:val="single" w:sz="4" w:space="0" w:color="000000"/>
            </w:tcBorders>
          </w:tcPr>
          <w:p>
            <w:pPr/>
          </w:p>
        </w:tc>
        <w:tc>
          <w:tcPr>
            <w:tcW w:w="601" w:type="dxa"/>
            <w:tcBorders>
              <w:top w:val="nil" w:sz="6" w:space="0" w:color="auto"/>
              <w:left w:val="single" w:sz="4" w:space="0" w:color="000000"/>
              <w:bottom w:val="nil" w:sz="6" w:space="0" w:color="auto"/>
              <w:right w:val="single" w:sz="4" w:space="0" w:color="000000"/>
            </w:tcBorders>
          </w:tcPr>
          <w:p>
            <w:pPr/>
          </w:p>
        </w:tc>
        <w:tc>
          <w:tcPr>
            <w:tcW w:w="1069" w:type="dxa"/>
            <w:tcBorders>
              <w:top w:val="nil" w:sz="6" w:space="0" w:color="auto"/>
              <w:left w:val="single" w:sz="4" w:space="0" w:color="000000"/>
              <w:bottom w:val="nil" w:sz="6" w:space="0" w:color="auto"/>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nil" w:sz="6" w:space="0" w:color="auto"/>
            </w:tcBorders>
          </w:tcPr>
          <w:p>
            <w:pPr/>
          </w:p>
        </w:tc>
      </w:tr>
      <w:tr>
        <w:trPr>
          <w:trHeight w:val="622" w:hRule="exact"/>
        </w:trPr>
        <w:tc>
          <w:tcPr>
            <w:tcW w:w="999" w:type="dxa"/>
            <w:tcBorders>
              <w:top w:val="nil" w:sz="6" w:space="0" w:color="auto"/>
              <w:left w:val="nil" w:sz="6" w:space="0" w:color="auto"/>
              <w:bottom w:val="nil" w:sz="6" w:space="0" w:color="auto"/>
              <w:right w:val="single" w:sz="4" w:space="0" w:color="000000"/>
            </w:tcBorders>
          </w:tcPr>
          <w:p>
            <w:pPr>
              <w:pStyle w:val="TableParagraph"/>
              <w:spacing w:line="206" w:lineRule="exact" w:before="99"/>
              <w:ind w:left="106" w:right="244"/>
              <w:jc w:val="left"/>
              <w:rPr>
                <w:rFonts w:ascii="宋体" w:hAnsi="宋体" w:cs="宋体" w:eastAsia="宋体" w:hint="default"/>
                <w:sz w:val="16"/>
                <w:szCs w:val="16"/>
              </w:rPr>
            </w:pPr>
            <w:r>
              <w:rPr>
                <w:rFonts w:ascii="宋体" w:hAnsi="宋体" w:cs="宋体" w:eastAsia="宋体" w:hint="default"/>
                <w:sz w:val="16"/>
                <w:szCs w:val="16"/>
              </w:rPr>
              <w:t>其他零星</w:t>
            </w:r>
            <w:r>
              <w:rPr>
                <w:rFonts w:ascii="宋体" w:hAnsi="宋体" w:cs="宋体" w:eastAsia="宋体" w:hint="default"/>
                <w:w w:val="100"/>
                <w:sz w:val="16"/>
                <w:szCs w:val="16"/>
              </w:rPr>
              <w:t> </w:t>
            </w:r>
            <w:r>
              <w:rPr>
                <w:rFonts w:ascii="宋体" w:hAnsi="宋体" w:cs="宋体" w:eastAsia="宋体" w:hint="default"/>
                <w:sz w:val="16"/>
                <w:szCs w:val="16"/>
              </w:rPr>
              <w:t>补助</w:t>
            </w:r>
          </w:p>
        </w:tc>
        <w:tc>
          <w:tcPr>
            <w:tcW w:w="1738" w:type="dxa"/>
            <w:vMerge/>
            <w:tcBorders>
              <w:left w:val="single" w:sz="4" w:space="0" w:color="000000"/>
              <w:right w:val="single" w:sz="4" w:space="0" w:color="000000"/>
            </w:tcBorders>
          </w:tcPr>
          <w:p>
            <w:pPr/>
          </w:p>
        </w:tc>
        <w:tc>
          <w:tcPr>
            <w:tcW w:w="5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50"/>
              <w:jc w:val="center"/>
              <w:rPr>
                <w:rFonts w:ascii="宋体" w:hAnsi="宋体" w:cs="宋体" w:eastAsia="宋体" w:hint="default"/>
                <w:sz w:val="16"/>
                <w:szCs w:val="16"/>
              </w:rPr>
            </w:pPr>
            <w:r>
              <w:rPr>
                <w:rFonts w:ascii="宋体" w:hAnsi="宋体" w:cs="宋体" w:eastAsia="宋体" w:hint="default"/>
                <w:sz w:val="16"/>
                <w:szCs w:val="16"/>
              </w:rPr>
              <w:t>补助</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2" w:lineRule="exact"/>
              <w:ind w:left="102" w:right="0"/>
              <w:jc w:val="left"/>
              <w:rPr>
                <w:rFonts w:ascii="宋体" w:hAnsi="宋体" w:cs="宋体" w:eastAsia="宋体" w:hint="default"/>
                <w:sz w:val="16"/>
                <w:szCs w:val="16"/>
              </w:rPr>
            </w:pPr>
            <w:r>
              <w:rPr>
                <w:rFonts w:ascii="宋体" w:hAnsi="宋体" w:cs="宋体" w:eastAsia="宋体" w:hint="default"/>
                <w:sz w:val="16"/>
                <w:szCs w:val="16"/>
              </w:rPr>
              <w:t>商引资等</w:t>
            </w:r>
          </w:p>
          <w:p>
            <w:pPr>
              <w:pStyle w:val="TableParagraph"/>
              <w:spacing w:line="240" w:lineRule="auto"/>
              <w:ind w:left="102" w:right="163"/>
              <w:jc w:val="left"/>
              <w:rPr>
                <w:rFonts w:ascii="宋体" w:hAnsi="宋体" w:cs="宋体" w:eastAsia="宋体" w:hint="default"/>
                <w:sz w:val="16"/>
                <w:szCs w:val="16"/>
              </w:rPr>
            </w:pPr>
            <w:r>
              <w:rPr>
                <w:rFonts w:ascii="宋体" w:hAnsi="宋体" w:cs="宋体" w:eastAsia="宋体" w:hint="default"/>
                <w:sz w:val="16"/>
                <w:szCs w:val="16"/>
              </w:rPr>
              <w:t>地方性扶</w:t>
            </w:r>
            <w:r>
              <w:rPr>
                <w:rFonts w:ascii="宋体" w:hAnsi="宋体" w:cs="宋体" w:eastAsia="宋体" w:hint="default"/>
                <w:w w:val="100"/>
                <w:sz w:val="16"/>
                <w:szCs w:val="16"/>
              </w:rPr>
              <w:t> </w:t>
            </w:r>
            <w:r>
              <w:rPr>
                <w:rFonts w:ascii="宋体" w:hAnsi="宋体" w:cs="宋体" w:eastAsia="宋体" w:hint="default"/>
                <w:sz w:val="16"/>
                <w:szCs w:val="16"/>
              </w:rPr>
              <w:t>持政策而</w:t>
            </w:r>
          </w:p>
        </w:tc>
        <w:tc>
          <w:tcPr>
            <w:tcW w:w="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w w:val="100"/>
                <w:sz w:val="16"/>
                <w:szCs w:val="16"/>
              </w:rPr>
              <w:t>是</w:t>
            </w:r>
          </w:p>
        </w:tc>
        <w:tc>
          <w:tcPr>
            <w:tcW w:w="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6"/>
                <w:szCs w:val="16"/>
              </w:rPr>
            </w:pPr>
            <w:r>
              <w:rPr>
                <w:rFonts w:ascii="宋体" w:hAnsi="宋体" w:cs="宋体" w:eastAsia="宋体" w:hint="default"/>
                <w:w w:val="100"/>
                <w:sz w:val="16"/>
                <w:szCs w:val="16"/>
              </w:rPr>
              <w:t>否</w:t>
            </w:r>
          </w:p>
        </w:tc>
        <w:tc>
          <w:tcPr>
            <w:tcW w:w="106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36" w:right="0"/>
              <w:jc w:val="left"/>
              <w:rPr>
                <w:rFonts w:ascii="Times New Roman" w:hAnsi="Times New Roman" w:cs="Times New Roman" w:eastAsia="Times New Roman" w:hint="default"/>
                <w:sz w:val="16"/>
                <w:szCs w:val="16"/>
              </w:rPr>
            </w:pPr>
            <w:r>
              <w:rPr>
                <w:rFonts w:ascii="Times New Roman"/>
                <w:sz w:val="16"/>
              </w:rPr>
              <w:t>209,448.15</w:t>
            </w: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183" w:lineRule="exact" w:before="127"/>
              <w:ind w:right="100"/>
              <w:jc w:val="right"/>
              <w:rPr>
                <w:rFonts w:ascii="Times New Roman" w:hAnsi="Times New Roman" w:cs="Times New Roman" w:eastAsia="Times New Roman" w:hint="default"/>
                <w:sz w:val="16"/>
                <w:szCs w:val="16"/>
              </w:rPr>
            </w:pPr>
            <w:r>
              <w:rPr>
                <w:rFonts w:ascii="Times New Roman"/>
                <w:spacing w:val="-1"/>
                <w:sz w:val="16"/>
              </w:rPr>
              <w:t>241,236.</w:t>
            </w:r>
          </w:p>
          <w:p>
            <w:pPr>
              <w:pStyle w:val="TableParagraph"/>
              <w:spacing w:line="183" w:lineRule="exact"/>
              <w:ind w:right="98"/>
              <w:jc w:val="right"/>
              <w:rPr>
                <w:rFonts w:ascii="Times New Roman" w:hAnsi="Times New Roman" w:cs="Times New Roman" w:eastAsia="Times New Roman" w:hint="default"/>
                <w:sz w:val="16"/>
                <w:szCs w:val="16"/>
              </w:rPr>
            </w:pPr>
            <w:r>
              <w:rPr>
                <w:rFonts w:ascii="Times New Roman"/>
                <w:sz w:val="16"/>
              </w:rPr>
              <w:t>48</w:t>
            </w:r>
          </w:p>
        </w:tc>
        <w:tc>
          <w:tcPr>
            <w:tcW w:w="788" w:type="dxa"/>
            <w:tcBorders>
              <w:top w:val="nil" w:sz="6" w:space="0" w:color="auto"/>
              <w:left w:val="single" w:sz="4" w:space="0" w:color="000000"/>
              <w:bottom w:val="nil" w:sz="6" w:space="0" w:color="auto"/>
              <w:right w:val="nil" w:sz="6" w:space="0" w:color="auto"/>
            </w:tcBorders>
          </w:tcPr>
          <w:p>
            <w:pPr>
              <w:pStyle w:val="TableParagraph"/>
              <w:spacing w:line="206" w:lineRule="exact" w:before="99"/>
              <w:ind w:left="101" w:right="199"/>
              <w:jc w:val="left"/>
              <w:rPr>
                <w:rFonts w:ascii="宋体" w:hAnsi="宋体" w:cs="宋体" w:eastAsia="宋体" w:hint="default"/>
                <w:sz w:val="16"/>
                <w:szCs w:val="16"/>
              </w:rPr>
            </w:pPr>
            <w:r>
              <w:rPr>
                <w:rFonts w:ascii="宋体" w:hAnsi="宋体" w:cs="宋体" w:eastAsia="宋体" w:hint="default"/>
                <w:sz w:val="16"/>
                <w:szCs w:val="16"/>
              </w:rPr>
              <w:t>与收益</w:t>
            </w:r>
            <w:r>
              <w:rPr>
                <w:rFonts w:ascii="宋体" w:hAnsi="宋体" w:cs="宋体" w:eastAsia="宋体" w:hint="default"/>
                <w:w w:val="100"/>
                <w:sz w:val="16"/>
                <w:szCs w:val="16"/>
              </w:rPr>
              <w:t> </w:t>
            </w:r>
            <w:r>
              <w:rPr>
                <w:rFonts w:ascii="宋体" w:hAnsi="宋体" w:cs="宋体" w:eastAsia="宋体" w:hint="default"/>
                <w:sz w:val="16"/>
                <w:szCs w:val="16"/>
              </w:rPr>
              <w:t>相关</w:t>
            </w:r>
          </w:p>
        </w:tc>
      </w:tr>
      <w:tr>
        <w:trPr>
          <w:trHeight w:val="208" w:hRule="exact"/>
        </w:trPr>
        <w:tc>
          <w:tcPr>
            <w:tcW w:w="999" w:type="dxa"/>
            <w:tcBorders>
              <w:top w:val="nil" w:sz="6" w:space="0" w:color="auto"/>
              <w:left w:val="nil" w:sz="6" w:space="0" w:color="auto"/>
              <w:bottom w:val="nil" w:sz="6" w:space="0" w:color="auto"/>
              <w:right w:val="single" w:sz="4" w:space="0" w:color="000000"/>
            </w:tcBorders>
          </w:tcPr>
          <w:p>
            <w:pPr/>
          </w:p>
        </w:tc>
        <w:tc>
          <w:tcPr>
            <w:tcW w:w="1738" w:type="dxa"/>
            <w:vMerge/>
            <w:tcBorders>
              <w:left w:val="single" w:sz="4" w:space="0" w:color="000000"/>
              <w:right w:val="single" w:sz="4" w:space="0" w:color="000000"/>
            </w:tcBorders>
          </w:tcPr>
          <w:p>
            <w:pPr/>
          </w:p>
        </w:tc>
        <w:tc>
          <w:tcPr>
            <w:tcW w:w="591"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102" w:right="0"/>
              <w:jc w:val="left"/>
              <w:rPr>
                <w:rFonts w:ascii="宋体" w:hAnsi="宋体" w:cs="宋体" w:eastAsia="宋体" w:hint="default"/>
                <w:sz w:val="16"/>
                <w:szCs w:val="16"/>
              </w:rPr>
            </w:pPr>
            <w:r>
              <w:rPr>
                <w:rFonts w:ascii="宋体" w:hAnsi="宋体" w:cs="宋体" w:eastAsia="宋体" w:hint="default"/>
                <w:sz w:val="16"/>
                <w:szCs w:val="16"/>
              </w:rPr>
              <w:t>获得的补</w:t>
            </w:r>
          </w:p>
        </w:tc>
        <w:tc>
          <w:tcPr>
            <w:tcW w:w="741" w:type="dxa"/>
            <w:tcBorders>
              <w:top w:val="nil" w:sz="6" w:space="0" w:color="auto"/>
              <w:left w:val="single" w:sz="4" w:space="0" w:color="000000"/>
              <w:bottom w:val="nil" w:sz="6" w:space="0" w:color="auto"/>
              <w:right w:val="single" w:sz="4" w:space="0" w:color="000000"/>
            </w:tcBorders>
          </w:tcPr>
          <w:p>
            <w:pPr/>
          </w:p>
        </w:tc>
        <w:tc>
          <w:tcPr>
            <w:tcW w:w="601" w:type="dxa"/>
            <w:tcBorders>
              <w:top w:val="nil" w:sz="6" w:space="0" w:color="auto"/>
              <w:left w:val="single" w:sz="4" w:space="0" w:color="000000"/>
              <w:bottom w:val="nil" w:sz="6" w:space="0" w:color="auto"/>
              <w:right w:val="single" w:sz="4" w:space="0" w:color="000000"/>
            </w:tcBorders>
          </w:tcPr>
          <w:p>
            <w:pPr/>
          </w:p>
        </w:tc>
        <w:tc>
          <w:tcPr>
            <w:tcW w:w="1069" w:type="dxa"/>
            <w:tcBorders>
              <w:top w:val="nil" w:sz="6" w:space="0" w:color="auto"/>
              <w:left w:val="single" w:sz="4" w:space="0" w:color="000000"/>
              <w:bottom w:val="nil" w:sz="6" w:space="0" w:color="auto"/>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nil" w:sz="6" w:space="0" w:color="auto"/>
            </w:tcBorders>
          </w:tcPr>
          <w:p>
            <w:pPr/>
          </w:p>
        </w:tc>
      </w:tr>
      <w:tr>
        <w:trPr>
          <w:trHeight w:val="214" w:hRule="exact"/>
        </w:trPr>
        <w:tc>
          <w:tcPr>
            <w:tcW w:w="999" w:type="dxa"/>
            <w:tcBorders>
              <w:top w:val="nil" w:sz="6" w:space="0" w:color="auto"/>
              <w:left w:val="nil" w:sz="6" w:space="0" w:color="auto"/>
              <w:bottom w:val="single" w:sz="4" w:space="0" w:color="000000"/>
              <w:right w:val="single" w:sz="4" w:space="0" w:color="000000"/>
            </w:tcBorders>
          </w:tcPr>
          <w:p>
            <w:pPr/>
          </w:p>
        </w:tc>
        <w:tc>
          <w:tcPr>
            <w:tcW w:w="1738" w:type="dxa"/>
            <w:vMerge/>
            <w:tcBorders>
              <w:left w:val="single" w:sz="4" w:space="0" w:color="000000"/>
              <w:bottom w:val="single" w:sz="4" w:space="0" w:color="000000"/>
              <w:right w:val="single" w:sz="4" w:space="0" w:color="000000"/>
            </w:tcBorders>
          </w:tcPr>
          <w:p>
            <w:pPr/>
          </w:p>
        </w:tc>
        <w:tc>
          <w:tcPr>
            <w:tcW w:w="591"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Style w:val="TableParagraph"/>
              <w:spacing w:line="185" w:lineRule="exact"/>
              <w:ind w:left="102" w:right="0"/>
              <w:jc w:val="left"/>
              <w:rPr>
                <w:rFonts w:ascii="宋体" w:hAnsi="宋体" w:cs="宋体" w:eastAsia="宋体" w:hint="default"/>
                <w:sz w:val="16"/>
                <w:szCs w:val="16"/>
              </w:rPr>
            </w:pPr>
            <w:r>
              <w:rPr>
                <w:rFonts w:ascii="宋体" w:hAnsi="宋体" w:cs="宋体" w:eastAsia="宋体" w:hint="default"/>
                <w:w w:val="100"/>
                <w:sz w:val="16"/>
                <w:szCs w:val="16"/>
              </w:rPr>
              <w:t>助</w:t>
            </w:r>
          </w:p>
        </w:tc>
        <w:tc>
          <w:tcPr>
            <w:tcW w:w="741" w:type="dxa"/>
            <w:tcBorders>
              <w:top w:val="nil" w:sz="6" w:space="0" w:color="auto"/>
              <w:left w:val="single" w:sz="4" w:space="0" w:color="000000"/>
              <w:bottom w:val="single" w:sz="4" w:space="0" w:color="000000"/>
              <w:right w:val="single" w:sz="4" w:space="0" w:color="000000"/>
            </w:tcBorders>
          </w:tcPr>
          <w:p>
            <w:pPr/>
          </w:p>
        </w:tc>
        <w:tc>
          <w:tcPr>
            <w:tcW w:w="601" w:type="dxa"/>
            <w:tcBorders>
              <w:top w:val="nil" w:sz="6" w:space="0" w:color="auto"/>
              <w:left w:val="single" w:sz="4" w:space="0" w:color="000000"/>
              <w:bottom w:val="single" w:sz="4" w:space="0" w:color="000000"/>
              <w:right w:val="single" w:sz="4" w:space="0" w:color="000000"/>
            </w:tcBorders>
          </w:tcPr>
          <w:p>
            <w:pPr/>
          </w:p>
        </w:tc>
        <w:tc>
          <w:tcPr>
            <w:tcW w:w="1069" w:type="dxa"/>
            <w:tcBorders>
              <w:top w:val="nil" w:sz="6" w:space="0" w:color="auto"/>
              <w:left w:val="single" w:sz="4" w:space="0" w:color="000000"/>
              <w:bottom w:val="single" w:sz="4" w:space="0" w:color="000000"/>
              <w:right w:val="single" w:sz="4" w:space="0" w:color="000000"/>
            </w:tcBorders>
          </w:tcPr>
          <w:p>
            <w:pPr/>
          </w:p>
        </w:tc>
        <w:tc>
          <w:tcPr>
            <w:tcW w:w="854"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nil" w:sz="6" w:space="0" w:color="auto"/>
            </w:tcBorders>
          </w:tcPr>
          <w:p>
            <w:pPr/>
          </w:p>
        </w:tc>
      </w:tr>
      <w:tr>
        <w:trPr>
          <w:trHeight w:val="488" w:hRule="exact"/>
        </w:trPr>
        <w:tc>
          <w:tcPr>
            <w:tcW w:w="99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4"/>
              <w:ind w:left="106"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738" w:type="dxa"/>
            <w:tcBorders>
              <w:top w:val="single" w:sz="4" w:space="0" w:color="000000"/>
              <w:left w:val="single" w:sz="4" w:space="0" w:color="000000"/>
              <w:bottom w:val="single" w:sz="12" w:space="0" w:color="000000"/>
              <w:right w:val="single" w:sz="4" w:space="0" w:color="000000"/>
            </w:tcBorders>
          </w:tcPr>
          <w:p>
            <w:pPr/>
          </w:p>
        </w:tc>
        <w:tc>
          <w:tcPr>
            <w:tcW w:w="591" w:type="dxa"/>
            <w:tcBorders>
              <w:top w:val="single" w:sz="4" w:space="0" w:color="000000"/>
              <w:left w:val="single" w:sz="4" w:space="0" w:color="000000"/>
              <w:bottom w:val="single" w:sz="12" w:space="0" w:color="000000"/>
              <w:right w:val="single" w:sz="4" w:space="0" w:color="000000"/>
            </w:tcBorders>
          </w:tcPr>
          <w:p>
            <w:pPr/>
          </w:p>
        </w:tc>
        <w:tc>
          <w:tcPr>
            <w:tcW w:w="919" w:type="dxa"/>
            <w:tcBorders>
              <w:top w:val="single" w:sz="4" w:space="0" w:color="000000"/>
              <w:left w:val="single" w:sz="4" w:space="0" w:color="000000"/>
              <w:bottom w:val="single" w:sz="12" w:space="0" w:color="000000"/>
              <w:right w:val="single" w:sz="4" w:space="0" w:color="000000"/>
            </w:tcBorders>
          </w:tcPr>
          <w:p>
            <w:pPr/>
          </w:p>
        </w:tc>
        <w:tc>
          <w:tcPr>
            <w:tcW w:w="741" w:type="dxa"/>
            <w:tcBorders>
              <w:top w:val="single" w:sz="4" w:space="0" w:color="000000"/>
              <w:left w:val="single" w:sz="4" w:space="0" w:color="000000"/>
              <w:bottom w:val="single" w:sz="12" w:space="0" w:color="000000"/>
              <w:right w:val="single" w:sz="4" w:space="0" w:color="000000"/>
            </w:tcBorders>
          </w:tcPr>
          <w:p>
            <w:pPr/>
          </w:p>
        </w:tc>
        <w:tc>
          <w:tcPr>
            <w:tcW w:w="601" w:type="dxa"/>
            <w:tcBorders>
              <w:top w:val="single" w:sz="4" w:space="0" w:color="000000"/>
              <w:left w:val="single" w:sz="4" w:space="0" w:color="000000"/>
              <w:bottom w:val="single" w:sz="12" w:space="0" w:color="000000"/>
              <w:right w:val="single" w:sz="4" w:space="0" w:color="000000"/>
            </w:tcBorders>
          </w:tcPr>
          <w:p>
            <w:pPr/>
          </w:p>
        </w:tc>
        <w:tc>
          <w:tcPr>
            <w:tcW w:w="10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8"/>
              <w:ind w:right="99"/>
              <w:jc w:val="right"/>
              <w:rPr>
                <w:rFonts w:ascii="Times New Roman" w:hAnsi="Times New Roman" w:cs="Times New Roman" w:eastAsia="Times New Roman" w:hint="default"/>
                <w:sz w:val="16"/>
                <w:szCs w:val="16"/>
              </w:rPr>
            </w:pPr>
            <w:r>
              <w:rPr>
                <w:rFonts w:ascii="Times New Roman"/>
                <w:spacing w:val="-1"/>
                <w:sz w:val="16"/>
              </w:rPr>
              <w:t>10,885,569.3</w:t>
            </w:r>
          </w:p>
          <w:p>
            <w:pPr>
              <w:pStyle w:val="TableParagraph"/>
              <w:spacing w:line="240" w:lineRule="auto" w:before="1"/>
              <w:ind w:right="101"/>
              <w:jc w:val="right"/>
              <w:rPr>
                <w:rFonts w:ascii="Times New Roman" w:hAnsi="Times New Roman" w:cs="Times New Roman" w:eastAsia="Times New Roman" w:hint="default"/>
                <w:sz w:val="16"/>
                <w:szCs w:val="16"/>
              </w:rPr>
            </w:pPr>
            <w:r>
              <w:rPr>
                <w:rFonts w:ascii="Times New Roman"/>
                <w:w w:val="100"/>
                <w:sz w:val="16"/>
              </w:rPr>
              <w:t>9</w:t>
            </w:r>
          </w:p>
        </w:tc>
        <w:tc>
          <w:tcPr>
            <w:tcW w:w="8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8"/>
              <w:ind w:left="180" w:right="0"/>
              <w:jc w:val="left"/>
              <w:rPr>
                <w:rFonts w:ascii="Times New Roman" w:hAnsi="Times New Roman" w:cs="Times New Roman" w:eastAsia="Times New Roman" w:hint="default"/>
                <w:sz w:val="16"/>
                <w:szCs w:val="16"/>
              </w:rPr>
            </w:pPr>
            <w:r>
              <w:rPr>
                <w:rFonts w:ascii="Times New Roman"/>
                <w:sz w:val="16"/>
              </w:rPr>
              <w:t>1,712,63</w:t>
            </w:r>
          </w:p>
          <w:p>
            <w:pPr>
              <w:pStyle w:val="TableParagraph"/>
              <w:spacing w:line="240" w:lineRule="auto" w:before="1"/>
              <w:ind w:left="461" w:right="0"/>
              <w:jc w:val="left"/>
              <w:rPr>
                <w:rFonts w:ascii="Times New Roman" w:hAnsi="Times New Roman" w:cs="Times New Roman" w:eastAsia="Times New Roman" w:hint="default"/>
                <w:sz w:val="16"/>
                <w:szCs w:val="16"/>
              </w:rPr>
            </w:pPr>
            <w:r>
              <w:rPr>
                <w:rFonts w:ascii="Times New Roman"/>
                <w:sz w:val="16"/>
              </w:rPr>
              <w:t>6.48</w:t>
            </w:r>
          </w:p>
        </w:tc>
        <w:tc>
          <w:tcPr>
            <w:tcW w:w="788" w:type="dxa"/>
            <w:tcBorders>
              <w:top w:val="single" w:sz="4" w:space="0" w:color="000000"/>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6"/>
          <w:szCs w:val="6"/>
        </w:rPr>
      </w:pPr>
    </w:p>
    <w:p>
      <w:pPr>
        <w:pStyle w:val="BodyText"/>
        <w:spacing w:line="369" w:lineRule="auto"/>
        <w:ind w:left="644" w:right="7775" w:firstLine="21"/>
        <w:jc w:val="left"/>
      </w:pPr>
      <w:r>
        <w:rPr/>
        <w:t>（</w:t>
      </w:r>
      <w:r>
        <w:rPr>
          <w:rFonts w:ascii="Times New Roman" w:hAnsi="Times New Roman" w:cs="Times New Roman" w:eastAsia="Times New Roman" w:hint="default"/>
        </w:rPr>
        <w:t>2</w:t>
      </w:r>
      <w:r>
        <w:rPr/>
        <w:t>）</w:t>
      </w:r>
      <w:r>
        <w:rPr>
          <w:spacing w:val="9"/>
        </w:rPr>
        <w:t> </w:t>
      </w:r>
      <w:bookmarkStart w:name="（2）政府补助明细" w:id="332"/>
      <w:bookmarkEnd w:id="332"/>
      <w:r>
        <w:rPr/>
        <w:t>政</w:t>
      </w:r>
      <w:r>
        <w:rPr/>
        <w:t>府补助明细</w:t>
      </w:r>
      <w:r>
        <w:rPr>
          <w:w w:val="100"/>
        </w:rPr>
        <w:t> </w:t>
      </w:r>
      <w:r>
        <w:rPr/>
        <w:t>50.</w:t>
      </w:r>
      <w:r>
        <w:rPr>
          <w:spacing w:val="-48"/>
        </w:rPr>
        <w:t> </w:t>
      </w:r>
      <w:bookmarkStart w:name="50.营业外支出" w:id="333"/>
      <w:bookmarkEnd w:id="333"/>
      <w:r>
        <w:rPr/>
        <w:t>营</w:t>
      </w:r>
      <w:r>
        <w:rPr/>
        <w:t>业外支出</w:t>
      </w:r>
    </w:p>
    <w:p>
      <w:pPr>
        <w:spacing w:line="240" w:lineRule="auto" w:before="3"/>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3084"/>
        <w:gridCol w:w="1879"/>
        <w:gridCol w:w="1881"/>
        <w:gridCol w:w="1879"/>
      </w:tblGrid>
      <w:tr>
        <w:trPr>
          <w:trHeight w:val="565" w:hRule="exact"/>
        </w:trPr>
        <w:tc>
          <w:tcPr>
            <w:tcW w:w="308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8"/>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7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8"/>
              <w:ind w:left="485"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88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8"/>
              <w:ind w:left="487"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c>
          <w:tcPr>
            <w:tcW w:w="1879"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7"/>
              <w:ind w:left="577" w:right="123" w:hanging="452"/>
              <w:jc w:val="left"/>
              <w:rPr>
                <w:rFonts w:ascii="宋体" w:hAnsi="宋体" w:cs="宋体" w:eastAsia="宋体" w:hint="default"/>
                <w:sz w:val="18"/>
                <w:szCs w:val="18"/>
              </w:rPr>
            </w:pPr>
            <w:r>
              <w:rPr>
                <w:rFonts w:ascii="宋体" w:hAnsi="宋体" w:cs="宋体" w:eastAsia="宋体" w:hint="default"/>
                <w:b/>
                <w:bCs/>
                <w:sz w:val="18"/>
                <w:szCs w:val="18"/>
              </w:rPr>
              <w:t>计入本年非经常性损</w:t>
            </w:r>
            <w:r>
              <w:rPr>
                <w:rFonts w:ascii="宋体" w:hAnsi="宋体" w:cs="宋体" w:eastAsia="宋体" w:hint="default"/>
                <w:b/>
                <w:bCs/>
                <w:w w:val="99"/>
                <w:sz w:val="18"/>
                <w:szCs w:val="18"/>
              </w:rPr>
              <w:t> </w:t>
            </w:r>
            <w:r>
              <w:rPr>
                <w:rFonts w:ascii="宋体" w:hAnsi="宋体" w:cs="宋体" w:eastAsia="宋体" w:hint="default"/>
                <w:b/>
                <w:bCs/>
                <w:sz w:val="18"/>
                <w:szCs w:val="18"/>
              </w:rPr>
              <w:t>益的金额</w:t>
            </w:r>
            <w:r>
              <w:rPr>
                <w:rFonts w:ascii="宋体" w:hAnsi="宋体" w:cs="宋体" w:eastAsia="宋体" w:hint="default"/>
                <w:sz w:val="18"/>
                <w:szCs w:val="18"/>
              </w:rPr>
            </w:r>
          </w:p>
        </w:tc>
      </w:tr>
      <w:tr>
        <w:trPr>
          <w:trHeight w:val="402" w:hRule="exact"/>
        </w:trPr>
        <w:tc>
          <w:tcPr>
            <w:tcW w:w="30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187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3,385,278.19</w:t>
            </w:r>
          </w:p>
        </w:tc>
        <w:tc>
          <w:tcPr>
            <w:tcW w:w="18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1,390,036.56</w:t>
            </w:r>
          </w:p>
        </w:tc>
        <w:tc>
          <w:tcPr>
            <w:tcW w:w="187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3,385,278.19</w:t>
            </w:r>
          </w:p>
        </w:tc>
      </w:tr>
      <w:tr>
        <w:trPr>
          <w:trHeight w:val="402" w:hRule="exact"/>
        </w:trPr>
        <w:tc>
          <w:tcPr>
            <w:tcW w:w="30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187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125,000.00</w:t>
            </w:r>
          </w:p>
        </w:tc>
        <w:tc>
          <w:tcPr>
            <w:tcW w:w="18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54,500.00</w:t>
            </w:r>
          </w:p>
        </w:tc>
        <w:tc>
          <w:tcPr>
            <w:tcW w:w="187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125,000.00</w:t>
            </w:r>
          </w:p>
        </w:tc>
      </w:tr>
      <w:tr>
        <w:trPr>
          <w:trHeight w:val="402" w:hRule="exact"/>
        </w:trPr>
        <w:tc>
          <w:tcPr>
            <w:tcW w:w="30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罚款支出</w:t>
            </w:r>
          </w:p>
        </w:tc>
        <w:tc>
          <w:tcPr>
            <w:tcW w:w="187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1,958,655.39</w:t>
            </w:r>
          </w:p>
        </w:tc>
        <w:tc>
          <w:tcPr>
            <w:tcW w:w="18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1,785,871.47</w:t>
            </w:r>
          </w:p>
        </w:tc>
        <w:tc>
          <w:tcPr>
            <w:tcW w:w="187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1,958,655.39</w:t>
            </w:r>
          </w:p>
        </w:tc>
      </w:tr>
      <w:tr>
        <w:trPr>
          <w:trHeight w:val="402" w:hRule="exact"/>
        </w:trPr>
        <w:tc>
          <w:tcPr>
            <w:tcW w:w="308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7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774,187.74</w:t>
            </w:r>
          </w:p>
        </w:tc>
        <w:tc>
          <w:tcPr>
            <w:tcW w:w="188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1,519,612.96</w:t>
            </w:r>
          </w:p>
        </w:tc>
        <w:tc>
          <w:tcPr>
            <w:tcW w:w="187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774,187.74</w:t>
            </w:r>
          </w:p>
        </w:tc>
      </w:tr>
      <w:tr>
        <w:trPr>
          <w:trHeight w:val="414" w:hRule="exact"/>
        </w:trPr>
        <w:tc>
          <w:tcPr>
            <w:tcW w:w="308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7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w w:val="95"/>
                <w:sz w:val="18"/>
              </w:rPr>
              <w:t>6,243,121.32</w:t>
            </w:r>
            <w:r>
              <w:rPr>
                <w:rFonts w:ascii="宋体"/>
                <w:sz w:val="18"/>
              </w:rPr>
            </w:r>
          </w:p>
        </w:tc>
        <w:tc>
          <w:tcPr>
            <w:tcW w:w="188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4,750,020.99</w:t>
            </w:r>
            <w:r>
              <w:rPr>
                <w:rFonts w:ascii="宋体"/>
                <w:sz w:val="18"/>
              </w:rPr>
            </w:r>
          </w:p>
        </w:tc>
        <w:tc>
          <w:tcPr>
            <w:tcW w:w="187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6"/>
              <w:jc w:val="right"/>
              <w:rPr>
                <w:rFonts w:ascii="宋体" w:hAnsi="宋体" w:cs="宋体" w:eastAsia="宋体" w:hint="default"/>
                <w:sz w:val="18"/>
                <w:szCs w:val="18"/>
              </w:rPr>
            </w:pPr>
            <w:r>
              <w:rPr>
                <w:rFonts w:ascii="宋体"/>
                <w:b/>
                <w:w w:val="95"/>
                <w:sz w:val="18"/>
              </w:rPr>
              <w:t>6,243,121.32</w:t>
            </w:r>
            <w:r>
              <w:rPr>
                <w:rFonts w:ascii="宋体"/>
                <w:sz w:val="18"/>
              </w:rPr>
            </w:r>
          </w:p>
        </w:tc>
      </w:tr>
    </w:tbl>
    <w:p>
      <w:pPr>
        <w:spacing w:line="240" w:lineRule="auto" w:before="0"/>
        <w:rPr>
          <w:rFonts w:ascii="宋体" w:hAnsi="宋体" w:cs="宋体" w:eastAsia="宋体" w:hint="default"/>
          <w:sz w:val="9"/>
          <w:szCs w:val="9"/>
        </w:rPr>
      </w:pPr>
    </w:p>
    <w:p>
      <w:pPr>
        <w:pStyle w:val="BodyText"/>
        <w:spacing w:line="240" w:lineRule="auto"/>
        <w:ind w:left="644" w:right="1445"/>
        <w:jc w:val="left"/>
      </w:pPr>
      <w:r>
        <w:rPr/>
        <w:t>51.</w:t>
      </w:r>
      <w:r>
        <w:rPr>
          <w:spacing w:val="-48"/>
        </w:rPr>
        <w:t> </w:t>
      </w:r>
      <w:bookmarkStart w:name="51.所得税费用" w:id="334"/>
      <w:bookmarkEnd w:id="334"/>
      <w:r>
        <w:rPr/>
        <w:t>所</w:t>
      </w:r>
      <w:r>
        <w:rPr/>
        <w:t>得税费用</w:t>
      </w:r>
    </w:p>
    <w:p>
      <w:pPr>
        <w:pStyle w:val="BodyText"/>
        <w:spacing w:line="240" w:lineRule="auto" w:before="192"/>
        <w:ind w:left="666" w:right="1445"/>
        <w:jc w:val="left"/>
      </w:pPr>
      <w:r>
        <w:rPr/>
        <w:t>（</w:t>
      </w:r>
      <w:r>
        <w:rPr>
          <w:rFonts w:ascii="Times New Roman" w:hAnsi="Times New Roman" w:cs="Times New Roman" w:eastAsia="Times New Roman" w:hint="default"/>
        </w:rPr>
        <w:t>1</w:t>
      </w:r>
      <w:r>
        <w:rPr/>
        <w:t>）</w:t>
      </w:r>
      <w:r>
        <w:rPr>
          <w:spacing w:val="11"/>
        </w:rPr>
        <w:t> </w:t>
      </w:r>
      <w:bookmarkStart w:name="（1）所得税费用" w:id="335"/>
      <w:bookmarkEnd w:id="335"/>
      <w:r>
        <w:rPr/>
        <w:t>所</w:t>
      </w:r>
      <w:r>
        <w:rPr/>
        <w:t>得税费用</w:t>
      </w:r>
    </w:p>
    <w:p>
      <w:pPr>
        <w:spacing w:line="240" w:lineRule="auto" w:before="2"/>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4077"/>
        <w:gridCol w:w="2324"/>
        <w:gridCol w:w="2322"/>
      </w:tblGrid>
      <w:tr>
        <w:trPr>
          <w:trHeight w:val="415" w:hRule="exact"/>
        </w:trPr>
        <w:tc>
          <w:tcPr>
            <w:tcW w:w="407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2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709"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32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708"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0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当年所得税费用</w:t>
            </w:r>
          </w:p>
        </w:tc>
        <w:tc>
          <w:tcPr>
            <w:tcW w:w="23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26,825,610.49</w:t>
            </w:r>
          </w:p>
        </w:tc>
        <w:tc>
          <w:tcPr>
            <w:tcW w:w="232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15,592,424.81</w:t>
            </w:r>
          </w:p>
        </w:tc>
      </w:tr>
      <w:tr>
        <w:trPr>
          <w:trHeight w:val="400" w:hRule="exact"/>
        </w:trPr>
        <w:tc>
          <w:tcPr>
            <w:tcW w:w="40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23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-4,600,637.04</w:t>
            </w:r>
          </w:p>
        </w:tc>
        <w:tc>
          <w:tcPr>
            <w:tcW w:w="232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-13,173,832.29</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077"/>
        <w:gridCol w:w="2324"/>
        <w:gridCol w:w="2322"/>
      </w:tblGrid>
      <w:tr>
        <w:trPr>
          <w:trHeight w:val="415" w:hRule="exact"/>
        </w:trPr>
        <w:tc>
          <w:tcPr>
            <w:tcW w:w="407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2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709"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32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708"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14" w:hRule="exact"/>
        </w:trPr>
        <w:tc>
          <w:tcPr>
            <w:tcW w:w="407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2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1042" w:right="0"/>
              <w:jc w:val="left"/>
              <w:rPr>
                <w:rFonts w:ascii="宋体" w:hAnsi="宋体" w:cs="宋体" w:eastAsia="宋体" w:hint="default"/>
                <w:sz w:val="18"/>
                <w:szCs w:val="18"/>
              </w:rPr>
            </w:pPr>
            <w:r>
              <w:rPr>
                <w:rFonts w:ascii="宋体"/>
                <w:b/>
                <w:sz w:val="18"/>
              </w:rPr>
              <w:t>22,224,973.45</w:t>
            </w:r>
            <w:r>
              <w:rPr>
                <w:rFonts w:ascii="宋体"/>
                <w:sz w:val="18"/>
              </w:rPr>
            </w:r>
          </w:p>
        </w:tc>
        <w:tc>
          <w:tcPr>
            <w:tcW w:w="232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1130" w:right="0"/>
              <w:jc w:val="left"/>
              <w:rPr>
                <w:rFonts w:ascii="宋体" w:hAnsi="宋体" w:cs="宋体" w:eastAsia="宋体" w:hint="default"/>
                <w:sz w:val="18"/>
                <w:szCs w:val="18"/>
              </w:rPr>
            </w:pPr>
            <w:r>
              <w:rPr>
                <w:rFonts w:ascii="宋体"/>
                <w:b/>
                <w:sz w:val="18"/>
              </w:rPr>
              <w:t>2,418,592.52</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5"/>
        </w:rPr>
        <w:t> </w:t>
      </w:r>
      <w:bookmarkStart w:name="（2）会计利润与所得税费用调整过程" w:id="336"/>
      <w:bookmarkEnd w:id="336"/>
      <w:r>
        <w:rPr/>
        <w:t>会</w:t>
      </w:r>
      <w:r>
        <w:rPr/>
        <w:t>计利润与所得税费用调整过程</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6345"/>
        <w:gridCol w:w="2378"/>
      </w:tblGrid>
      <w:tr>
        <w:trPr>
          <w:trHeight w:val="415" w:hRule="exact"/>
        </w:trPr>
        <w:tc>
          <w:tcPr>
            <w:tcW w:w="634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7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735"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本年合并利润总额</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255,109,735.00</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按法定/适用税率计算的所得税费用</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38,266,460.25</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-11,155,758.67</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-2,342,922.97</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-9,011,178.10</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13,914,880.95</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-9,292,515.51</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本年未确认递延所得税资产的可抵扣暂时性差异或可抵扣亏损的影响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30,320,789.02</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福利企业残疾人加计扣除的影响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-5,272,074.58</w:t>
            </w:r>
          </w:p>
        </w:tc>
      </w:tr>
      <w:tr>
        <w:trPr>
          <w:trHeight w:val="402" w:hRule="exact"/>
        </w:trPr>
        <w:tc>
          <w:tcPr>
            <w:tcW w:w="634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研发费用加计扣除的影响</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-23,202,706.94</w:t>
            </w:r>
          </w:p>
        </w:tc>
      </w:tr>
      <w:tr>
        <w:trPr>
          <w:trHeight w:val="414" w:hRule="exact"/>
        </w:trPr>
        <w:tc>
          <w:tcPr>
            <w:tcW w:w="634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37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22,224,973.45</w:t>
            </w:r>
          </w:p>
        </w:tc>
      </w:tr>
    </w:tbl>
    <w:p>
      <w:pPr>
        <w:spacing w:line="240" w:lineRule="auto" w:before="2"/>
        <w:rPr>
          <w:rFonts w:ascii="宋体" w:hAnsi="宋体" w:cs="宋体" w:eastAsia="宋体" w:hint="default"/>
          <w:sz w:val="9"/>
          <w:szCs w:val="9"/>
        </w:rPr>
      </w:pPr>
    </w:p>
    <w:p>
      <w:pPr>
        <w:pStyle w:val="BodyText"/>
        <w:spacing w:line="240" w:lineRule="auto"/>
        <w:ind w:left="644" w:right="1445"/>
        <w:jc w:val="left"/>
      </w:pPr>
      <w:r>
        <w:rPr/>
        <w:t>52.</w:t>
      </w:r>
      <w:r>
        <w:rPr>
          <w:spacing w:val="-50"/>
        </w:rPr>
        <w:t> </w:t>
      </w:r>
      <w:bookmarkStart w:name="52.其他综合收益" w:id="337"/>
      <w:bookmarkEnd w:id="337"/>
      <w:r>
        <w:rPr/>
        <w:t>其</w:t>
      </w:r>
      <w:r>
        <w:rPr/>
        <w:t>他综合收益</w:t>
      </w:r>
    </w:p>
    <w:p>
      <w:pPr>
        <w:pStyle w:val="BodyText"/>
        <w:spacing w:line="400" w:lineRule="auto" w:before="192"/>
        <w:ind w:left="644" w:right="5139" w:hanging="20"/>
        <w:jc w:val="left"/>
      </w:pPr>
      <w:r>
        <w:rPr/>
        <w:t>详见本附注“八、34</w:t>
      </w:r>
      <w:r>
        <w:rPr>
          <w:spacing w:val="-64"/>
        </w:rPr>
        <w:t> </w:t>
      </w:r>
      <w:r>
        <w:rPr/>
        <w:t>其他综合收益”相关内容。</w:t>
      </w:r>
      <w:r>
        <w:rPr>
          <w:w w:val="100"/>
        </w:rPr>
        <w:t> </w:t>
      </w:r>
      <w:r>
        <w:rPr/>
        <w:t>53.</w:t>
      </w:r>
      <w:r>
        <w:rPr>
          <w:spacing w:val="-50"/>
        </w:rPr>
        <w:t> </w:t>
      </w:r>
      <w:bookmarkStart w:name="53.现金流量表项目" w:id="338"/>
      <w:bookmarkEnd w:id="338"/>
      <w:r>
        <w:rPr/>
        <w:t>现</w:t>
      </w:r>
      <w:r>
        <w:rPr/>
        <w:t>金流量表项目</w:t>
      </w:r>
    </w:p>
    <w:p>
      <w:pPr>
        <w:pStyle w:val="BodyText"/>
        <w:spacing w:line="379" w:lineRule="auto" w:before="44"/>
        <w:ind w:left="940" w:right="4153" w:hanging="274"/>
        <w:jc w:val="left"/>
      </w:pPr>
      <w:r>
        <w:rPr/>
        <w:t>（</w:t>
      </w:r>
      <w:r>
        <w:rPr>
          <w:rFonts w:ascii="Times New Roman" w:hAnsi="Times New Roman" w:cs="Times New Roman" w:eastAsia="Times New Roman" w:hint="default"/>
        </w:rPr>
        <w:t>1</w:t>
      </w:r>
      <w:r>
        <w:rPr/>
        <w:t>） </w:t>
      </w:r>
      <w:bookmarkStart w:name="（1）收到/支付的其他与经营/投资/筹资活动有关的现金" w:id="339"/>
      <w:bookmarkEnd w:id="339"/>
      <w:r>
        <w:rPr/>
        <w:t>收</w:t>
      </w:r>
      <w:r>
        <w:rPr/>
        <w:t>到/支付的其他与经营/投资/筹资活动有关的现金</w:t>
      </w:r>
      <w:r>
        <w:rPr>
          <w:w w:val="100"/>
        </w:rPr>
        <w:t> </w:t>
      </w:r>
      <w:r>
        <w:rPr/>
        <w:t>1）</w:t>
      </w:r>
      <w:r>
        <w:rPr>
          <w:spacing w:val="-50"/>
        </w:rPr>
        <w:t> </w:t>
      </w:r>
      <w:r>
        <w:rPr/>
        <w:t>收到的其他与经营活动有关的现金</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4140"/>
        <w:gridCol w:w="2291"/>
        <w:gridCol w:w="2292"/>
      </w:tblGrid>
      <w:tr>
        <w:trPr>
          <w:trHeight w:val="415" w:hRule="exact"/>
        </w:trPr>
        <w:tc>
          <w:tcPr>
            <w:tcW w:w="41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92"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7,239,347.08</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3,926,232.31</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财政补助</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23,598,243.33</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10,248,727.04</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174,798,939.87</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166,134,089.77</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收到往来款</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6,968,855.15</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5,571,077.48</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28,107,070.40</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33,063,601.00</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代收代付款</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78,413,263.00</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14,101,375.98</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6,874,898.83</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2,011,711.30</w:t>
            </w:r>
          </w:p>
        </w:tc>
      </w:tr>
      <w:tr>
        <w:trPr>
          <w:trHeight w:val="414" w:hRule="exact"/>
        </w:trPr>
        <w:tc>
          <w:tcPr>
            <w:tcW w:w="41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sz w:val="18"/>
              </w:rPr>
              <w:t>326,000,617.66</w:t>
            </w:r>
            <w:r>
              <w:rPr>
                <w:rFonts w:ascii="宋体"/>
                <w:sz w:val="18"/>
              </w:rPr>
            </w:r>
          </w:p>
        </w:tc>
        <w:tc>
          <w:tcPr>
            <w:tcW w:w="229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sz w:val="18"/>
              </w:rPr>
              <w:t>235,056,814.88</w:t>
            </w:r>
            <w:r>
              <w:rPr>
                <w:rFonts w:ascii="宋体"/>
                <w:sz w:val="18"/>
              </w:rPr>
            </w:r>
          </w:p>
        </w:tc>
      </w:tr>
    </w:tbl>
    <w:p>
      <w:pPr>
        <w:spacing w:after="0" w:line="240" w:lineRule="auto"/>
        <w:jc w:val="right"/>
        <w:rPr>
          <w:rFonts w:ascii="宋体" w:hAnsi="宋体" w:cs="宋体" w:eastAsia="宋体" w:hint="default"/>
          <w:sz w:val="18"/>
          <w:szCs w:val="18"/>
        </w:rPr>
        <w:sectPr>
          <w:footerReference w:type="default" r:id="rId67"/>
          <w:pgSz w:w="11910" w:h="16840"/>
          <w:pgMar w:footer="883" w:header="939" w:top="1940" w:bottom="1080" w:left="1460" w:right="0"/>
          <w:pgNumType w:start="150"/>
        </w:sectPr>
      </w:pPr>
    </w:p>
    <w:p>
      <w:pPr>
        <w:spacing w:line="240" w:lineRule="auto" w:before="13"/>
        <w:rPr>
          <w:rFonts w:ascii="宋体" w:hAnsi="宋体" w:cs="宋体" w:eastAsia="宋体" w:hint="default"/>
          <w:sz w:val="12"/>
          <w:szCs w:val="12"/>
        </w:rPr>
      </w:pPr>
    </w:p>
    <w:p>
      <w:pPr>
        <w:pStyle w:val="BodyText"/>
        <w:spacing w:line="240" w:lineRule="auto"/>
        <w:ind w:left="937" w:right="1445"/>
        <w:jc w:val="left"/>
      </w:pPr>
      <w:r>
        <w:rPr/>
        <w:t>2）</w:t>
      </w:r>
      <w:r>
        <w:rPr>
          <w:spacing w:val="-48"/>
        </w:rPr>
        <w:t> </w:t>
      </w:r>
      <w:r>
        <w:rPr/>
        <w:t>支付的其他与经营活动有关的现金</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140"/>
        <w:gridCol w:w="2291"/>
        <w:gridCol w:w="2292"/>
      </w:tblGrid>
      <w:tr>
        <w:trPr>
          <w:trHeight w:val="415" w:hRule="exact"/>
        </w:trPr>
        <w:tc>
          <w:tcPr>
            <w:tcW w:w="41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92"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期间费用</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593,890,674.30</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477,461,173.41</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33,752,614.90</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29,430,976.91</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156,603,834.04</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172,594,797.60</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业务员备用金</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6,854,596.18</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2,893,667.90</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494,546.45</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623,481.83</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代收代付款</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1,281,785.89</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3,581,383.59</w:t>
            </w:r>
          </w:p>
        </w:tc>
      </w:tr>
      <w:tr>
        <w:trPr>
          <w:trHeight w:val="414" w:hRule="exact"/>
        </w:trPr>
        <w:tc>
          <w:tcPr>
            <w:tcW w:w="41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sz w:val="18"/>
              </w:rPr>
              <w:t>792,878,051.76</w:t>
            </w:r>
            <w:r>
              <w:rPr>
                <w:rFonts w:ascii="宋体"/>
                <w:sz w:val="18"/>
              </w:rPr>
            </w:r>
          </w:p>
        </w:tc>
        <w:tc>
          <w:tcPr>
            <w:tcW w:w="229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686,585,481.24</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937" w:right="1445"/>
        <w:jc w:val="left"/>
      </w:pPr>
      <w:r>
        <w:rPr/>
        <w:t>3）</w:t>
      </w:r>
      <w:r>
        <w:rPr>
          <w:spacing w:val="-48"/>
        </w:rPr>
        <w:t> </w:t>
      </w:r>
      <w:r>
        <w:rPr/>
        <w:t>收到的其他与投资活动有关的现金</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140"/>
        <w:gridCol w:w="2291"/>
        <w:gridCol w:w="2292"/>
      </w:tblGrid>
      <w:tr>
        <w:trPr>
          <w:trHeight w:val="415" w:hRule="exact"/>
        </w:trPr>
        <w:tc>
          <w:tcPr>
            <w:tcW w:w="41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92"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银行理财产品赎回</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7,524,694,333.09</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1,092,000,000.00</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赎回期货保证金</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543,735,219.94</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409,542,153.10</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4,135.78</w:t>
            </w:r>
          </w:p>
        </w:tc>
        <w:tc>
          <w:tcPr>
            <w:tcW w:w="2292"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41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8,068,433,688.81</w:t>
            </w:r>
            <w:r>
              <w:rPr>
                <w:rFonts w:ascii="宋体"/>
                <w:sz w:val="18"/>
              </w:rPr>
            </w:r>
          </w:p>
        </w:tc>
        <w:tc>
          <w:tcPr>
            <w:tcW w:w="229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1,501,542,153.10</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937" w:right="1445"/>
        <w:jc w:val="left"/>
      </w:pPr>
      <w:r>
        <w:rPr/>
        <w:t>4）</w:t>
      </w:r>
      <w:r>
        <w:rPr>
          <w:spacing w:val="-48"/>
        </w:rPr>
        <w:t> </w:t>
      </w:r>
      <w:r>
        <w:rPr/>
        <w:t>支付的其他与投资活动有关的现金</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140"/>
        <w:gridCol w:w="2291"/>
        <w:gridCol w:w="2292"/>
      </w:tblGrid>
      <w:tr>
        <w:trPr>
          <w:trHeight w:val="415" w:hRule="exact"/>
        </w:trPr>
        <w:tc>
          <w:tcPr>
            <w:tcW w:w="41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5"/>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5"/>
              <w:ind w:left="69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5"/>
              <w:ind w:left="692"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银行理财产品申购</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7,459,694,333.06</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1,047,700,000.00</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期货保证金</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480,658,748.00</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481,866,074.60</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套期损益</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20,774,650.00</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51,153,183.66</w:t>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套期手续费</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3"/>
              <w:jc w:val="right"/>
              <w:rPr>
                <w:rFonts w:ascii="宋体" w:hAnsi="宋体" w:cs="宋体" w:eastAsia="宋体" w:hint="default"/>
                <w:sz w:val="18"/>
                <w:szCs w:val="18"/>
              </w:rPr>
            </w:pPr>
            <w:r>
              <w:rPr>
                <w:rFonts w:ascii="宋体"/>
                <w:spacing w:val="-1"/>
                <w:sz w:val="18"/>
              </w:rPr>
              <w:t>575,947.15</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444,402.94</w:t>
            </w:r>
          </w:p>
        </w:tc>
      </w:tr>
      <w:tr>
        <w:trPr>
          <w:trHeight w:val="414" w:hRule="exact"/>
        </w:trPr>
        <w:tc>
          <w:tcPr>
            <w:tcW w:w="41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1"/>
              <w:jc w:val="right"/>
              <w:rPr>
                <w:rFonts w:ascii="宋体" w:hAnsi="宋体" w:cs="宋体" w:eastAsia="宋体" w:hint="default"/>
                <w:sz w:val="18"/>
                <w:szCs w:val="18"/>
              </w:rPr>
            </w:pPr>
            <w:r>
              <w:rPr>
                <w:rFonts w:ascii="宋体"/>
                <w:b/>
                <w:w w:val="95"/>
                <w:sz w:val="18"/>
              </w:rPr>
              <w:t>7,961,703,678.21</w:t>
            </w:r>
            <w:r>
              <w:rPr>
                <w:rFonts w:ascii="宋体"/>
                <w:sz w:val="18"/>
              </w:rPr>
            </w:r>
          </w:p>
        </w:tc>
        <w:tc>
          <w:tcPr>
            <w:tcW w:w="229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1,581,163,661.20</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937" w:right="1445"/>
        <w:jc w:val="left"/>
      </w:pPr>
      <w:r>
        <w:rPr/>
        <w:t>5）</w:t>
      </w:r>
      <w:r>
        <w:rPr>
          <w:spacing w:val="-48"/>
        </w:rPr>
        <w:t> </w:t>
      </w:r>
      <w:r>
        <w:rPr/>
        <w:t>收到的其他与筹资活动有关的现金</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140"/>
        <w:gridCol w:w="2291"/>
        <w:gridCol w:w="2292"/>
      </w:tblGrid>
      <w:tr>
        <w:trPr>
          <w:trHeight w:val="415" w:hRule="exact"/>
        </w:trPr>
        <w:tc>
          <w:tcPr>
            <w:tcW w:w="41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69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692"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银行保证金减少额</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15,183,295.95</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5,288,822.85</w:t>
            </w:r>
          </w:p>
        </w:tc>
      </w:tr>
      <w:tr>
        <w:trPr>
          <w:trHeight w:val="414" w:hRule="exact"/>
        </w:trPr>
        <w:tc>
          <w:tcPr>
            <w:tcW w:w="41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1"/>
              <w:jc w:val="right"/>
              <w:rPr>
                <w:rFonts w:ascii="宋体" w:hAnsi="宋体" w:cs="宋体" w:eastAsia="宋体" w:hint="default"/>
                <w:sz w:val="18"/>
                <w:szCs w:val="18"/>
              </w:rPr>
            </w:pPr>
            <w:r>
              <w:rPr>
                <w:rFonts w:ascii="宋体"/>
                <w:b/>
                <w:w w:val="95"/>
                <w:sz w:val="18"/>
              </w:rPr>
              <w:t>15,183,295.95</w:t>
            </w:r>
            <w:r>
              <w:rPr>
                <w:rFonts w:ascii="宋体"/>
                <w:sz w:val="18"/>
              </w:rPr>
            </w:r>
          </w:p>
        </w:tc>
        <w:tc>
          <w:tcPr>
            <w:tcW w:w="229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6"/>
              <w:jc w:val="right"/>
              <w:rPr>
                <w:rFonts w:ascii="宋体" w:hAnsi="宋体" w:cs="宋体" w:eastAsia="宋体" w:hint="default"/>
                <w:sz w:val="18"/>
                <w:szCs w:val="18"/>
              </w:rPr>
            </w:pPr>
            <w:r>
              <w:rPr>
                <w:rFonts w:ascii="宋体"/>
                <w:b/>
                <w:w w:val="95"/>
                <w:sz w:val="18"/>
              </w:rPr>
              <w:t>5,288,822.85</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937" w:right="1445"/>
        <w:jc w:val="left"/>
      </w:pPr>
      <w:r>
        <w:rPr/>
        <w:t>6）</w:t>
      </w:r>
      <w:r>
        <w:rPr>
          <w:spacing w:val="-48"/>
        </w:rPr>
        <w:t> </w:t>
      </w:r>
      <w:r>
        <w:rPr/>
        <w:t>支付的其他与筹资活动有关的现金</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140"/>
        <w:gridCol w:w="2291"/>
        <w:gridCol w:w="2292"/>
      </w:tblGrid>
      <w:tr>
        <w:trPr>
          <w:trHeight w:val="415" w:hRule="exact"/>
        </w:trPr>
        <w:tc>
          <w:tcPr>
            <w:tcW w:w="41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69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left="692"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银行保证金增加额</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11,480,034.81</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182,721,290.62</w:t>
            </w:r>
          </w:p>
        </w:tc>
      </w:tr>
      <w:tr>
        <w:trPr>
          <w:trHeight w:val="400" w:hRule="exact"/>
        </w:trPr>
        <w:tc>
          <w:tcPr>
            <w:tcW w:w="41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银行借款保理费用</w:t>
            </w:r>
          </w:p>
        </w:tc>
        <w:tc>
          <w:tcPr>
            <w:tcW w:w="229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21,883.06</w:t>
            </w:r>
          </w:p>
        </w:tc>
        <w:tc>
          <w:tcPr>
            <w:tcW w:w="229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648,651.26</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140"/>
        <w:gridCol w:w="2291"/>
        <w:gridCol w:w="2292"/>
      </w:tblGrid>
      <w:tr>
        <w:trPr>
          <w:trHeight w:val="415" w:hRule="exact"/>
        </w:trPr>
        <w:tc>
          <w:tcPr>
            <w:tcW w:w="414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9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29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692"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14" w:hRule="exact"/>
        </w:trPr>
        <w:tc>
          <w:tcPr>
            <w:tcW w:w="41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9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1011" w:right="0"/>
              <w:jc w:val="left"/>
              <w:rPr>
                <w:rFonts w:ascii="宋体" w:hAnsi="宋体" w:cs="宋体" w:eastAsia="宋体" w:hint="default"/>
                <w:sz w:val="18"/>
                <w:szCs w:val="18"/>
              </w:rPr>
            </w:pPr>
            <w:r>
              <w:rPr>
                <w:rFonts w:ascii="宋体"/>
                <w:b/>
                <w:sz w:val="18"/>
              </w:rPr>
              <w:t>11,501,917.87</w:t>
            </w:r>
            <w:r>
              <w:rPr>
                <w:rFonts w:ascii="宋体"/>
                <w:sz w:val="18"/>
              </w:rPr>
            </w:r>
          </w:p>
        </w:tc>
        <w:tc>
          <w:tcPr>
            <w:tcW w:w="229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920" w:right="0"/>
              <w:jc w:val="left"/>
              <w:rPr>
                <w:rFonts w:ascii="宋体" w:hAnsi="宋体" w:cs="宋体" w:eastAsia="宋体" w:hint="default"/>
                <w:sz w:val="18"/>
                <w:szCs w:val="18"/>
              </w:rPr>
            </w:pPr>
            <w:r>
              <w:rPr>
                <w:rFonts w:ascii="宋体"/>
                <w:b/>
                <w:sz w:val="18"/>
              </w:rPr>
              <w:t>183,369,941.88</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7"/>
        </w:rPr>
        <w:t> </w:t>
      </w:r>
      <w:bookmarkStart w:name="（2）合并现金流量表补充资料" w:id="340"/>
      <w:bookmarkEnd w:id="340"/>
      <w:r>
        <w:rPr/>
        <w:t>合</w:t>
      </w:r>
      <w:r>
        <w:rPr/>
        <w:t>并现金流量表补充资料</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4623"/>
        <w:gridCol w:w="2170"/>
        <w:gridCol w:w="1930"/>
      </w:tblGrid>
      <w:tr>
        <w:trPr>
          <w:trHeight w:val="415" w:hRule="exact"/>
        </w:trPr>
        <w:tc>
          <w:tcPr>
            <w:tcW w:w="462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21"/>
              <w:ind w:left="53" w:right="0"/>
              <w:jc w:val="left"/>
              <w:rPr>
                <w:rFonts w:ascii="宋体" w:hAnsi="宋体" w:cs="宋体" w:eastAsia="宋体" w:hint="default"/>
                <w:sz w:val="22"/>
                <w:szCs w:val="22"/>
              </w:rPr>
            </w:pPr>
            <w:r>
              <w:rPr>
                <w:rFonts w:ascii="宋体" w:hAnsi="宋体" w:cs="宋体" w:eastAsia="宋体" w:hint="default"/>
                <w:b/>
                <w:bCs/>
                <w:sz w:val="22"/>
                <w:szCs w:val="22"/>
              </w:rPr>
              <w:t>项目</w:t>
            </w:r>
            <w:r>
              <w:rPr>
                <w:rFonts w:ascii="宋体" w:hAnsi="宋体" w:cs="宋体" w:eastAsia="宋体" w:hint="default"/>
                <w:sz w:val="22"/>
                <w:szCs w:val="22"/>
              </w:rPr>
            </w:r>
          </w:p>
        </w:tc>
        <w:tc>
          <w:tcPr>
            <w:tcW w:w="217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1"/>
              <w:ind w:left="643" w:right="0"/>
              <w:jc w:val="left"/>
              <w:rPr>
                <w:rFonts w:ascii="宋体" w:hAnsi="宋体" w:cs="宋体" w:eastAsia="宋体" w:hint="default"/>
                <w:sz w:val="22"/>
                <w:szCs w:val="22"/>
              </w:rPr>
            </w:pPr>
            <w:r>
              <w:rPr>
                <w:rFonts w:ascii="宋体" w:hAnsi="宋体" w:cs="宋体" w:eastAsia="宋体" w:hint="default"/>
                <w:b/>
                <w:bCs/>
                <w:sz w:val="22"/>
                <w:szCs w:val="22"/>
              </w:rPr>
              <w:t>本年金额</w:t>
            </w:r>
            <w:r>
              <w:rPr>
                <w:rFonts w:ascii="宋体" w:hAnsi="宋体" w:cs="宋体" w:eastAsia="宋体" w:hint="default"/>
                <w:sz w:val="22"/>
                <w:szCs w:val="22"/>
              </w:rPr>
            </w:r>
          </w:p>
        </w:tc>
        <w:tc>
          <w:tcPr>
            <w:tcW w:w="1930"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21"/>
              <w:ind w:left="522" w:right="0"/>
              <w:jc w:val="left"/>
              <w:rPr>
                <w:rFonts w:ascii="宋体" w:hAnsi="宋体" w:cs="宋体" w:eastAsia="宋体" w:hint="default"/>
                <w:sz w:val="22"/>
                <w:szCs w:val="22"/>
              </w:rPr>
            </w:pPr>
            <w:r>
              <w:rPr>
                <w:rFonts w:ascii="宋体" w:hAnsi="宋体" w:cs="宋体" w:eastAsia="宋体" w:hint="default"/>
                <w:b/>
                <w:bCs/>
                <w:sz w:val="22"/>
                <w:szCs w:val="22"/>
              </w:rPr>
              <w:t>上年金额</w:t>
            </w:r>
            <w:r>
              <w:rPr>
                <w:rFonts w:ascii="宋体" w:hAnsi="宋体" w:cs="宋体" w:eastAsia="宋体" w:hint="default"/>
                <w:sz w:val="22"/>
                <w:szCs w:val="22"/>
              </w:rPr>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9"/>
              <w:ind w:left="53" w:right="0"/>
              <w:jc w:val="left"/>
              <w:rPr>
                <w:rFonts w:ascii="宋体" w:hAnsi="宋体" w:cs="宋体" w:eastAsia="宋体" w:hint="default"/>
                <w:sz w:val="22"/>
                <w:szCs w:val="22"/>
              </w:rPr>
            </w:pPr>
            <w:r>
              <w:rPr>
                <w:rFonts w:ascii="宋体" w:hAnsi="宋体" w:cs="宋体" w:eastAsia="宋体" w:hint="default"/>
                <w:b/>
                <w:bCs/>
                <w:sz w:val="22"/>
                <w:szCs w:val="22"/>
              </w:rPr>
              <w:t>1.将净利润调节为经营活动现金流量：</w:t>
            </w:r>
            <w:r>
              <w:rPr>
                <w:rFonts w:ascii="宋体" w:hAnsi="宋体" w:cs="宋体" w:eastAsia="宋体" w:hint="default"/>
                <w:sz w:val="22"/>
                <w:szCs w:val="22"/>
              </w:rPr>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232,884,761.55</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115,198,239.50</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113,751,397.34</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83,873,721.02</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135,322,103.15</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109,840,020.22</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413"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12,147,804.84</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9,666,563.91</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7,085,368.00</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8,491,400.24</w:t>
            </w:r>
          </w:p>
        </w:tc>
      </w:tr>
      <w:tr>
        <w:trPr>
          <w:trHeight w:val="55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32" w:lineRule="exact" w:before="37"/>
              <w:ind w:left="53" w:right="5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 益以“-”填列）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102"/>
              <w:jc w:val="right"/>
              <w:rPr>
                <w:rFonts w:ascii="宋体" w:hAnsi="宋体" w:cs="宋体" w:eastAsia="宋体" w:hint="default"/>
                <w:sz w:val="18"/>
                <w:szCs w:val="18"/>
              </w:rPr>
            </w:pPr>
            <w:r>
              <w:rPr>
                <w:rFonts w:ascii="宋体"/>
                <w:spacing w:val="-1"/>
                <w:sz w:val="18"/>
              </w:rPr>
              <w:t>2,919,377.56</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105"/>
              <w:jc w:val="right"/>
              <w:rPr>
                <w:rFonts w:ascii="宋体" w:hAnsi="宋体" w:cs="宋体" w:eastAsia="宋体" w:hint="default"/>
                <w:sz w:val="18"/>
                <w:szCs w:val="18"/>
              </w:rPr>
            </w:pPr>
            <w:r>
              <w:rPr>
                <w:rFonts w:ascii="宋体"/>
                <w:spacing w:val="-1"/>
                <w:sz w:val="18"/>
              </w:rPr>
              <w:t>1,042,270.13</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3,297,508.26</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1,389,211.56</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公允价值变动损益（收益以“-”填列）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-2,775,219.73</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7,723,632.34</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财务费用（收益以“-”填列）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71,708,825.08</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83,073,081.88</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投资损失（收益以“-”填列）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-10,596,214.28</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2,194,266.72</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递延所得税资产的减少（增加以“-”填列）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-7,625,022.95</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-14,087,153.66</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递延所得税负债的增加（减少以“-”填列）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3,024,385.91</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525,887.71</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存货的减少（增加以“-”填列）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191,452,816.30</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-83,141,864.84</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-350,778,255.51</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-54,944,607.60</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经营性应付项目的增加（减少以“-”填列）</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470,348,038.00</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367,726,617.80</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872,167,673.52</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638,571,286.93</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2.不涉及现金收支的重大投资和筹资活动：</w:t>
            </w:r>
            <w:r>
              <w:rPr>
                <w:rFonts w:ascii="宋体" w:hAnsi="宋体" w:cs="宋体" w:eastAsia="宋体" w:hint="default"/>
                <w:sz w:val="18"/>
                <w:szCs w:val="18"/>
              </w:rPr>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3.现金及现金等价物净变动情况：</w:t>
            </w:r>
            <w:r>
              <w:rPr>
                <w:rFonts w:ascii="宋体" w:hAnsi="宋体" w:cs="宋体" w:eastAsia="宋体" w:hint="default"/>
                <w:sz w:val="18"/>
                <w:szCs w:val="18"/>
              </w:rPr>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现金的年末余额</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930,356,057.07</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670,797,853.58</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217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670,797,853.58</w:t>
            </w:r>
          </w:p>
        </w:tc>
        <w:tc>
          <w:tcPr>
            <w:tcW w:w="193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897,951,779.11</w:t>
            </w:r>
          </w:p>
        </w:tc>
      </w:tr>
      <w:tr>
        <w:trPr>
          <w:trHeight w:val="402"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r>
        <w:trPr>
          <w:trHeight w:val="400" w:hRule="exact"/>
        </w:trPr>
        <w:tc>
          <w:tcPr>
            <w:tcW w:w="462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2170" w:type="dxa"/>
            <w:tcBorders>
              <w:top w:val="single" w:sz="2" w:space="0" w:color="000000"/>
              <w:left w:val="single" w:sz="2" w:space="0" w:color="000000"/>
              <w:bottom w:val="single" w:sz="2" w:space="0" w:color="000000"/>
              <w:right w:val="single" w:sz="2" w:space="0" w:color="000000"/>
            </w:tcBorders>
          </w:tcPr>
          <w:p>
            <w:pPr/>
          </w:p>
        </w:tc>
        <w:tc>
          <w:tcPr>
            <w:tcW w:w="1930" w:type="dxa"/>
            <w:tcBorders>
              <w:top w:val="single" w:sz="2" w:space="0" w:color="000000"/>
              <w:left w:val="single" w:sz="2" w:space="0" w:color="000000"/>
              <w:bottom w:val="single" w:sz="2" w:space="0" w:color="000000"/>
              <w:right w:val="nil" w:sz="6" w:space="0" w:color="auto"/>
            </w:tcBorders>
          </w:tcPr>
          <w:p>
            <w:pPr/>
          </w:p>
        </w:tc>
      </w:tr>
    </w:tbl>
    <w:p>
      <w:pPr>
        <w:spacing w:after="0"/>
        <w:sectPr>
          <w:pgSz w:w="11910" w:h="16840"/>
          <w:pgMar w:header="939" w:footer="883" w:top="1940" w:bottom="1080" w:left="1460" w:right="0"/>
        </w:sectPr>
      </w:pPr>
    </w:p>
    <w:p>
      <w:pPr>
        <w:spacing w:line="240" w:lineRule="auto" w:before="1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623"/>
        <w:gridCol w:w="2170"/>
        <w:gridCol w:w="1930"/>
      </w:tblGrid>
      <w:tr>
        <w:trPr>
          <w:trHeight w:val="415" w:hRule="exact"/>
        </w:trPr>
        <w:tc>
          <w:tcPr>
            <w:tcW w:w="462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21"/>
              <w:ind w:left="53" w:right="0"/>
              <w:jc w:val="left"/>
              <w:rPr>
                <w:rFonts w:ascii="宋体" w:hAnsi="宋体" w:cs="宋体" w:eastAsia="宋体" w:hint="default"/>
                <w:sz w:val="22"/>
                <w:szCs w:val="22"/>
              </w:rPr>
            </w:pPr>
            <w:r>
              <w:rPr>
                <w:rFonts w:ascii="宋体" w:hAnsi="宋体" w:cs="宋体" w:eastAsia="宋体" w:hint="default"/>
                <w:b/>
                <w:bCs/>
                <w:sz w:val="22"/>
                <w:szCs w:val="22"/>
              </w:rPr>
              <w:t>项目</w:t>
            </w:r>
            <w:r>
              <w:rPr>
                <w:rFonts w:ascii="宋体" w:hAnsi="宋体" w:cs="宋体" w:eastAsia="宋体" w:hint="default"/>
                <w:sz w:val="22"/>
                <w:szCs w:val="22"/>
              </w:rPr>
            </w:r>
          </w:p>
        </w:tc>
        <w:tc>
          <w:tcPr>
            <w:tcW w:w="217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21"/>
              <w:ind w:left="643" w:right="0"/>
              <w:jc w:val="left"/>
              <w:rPr>
                <w:rFonts w:ascii="宋体" w:hAnsi="宋体" w:cs="宋体" w:eastAsia="宋体" w:hint="default"/>
                <w:sz w:val="22"/>
                <w:szCs w:val="22"/>
              </w:rPr>
            </w:pPr>
            <w:r>
              <w:rPr>
                <w:rFonts w:ascii="宋体" w:hAnsi="宋体" w:cs="宋体" w:eastAsia="宋体" w:hint="default"/>
                <w:b/>
                <w:bCs/>
                <w:sz w:val="22"/>
                <w:szCs w:val="22"/>
              </w:rPr>
              <w:t>本年金额</w:t>
            </w:r>
            <w:r>
              <w:rPr>
                <w:rFonts w:ascii="宋体" w:hAnsi="宋体" w:cs="宋体" w:eastAsia="宋体" w:hint="default"/>
                <w:sz w:val="22"/>
                <w:szCs w:val="22"/>
              </w:rPr>
            </w:r>
          </w:p>
        </w:tc>
        <w:tc>
          <w:tcPr>
            <w:tcW w:w="1930"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21"/>
              <w:ind w:left="522" w:right="0"/>
              <w:jc w:val="left"/>
              <w:rPr>
                <w:rFonts w:ascii="宋体" w:hAnsi="宋体" w:cs="宋体" w:eastAsia="宋体" w:hint="default"/>
                <w:sz w:val="22"/>
                <w:szCs w:val="22"/>
              </w:rPr>
            </w:pPr>
            <w:r>
              <w:rPr>
                <w:rFonts w:ascii="宋体" w:hAnsi="宋体" w:cs="宋体" w:eastAsia="宋体" w:hint="default"/>
                <w:b/>
                <w:bCs/>
                <w:sz w:val="22"/>
                <w:szCs w:val="22"/>
              </w:rPr>
              <w:t>上年金额</w:t>
            </w:r>
            <w:r>
              <w:rPr>
                <w:rFonts w:ascii="宋体" w:hAnsi="宋体" w:cs="宋体" w:eastAsia="宋体" w:hint="default"/>
                <w:sz w:val="22"/>
                <w:szCs w:val="22"/>
              </w:rPr>
            </w:r>
          </w:p>
        </w:tc>
      </w:tr>
      <w:tr>
        <w:trPr>
          <w:trHeight w:val="414" w:hRule="exact"/>
        </w:trPr>
        <w:tc>
          <w:tcPr>
            <w:tcW w:w="462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7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854" w:right="0"/>
              <w:jc w:val="left"/>
              <w:rPr>
                <w:rFonts w:ascii="宋体" w:hAnsi="宋体" w:cs="宋体" w:eastAsia="宋体" w:hint="default"/>
                <w:sz w:val="18"/>
                <w:szCs w:val="18"/>
              </w:rPr>
            </w:pPr>
            <w:r>
              <w:rPr>
                <w:rFonts w:ascii="宋体"/>
                <w:sz w:val="18"/>
              </w:rPr>
              <w:t>259,558,203.49</w:t>
            </w:r>
          </w:p>
        </w:tc>
        <w:tc>
          <w:tcPr>
            <w:tcW w:w="1930"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522" w:right="0"/>
              <w:jc w:val="left"/>
              <w:rPr>
                <w:rFonts w:ascii="宋体" w:hAnsi="宋体" w:cs="宋体" w:eastAsia="宋体" w:hint="default"/>
                <w:sz w:val="18"/>
                <w:szCs w:val="18"/>
              </w:rPr>
            </w:pPr>
            <w:r>
              <w:rPr>
                <w:rFonts w:ascii="宋体"/>
                <w:sz w:val="18"/>
              </w:rPr>
              <w:t>-227,153,925.53</w:t>
            </w:r>
          </w:p>
        </w:tc>
      </w:tr>
    </w:tbl>
    <w:p>
      <w:pPr>
        <w:spacing w:line="240" w:lineRule="auto" w:before="1"/>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3</w:t>
      </w:r>
      <w:r>
        <w:rPr/>
        <w:t>）</w:t>
      </w:r>
      <w:r>
        <w:rPr>
          <w:spacing w:val="3"/>
        </w:rPr>
        <w:t> </w:t>
      </w:r>
      <w:bookmarkStart w:name="（3）本年支付的取得子公司的现金净额" w:id="341"/>
      <w:bookmarkEnd w:id="341"/>
      <w:r>
        <w:rPr/>
        <w:t>本</w:t>
      </w:r>
      <w:r>
        <w:rPr/>
        <w:t>年支付的取得子公司的现金净额</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6680"/>
        <w:gridCol w:w="2043"/>
      </w:tblGrid>
      <w:tr>
        <w:trPr>
          <w:trHeight w:val="458" w:hRule="exact"/>
        </w:trPr>
        <w:tc>
          <w:tcPr>
            <w:tcW w:w="668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0"/>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04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120"/>
              <w:ind w:left="657"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r>
      <w:tr>
        <w:trPr>
          <w:trHeight w:val="402" w:hRule="exact"/>
        </w:trPr>
        <w:tc>
          <w:tcPr>
            <w:tcW w:w="66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53" w:right="0"/>
              <w:jc w:val="left"/>
              <w:rPr>
                <w:rFonts w:ascii="宋体" w:hAnsi="宋体" w:cs="宋体" w:eastAsia="宋体" w:hint="default"/>
                <w:sz w:val="18"/>
                <w:szCs w:val="18"/>
              </w:rPr>
            </w:pPr>
            <w:r>
              <w:rPr>
                <w:rFonts w:ascii="宋体" w:hAnsi="宋体" w:cs="宋体" w:eastAsia="宋体" w:hint="default"/>
                <w:sz w:val="18"/>
                <w:szCs w:val="18"/>
              </w:rPr>
              <w:t>本年发生的企业合并于本年支付的现金或现金等价物</w:t>
            </w:r>
          </w:p>
        </w:tc>
        <w:tc>
          <w:tcPr>
            <w:tcW w:w="20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50"/>
              <w:jc w:val="right"/>
              <w:rPr>
                <w:rFonts w:ascii="宋体" w:hAnsi="宋体" w:cs="宋体" w:eastAsia="宋体" w:hint="default"/>
                <w:sz w:val="18"/>
                <w:szCs w:val="18"/>
              </w:rPr>
            </w:pPr>
            <w:r>
              <w:rPr>
                <w:rFonts w:ascii="宋体"/>
                <w:spacing w:val="-1"/>
                <w:sz w:val="18"/>
              </w:rPr>
              <w:t>4,135.78</w:t>
            </w:r>
          </w:p>
        </w:tc>
      </w:tr>
      <w:tr>
        <w:trPr>
          <w:trHeight w:val="402" w:hRule="exact"/>
        </w:trPr>
        <w:tc>
          <w:tcPr>
            <w:tcW w:w="66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其中：Steed Networks Technologies</w:t>
            </w:r>
            <w:r>
              <w:rPr>
                <w:rFonts w:ascii="宋体" w:hAnsi="宋体" w:cs="宋体" w:eastAsia="宋体" w:hint="default"/>
                <w:spacing w:val="-14"/>
                <w:sz w:val="18"/>
                <w:szCs w:val="18"/>
              </w:rPr>
              <w:t> </w:t>
            </w:r>
            <w:r>
              <w:rPr>
                <w:rFonts w:ascii="宋体" w:hAnsi="宋体" w:cs="宋体" w:eastAsia="宋体" w:hint="default"/>
                <w:sz w:val="18"/>
                <w:szCs w:val="18"/>
              </w:rPr>
              <w:t>Co.,Ltd</w:t>
            </w:r>
          </w:p>
        </w:tc>
        <w:tc>
          <w:tcPr>
            <w:tcW w:w="20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4,135.78</w:t>
            </w:r>
          </w:p>
        </w:tc>
      </w:tr>
      <w:tr>
        <w:trPr>
          <w:trHeight w:val="402" w:hRule="exact"/>
        </w:trPr>
        <w:tc>
          <w:tcPr>
            <w:tcW w:w="66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53"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c>
        <w:tc>
          <w:tcPr>
            <w:tcW w:w="20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50"/>
              <w:jc w:val="right"/>
              <w:rPr>
                <w:rFonts w:ascii="宋体" w:hAnsi="宋体" w:cs="宋体" w:eastAsia="宋体" w:hint="default"/>
                <w:sz w:val="18"/>
                <w:szCs w:val="18"/>
              </w:rPr>
            </w:pPr>
            <w:r>
              <w:rPr>
                <w:rFonts w:ascii="宋体"/>
                <w:spacing w:val="-1"/>
                <w:sz w:val="18"/>
              </w:rPr>
              <w:t>4,135.78</w:t>
            </w:r>
          </w:p>
        </w:tc>
      </w:tr>
      <w:tr>
        <w:trPr>
          <w:trHeight w:val="402" w:hRule="exact"/>
        </w:trPr>
        <w:tc>
          <w:tcPr>
            <w:tcW w:w="66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其中：Steed Networks Technologies</w:t>
            </w:r>
            <w:r>
              <w:rPr>
                <w:rFonts w:ascii="宋体" w:hAnsi="宋体" w:cs="宋体" w:eastAsia="宋体" w:hint="default"/>
                <w:spacing w:val="-14"/>
                <w:sz w:val="18"/>
                <w:szCs w:val="18"/>
              </w:rPr>
              <w:t> </w:t>
            </w:r>
            <w:r>
              <w:rPr>
                <w:rFonts w:ascii="宋体" w:hAnsi="宋体" w:cs="宋体" w:eastAsia="宋体" w:hint="default"/>
                <w:sz w:val="18"/>
                <w:szCs w:val="18"/>
              </w:rPr>
              <w:t>Co.,Ltd</w:t>
            </w:r>
          </w:p>
        </w:tc>
        <w:tc>
          <w:tcPr>
            <w:tcW w:w="20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4,135.78</w:t>
            </w:r>
          </w:p>
        </w:tc>
      </w:tr>
      <w:tr>
        <w:trPr>
          <w:trHeight w:val="445" w:hRule="exact"/>
        </w:trPr>
        <w:tc>
          <w:tcPr>
            <w:tcW w:w="668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5"/>
              <w:ind w:left="53" w:right="0"/>
              <w:jc w:val="left"/>
              <w:rPr>
                <w:rFonts w:ascii="宋体" w:hAnsi="宋体" w:cs="宋体" w:eastAsia="宋体" w:hint="default"/>
                <w:sz w:val="18"/>
                <w:szCs w:val="18"/>
              </w:rPr>
            </w:pPr>
            <w:r>
              <w:rPr>
                <w:rFonts w:ascii="宋体" w:hAnsi="宋体" w:cs="宋体" w:eastAsia="宋体" w:hint="default"/>
                <w:sz w:val="18"/>
                <w:szCs w:val="18"/>
              </w:rPr>
              <w:t>加：以前期间发生的企业合并于本年支付的现金或现金等价物</w:t>
            </w:r>
          </w:p>
        </w:tc>
        <w:tc>
          <w:tcPr>
            <w:tcW w:w="2043" w:type="dxa"/>
            <w:tcBorders>
              <w:top w:val="single" w:sz="2" w:space="0" w:color="000000"/>
              <w:left w:val="single" w:sz="2" w:space="0" w:color="000000"/>
              <w:bottom w:val="single" w:sz="2" w:space="0" w:color="000000"/>
              <w:right w:val="nil" w:sz="6" w:space="0" w:color="auto"/>
            </w:tcBorders>
          </w:tcPr>
          <w:p>
            <w:pPr/>
          </w:p>
        </w:tc>
      </w:tr>
      <w:tr>
        <w:trPr>
          <w:trHeight w:val="457" w:hRule="exact"/>
        </w:trPr>
        <w:tc>
          <w:tcPr>
            <w:tcW w:w="668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74"/>
              <w:ind w:left="53"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2043" w:type="dxa"/>
            <w:tcBorders>
              <w:top w:val="single" w:sz="2" w:space="0" w:color="000000"/>
              <w:left w:val="single" w:sz="2" w:space="0" w:color="000000"/>
              <w:bottom w:val="single" w:sz="12" w:space="0" w:color="000000"/>
              <w:right w:val="nil" w:sz="6" w:space="0" w:color="auto"/>
            </w:tcBorders>
          </w:tcPr>
          <w:p>
            <w:pPr/>
          </w:p>
        </w:tc>
      </w:tr>
    </w:tbl>
    <w:p>
      <w:pPr>
        <w:spacing w:line="240" w:lineRule="auto" w:before="3"/>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4</w:t>
      </w:r>
      <w:r>
        <w:rPr/>
        <w:t>）</w:t>
      </w:r>
      <w:r>
        <w:rPr>
          <w:spacing w:val="9"/>
        </w:rPr>
        <w:t> </w:t>
      </w:r>
      <w:bookmarkStart w:name="（4）现金和现金等价物" w:id="342"/>
      <w:bookmarkEnd w:id="342"/>
      <w:r>
        <w:rPr/>
        <w:t>现</w:t>
      </w:r>
      <w:r>
        <w:rPr/>
        <w:t>金和现金等价物</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4929"/>
        <w:gridCol w:w="1896"/>
        <w:gridCol w:w="1898"/>
      </w:tblGrid>
      <w:tr>
        <w:trPr>
          <w:trHeight w:val="415" w:hRule="exact"/>
        </w:trPr>
        <w:tc>
          <w:tcPr>
            <w:tcW w:w="492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9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84"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89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586"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930,356,057.07</w:t>
            </w:r>
          </w:p>
        </w:tc>
        <w:tc>
          <w:tcPr>
            <w:tcW w:w="189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670,797,853.58</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56,198.76</w:t>
            </w:r>
          </w:p>
        </w:tc>
        <w:tc>
          <w:tcPr>
            <w:tcW w:w="189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57,351.42</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888,240,509.15</w:t>
            </w:r>
          </w:p>
        </w:tc>
        <w:tc>
          <w:tcPr>
            <w:tcW w:w="189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657,758,395.46</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648"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42,059,349.16</w:t>
            </w:r>
          </w:p>
        </w:tc>
        <w:tc>
          <w:tcPr>
            <w:tcW w:w="189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12,982,106.70</w:t>
            </w: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现金等价物</w:t>
            </w:r>
          </w:p>
        </w:tc>
        <w:tc>
          <w:tcPr>
            <w:tcW w:w="1896" w:type="dxa"/>
            <w:tcBorders>
              <w:top w:val="single" w:sz="2" w:space="0" w:color="000000"/>
              <w:left w:val="single" w:sz="2" w:space="0" w:color="000000"/>
              <w:bottom w:val="single" w:sz="2" w:space="0" w:color="000000"/>
              <w:right w:val="single" w:sz="2" w:space="0" w:color="000000"/>
            </w:tcBorders>
          </w:tcPr>
          <w:p>
            <w:pPr/>
          </w:p>
        </w:tc>
        <w:tc>
          <w:tcPr>
            <w:tcW w:w="1898"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896" w:type="dxa"/>
            <w:tcBorders>
              <w:top w:val="single" w:sz="2" w:space="0" w:color="000000"/>
              <w:left w:val="single" w:sz="2" w:space="0" w:color="000000"/>
              <w:bottom w:val="single" w:sz="2" w:space="0" w:color="000000"/>
              <w:right w:val="single" w:sz="2" w:space="0" w:color="000000"/>
            </w:tcBorders>
          </w:tcPr>
          <w:p>
            <w:pPr/>
          </w:p>
        </w:tc>
        <w:tc>
          <w:tcPr>
            <w:tcW w:w="1898"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92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年末现金和现金等价物余额</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930,356,057.07</w:t>
            </w:r>
          </w:p>
        </w:tc>
        <w:tc>
          <w:tcPr>
            <w:tcW w:w="189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670,797,853.58</w:t>
            </w:r>
          </w:p>
        </w:tc>
      </w:tr>
      <w:tr>
        <w:trPr>
          <w:trHeight w:val="564" w:hRule="exact"/>
        </w:trPr>
        <w:tc>
          <w:tcPr>
            <w:tcW w:w="4929" w:type="dxa"/>
            <w:tcBorders>
              <w:top w:val="single" w:sz="2" w:space="0" w:color="000000"/>
              <w:left w:val="nil" w:sz="6" w:space="0" w:color="auto"/>
              <w:bottom w:val="single" w:sz="12" w:space="0" w:color="000000"/>
              <w:right w:val="single" w:sz="2" w:space="0" w:color="000000"/>
            </w:tcBorders>
          </w:tcPr>
          <w:p>
            <w:pPr>
              <w:pStyle w:val="TableParagraph"/>
              <w:spacing w:line="232" w:lineRule="exact" w:before="36"/>
              <w:ind w:left="108" w:right="102"/>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其中：母公司或集团内子公司使用受限制的现金和现金等价</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物</w:t>
            </w:r>
          </w:p>
        </w:tc>
        <w:tc>
          <w:tcPr>
            <w:tcW w:w="1896" w:type="dxa"/>
            <w:tcBorders>
              <w:top w:val="single" w:sz="2" w:space="0" w:color="000000"/>
              <w:left w:val="single" w:sz="2" w:space="0" w:color="000000"/>
              <w:bottom w:val="single" w:sz="12" w:space="0" w:color="000000"/>
              <w:right w:val="single" w:sz="2" w:space="0" w:color="000000"/>
            </w:tcBorders>
          </w:tcPr>
          <w:p>
            <w:pPr/>
          </w:p>
        </w:tc>
        <w:tc>
          <w:tcPr>
            <w:tcW w:w="1898" w:type="dxa"/>
            <w:tcBorders>
              <w:top w:val="single" w:sz="2" w:space="0" w:color="000000"/>
              <w:left w:val="single" w:sz="2"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BodyText"/>
        <w:spacing w:line="240" w:lineRule="auto"/>
        <w:ind w:left="644" w:right="1445"/>
        <w:jc w:val="left"/>
      </w:pPr>
      <w:r>
        <w:rPr/>
        <w:t>54.</w:t>
      </w:r>
      <w:r>
        <w:rPr>
          <w:spacing w:val="-54"/>
        </w:rPr>
        <w:t> </w:t>
      </w:r>
      <w:bookmarkStart w:name="54.所有权或使用权受到限制的资产" w:id="343"/>
      <w:bookmarkEnd w:id="343"/>
      <w:r>
        <w:rPr/>
        <w:t>所</w:t>
      </w:r>
      <w:r>
        <w:rPr/>
        <w:t>有权或使用权受到限制的资产</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668"/>
        <w:gridCol w:w="1842"/>
        <w:gridCol w:w="5213"/>
      </w:tblGrid>
      <w:tr>
        <w:trPr>
          <w:trHeight w:val="415" w:hRule="exact"/>
        </w:trPr>
        <w:tc>
          <w:tcPr>
            <w:tcW w:w="1668"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77" w:right="0"/>
              <w:jc w:val="left"/>
              <w:rPr>
                <w:rFonts w:ascii="宋体" w:hAnsi="宋体" w:cs="宋体" w:eastAsia="宋体" w:hint="default"/>
                <w:sz w:val="18"/>
                <w:szCs w:val="18"/>
              </w:rPr>
            </w:pPr>
            <w:r>
              <w:rPr>
                <w:rFonts w:ascii="宋体" w:hAnsi="宋体" w:cs="宋体" w:eastAsia="宋体" w:hint="default"/>
                <w:b/>
                <w:bCs/>
                <w:sz w:val="18"/>
                <w:szCs w:val="18"/>
              </w:rPr>
              <w:t>年末账面价值</w:t>
            </w:r>
            <w:r>
              <w:rPr>
                <w:rFonts w:ascii="宋体" w:hAnsi="宋体" w:cs="宋体" w:eastAsia="宋体" w:hint="default"/>
                <w:sz w:val="18"/>
                <w:szCs w:val="18"/>
              </w:rPr>
            </w:r>
          </w:p>
        </w:tc>
        <w:tc>
          <w:tcPr>
            <w:tcW w:w="521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受限原因</w:t>
            </w:r>
            <w:r>
              <w:rPr>
                <w:rFonts w:ascii="宋体" w:hAnsi="宋体" w:cs="宋体" w:eastAsia="宋体" w:hint="default"/>
                <w:sz w:val="18"/>
                <w:szCs w:val="18"/>
              </w:rPr>
            </w:r>
          </w:p>
        </w:tc>
      </w:tr>
      <w:tr>
        <w:trPr>
          <w:trHeight w:val="402" w:hRule="exact"/>
        </w:trPr>
        <w:tc>
          <w:tcPr>
            <w:tcW w:w="166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237,340,637.55</w:t>
            </w:r>
          </w:p>
        </w:tc>
        <w:tc>
          <w:tcPr>
            <w:tcW w:w="521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银行承兑汇票保证金、保函保证金及信用证保证金</w:t>
            </w:r>
          </w:p>
        </w:tc>
      </w:tr>
      <w:tr>
        <w:trPr>
          <w:trHeight w:val="402" w:hRule="exact"/>
        </w:trPr>
        <w:tc>
          <w:tcPr>
            <w:tcW w:w="166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234,042,323.33</w:t>
            </w:r>
          </w:p>
        </w:tc>
        <w:tc>
          <w:tcPr>
            <w:tcW w:w="521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left="104" w:right="0"/>
              <w:jc w:val="left"/>
              <w:rPr>
                <w:rFonts w:ascii="宋体" w:hAnsi="宋体" w:cs="宋体" w:eastAsia="宋体" w:hint="default"/>
                <w:sz w:val="18"/>
                <w:szCs w:val="18"/>
              </w:rPr>
            </w:pPr>
            <w:r>
              <w:rPr>
                <w:rFonts w:ascii="宋体" w:hAnsi="宋体" w:cs="宋体" w:eastAsia="宋体" w:hint="default"/>
                <w:sz w:val="18"/>
                <w:szCs w:val="18"/>
              </w:rPr>
              <w:t>质押开具应付票据</w:t>
            </w:r>
          </w:p>
        </w:tc>
      </w:tr>
      <w:tr>
        <w:trPr>
          <w:trHeight w:val="402" w:hRule="exact"/>
        </w:trPr>
        <w:tc>
          <w:tcPr>
            <w:tcW w:w="166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4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218,807,260.82</w:t>
            </w:r>
          </w:p>
        </w:tc>
        <w:tc>
          <w:tcPr>
            <w:tcW w:w="521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借款抵押</w:t>
            </w:r>
          </w:p>
        </w:tc>
      </w:tr>
      <w:tr>
        <w:trPr>
          <w:trHeight w:val="414" w:hRule="exact"/>
        </w:trPr>
        <w:tc>
          <w:tcPr>
            <w:tcW w:w="166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4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85,914,400.01</w:t>
            </w:r>
          </w:p>
        </w:tc>
        <w:tc>
          <w:tcPr>
            <w:tcW w:w="521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left="104" w:right="0"/>
              <w:jc w:val="left"/>
              <w:rPr>
                <w:rFonts w:ascii="宋体" w:hAnsi="宋体" w:cs="宋体" w:eastAsia="宋体" w:hint="default"/>
                <w:sz w:val="18"/>
                <w:szCs w:val="18"/>
              </w:rPr>
            </w:pPr>
            <w:r>
              <w:rPr>
                <w:rFonts w:ascii="宋体" w:hAnsi="宋体" w:cs="宋体" w:eastAsia="宋体" w:hint="default"/>
                <w:sz w:val="18"/>
                <w:szCs w:val="18"/>
              </w:rPr>
              <w:t>借款抵押</w:t>
            </w:r>
          </w:p>
        </w:tc>
      </w:tr>
    </w:tbl>
    <w:p>
      <w:pPr>
        <w:spacing w:after="0" w:line="240" w:lineRule="auto"/>
        <w:jc w:val="left"/>
        <w:rPr>
          <w:rFonts w:ascii="宋体" w:hAnsi="宋体" w:cs="宋体" w:eastAsia="宋体" w:hint="default"/>
          <w:sz w:val="18"/>
          <w:szCs w:val="18"/>
        </w:rPr>
        <w:sectPr>
          <w:pgSz w:w="11910" w:h="16840"/>
          <w:pgMar w:header="939" w:footer="883" w:top="1940" w:bottom="1080" w:left="1460" w:right="0"/>
        </w:sectPr>
      </w:pPr>
    </w:p>
    <w:p>
      <w:pPr>
        <w:spacing w:line="240" w:lineRule="auto" w:before="13"/>
        <w:rPr>
          <w:rFonts w:ascii="宋体" w:hAnsi="宋体" w:cs="宋体" w:eastAsia="宋体" w:hint="default"/>
          <w:sz w:val="12"/>
          <w:szCs w:val="12"/>
        </w:rPr>
      </w:pPr>
    </w:p>
    <w:p>
      <w:pPr>
        <w:pStyle w:val="BodyText"/>
        <w:spacing w:line="240" w:lineRule="auto"/>
        <w:ind w:left="644" w:right="1445"/>
        <w:jc w:val="left"/>
      </w:pPr>
      <w:r>
        <w:rPr/>
        <w:t>55.</w:t>
      </w:r>
      <w:r>
        <w:rPr>
          <w:spacing w:val="-50"/>
        </w:rPr>
        <w:t> </w:t>
      </w:r>
      <w:bookmarkStart w:name="55.外币货币性项目" w:id="344"/>
      <w:bookmarkEnd w:id="344"/>
      <w:r>
        <w:rPr/>
        <w:t>外</w:t>
      </w:r>
      <w:r>
        <w:rPr/>
        <w:t>币货币性项目</w:t>
      </w:r>
    </w:p>
    <w:p>
      <w:pPr>
        <w:pStyle w:val="BodyText"/>
        <w:spacing w:line="240" w:lineRule="auto" w:before="192"/>
        <w:ind w:left="666" w:right="1445"/>
        <w:jc w:val="left"/>
      </w:pPr>
      <w:r>
        <w:rPr/>
        <w:t>（</w:t>
      </w:r>
      <w:r>
        <w:rPr>
          <w:rFonts w:ascii="Times New Roman" w:hAnsi="Times New Roman" w:cs="Times New Roman" w:eastAsia="Times New Roman" w:hint="default"/>
        </w:rPr>
        <w:t>1</w:t>
      </w:r>
      <w:r>
        <w:rPr/>
        <w:t>）</w:t>
      </w:r>
      <w:r>
        <w:rPr>
          <w:spacing w:val="9"/>
        </w:rPr>
        <w:t> </w:t>
      </w:r>
      <w:bookmarkStart w:name="（1）外币货币性项目" w:id="345"/>
      <w:bookmarkEnd w:id="345"/>
      <w:r>
        <w:rPr/>
        <w:t>外</w:t>
      </w:r>
      <w:r>
        <w:rPr/>
        <w:t>币货币性项目</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376"/>
        <w:gridCol w:w="2114"/>
        <w:gridCol w:w="1855"/>
        <w:gridCol w:w="2378"/>
      </w:tblGrid>
      <w:tr>
        <w:trPr>
          <w:trHeight w:val="415" w:hRule="exact"/>
        </w:trPr>
        <w:tc>
          <w:tcPr>
            <w:tcW w:w="237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1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14" w:right="0"/>
              <w:jc w:val="left"/>
              <w:rPr>
                <w:rFonts w:ascii="宋体" w:hAnsi="宋体" w:cs="宋体" w:eastAsia="宋体" w:hint="default"/>
                <w:sz w:val="18"/>
                <w:szCs w:val="18"/>
              </w:rPr>
            </w:pPr>
            <w:r>
              <w:rPr>
                <w:rFonts w:ascii="宋体" w:hAnsi="宋体" w:cs="宋体" w:eastAsia="宋体" w:hint="default"/>
                <w:b/>
                <w:bCs/>
                <w:sz w:val="18"/>
                <w:szCs w:val="18"/>
              </w:rPr>
              <w:t>年末外币余额</w:t>
            </w:r>
            <w:r>
              <w:rPr>
                <w:rFonts w:ascii="宋体" w:hAnsi="宋体" w:cs="宋体" w:eastAsia="宋体" w:hint="default"/>
                <w:sz w:val="18"/>
                <w:szCs w:val="18"/>
              </w:rPr>
            </w:r>
          </w:p>
        </w:tc>
        <w:tc>
          <w:tcPr>
            <w:tcW w:w="185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65" w:right="0"/>
              <w:jc w:val="left"/>
              <w:rPr>
                <w:rFonts w:ascii="宋体" w:hAnsi="宋体" w:cs="宋体" w:eastAsia="宋体" w:hint="default"/>
                <w:sz w:val="18"/>
                <w:szCs w:val="18"/>
              </w:rPr>
            </w:pPr>
            <w:r>
              <w:rPr>
                <w:rFonts w:ascii="宋体" w:hAnsi="宋体" w:cs="宋体" w:eastAsia="宋体" w:hint="default"/>
                <w:b/>
                <w:bCs/>
                <w:sz w:val="18"/>
                <w:szCs w:val="18"/>
              </w:rPr>
              <w:t>折算汇率</w:t>
            </w:r>
            <w:r>
              <w:rPr>
                <w:rFonts w:ascii="宋体" w:hAnsi="宋体" w:cs="宋体" w:eastAsia="宋体" w:hint="default"/>
                <w:sz w:val="18"/>
                <w:szCs w:val="18"/>
              </w:rPr>
            </w:r>
          </w:p>
        </w:tc>
        <w:tc>
          <w:tcPr>
            <w:tcW w:w="2378"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375" w:right="0"/>
              <w:jc w:val="left"/>
              <w:rPr>
                <w:rFonts w:ascii="宋体" w:hAnsi="宋体" w:cs="宋体" w:eastAsia="宋体" w:hint="default"/>
                <w:sz w:val="18"/>
                <w:szCs w:val="18"/>
              </w:rPr>
            </w:pPr>
            <w:r>
              <w:rPr>
                <w:rFonts w:ascii="宋体" w:hAnsi="宋体" w:cs="宋体" w:eastAsia="宋体" w:hint="default"/>
                <w:b/>
                <w:bCs/>
                <w:sz w:val="18"/>
                <w:szCs w:val="18"/>
              </w:rPr>
              <w:t>年末折算人民币余额</w:t>
            </w:r>
            <w:r>
              <w:rPr>
                <w:rFonts w:ascii="宋体" w:hAnsi="宋体" w:cs="宋体" w:eastAsia="宋体" w:hint="default"/>
                <w:sz w:val="18"/>
                <w:szCs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114" w:type="dxa"/>
            <w:tcBorders>
              <w:top w:val="single" w:sz="2" w:space="0" w:color="000000"/>
              <w:left w:val="single" w:sz="2" w:space="0" w:color="000000"/>
              <w:bottom w:val="single" w:sz="2" w:space="0" w:color="000000"/>
              <w:right w:val="single" w:sz="2" w:space="0" w:color="000000"/>
            </w:tcBorders>
          </w:tcPr>
          <w:p>
            <w:pPr/>
          </w:p>
        </w:tc>
        <w:tc>
          <w:tcPr>
            <w:tcW w:w="1855" w:type="dxa"/>
            <w:tcBorders>
              <w:top w:val="single" w:sz="2" w:space="0" w:color="000000"/>
              <w:left w:val="single" w:sz="2" w:space="0" w:color="000000"/>
              <w:bottom w:val="single" w:sz="2" w:space="0" w:color="000000"/>
              <w:right w:val="single" w:sz="2" w:space="0" w:color="000000"/>
            </w:tcBorders>
          </w:tcPr>
          <w:p>
            <w:pP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37,128,394.86</w:t>
            </w:r>
            <w:r>
              <w:rPr>
                <w:rFonts w:ascii="宋体"/>
                <w:sz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5,259,636.42</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6.9762</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36,692,275.59</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4,484.14</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7.8155</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35,045.80</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648"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986,933,362.17</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0.0003</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297,667.17</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648"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115,437.16</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0.89578</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103,406.30</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14" w:type="dxa"/>
            <w:tcBorders>
              <w:top w:val="single" w:sz="2" w:space="0" w:color="000000"/>
              <w:left w:val="single" w:sz="2" w:space="0" w:color="000000"/>
              <w:bottom w:val="single" w:sz="2" w:space="0" w:color="000000"/>
              <w:right w:val="single" w:sz="2" w:space="0" w:color="000000"/>
            </w:tcBorders>
          </w:tcPr>
          <w:p>
            <w:pPr/>
          </w:p>
        </w:tc>
        <w:tc>
          <w:tcPr>
            <w:tcW w:w="1855" w:type="dxa"/>
            <w:tcBorders>
              <w:top w:val="single" w:sz="2" w:space="0" w:color="000000"/>
              <w:left w:val="single" w:sz="2" w:space="0" w:color="000000"/>
              <w:bottom w:val="single" w:sz="2" w:space="0" w:color="000000"/>
              <w:right w:val="single" w:sz="2" w:space="0" w:color="000000"/>
            </w:tcBorders>
          </w:tcPr>
          <w:p>
            <w:pP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85,085,012.06</w:t>
            </w:r>
            <w:r>
              <w:rPr>
                <w:rFonts w:ascii="宋体"/>
                <w:sz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12,196,469.72</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6.9762</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85,085,012.06</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114" w:type="dxa"/>
            <w:tcBorders>
              <w:top w:val="single" w:sz="2" w:space="0" w:color="000000"/>
              <w:left w:val="single" w:sz="2" w:space="0" w:color="000000"/>
              <w:bottom w:val="single" w:sz="2" w:space="0" w:color="000000"/>
              <w:right w:val="single" w:sz="2" w:space="0" w:color="000000"/>
            </w:tcBorders>
          </w:tcPr>
          <w:p>
            <w:pPr/>
          </w:p>
        </w:tc>
        <w:tc>
          <w:tcPr>
            <w:tcW w:w="1855" w:type="dxa"/>
            <w:tcBorders>
              <w:top w:val="single" w:sz="2" w:space="0" w:color="000000"/>
              <w:left w:val="single" w:sz="2" w:space="0" w:color="000000"/>
              <w:bottom w:val="single" w:sz="2" w:space="0" w:color="000000"/>
              <w:right w:val="single" w:sz="2" w:space="0" w:color="000000"/>
            </w:tcBorders>
          </w:tcPr>
          <w:p>
            <w:pP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6"/>
              <w:jc w:val="right"/>
              <w:rPr>
                <w:rFonts w:ascii="宋体" w:hAnsi="宋体" w:cs="宋体" w:eastAsia="宋体" w:hint="default"/>
                <w:sz w:val="18"/>
                <w:szCs w:val="18"/>
              </w:rPr>
            </w:pPr>
            <w:r>
              <w:rPr>
                <w:rFonts w:ascii="宋体"/>
                <w:b/>
                <w:sz w:val="18"/>
              </w:rPr>
              <w:t>48,386.92</w:t>
            </w:r>
            <w:r>
              <w:rPr>
                <w:rFonts w:ascii="宋体"/>
                <w:sz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6,936.00</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6.9762</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48,386.92</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114" w:type="dxa"/>
            <w:tcBorders>
              <w:top w:val="single" w:sz="2" w:space="0" w:color="000000"/>
              <w:left w:val="single" w:sz="2" w:space="0" w:color="000000"/>
              <w:bottom w:val="single" w:sz="2" w:space="0" w:color="000000"/>
              <w:right w:val="single" w:sz="2" w:space="0" w:color="000000"/>
            </w:tcBorders>
          </w:tcPr>
          <w:p>
            <w:pPr/>
          </w:p>
        </w:tc>
        <w:tc>
          <w:tcPr>
            <w:tcW w:w="1855" w:type="dxa"/>
            <w:tcBorders>
              <w:top w:val="single" w:sz="2" w:space="0" w:color="000000"/>
              <w:left w:val="single" w:sz="2" w:space="0" w:color="000000"/>
              <w:bottom w:val="single" w:sz="2" w:space="0" w:color="000000"/>
              <w:right w:val="single" w:sz="2" w:space="0" w:color="000000"/>
            </w:tcBorders>
          </w:tcPr>
          <w:p>
            <w:pP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6"/>
              <w:jc w:val="right"/>
              <w:rPr>
                <w:rFonts w:ascii="宋体" w:hAnsi="宋体" w:cs="宋体" w:eastAsia="宋体" w:hint="default"/>
                <w:sz w:val="18"/>
                <w:szCs w:val="18"/>
              </w:rPr>
            </w:pPr>
            <w:r>
              <w:rPr>
                <w:rFonts w:ascii="宋体"/>
                <w:b/>
                <w:sz w:val="18"/>
              </w:rPr>
              <w:t>33,859.68</w:t>
            </w:r>
            <w:r>
              <w:rPr>
                <w:rFonts w:ascii="宋体"/>
                <w:sz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4,853.60</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6.9762</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33,859.68</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114" w:type="dxa"/>
            <w:tcBorders>
              <w:top w:val="single" w:sz="2" w:space="0" w:color="000000"/>
              <w:left w:val="single" w:sz="2" w:space="0" w:color="000000"/>
              <w:bottom w:val="single" w:sz="2" w:space="0" w:color="000000"/>
              <w:right w:val="single" w:sz="2" w:space="0" w:color="000000"/>
            </w:tcBorders>
          </w:tcPr>
          <w:p>
            <w:pPr/>
          </w:p>
        </w:tc>
        <w:tc>
          <w:tcPr>
            <w:tcW w:w="1855" w:type="dxa"/>
            <w:tcBorders>
              <w:top w:val="single" w:sz="2" w:space="0" w:color="000000"/>
              <w:left w:val="single" w:sz="2" w:space="0" w:color="000000"/>
              <w:bottom w:val="single" w:sz="2" w:space="0" w:color="000000"/>
              <w:right w:val="single" w:sz="2" w:space="0" w:color="000000"/>
            </w:tcBorders>
          </w:tcPr>
          <w:p>
            <w:pP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8"/>
              <w:jc w:val="right"/>
              <w:rPr>
                <w:rFonts w:ascii="宋体" w:hAnsi="宋体" w:cs="宋体" w:eastAsia="宋体" w:hint="default"/>
                <w:sz w:val="18"/>
                <w:szCs w:val="18"/>
              </w:rPr>
            </w:pPr>
            <w:r>
              <w:rPr>
                <w:rFonts w:ascii="宋体"/>
                <w:b/>
                <w:w w:val="95"/>
                <w:sz w:val="18"/>
              </w:rPr>
              <w:t>31,794,114.64</w:t>
            </w:r>
            <w:r>
              <w:rPr>
                <w:rFonts w:ascii="宋体"/>
                <w:sz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其中：欧元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4,068,084.53</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7.8155</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31,794,114.64</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114" w:type="dxa"/>
            <w:tcBorders>
              <w:top w:val="single" w:sz="2" w:space="0" w:color="000000"/>
              <w:left w:val="single" w:sz="2" w:space="0" w:color="000000"/>
              <w:bottom w:val="single" w:sz="2" w:space="0" w:color="000000"/>
              <w:right w:val="single" w:sz="2" w:space="0" w:color="000000"/>
            </w:tcBorders>
          </w:tcPr>
          <w:p>
            <w:pPr/>
          </w:p>
        </w:tc>
        <w:tc>
          <w:tcPr>
            <w:tcW w:w="1855" w:type="dxa"/>
            <w:tcBorders>
              <w:top w:val="single" w:sz="2" w:space="0" w:color="000000"/>
              <w:left w:val="single" w:sz="2" w:space="0" w:color="000000"/>
              <w:bottom w:val="single" w:sz="2" w:space="0" w:color="000000"/>
              <w:right w:val="single" w:sz="2" w:space="0" w:color="000000"/>
            </w:tcBorders>
          </w:tcPr>
          <w:p>
            <w:pP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23,776,572.12</w:t>
            </w:r>
            <w:r>
              <w:rPr>
                <w:rFonts w:ascii="宋体"/>
                <w:sz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3,408,241.18</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6.9762</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23,776,572.12</w:t>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114" w:type="dxa"/>
            <w:tcBorders>
              <w:top w:val="single" w:sz="2" w:space="0" w:color="000000"/>
              <w:left w:val="single" w:sz="2" w:space="0" w:color="000000"/>
              <w:bottom w:val="single" w:sz="2" w:space="0" w:color="000000"/>
              <w:right w:val="single" w:sz="2" w:space="0" w:color="000000"/>
            </w:tcBorders>
          </w:tcPr>
          <w:p>
            <w:pPr/>
          </w:p>
        </w:tc>
        <w:tc>
          <w:tcPr>
            <w:tcW w:w="1855" w:type="dxa"/>
            <w:tcBorders>
              <w:top w:val="single" w:sz="2" w:space="0" w:color="000000"/>
              <w:left w:val="single" w:sz="2" w:space="0" w:color="000000"/>
              <w:bottom w:val="single" w:sz="2" w:space="0" w:color="000000"/>
              <w:right w:val="single" w:sz="2" w:space="0" w:color="000000"/>
            </w:tcBorders>
          </w:tcPr>
          <w:p>
            <w:pP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96"/>
              <w:jc w:val="right"/>
              <w:rPr>
                <w:rFonts w:ascii="宋体" w:hAnsi="宋体" w:cs="宋体" w:eastAsia="宋体" w:hint="default"/>
                <w:sz w:val="18"/>
                <w:szCs w:val="18"/>
              </w:rPr>
            </w:pPr>
            <w:r>
              <w:rPr>
                <w:rFonts w:ascii="宋体"/>
                <w:b/>
                <w:w w:val="95"/>
                <w:sz w:val="18"/>
              </w:rPr>
              <w:t>7,184,866.16</w:t>
            </w:r>
            <w:r>
              <w:rPr>
                <w:rFonts w:ascii="宋体"/>
                <w:sz w:val="18"/>
              </w:rPr>
            </w:r>
          </w:p>
        </w:tc>
      </w:tr>
      <w:tr>
        <w:trPr>
          <w:trHeight w:val="40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1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1,016,547.05</w:t>
            </w:r>
          </w:p>
        </w:tc>
        <w:tc>
          <w:tcPr>
            <w:tcW w:w="18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6.9762</w:t>
            </w:r>
          </w:p>
        </w:tc>
        <w:tc>
          <w:tcPr>
            <w:tcW w:w="237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7,091,635.53</w:t>
            </w:r>
          </w:p>
        </w:tc>
      </w:tr>
      <w:tr>
        <w:trPr>
          <w:trHeight w:val="414" w:hRule="exact"/>
        </w:trPr>
        <w:tc>
          <w:tcPr>
            <w:tcW w:w="237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648"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11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11,928.94</w:t>
            </w:r>
          </w:p>
        </w:tc>
        <w:tc>
          <w:tcPr>
            <w:tcW w:w="185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7.8155</w:t>
            </w:r>
          </w:p>
        </w:tc>
        <w:tc>
          <w:tcPr>
            <w:tcW w:w="237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93,230.63</w:t>
            </w:r>
          </w:p>
        </w:tc>
      </w:tr>
    </w:tbl>
    <w:p>
      <w:pPr>
        <w:spacing w:line="240" w:lineRule="auto" w:before="3"/>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9"/>
        </w:rPr>
        <w:t> </w:t>
      </w:r>
      <w:bookmarkStart w:name="（2）境外经营实体" w:id="346"/>
      <w:bookmarkEnd w:id="346"/>
      <w:r>
        <w:rPr/>
        <w:t>境</w:t>
      </w:r>
      <w:r>
        <w:rPr/>
        <w:t>外经营实体</w:t>
      </w:r>
    </w:p>
    <w:p>
      <w:pPr>
        <w:pStyle w:val="BodyText"/>
        <w:spacing w:line="300" w:lineRule="auto" w:before="175"/>
        <w:ind w:left="241" w:right="1445" w:firstLine="439"/>
        <w:jc w:val="left"/>
      </w:pPr>
      <w:r>
        <w:rPr/>
        <w:t>HONG KONG STEED INTERNATIONAL</w:t>
      </w:r>
      <w:r>
        <w:rPr>
          <w:spacing w:val="2"/>
        </w:rPr>
        <w:t> </w:t>
      </w:r>
      <w:r>
        <w:rPr/>
        <w:t>DEVELOPMENT（香港骐骥国际发展有限公司），系</w:t>
      </w:r>
      <w:r>
        <w:rPr>
          <w:w w:val="100"/>
        </w:rPr>
        <w:t> </w:t>
      </w:r>
      <w:r>
        <w:rPr/>
        <w:t>本集团注册在香港的全资子公司。公司主要经营地：香港；记账本位币：人民币。</w:t>
      </w:r>
    </w:p>
    <w:p>
      <w:pPr>
        <w:pStyle w:val="BodyText"/>
        <w:spacing w:line="300" w:lineRule="auto" w:before="137"/>
        <w:ind w:left="241" w:right="1445" w:firstLine="439"/>
        <w:jc w:val="left"/>
      </w:pPr>
      <w:r>
        <w:rPr/>
        <w:t>Optrum Technology</w:t>
      </w:r>
      <w:r>
        <w:rPr>
          <w:spacing w:val="2"/>
        </w:rPr>
        <w:t> </w:t>
      </w:r>
      <w:r>
        <w:rPr/>
        <w:t>LLC（奥创科技有限公司），系本集团注册在美国德克萨斯州的</w:t>
      </w:r>
      <w:r>
        <w:rPr>
          <w:w w:val="100"/>
        </w:rPr>
        <w:t> </w:t>
      </w:r>
      <w:r>
        <w:rPr/>
        <w:t>全资子公司。公司主要经营地：美国德克萨斯州；记账本位币：美元。</w:t>
      </w:r>
    </w:p>
    <w:p>
      <w:pPr>
        <w:pStyle w:val="BodyText"/>
        <w:spacing w:line="300" w:lineRule="auto" w:before="137"/>
        <w:ind w:left="241" w:right="1445" w:firstLine="439"/>
        <w:jc w:val="left"/>
      </w:pPr>
      <w:r>
        <w:rPr/>
        <w:t>Wanma</w:t>
      </w:r>
      <w:r>
        <w:rPr>
          <w:spacing w:val="-28"/>
        </w:rPr>
        <w:t> </w:t>
      </w:r>
      <w:r>
        <w:rPr/>
        <w:t>Cable</w:t>
      </w:r>
      <w:r>
        <w:rPr>
          <w:spacing w:val="-25"/>
        </w:rPr>
        <w:t> </w:t>
      </w:r>
      <w:r>
        <w:rPr/>
        <w:t>(Viet</w:t>
      </w:r>
      <w:r>
        <w:rPr>
          <w:spacing w:val="-25"/>
        </w:rPr>
        <w:t> </w:t>
      </w:r>
      <w:r>
        <w:rPr/>
        <w:t>Nam)</w:t>
      </w:r>
      <w:r>
        <w:rPr>
          <w:spacing w:val="-25"/>
        </w:rPr>
        <w:t> </w:t>
      </w:r>
      <w:r>
        <w:rPr/>
        <w:t>Co.,Ltd（万马线缆（越南）有限公司），系本集团注册在</w:t>
      </w:r>
      <w:r>
        <w:rPr>
          <w:w w:val="100"/>
        </w:rPr>
        <w:t> </w:t>
      </w:r>
      <w:r>
        <w:rPr/>
        <w:t>越南宁北市的全资子公司。公司主要经营地：越南北宁市；记账本位币：越南盾。</w:t>
      </w:r>
    </w:p>
    <w:p>
      <w:pPr>
        <w:pStyle w:val="BodyText"/>
        <w:spacing w:line="300" w:lineRule="auto" w:before="137"/>
        <w:ind w:left="241" w:right="1445" w:firstLine="439"/>
        <w:jc w:val="left"/>
      </w:pPr>
      <w:r>
        <w:rPr/>
        <w:t>Steed Networks Technologies</w:t>
      </w:r>
      <w:r>
        <w:rPr>
          <w:spacing w:val="2"/>
        </w:rPr>
        <w:t> </w:t>
      </w:r>
      <w:r>
        <w:rPr/>
        <w:t>Co.,Ltd，系本集团注册在柬埔寨金边市的全资子公</w:t>
      </w:r>
      <w:r>
        <w:rPr>
          <w:w w:val="100"/>
        </w:rPr>
        <w:t> </w:t>
      </w:r>
      <w:r>
        <w:rPr/>
        <w:t>司，公司主要经营地：柬埔寨金边市；记账本位币：美元。</w:t>
      </w:r>
    </w:p>
    <w:p>
      <w:pPr>
        <w:spacing w:after="0" w:line="300" w:lineRule="auto"/>
        <w:jc w:val="left"/>
        <w:sectPr>
          <w:pgSz w:w="11910" w:h="16840"/>
          <w:pgMar w:header="939" w:footer="883" w:top="1940" w:bottom="1080" w:left="1460" w:right="0"/>
        </w:sectPr>
      </w:pPr>
    </w:p>
    <w:p>
      <w:pPr>
        <w:spacing w:line="240" w:lineRule="auto" w:before="13"/>
        <w:rPr>
          <w:rFonts w:ascii="宋体" w:hAnsi="宋体" w:cs="宋体" w:eastAsia="宋体" w:hint="default"/>
          <w:sz w:val="12"/>
          <w:szCs w:val="12"/>
        </w:rPr>
      </w:pPr>
    </w:p>
    <w:p>
      <w:pPr>
        <w:pStyle w:val="BodyText"/>
        <w:spacing w:line="240" w:lineRule="auto"/>
        <w:ind w:left="804" w:right="0"/>
        <w:jc w:val="left"/>
      </w:pPr>
      <w:r>
        <w:rPr/>
        <w:t>56.</w:t>
      </w:r>
      <w:r>
        <w:rPr>
          <w:spacing w:val="-46"/>
        </w:rPr>
        <w:t> </w:t>
      </w:r>
      <w:bookmarkStart w:name="56.套期" w:id="347"/>
      <w:bookmarkEnd w:id="347"/>
      <w:r>
        <w:rPr/>
        <w:t>套</w:t>
      </w:r>
      <w:r>
        <w:rPr/>
        <w:t>期</w:t>
      </w:r>
    </w:p>
    <w:p>
      <w:pPr>
        <w:pStyle w:val="BodyText"/>
        <w:spacing w:line="480" w:lineRule="atLeast" w:before="0"/>
        <w:ind w:left="840" w:right="0" w:hanging="34"/>
        <w:jc w:val="left"/>
      </w:pPr>
      <w:r>
        <w:rPr/>
        <w:t>（1）现金流量套期业务概况</w:t>
      </w:r>
      <w:r>
        <w:rPr>
          <w:w w:val="100"/>
        </w:rPr>
        <w:t> </w:t>
      </w:r>
      <w:r>
        <w:rPr>
          <w:spacing w:val="-4"/>
        </w:rPr>
        <w:t>铜为本集团电线电缆产品的主要原材料，近年来受宏观经济的影响，铜的采购价格波</w:t>
      </w:r>
    </w:p>
    <w:p>
      <w:pPr>
        <w:pStyle w:val="BodyText"/>
        <w:spacing w:line="300" w:lineRule="auto" w:before="72"/>
        <w:ind w:left="401" w:right="1694"/>
        <w:jc w:val="both"/>
      </w:pPr>
      <w:r>
        <w:rPr>
          <w:spacing w:val="-4"/>
        </w:rPr>
        <w:t>动幅度较大，为规避铜价波动风险，本集团基于销售订单数据分析预期的铜采购交易，以</w:t>
      </w:r>
      <w:r>
        <w:rPr>
          <w:spacing w:val="-51"/>
        </w:rPr>
        <w:t> </w:t>
      </w:r>
      <w:r>
        <w:rPr>
          <w:spacing w:val="-51"/>
        </w:rPr>
      </w:r>
      <w:r>
        <w:rPr>
          <w:spacing w:val="-4"/>
        </w:rPr>
        <w:t>此为依据进行期铜合约套期操作。公司制定了《铜采购管理制度》，该制度对公司开展铜</w:t>
      </w:r>
      <w:r>
        <w:rPr>
          <w:spacing w:val="-49"/>
        </w:rPr>
        <w:t> </w:t>
      </w:r>
      <w:r>
        <w:rPr>
          <w:spacing w:val="-49"/>
        </w:rPr>
      </w:r>
      <w:r>
        <w:rPr/>
        <w:t>期货保值业务的审批权限、操作流程及风险控制等方面做出了明确规定。</w:t>
      </w:r>
    </w:p>
    <w:p>
      <w:pPr>
        <w:pStyle w:val="BodyText"/>
        <w:spacing w:line="480" w:lineRule="exact" w:before="10"/>
        <w:ind w:left="840" w:right="0" w:hanging="34"/>
        <w:jc w:val="left"/>
      </w:pPr>
      <w:r>
        <w:rPr/>
        <w:t>（2）现金流量套期业务定性分析</w:t>
      </w:r>
      <w:r>
        <w:rPr>
          <w:w w:val="100"/>
        </w:rPr>
        <w:t> </w:t>
      </w:r>
      <w:r>
        <w:rPr>
          <w:spacing w:val="2"/>
        </w:rPr>
        <w:t>本集团使用自有资金开展期货套期保值业务的审批程序符合国家相关法律、法规及</w:t>
      </w:r>
    </w:p>
    <w:p>
      <w:pPr>
        <w:pStyle w:val="BodyText"/>
        <w:spacing w:line="300" w:lineRule="auto" w:before="7"/>
        <w:ind w:left="401" w:right="1697"/>
        <w:jc w:val="both"/>
      </w:pPr>
      <w:r>
        <w:rPr>
          <w:spacing w:val="-4"/>
        </w:rPr>
        <w:t>《公司章程》的有关规定，为规避铜价格波动而开展的期铜套期保值业务，有利于控制经</w:t>
      </w:r>
      <w:r>
        <w:rPr>
          <w:spacing w:val="-51"/>
        </w:rPr>
        <w:t> </w:t>
      </w:r>
      <w:r>
        <w:rPr>
          <w:spacing w:val="-51"/>
        </w:rPr>
      </w:r>
      <w:r>
        <w:rPr/>
        <w:t>营风险，提高公司抵御市场波动的能力。</w:t>
      </w:r>
    </w:p>
    <w:p>
      <w:pPr>
        <w:pStyle w:val="BodyText"/>
        <w:spacing w:line="240" w:lineRule="auto" w:before="137"/>
        <w:ind w:left="807" w:right="0"/>
        <w:jc w:val="left"/>
      </w:pPr>
      <w:r>
        <w:rPr/>
        <w:t>（3）现金流量套期业务对当期损益和其他综合收益的影响</w:t>
      </w:r>
    </w:p>
    <w:p>
      <w:pPr>
        <w:spacing w:line="240" w:lineRule="auto" w:before="2"/>
        <w:rPr>
          <w:rFonts w:ascii="宋体" w:hAnsi="宋体" w:cs="宋体" w:eastAsia="宋体" w:hint="default"/>
          <w:sz w:val="12"/>
          <w:szCs w:val="12"/>
        </w:rPr>
      </w:pPr>
    </w:p>
    <w:tbl>
      <w:tblPr>
        <w:tblW w:w="0" w:type="auto"/>
        <w:jc w:val="left"/>
        <w:tblInd w:w="278" w:type="dxa"/>
        <w:tblLayout w:type="fixed"/>
        <w:tblCellMar>
          <w:top w:w="0" w:type="dxa"/>
          <w:left w:w="0" w:type="dxa"/>
          <w:bottom w:w="0" w:type="dxa"/>
          <w:right w:w="0" w:type="dxa"/>
        </w:tblCellMar>
        <w:tblLook w:val="01E0"/>
      </w:tblPr>
      <w:tblGrid>
        <w:gridCol w:w="931"/>
        <w:gridCol w:w="494"/>
        <w:gridCol w:w="1519"/>
        <w:gridCol w:w="1557"/>
        <w:gridCol w:w="1559"/>
        <w:gridCol w:w="1563"/>
        <w:gridCol w:w="1388"/>
      </w:tblGrid>
      <w:tr>
        <w:trPr>
          <w:trHeight w:val="417" w:hRule="exact"/>
        </w:trPr>
        <w:tc>
          <w:tcPr>
            <w:tcW w:w="931"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32" w:lineRule="exact"/>
              <w:ind w:left="53" w:right="45"/>
              <w:jc w:val="left"/>
              <w:rPr>
                <w:rFonts w:ascii="宋体" w:hAnsi="宋体" w:cs="宋体" w:eastAsia="宋体" w:hint="default"/>
                <w:sz w:val="18"/>
                <w:szCs w:val="18"/>
              </w:rPr>
            </w:pPr>
            <w:r>
              <w:rPr>
                <w:rFonts w:ascii="宋体" w:hAnsi="宋体" w:cs="宋体" w:eastAsia="宋体" w:hint="default"/>
                <w:b/>
                <w:bCs/>
                <w:sz w:val="18"/>
                <w:szCs w:val="18"/>
              </w:rPr>
              <w:t>被</w:t>
            </w:r>
            <w:r>
              <w:rPr>
                <w:rFonts w:ascii="宋体" w:hAnsi="宋体" w:cs="宋体" w:eastAsia="宋体" w:hint="default"/>
                <w:b/>
                <w:bCs/>
                <w:spacing w:val="-56"/>
                <w:sz w:val="18"/>
                <w:szCs w:val="18"/>
              </w:rPr>
              <w:t> </w:t>
            </w:r>
            <w:r>
              <w:rPr>
                <w:rFonts w:ascii="宋体" w:hAnsi="宋体" w:cs="宋体" w:eastAsia="宋体" w:hint="default"/>
                <w:b/>
                <w:bCs/>
                <w:sz w:val="18"/>
                <w:szCs w:val="18"/>
              </w:rPr>
              <w:t>套</w:t>
            </w:r>
            <w:r>
              <w:rPr>
                <w:rFonts w:ascii="宋体" w:hAnsi="宋体" w:cs="宋体" w:eastAsia="宋体" w:hint="default"/>
                <w:b/>
                <w:bCs/>
                <w:spacing w:val="-59"/>
                <w:sz w:val="18"/>
                <w:szCs w:val="18"/>
              </w:rPr>
              <w:t> </w:t>
            </w:r>
            <w:r>
              <w:rPr>
                <w:rFonts w:ascii="宋体" w:hAnsi="宋体" w:cs="宋体" w:eastAsia="宋体" w:hint="default"/>
                <w:b/>
                <w:bCs/>
                <w:sz w:val="18"/>
                <w:szCs w:val="18"/>
              </w:rPr>
              <w:t>期</w:t>
            </w:r>
            <w:r>
              <w:rPr>
                <w:rFonts w:ascii="宋体" w:hAnsi="宋体" w:cs="宋体" w:eastAsia="宋体" w:hint="default"/>
                <w:b/>
                <w:bCs/>
                <w:spacing w:val="-56"/>
                <w:sz w:val="18"/>
                <w:szCs w:val="18"/>
              </w:rPr>
              <w:t> </w:t>
            </w: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目名称</w:t>
            </w:r>
            <w:r>
              <w:rPr>
                <w:rFonts w:ascii="宋体" w:hAnsi="宋体" w:cs="宋体" w:eastAsia="宋体" w:hint="default"/>
                <w:sz w:val="18"/>
                <w:szCs w:val="18"/>
              </w:rPr>
            </w:r>
          </w:p>
        </w:tc>
        <w:tc>
          <w:tcPr>
            <w:tcW w:w="494" w:type="dxa"/>
            <w:vMerge w:val="restart"/>
            <w:tcBorders>
              <w:top w:val="single" w:sz="12" w:space="0" w:color="000000"/>
              <w:left w:val="single" w:sz="4" w:space="0" w:color="000000"/>
              <w:right w:val="single" w:sz="4" w:space="0" w:color="000000"/>
            </w:tcBorders>
          </w:tcPr>
          <w:p>
            <w:pPr>
              <w:pStyle w:val="TableParagraph"/>
              <w:spacing w:line="232" w:lineRule="exact" w:before="123"/>
              <w:ind w:left="63" w:right="59"/>
              <w:jc w:val="both"/>
              <w:rPr>
                <w:rFonts w:ascii="宋体" w:hAnsi="宋体" w:cs="宋体" w:eastAsia="宋体" w:hint="default"/>
                <w:sz w:val="18"/>
                <w:szCs w:val="18"/>
              </w:rPr>
            </w:pPr>
            <w:r>
              <w:rPr>
                <w:rFonts w:ascii="宋体" w:hAnsi="宋体" w:cs="宋体" w:eastAsia="宋体" w:hint="default"/>
                <w:b/>
                <w:bCs/>
                <w:sz w:val="18"/>
                <w:szCs w:val="18"/>
              </w:rPr>
              <w:t>套期</w:t>
            </w:r>
            <w:r>
              <w:rPr>
                <w:rFonts w:ascii="宋体" w:hAnsi="宋体" w:cs="宋体" w:eastAsia="宋体" w:hint="default"/>
                <w:b/>
                <w:bCs/>
                <w:w w:val="99"/>
                <w:sz w:val="18"/>
                <w:szCs w:val="18"/>
              </w:rPr>
              <w:t> </w:t>
            </w:r>
            <w:r>
              <w:rPr>
                <w:rFonts w:ascii="宋体" w:hAnsi="宋体" w:cs="宋体" w:eastAsia="宋体" w:hint="default"/>
                <w:b/>
                <w:bCs/>
                <w:sz w:val="18"/>
                <w:szCs w:val="18"/>
              </w:rPr>
              <w:t>工具</w:t>
            </w:r>
            <w:r>
              <w:rPr>
                <w:rFonts w:ascii="宋体" w:hAnsi="宋体" w:cs="宋体" w:eastAsia="宋体" w:hint="default"/>
                <w:b/>
                <w:bCs/>
                <w:w w:val="99"/>
                <w:sz w:val="18"/>
                <w:szCs w:val="18"/>
              </w:rPr>
              <w:t> </w:t>
            </w:r>
            <w:r>
              <w:rPr>
                <w:rFonts w:ascii="宋体" w:hAnsi="宋体" w:cs="宋体" w:eastAsia="宋体" w:hint="default"/>
                <w:b/>
                <w:bCs/>
                <w:sz w:val="18"/>
                <w:szCs w:val="18"/>
              </w:rPr>
              <w:t>品种</w:t>
            </w:r>
            <w:r>
              <w:rPr>
                <w:rFonts w:ascii="宋体" w:hAnsi="宋体" w:cs="宋体" w:eastAsia="宋体" w:hint="default"/>
                <w:sz w:val="18"/>
                <w:szCs w:val="18"/>
              </w:rPr>
            </w:r>
          </w:p>
        </w:tc>
        <w:tc>
          <w:tcPr>
            <w:tcW w:w="1519"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32" w:lineRule="exact"/>
              <w:ind w:left="303" w:right="119" w:hanging="180"/>
              <w:jc w:val="left"/>
              <w:rPr>
                <w:rFonts w:ascii="宋体" w:hAnsi="宋体" w:cs="宋体" w:eastAsia="宋体" w:hint="default"/>
                <w:sz w:val="18"/>
                <w:szCs w:val="18"/>
              </w:rPr>
            </w:pPr>
            <w:r>
              <w:rPr>
                <w:rFonts w:ascii="宋体" w:hAnsi="宋体" w:cs="宋体" w:eastAsia="宋体" w:hint="default"/>
                <w:b/>
                <w:bCs/>
                <w:sz w:val="18"/>
                <w:szCs w:val="18"/>
              </w:rPr>
              <w:t>套期工具累计利</w:t>
            </w:r>
            <w:r>
              <w:rPr>
                <w:rFonts w:ascii="宋体" w:hAnsi="宋体" w:cs="宋体" w:eastAsia="宋体" w:hint="default"/>
                <w:b/>
                <w:bCs/>
                <w:w w:val="99"/>
                <w:sz w:val="18"/>
                <w:szCs w:val="18"/>
              </w:rPr>
              <w:t> </w:t>
            </w:r>
            <w:r>
              <w:rPr>
                <w:rFonts w:ascii="宋体" w:hAnsi="宋体" w:cs="宋体" w:eastAsia="宋体" w:hint="default"/>
                <w:b/>
                <w:bCs/>
                <w:sz w:val="18"/>
                <w:szCs w:val="18"/>
              </w:rPr>
              <w:t>得或损失①</w:t>
            </w:r>
            <w:r>
              <w:rPr>
                <w:rFonts w:ascii="宋体" w:hAnsi="宋体" w:cs="宋体" w:eastAsia="宋体" w:hint="default"/>
                <w:sz w:val="18"/>
                <w:szCs w:val="18"/>
              </w:rPr>
            </w:r>
          </w:p>
        </w:tc>
        <w:tc>
          <w:tcPr>
            <w:tcW w:w="1557"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34" w:lineRule="exact"/>
              <w:ind w:left="54" w:right="0"/>
              <w:jc w:val="left"/>
              <w:rPr>
                <w:rFonts w:ascii="宋体" w:hAnsi="宋体" w:cs="宋体" w:eastAsia="宋体" w:hint="default"/>
                <w:sz w:val="18"/>
                <w:szCs w:val="18"/>
              </w:rPr>
            </w:pPr>
            <w:r>
              <w:rPr>
                <w:rFonts w:ascii="宋体" w:hAnsi="宋体" w:cs="宋体" w:eastAsia="宋体" w:hint="default"/>
                <w:b/>
                <w:bCs/>
                <w:sz w:val="18"/>
                <w:szCs w:val="18"/>
              </w:rPr>
              <w:t>累计套期有效部分</w:t>
            </w:r>
            <w:r>
              <w:rPr>
                <w:rFonts w:ascii="宋体" w:hAnsi="宋体" w:cs="宋体" w:eastAsia="宋体" w:hint="default"/>
                <w:sz w:val="18"/>
                <w:szCs w:val="18"/>
              </w:rPr>
            </w:r>
          </w:p>
          <w:p>
            <w:pPr>
              <w:pStyle w:val="TableParagraph"/>
              <w:spacing w:line="234" w:lineRule="exact"/>
              <w:ind w:left="143" w:right="0"/>
              <w:jc w:val="left"/>
              <w:rPr>
                <w:rFonts w:ascii="宋体" w:hAnsi="宋体" w:cs="宋体" w:eastAsia="宋体" w:hint="default"/>
                <w:sz w:val="18"/>
                <w:szCs w:val="18"/>
              </w:rPr>
            </w:pPr>
            <w:r>
              <w:rPr>
                <w:rFonts w:ascii="宋体" w:hAnsi="宋体" w:cs="宋体" w:eastAsia="宋体" w:hint="default"/>
                <w:b/>
                <w:bCs/>
                <w:sz w:val="18"/>
                <w:szCs w:val="18"/>
              </w:rPr>
              <w:t>（套期储备）②</w:t>
            </w:r>
            <w:r>
              <w:rPr>
                <w:rFonts w:ascii="宋体" w:hAnsi="宋体" w:cs="宋体" w:eastAsia="宋体" w:hint="default"/>
                <w:sz w:val="18"/>
                <w:szCs w:val="18"/>
              </w:rPr>
            </w:r>
          </w:p>
        </w:tc>
        <w:tc>
          <w:tcPr>
            <w:tcW w:w="4510"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套期无效部分</w:t>
            </w:r>
            <w:r>
              <w:rPr>
                <w:rFonts w:ascii="宋体" w:hAnsi="宋体" w:cs="宋体" w:eastAsia="宋体" w:hint="default"/>
                <w:sz w:val="18"/>
                <w:szCs w:val="18"/>
              </w:rPr>
            </w:r>
          </w:p>
        </w:tc>
      </w:tr>
      <w:tr>
        <w:trPr>
          <w:trHeight w:val="557" w:hRule="exact"/>
        </w:trPr>
        <w:tc>
          <w:tcPr>
            <w:tcW w:w="931" w:type="dxa"/>
            <w:vMerge/>
            <w:tcBorders>
              <w:left w:val="nil" w:sz="6" w:space="0" w:color="auto"/>
              <w:bottom w:val="single" w:sz="4" w:space="0" w:color="000000"/>
              <w:right w:val="single" w:sz="4" w:space="0" w:color="000000"/>
            </w:tcBorders>
          </w:tcPr>
          <w:p>
            <w:pPr/>
          </w:p>
        </w:tc>
        <w:tc>
          <w:tcPr>
            <w:tcW w:w="494" w:type="dxa"/>
            <w:vMerge/>
            <w:tcBorders>
              <w:left w:val="single" w:sz="4" w:space="0" w:color="000000"/>
              <w:bottom w:val="single" w:sz="4" w:space="0" w:color="000000"/>
              <w:right w:val="single" w:sz="4" w:space="0" w:color="000000"/>
            </w:tcBorders>
          </w:tcPr>
          <w:p>
            <w:pPr/>
          </w:p>
        </w:tc>
        <w:tc>
          <w:tcPr>
            <w:tcW w:w="1519" w:type="dxa"/>
            <w:vMerge/>
            <w:tcBorders>
              <w:left w:val="single" w:sz="4" w:space="0" w:color="000000"/>
              <w:bottom w:val="single" w:sz="4" w:space="0" w:color="000000"/>
              <w:right w:val="single" w:sz="4" w:space="0" w:color="000000"/>
            </w:tcBorders>
          </w:tcPr>
          <w:p>
            <w:pPr/>
          </w:p>
        </w:tc>
        <w:tc>
          <w:tcPr>
            <w:tcW w:w="1557" w:type="dxa"/>
            <w:vMerge/>
            <w:tcBorders>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2"/>
              <w:ind w:left="2" w:right="0"/>
              <w:jc w:val="center"/>
              <w:rPr>
                <w:rFonts w:ascii="宋体" w:hAnsi="宋体" w:cs="宋体" w:eastAsia="宋体" w:hint="default"/>
                <w:sz w:val="18"/>
                <w:szCs w:val="18"/>
              </w:rPr>
            </w:pPr>
            <w:r>
              <w:rPr>
                <w:rFonts w:ascii="宋体" w:hAnsi="宋体" w:cs="宋体" w:eastAsia="宋体" w:hint="default"/>
                <w:b/>
                <w:bCs/>
                <w:sz w:val="18"/>
                <w:szCs w:val="18"/>
              </w:rPr>
              <w:t>本期末累计金额</w:t>
            </w:r>
            <w:r>
              <w:rPr>
                <w:rFonts w:ascii="宋体" w:hAnsi="宋体" w:cs="宋体" w:eastAsia="宋体" w:hint="default"/>
                <w:sz w:val="18"/>
                <w:szCs w:val="18"/>
              </w:rPr>
            </w:r>
          </w:p>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③=①-②</w:t>
            </w:r>
            <w:r>
              <w:rPr>
                <w:rFonts w:ascii="宋体" w:hAnsi="宋体" w:cs="宋体" w:eastAsia="宋体" w:hint="default"/>
                <w:sz w:val="18"/>
                <w:szCs w:val="18"/>
              </w:rPr>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47" w:right="0"/>
              <w:jc w:val="left"/>
              <w:rPr>
                <w:rFonts w:ascii="宋体" w:hAnsi="宋体" w:cs="宋体" w:eastAsia="宋体" w:hint="default"/>
                <w:sz w:val="18"/>
                <w:szCs w:val="18"/>
              </w:rPr>
            </w:pPr>
            <w:r>
              <w:rPr>
                <w:rFonts w:ascii="宋体" w:hAnsi="宋体" w:cs="宋体" w:eastAsia="宋体" w:hint="default"/>
                <w:b/>
                <w:bCs/>
                <w:sz w:val="18"/>
                <w:szCs w:val="18"/>
              </w:rPr>
              <w:t>上期末累计金额</w:t>
            </w:r>
            <w:r>
              <w:rPr>
                <w:rFonts w:ascii="宋体" w:hAnsi="宋体" w:cs="宋体" w:eastAsia="宋体" w:hint="default"/>
                <w:sz w:val="18"/>
                <w:szCs w:val="18"/>
              </w:rPr>
            </w:r>
          </w:p>
        </w:tc>
        <w:tc>
          <w:tcPr>
            <w:tcW w:w="13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left="240"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r>
      <w:tr>
        <w:trPr>
          <w:trHeight w:val="557" w:hRule="exact"/>
        </w:trPr>
        <w:tc>
          <w:tcPr>
            <w:tcW w:w="931"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4"/>
              <w:ind w:left="53" w:right="47"/>
              <w:jc w:val="left"/>
              <w:rPr>
                <w:rFonts w:ascii="宋体" w:hAnsi="宋体" w:cs="宋体" w:eastAsia="宋体" w:hint="default"/>
                <w:sz w:val="18"/>
                <w:szCs w:val="18"/>
              </w:rPr>
            </w:pPr>
            <w:r>
              <w:rPr>
                <w:rFonts w:ascii="宋体" w:hAnsi="宋体" w:cs="宋体" w:eastAsia="宋体" w:hint="default"/>
                <w:sz w:val="18"/>
                <w:szCs w:val="18"/>
              </w:rPr>
              <w:t>预</w:t>
            </w:r>
            <w:r>
              <w:rPr>
                <w:rFonts w:ascii="宋体" w:hAnsi="宋体" w:cs="宋体" w:eastAsia="宋体" w:hint="default"/>
                <w:spacing w:val="-57"/>
                <w:sz w:val="18"/>
                <w:szCs w:val="18"/>
              </w:rPr>
              <w:t> </w:t>
            </w:r>
            <w:r>
              <w:rPr>
                <w:rFonts w:ascii="宋体" w:hAnsi="宋体" w:cs="宋体" w:eastAsia="宋体" w:hint="default"/>
                <w:sz w:val="18"/>
                <w:szCs w:val="18"/>
              </w:rPr>
              <w:t>期</w:t>
            </w:r>
            <w:r>
              <w:rPr>
                <w:rFonts w:ascii="宋体" w:hAnsi="宋体" w:cs="宋体" w:eastAsia="宋体" w:hint="default"/>
                <w:spacing w:val="-54"/>
                <w:sz w:val="18"/>
                <w:szCs w:val="18"/>
              </w:rPr>
              <w:t> </w:t>
            </w:r>
            <w:r>
              <w:rPr>
                <w:rFonts w:ascii="宋体" w:hAnsi="宋体" w:cs="宋体" w:eastAsia="宋体" w:hint="default"/>
                <w:sz w:val="18"/>
                <w:szCs w:val="18"/>
              </w:rPr>
              <w:t>铜</w:t>
            </w:r>
            <w:r>
              <w:rPr>
                <w:rFonts w:ascii="宋体" w:hAnsi="宋体" w:cs="宋体" w:eastAsia="宋体" w:hint="default"/>
                <w:spacing w:val="-57"/>
                <w:sz w:val="18"/>
                <w:szCs w:val="18"/>
              </w:rPr>
              <w:t> </w:t>
            </w:r>
            <w:r>
              <w:rPr>
                <w:rFonts w:ascii="宋体" w:hAnsi="宋体" w:cs="宋体" w:eastAsia="宋体" w:hint="default"/>
                <w:sz w:val="18"/>
                <w:szCs w:val="18"/>
              </w:rPr>
              <w:t>采</w:t>
            </w:r>
            <w:r>
              <w:rPr>
                <w:rFonts w:ascii="宋体" w:hAnsi="宋体" w:cs="宋体" w:eastAsia="宋体" w:hint="default"/>
                <w:sz w:val="18"/>
                <w:szCs w:val="18"/>
              </w:rPr>
              <w:t> 购交易</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4"/>
              <w:ind w:left="63" w:right="59"/>
              <w:jc w:val="left"/>
              <w:rPr>
                <w:rFonts w:ascii="宋体" w:hAnsi="宋体" w:cs="宋体" w:eastAsia="宋体" w:hint="default"/>
                <w:sz w:val="18"/>
                <w:szCs w:val="18"/>
              </w:rPr>
            </w:pPr>
            <w:r>
              <w:rPr>
                <w:rFonts w:ascii="宋体" w:hAnsi="宋体" w:cs="宋体" w:eastAsia="宋体" w:hint="default"/>
                <w:sz w:val="18"/>
                <w:szCs w:val="18"/>
              </w:rPr>
              <w:t>期铜 合约</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42" w:right="0"/>
              <w:jc w:val="center"/>
              <w:rPr>
                <w:rFonts w:ascii="宋体" w:hAnsi="宋体" w:cs="宋体" w:eastAsia="宋体" w:hint="default"/>
                <w:sz w:val="18"/>
                <w:szCs w:val="18"/>
              </w:rPr>
            </w:pPr>
            <w:r>
              <w:rPr>
                <w:rFonts w:ascii="宋体"/>
                <w:sz w:val="18"/>
              </w:rPr>
              <w:t>-34,286,555.11</w:t>
            </w:r>
          </w:p>
        </w:tc>
        <w:tc>
          <w:tcPr>
            <w:tcW w:w="1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宋体" w:hAnsi="宋体" w:cs="宋体" w:eastAsia="宋体" w:hint="default"/>
                <w:sz w:val="18"/>
                <w:szCs w:val="18"/>
              </w:rPr>
            </w:pPr>
            <w:r>
              <w:rPr>
                <w:rFonts w:ascii="宋体"/>
                <w:spacing w:val="-1"/>
                <w:sz w:val="18"/>
              </w:rPr>
              <w:t>-24,193,947.80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99"/>
              <w:jc w:val="right"/>
              <w:rPr>
                <w:rFonts w:ascii="宋体" w:hAnsi="宋体" w:cs="宋体" w:eastAsia="宋体" w:hint="default"/>
                <w:sz w:val="18"/>
                <w:szCs w:val="18"/>
              </w:rPr>
            </w:pPr>
            <w:r>
              <w:rPr>
                <w:rFonts w:ascii="宋体"/>
                <w:spacing w:val="-1"/>
                <w:sz w:val="18"/>
              </w:rPr>
              <w:t>-10,092,607.31</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90" w:right="0"/>
              <w:jc w:val="left"/>
              <w:rPr>
                <w:rFonts w:ascii="宋体" w:hAnsi="宋体" w:cs="宋体" w:eastAsia="宋体" w:hint="default"/>
                <w:sz w:val="18"/>
                <w:szCs w:val="18"/>
              </w:rPr>
            </w:pPr>
            <w:r>
              <w:rPr>
                <w:rFonts w:ascii="宋体"/>
                <w:sz w:val="18"/>
              </w:rPr>
              <w:t>-16,803,522.31</w:t>
            </w:r>
          </w:p>
        </w:tc>
        <w:tc>
          <w:tcPr>
            <w:tcW w:w="13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left="194" w:right="0"/>
              <w:jc w:val="left"/>
              <w:rPr>
                <w:rFonts w:ascii="宋体" w:hAnsi="宋体" w:cs="宋体" w:eastAsia="宋体" w:hint="default"/>
                <w:sz w:val="18"/>
                <w:szCs w:val="18"/>
              </w:rPr>
            </w:pPr>
            <w:r>
              <w:rPr>
                <w:rFonts w:ascii="宋体"/>
                <w:sz w:val="18"/>
              </w:rPr>
              <w:t>6,710,915.00</w:t>
            </w:r>
          </w:p>
        </w:tc>
      </w:tr>
      <w:tr>
        <w:trPr>
          <w:trHeight w:val="417" w:hRule="exact"/>
        </w:trPr>
        <w:tc>
          <w:tcPr>
            <w:tcW w:w="93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494" w:type="dxa"/>
            <w:tcBorders>
              <w:top w:val="single" w:sz="4" w:space="0" w:color="000000"/>
              <w:left w:val="single" w:sz="4" w:space="0" w:color="000000"/>
              <w:bottom w:val="single" w:sz="12" w:space="0" w:color="000000"/>
              <w:right w:val="single" w:sz="4" w:space="0" w:color="000000"/>
            </w:tcBorders>
          </w:tcPr>
          <w:p>
            <w:pPr/>
          </w:p>
        </w:tc>
        <w:tc>
          <w:tcPr>
            <w:tcW w:w="151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left="54" w:right="0"/>
              <w:jc w:val="center"/>
              <w:rPr>
                <w:rFonts w:ascii="宋体" w:hAnsi="宋体" w:cs="宋体" w:eastAsia="宋体" w:hint="default"/>
                <w:sz w:val="18"/>
                <w:szCs w:val="18"/>
              </w:rPr>
            </w:pPr>
            <w:r>
              <w:rPr>
                <w:rFonts w:ascii="宋体"/>
                <w:b/>
                <w:sz w:val="18"/>
              </w:rPr>
              <w:t>-34,286,555.11</w:t>
            </w:r>
            <w:r>
              <w:rPr>
                <w:rFonts w:ascii="宋体"/>
                <w:sz w:val="18"/>
              </w:rPr>
            </w:r>
          </w:p>
        </w:tc>
        <w:tc>
          <w:tcPr>
            <w:tcW w:w="15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88"/>
              <w:jc w:val="right"/>
              <w:rPr>
                <w:rFonts w:ascii="宋体" w:hAnsi="宋体" w:cs="宋体" w:eastAsia="宋体" w:hint="default"/>
                <w:sz w:val="18"/>
                <w:szCs w:val="18"/>
              </w:rPr>
            </w:pPr>
            <w:r>
              <w:rPr>
                <w:rFonts w:ascii="宋体"/>
                <w:b/>
                <w:sz w:val="18"/>
              </w:rPr>
              <w:t>-24,193,947.80</w:t>
            </w:r>
            <w:r>
              <w:rPr>
                <w:rFonts w:ascii="宋体"/>
                <w:sz w:val="18"/>
              </w:rPr>
            </w:r>
          </w:p>
        </w:tc>
        <w:tc>
          <w:tcPr>
            <w:tcW w:w="155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87"/>
              <w:jc w:val="right"/>
              <w:rPr>
                <w:rFonts w:ascii="宋体" w:hAnsi="宋体" w:cs="宋体" w:eastAsia="宋体" w:hint="default"/>
                <w:sz w:val="18"/>
                <w:szCs w:val="18"/>
              </w:rPr>
            </w:pPr>
            <w:r>
              <w:rPr>
                <w:rFonts w:ascii="宋体"/>
                <w:b/>
                <w:sz w:val="18"/>
              </w:rPr>
              <w:t>-10,092,607.31</w:t>
            </w:r>
            <w:r>
              <w:rPr>
                <w:rFonts w:ascii="宋体"/>
                <w:sz w:val="18"/>
              </w:rPr>
            </w:r>
          </w:p>
        </w:tc>
        <w:tc>
          <w:tcPr>
            <w:tcW w:w="15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left="190" w:right="0"/>
              <w:jc w:val="left"/>
              <w:rPr>
                <w:rFonts w:ascii="宋体" w:hAnsi="宋体" w:cs="宋体" w:eastAsia="宋体" w:hint="default"/>
                <w:sz w:val="18"/>
                <w:szCs w:val="18"/>
              </w:rPr>
            </w:pPr>
            <w:r>
              <w:rPr>
                <w:rFonts w:ascii="宋体"/>
                <w:b/>
                <w:sz w:val="18"/>
              </w:rPr>
              <w:t>-16,803,522.31</w:t>
            </w:r>
            <w:r>
              <w:rPr>
                <w:rFonts w:ascii="宋体"/>
                <w:sz w:val="18"/>
              </w:rPr>
            </w:r>
          </w:p>
        </w:tc>
        <w:tc>
          <w:tcPr>
            <w:tcW w:w="138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left="194" w:right="0"/>
              <w:jc w:val="left"/>
              <w:rPr>
                <w:rFonts w:ascii="宋体" w:hAnsi="宋体" w:cs="宋体" w:eastAsia="宋体" w:hint="default"/>
                <w:sz w:val="18"/>
                <w:szCs w:val="18"/>
              </w:rPr>
            </w:pPr>
            <w:r>
              <w:rPr>
                <w:rFonts w:ascii="宋体"/>
                <w:b/>
                <w:sz w:val="18"/>
              </w:rPr>
              <w:t>6,710,915.00</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826" w:right="0"/>
        <w:jc w:val="left"/>
      </w:pPr>
      <w:r>
        <w:rPr/>
        <w:t>（续表）</w:t>
      </w:r>
    </w:p>
    <w:p>
      <w:pPr>
        <w:spacing w:line="240" w:lineRule="auto" w:before="5"/>
        <w:rPr>
          <w:rFonts w:ascii="宋体" w:hAnsi="宋体" w:cs="宋体" w:eastAsia="宋体" w:hint="default"/>
          <w:sz w:val="12"/>
          <w:szCs w:val="12"/>
        </w:rPr>
      </w:pPr>
    </w:p>
    <w:tbl>
      <w:tblPr>
        <w:tblW w:w="0" w:type="auto"/>
        <w:jc w:val="left"/>
        <w:tblInd w:w="102" w:type="dxa"/>
        <w:tblLayout w:type="fixed"/>
        <w:tblCellMar>
          <w:top w:w="0" w:type="dxa"/>
          <w:left w:w="0" w:type="dxa"/>
          <w:bottom w:w="0" w:type="dxa"/>
          <w:right w:w="0" w:type="dxa"/>
        </w:tblCellMar>
        <w:tblLook w:val="01E0"/>
      </w:tblPr>
      <w:tblGrid>
        <w:gridCol w:w="1136"/>
        <w:gridCol w:w="854"/>
        <w:gridCol w:w="1698"/>
        <w:gridCol w:w="1842"/>
        <w:gridCol w:w="1842"/>
        <w:gridCol w:w="1527"/>
      </w:tblGrid>
      <w:tr>
        <w:trPr>
          <w:trHeight w:val="417" w:hRule="exact"/>
        </w:trPr>
        <w:tc>
          <w:tcPr>
            <w:tcW w:w="1136" w:type="dxa"/>
            <w:vMerge w:val="restart"/>
            <w:tcBorders>
              <w:top w:val="single" w:sz="12" w:space="0" w:color="000000"/>
              <w:left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107" w:right="98"/>
              <w:jc w:val="left"/>
              <w:rPr>
                <w:rFonts w:ascii="宋体" w:hAnsi="宋体" w:cs="宋体" w:eastAsia="宋体" w:hint="default"/>
                <w:sz w:val="18"/>
                <w:szCs w:val="18"/>
              </w:rPr>
            </w:pPr>
            <w:r>
              <w:rPr>
                <w:rFonts w:ascii="宋体" w:hAnsi="宋体" w:cs="宋体" w:eastAsia="宋体" w:hint="default"/>
                <w:b/>
                <w:bCs/>
                <w:spacing w:val="4"/>
                <w:sz w:val="18"/>
                <w:szCs w:val="18"/>
              </w:rPr>
              <w:t>被套期项目</w:t>
            </w:r>
            <w:r>
              <w:rPr>
                <w:rFonts w:ascii="宋体" w:hAnsi="宋体" w:cs="宋体" w:eastAsia="宋体" w:hint="default"/>
                <w:b/>
                <w:bCs/>
                <w:w w:val="99"/>
                <w:sz w:val="18"/>
                <w:szCs w:val="18"/>
              </w:rPr>
              <w:t> </w:t>
            </w:r>
            <w:r>
              <w:rPr>
                <w:rFonts w:ascii="宋体" w:hAnsi="宋体" w:cs="宋体" w:eastAsia="宋体" w:hint="default"/>
                <w:b/>
                <w:bCs/>
                <w:sz w:val="18"/>
                <w:szCs w:val="18"/>
              </w:rPr>
              <w:t>名称</w:t>
            </w:r>
            <w:r>
              <w:rPr>
                <w:rFonts w:ascii="宋体" w:hAnsi="宋体" w:cs="宋体" w:eastAsia="宋体" w:hint="default"/>
                <w:sz w:val="18"/>
                <w:szCs w:val="18"/>
              </w:rPr>
            </w:r>
          </w:p>
        </w:tc>
        <w:tc>
          <w:tcPr>
            <w:tcW w:w="854"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151" w:right="148"/>
              <w:jc w:val="left"/>
              <w:rPr>
                <w:rFonts w:ascii="宋体" w:hAnsi="宋体" w:cs="宋体" w:eastAsia="宋体" w:hint="default"/>
                <w:sz w:val="18"/>
                <w:szCs w:val="18"/>
              </w:rPr>
            </w:pPr>
            <w:r>
              <w:rPr>
                <w:rFonts w:ascii="宋体" w:hAnsi="宋体" w:cs="宋体" w:eastAsia="宋体" w:hint="default"/>
                <w:b/>
                <w:bCs/>
                <w:sz w:val="18"/>
                <w:szCs w:val="18"/>
              </w:rPr>
              <w:t>套期工</w:t>
            </w:r>
            <w:r>
              <w:rPr>
                <w:rFonts w:ascii="宋体" w:hAnsi="宋体" w:cs="宋体" w:eastAsia="宋体" w:hint="default"/>
                <w:b/>
                <w:bCs/>
                <w:w w:val="99"/>
                <w:sz w:val="18"/>
                <w:szCs w:val="18"/>
              </w:rPr>
              <w:t> </w:t>
            </w:r>
            <w:r>
              <w:rPr>
                <w:rFonts w:ascii="宋体" w:hAnsi="宋体" w:cs="宋体" w:eastAsia="宋体" w:hint="default"/>
                <w:b/>
                <w:bCs/>
                <w:sz w:val="18"/>
                <w:szCs w:val="18"/>
              </w:rPr>
              <w:t>具品种</w:t>
            </w:r>
            <w:r>
              <w:rPr>
                <w:rFonts w:ascii="宋体" w:hAnsi="宋体" w:cs="宋体" w:eastAsia="宋体" w:hint="default"/>
                <w:sz w:val="18"/>
                <w:szCs w:val="18"/>
              </w:rPr>
            </w:r>
          </w:p>
        </w:tc>
        <w:tc>
          <w:tcPr>
            <w:tcW w:w="3540"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865" w:right="0"/>
              <w:jc w:val="left"/>
              <w:rPr>
                <w:rFonts w:ascii="宋体" w:hAnsi="宋体" w:cs="宋体" w:eastAsia="宋体" w:hint="default"/>
                <w:sz w:val="18"/>
                <w:szCs w:val="18"/>
              </w:rPr>
            </w:pPr>
            <w:r>
              <w:rPr>
                <w:rFonts w:ascii="宋体" w:hAnsi="宋体" w:cs="宋体" w:eastAsia="宋体" w:hint="default"/>
                <w:b/>
                <w:bCs/>
                <w:sz w:val="18"/>
                <w:szCs w:val="18"/>
              </w:rPr>
              <w:t>本期转出的套期储备④</w:t>
            </w:r>
            <w:r>
              <w:rPr>
                <w:rFonts w:ascii="宋体" w:hAnsi="宋体" w:cs="宋体" w:eastAsia="宋体" w:hint="default"/>
                <w:sz w:val="18"/>
                <w:szCs w:val="18"/>
              </w:rPr>
            </w:r>
          </w:p>
        </w:tc>
        <w:tc>
          <w:tcPr>
            <w:tcW w:w="1842"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735" w:right="190" w:hanging="540"/>
              <w:jc w:val="left"/>
              <w:rPr>
                <w:rFonts w:ascii="宋体" w:hAnsi="宋体" w:cs="宋体" w:eastAsia="宋体" w:hint="default"/>
                <w:sz w:val="18"/>
                <w:szCs w:val="18"/>
              </w:rPr>
            </w:pPr>
            <w:r>
              <w:rPr>
                <w:rFonts w:ascii="宋体" w:hAnsi="宋体" w:cs="宋体" w:eastAsia="宋体" w:hint="default"/>
                <w:b/>
                <w:bCs/>
                <w:sz w:val="18"/>
                <w:szCs w:val="18"/>
              </w:rPr>
              <w:t>累计转出的套期储</w:t>
            </w:r>
            <w:r>
              <w:rPr>
                <w:rFonts w:ascii="宋体" w:hAnsi="宋体" w:cs="宋体" w:eastAsia="宋体" w:hint="default"/>
                <w:b/>
                <w:bCs/>
                <w:w w:val="99"/>
                <w:sz w:val="18"/>
                <w:szCs w:val="18"/>
              </w:rPr>
              <w:t> </w:t>
            </w:r>
            <w:r>
              <w:rPr>
                <w:rFonts w:ascii="宋体" w:hAnsi="宋体" w:cs="宋体" w:eastAsia="宋体" w:hint="default"/>
                <w:b/>
                <w:bCs/>
                <w:sz w:val="18"/>
                <w:szCs w:val="18"/>
              </w:rPr>
              <w:t>备⑤</w:t>
            </w:r>
            <w:r>
              <w:rPr>
                <w:rFonts w:ascii="宋体" w:hAnsi="宋体" w:cs="宋体" w:eastAsia="宋体" w:hint="default"/>
                <w:sz w:val="18"/>
                <w:szCs w:val="18"/>
              </w:rPr>
            </w:r>
          </w:p>
        </w:tc>
        <w:tc>
          <w:tcPr>
            <w:tcW w:w="1527" w:type="dxa"/>
            <w:vMerge w:val="restart"/>
            <w:tcBorders>
              <w:top w:val="single" w:sz="12" w:space="0" w:color="000000"/>
              <w:left w:val="single" w:sz="4" w:space="0" w:color="000000"/>
              <w:right w:val="nil" w:sz="6" w:space="0" w:color="auto"/>
            </w:tcBorders>
          </w:tcPr>
          <w:p>
            <w:pPr>
              <w:pStyle w:val="TableParagraph"/>
              <w:spacing w:line="240" w:lineRule="auto" w:before="120"/>
              <w:ind w:right="1"/>
              <w:jc w:val="center"/>
              <w:rPr>
                <w:rFonts w:ascii="宋体" w:hAnsi="宋体" w:cs="宋体" w:eastAsia="宋体" w:hint="default"/>
                <w:sz w:val="18"/>
                <w:szCs w:val="18"/>
              </w:rPr>
            </w:pPr>
            <w:r>
              <w:rPr>
                <w:rFonts w:ascii="宋体" w:hAnsi="宋体" w:cs="宋体" w:eastAsia="宋体" w:hint="default"/>
                <w:b/>
                <w:bCs/>
                <w:sz w:val="18"/>
                <w:szCs w:val="18"/>
              </w:rPr>
              <w:t>套期储备余额</w:t>
            </w:r>
            <w:r>
              <w:rPr>
                <w:rFonts w:ascii="宋体" w:hAnsi="宋体" w:cs="宋体" w:eastAsia="宋体" w:hint="default"/>
                <w:sz w:val="18"/>
                <w:szCs w:val="18"/>
              </w:rPr>
            </w:r>
          </w:p>
          <w:p>
            <w:pPr>
              <w:pStyle w:val="TableParagraph"/>
              <w:spacing w:line="240" w:lineRule="auto" w:before="38"/>
              <w:ind w:right="1"/>
              <w:jc w:val="center"/>
              <w:rPr>
                <w:rFonts w:ascii="宋体" w:hAnsi="宋体" w:cs="宋体" w:eastAsia="宋体" w:hint="default"/>
                <w:sz w:val="18"/>
                <w:szCs w:val="18"/>
              </w:rPr>
            </w:pPr>
            <w:r>
              <w:rPr>
                <w:rFonts w:ascii="宋体" w:hAnsi="宋体" w:cs="宋体" w:eastAsia="宋体" w:hint="default"/>
                <w:b/>
                <w:bCs/>
                <w:sz w:val="18"/>
                <w:szCs w:val="18"/>
              </w:rPr>
              <w:t>⑥=②-⑤</w:t>
            </w:r>
            <w:r>
              <w:rPr>
                <w:rFonts w:ascii="宋体" w:hAnsi="宋体" w:cs="宋体" w:eastAsia="宋体" w:hint="default"/>
                <w:sz w:val="18"/>
                <w:szCs w:val="18"/>
              </w:rPr>
            </w:r>
          </w:p>
        </w:tc>
      </w:tr>
      <w:tr>
        <w:trPr>
          <w:trHeight w:val="407" w:hRule="exact"/>
        </w:trPr>
        <w:tc>
          <w:tcPr>
            <w:tcW w:w="1136" w:type="dxa"/>
            <w:vMerge/>
            <w:tcBorders>
              <w:left w:val="nil" w:sz="6" w:space="0" w:color="auto"/>
              <w:bottom w:val="single" w:sz="4" w:space="0" w:color="000000"/>
              <w:right w:val="single" w:sz="4" w:space="0" w:color="000000"/>
            </w:tcBorders>
          </w:tcPr>
          <w:p>
            <w:pPr/>
          </w:p>
        </w:tc>
        <w:tc>
          <w:tcPr>
            <w:tcW w:w="854" w:type="dxa"/>
            <w:vMerge/>
            <w:tcBorders>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03" w:right="0"/>
              <w:jc w:val="left"/>
              <w:rPr>
                <w:rFonts w:ascii="宋体" w:hAnsi="宋体" w:cs="宋体" w:eastAsia="宋体" w:hint="default"/>
                <w:sz w:val="18"/>
                <w:szCs w:val="18"/>
              </w:rPr>
            </w:pPr>
            <w:r>
              <w:rPr>
                <w:rFonts w:ascii="宋体" w:hAnsi="宋体" w:cs="宋体" w:eastAsia="宋体" w:hint="default"/>
                <w:b/>
                <w:bCs/>
                <w:sz w:val="18"/>
                <w:szCs w:val="18"/>
              </w:rPr>
              <w:t>转至当期损益</w:t>
            </w:r>
            <w:r>
              <w:rPr>
                <w:rFonts w:ascii="宋体" w:hAnsi="宋体" w:cs="宋体" w:eastAsia="宋体" w:hint="default"/>
                <w:sz w:val="18"/>
                <w:szCs w:val="18"/>
              </w:rPr>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85" w:right="0"/>
              <w:jc w:val="left"/>
              <w:rPr>
                <w:rFonts w:ascii="宋体" w:hAnsi="宋体" w:cs="宋体" w:eastAsia="宋体" w:hint="default"/>
                <w:sz w:val="18"/>
                <w:szCs w:val="18"/>
              </w:rPr>
            </w:pPr>
            <w:r>
              <w:rPr>
                <w:rFonts w:ascii="宋体" w:hAnsi="宋体" w:cs="宋体" w:eastAsia="宋体" w:hint="default"/>
                <w:b/>
                <w:bCs/>
                <w:sz w:val="18"/>
                <w:szCs w:val="18"/>
              </w:rPr>
              <w:t>转至资产或负债</w:t>
            </w:r>
            <w:r>
              <w:rPr>
                <w:rFonts w:ascii="宋体" w:hAnsi="宋体" w:cs="宋体" w:eastAsia="宋体" w:hint="default"/>
                <w:sz w:val="18"/>
                <w:szCs w:val="18"/>
              </w:rPr>
            </w:r>
          </w:p>
        </w:tc>
        <w:tc>
          <w:tcPr>
            <w:tcW w:w="1842" w:type="dxa"/>
            <w:vMerge/>
            <w:tcBorders>
              <w:left w:val="single" w:sz="4" w:space="0" w:color="000000"/>
              <w:bottom w:val="single" w:sz="4" w:space="0" w:color="000000"/>
              <w:right w:val="single" w:sz="4" w:space="0" w:color="000000"/>
            </w:tcBorders>
          </w:tcPr>
          <w:p>
            <w:pPr/>
          </w:p>
        </w:tc>
        <w:tc>
          <w:tcPr>
            <w:tcW w:w="1527" w:type="dxa"/>
            <w:vMerge/>
            <w:tcBorders>
              <w:left w:val="single" w:sz="4" w:space="0" w:color="000000"/>
              <w:bottom w:val="single" w:sz="4" w:space="0" w:color="000000"/>
              <w:right w:val="nil" w:sz="6" w:space="0" w:color="auto"/>
            </w:tcBorders>
          </w:tcPr>
          <w:p>
            <w:pPr/>
          </w:p>
        </w:tc>
      </w:tr>
      <w:tr>
        <w:trPr>
          <w:trHeight w:val="557" w:hRule="exact"/>
        </w:trPr>
        <w:tc>
          <w:tcPr>
            <w:tcW w:w="1136"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5"/>
              <w:ind w:left="107" w:right="103"/>
              <w:jc w:val="left"/>
              <w:rPr>
                <w:rFonts w:ascii="宋体" w:hAnsi="宋体" w:cs="宋体" w:eastAsia="宋体" w:hint="default"/>
                <w:sz w:val="18"/>
                <w:szCs w:val="18"/>
              </w:rPr>
            </w:pPr>
            <w:r>
              <w:rPr>
                <w:rFonts w:ascii="宋体" w:hAnsi="宋体" w:cs="宋体" w:eastAsia="宋体" w:hint="default"/>
                <w:spacing w:val="3"/>
                <w:sz w:val="18"/>
                <w:szCs w:val="18"/>
              </w:rPr>
              <w:t>预期铜采购</w:t>
            </w:r>
            <w:r>
              <w:rPr>
                <w:rFonts w:ascii="宋体" w:hAnsi="宋体" w:cs="宋体" w:eastAsia="宋体" w:hint="default"/>
                <w:sz w:val="18"/>
                <w:szCs w:val="18"/>
              </w:rPr>
              <w:t> 交易</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331" w:right="150" w:hanging="180"/>
              <w:jc w:val="left"/>
              <w:rPr>
                <w:rFonts w:ascii="宋体" w:hAnsi="宋体" w:cs="宋体" w:eastAsia="宋体" w:hint="default"/>
                <w:sz w:val="18"/>
                <w:szCs w:val="18"/>
              </w:rPr>
            </w:pPr>
            <w:r>
              <w:rPr>
                <w:rFonts w:ascii="宋体" w:hAnsi="宋体" w:cs="宋体" w:eastAsia="宋体" w:hint="default"/>
                <w:sz w:val="18"/>
                <w:szCs w:val="18"/>
              </w:rPr>
              <w:t>期铜合 约</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left="325" w:right="0"/>
              <w:jc w:val="left"/>
              <w:rPr>
                <w:rFonts w:ascii="宋体" w:hAnsi="宋体" w:cs="宋体" w:eastAsia="宋体" w:hint="default"/>
                <w:sz w:val="18"/>
                <w:szCs w:val="18"/>
              </w:rPr>
            </w:pPr>
            <w:r>
              <w:rPr>
                <w:rFonts w:ascii="宋体"/>
                <w:sz w:val="18"/>
              </w:rPr>
              <w:t>-22,741,244.99</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1"/>
              <w:jc w:val="right"/>
              <w:rPr>
                <w:rFonts w:ascii="宋体" w:hAnsi="宋体" w:cs="宋体" w:eastAsia="宋体" w:hint="default"/>
                <w:sz w:val="18"/>
                <w:szCs w:val="18"/>
              </w:rPr>
            </w:pPr>
            <w:r>
              <w:rPr>
                <w:rFonts w:ascii="宋体"/>
                <w:spacing w:val="-1"/>
                <w:sz w:val="18"/>
              </w:rPr>
              <w:t>40,380,479.99</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宋体" w:hAnsi="宋体" w:cs="宋体" w:eastAsia="宋体" w:hint="default"/>
                <w:sz w:val="18"/>
                <w:szCs w:val="18"/>
              </w:rPr>
            </w:pPr>
            <w:r>
              <w:rPr>
                <w:rFonts w:ascii="宋体"/>
                <w:spacing w:val="-1"/>
                <w:sz w:val="18"/>
              </w:rPr>
              <w:t>-22,579,938.79</w:t>
            </w:r>
          </w:p>
        </w:tc>
        <w:tc>
          <w:tcPr>
            <w:tcW w:w="15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6"/>
              <w:ind w:right="105"/>
              <w:jc w:val="right"/>
              <w:rPr>
                <w:rFonts w:ascii="宋体" w:hAnsi="宋体" w:cs="宋体" w:eastAsia="宋体" w:hint="default"/>
                <w:sz w:val="18"/>
                <w:szCs w:val="18"/>
              </w:rPr>
            </w:pPr>
            <w:r>
              <w:rPr>
                <w:rFonts w:ascii="宋体"/>
                <w:spacing w:val="-1"/>
                <w:sz w:val="18"/>
              </w:rPr>
              <w:t>-1,614,009.01</w:t>
            </w:r>
          </w:p>
        </w:tc>
      </w:tr>
      <w:tr>
        <w:trPr>
          <w:trHeight w:val="417" w:hRule="exact"/>
        </w:trPr>
        <w:tc>
          <w:tcPr>
            <w:tcW w:w="113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854" w:type="dxa"/>
            <w:tcBorders>
              <w:top w:val="single" w:sz="4" w:space="0" w:color="000000"/>
              <w:left w:val="single" w:sz="4" w:space="0" w:color="000000"/>
              <w:bottom w:val="single" w:sz="12" w:space="0" w:color="000000"/>
              <w:right w:val="single" w:sz="4" w:space="0" w:color="000000"/>
            </w:tcBorders>
          </w:tcPr>
          <w:p>
            <w:pPr/>
          </w:p>
        </w:tc>
        <w:tc>
          <w:tcPr>
            <w:tcW w:w="16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325" w:right="0"/>
              <w:jc w:val="left"/>
              <w:rPr>
                <w:rFonts w:ascii="宋体" w:hAnsi="宋体" w:cs="宋体" w:eastAsia="宋体" w:hint="default"/>
                <w:sz w:val="18"/>
                <w:szCs w:val="18"/>
              </w:rPr>
            </w:pPr>
            <w:r>
              <w:rPr>
                <w:rFonts w:ascii="宋体"/>
                <w:b/>
                <w:sz w:val="18"/>
              </w:rPr>
              <w:t>-22,741,244.99</w:t>
            </w:r>
            <w:r>
              <w:rPr>
                <w:rFonts w:ascii="宋体"/>
                <w:sz w:val="18"/>
              </w:rPr>
            </w:r>
          </w:p>
        </w:tc>
        <w:tc>
          <w:tcPr>
            <w:tcW w:w="184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89"/>
              <w:jc w:val="right"/>
              <w:rPr>
                <w:rFonts w:ascii="宋体" w:hAnsi="宋体" w:cs="宋体" w:eastAsia="宋体" w:hint="default"/>
                <w:sz w:val="18"/>
                <w:szCs w:val="18"/>
              </w:rPr>
            </w:pPr>
            <w:r>
              <w:rPr>
                <w:rFonts w:ascii="宋体"/>
                <w:b/>
                <w:w w:val="95"/>
                <w:sz w:val="18"/>
              </w:rPr>
              <w:t>40,380,479.99</w:t>
            </w:r>
            <w:r>
              <w:rPr>
                <w:rFonts w:ascii="宋体"/>
                <w:sz w:val="18"/>
              </w:rPr>
            </w:r>
          </w:p>
        </w:tc>
        <w:tc>
          <w:tcPr>
            <w:tcW w:w="184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88"/>
              <w:jc w:val="right"/>
              <w:rPr>
                <w:rFonts w:ascii="宋体" w:hAnsi="宋体" w:cs="宋体" w:eastAsia="宋体" w:hint="default"/>
                <w:sz w:val="18"/>
                <w:szCs w:val="18"/>
              </w:rPr>
            </w:pPr>
            <w:r>
              <w:rPr>
                <w:rFonts w:ascii="宋体"/>
                <w:b/>
                <w:sz w:val="18"/>
              </w:rPr>
              <w:t>-22,579,938.79</w:t>
            </w:r>
            <w:r>
              <w:rPr>
                <w:rFonts w:ascii="宋体"/>
                <w:sz w:val="18"/>
              </w:rPr>
            </w:r>
          </w:p>
        </w:tc>
        <w:tc>
          <w:tcPr>
            <w:tcW w:w="15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1"/>
              <w:ind w:right="93"/>
              <w:jc w:val="right"/>
              <w:rPr>
                <w:rFonts w:ascii="宋体" w:hAnsi="宋体" w:cs="宋体" w:eastAsia="宋体" w:hint="default"/>
                <w:sz w:val="18"/>
                <w:szCs w:val="18"/>
              </w:rPr>
            </w:pPr>
            <w:r>
              <w:rPr>
                <w:rFonts w:ascii="宋体"/>
                <w:b/>
                <w:w w:val="95"/>
                <w:sz w:val="18"/>
              </w:rPr>
              <w:t>-1,614,009.01</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840" w:right="0"/>
        <w:jc w:val="left"/>
      </w:pPr>
      <w:r>
        <w:rPr>
          <w:spacing w:val="6"/>
        </w:rPr>
        <w:t>注：本集团套期工具累计损失 </w:t>
      </w:r>
      <w:r>
        <w:rPr/>
        <w:t>34,286,555.11</w:t>
      </w:r>
      <w:r>
        <w:rPr>
          <w:spacing w:val="-47"/>
        </w:rPr>
        <w:t> </w:t>
      </w:r>
      <w:r>
        <w:rPr>
          <w:spacing w:val="6"/>
        </w:rPr>
        <w:t>元，其中：1）套期无效部分损失为</w:t>
      </w:r>
    </w:p>
    <w:p>
      <w:pPr>
        <w:pStyle w:val="BodyText"/>
        <w:spacing w:line="240" w:lineRule="auto" w:before="72"/>
        <w:ind w:left="401" w:right="0"/>
        <w:jc w:val="both"/>
      </w:pPr>
      <w:r>
        <w:rPr/>
        <w:t>10,092,607.31</w:t>
      </w:r>
      <w:r>
        <w:rPr>
          <w:spacing w:val="-64"/>
        </w:rPr>
        <w:t> </w:t>
      </w:r>
      <w:r>
        <w:rPr/>
        <w:t>元，其中：上期末累计损失金额</w:t>
      </w:r>
      <w:r>
        <w:rPr>
          <w:spacing w:val="-59"/>
        </w:rPr>
        <w:t> </w:t>
      </w:r>
      <w:r>
        <w:rPr/>
        <w:t>16,803,522.31</w:t>
      </w:r>
      <w:r>
        <w:rPr>
          <w:spacing w:val="-61"/>
        </w:rPr>
        <w:t> </w:t>
      </w:r>
      <w:r>
        <w:rPr/>
        <w:t>元</w:t>
      </w:r>
      <w:r>
        <w:rPr>
          <w:sz w:val="18"/>
          <w:szCs w:val="18"/>
        </w:rPr>
        <w:t>，</w:t>
      </w:r>
      <w:r>
        <w:rPr/>
        <w:t>本年投资收益列支已</w:t>
      </w:r>
    </w:p>
    <w:p>
      <w:pPr>
        <w:pStyle w:val="BodyText"/>
        <w:spacing w:line="240" w:lineRule="auto" w:before="72"/>
        <w:ind w:left="401" w:right="0"/>
        <w:jc w:val="both"/>
      </w:pPr>
      <w:r>
        <w:rPr/>
        <w:t>平仓收益</w:t>
      </w:r>
      <w:r>
        <w:rPr>
          <w:spacing w:val="-65"/>
        </w:rPr>
        <w:t> </w:t>
      </w:r>
      <w:r>
        <w:rPr/>
        <w:t>2,310,715.00</w:t>
      </w:r>
      <w:r>
        <w:rPr>
          <w:spacing w:val="-65"/>
        </w:rPr>
        <w:t> </w:t>
      </w:r>
      <w:r>
        <w:rPr/>
        <w:t>元，本年公允价值变动损益列示期货合约浮盈</w:t>
      </w:r>
      <w:r>
        <w:rPr>
          <w:spacing w:val="-65"/>
        </w:rPr>
        <w:t> </w:t>
      </w:r>
      <w:r>
        <w:rPr/>
        <w:t>4,400,200.00</w:t>
      </w:r>
      <w:r>
        <w:rPr>
          <w:spacing w:val="-65"/>
        </w:rPr>
        <w:t> </w:t>
      </w:r>
      <w:r>
        <w:rPr/>
        <w:t>元；</w:t>
      </w:r>
    </w:p>
    <w:p>
      <w:pPr>
        <w:pStyle w:val="BodyText"/>
        <w:spacing w:line="300" w:lineRule="auto" w:before="72"/>
        <w:ind w:left="401" w:right="1697"/>
        <w:jc w:val="both"/>
      </w:pPr>
      <w:r>
        <w:rPr/>
        <w:t>2）套期有效部分损失为</w:t>
      </w:r>
      <w:r>
        <w:rPr>
          <w:spacing w:val="-56"/>
        </w:rPr>
        <w:t> </w:t>
      </w:r>
      <w:r>
        <w:rPr/>
        <w:t>24,193,947.80</w:t>
      </w:r>
      <w:r>
        <w:rPr>
          <w:spacing w:val="-54"/>
        </w:rPr>
        <w:t> </w:t>
      </w:r>
      <w:r>
        <w:rPr/>
        <w:t>元，累计已转出损失</w:t>
      </w:r>
      <w:r>
        <w:rPr>
          <w:spacing w:val="-56"/>
        </w:rPr>
        <w:t> </w:t>
      </w:r>
      <w:r>
        <w:rPr/>
        <w:t>22,579,938.79</w:t>
      </w:r>
      <w:r>
        <w:rPr>
          <w:spacing w:val="-56"/>
        </w:rPr>
        <w:t> </w:t>
      </w:r>
      <w:r>
        <w:rPr/>
        <w:t>元，剩余套</w:t>
      </w:r>
      <w:r>
        <w:rPr>
          <w:w w:val="100"/>
        </w:rPr>
        <w:t> </w:t>
      </w:r>
      <w:r>
        <w:rPr/>
        <w:t>期</w:t>
      </w:r>
      <w:r>
        <w:rPr>
          <w:spacing w:val="-79"/>
        </w:rPr>
        <w:t> </w:t>
      </w:r>
      <w:r>
        <w:rPr/>
        <w:t>有</w:t>
      </w:r>
      <w:r>
        <w:rPr>
          <w:spacing w:val="-77"/>
        </w:rPr>
        <w:t> </w:t>
      </w:r>
      <w:r>
        <w:rPr/>
        <w:t>效</w:t>
      </w:r>
      <w:r>
        <w:rPr>
          <w:spacing w:val="-79"/>
        </w:rPr>
        <w:t> </w:t>
      </w:r>
      <w:r>
        <w:rPr/>
        <w:t>部</w:t>
      </w:r>
      <w:r>
        <w:rPr>
          <w:spacing w:val="-79"/>
        </w:rPr>
        <w:t> </w:t>
      </w:r>
      <w:r>
        <w:rPr/>
        <w:t>分</w:t>
      </w:r>
      <w:r>
        <w:rPr>
          <w:spacing w:val="-77"/>
        </w:rPr>
        <w:t> </w:t>
      </w:r>
      <w:r>
        <w:rPr/>
        <w:t>形</w:t>
      </w:r>
      <w:r>
        <w:rPr>
          <w:spacing w:val="-79"/>
        </w:rPr>
        <w:t> </w:t>
      </w:r>
      <w:r>
        <w:rPr/>
        <w:t>成</w:t>
      </w:r>
      <w:r>
        <w:rPr>
          <w:spacing w:val="-79"/>
        </w:rPr>
        <w:t> </w:t>
      </w:r>
      <w:r>
        <w:rPr/>
        <w:t>套</w:t>
      </w:r>
      <w:r>
        <w:rPr>
          <w:spacing w:val="-79"/>
        </w:rPr>
        <w:t> </w:t>
      </w:r>
      <w:r>
        <w:rPr/>
        <w:t>期</w:t>
      </w:r>
      <w:r>
        <w:rPr>
          <w:spacing w:val="-77"/>
        </w:rPr>
        <w:t> </w:t>
      </w:r>
      <w:r>
        <w:rPr/>
        <w:t>储</w:t>
      </w:r>
      <w:r>
        <w:rPr>
          <w:spacing w:val="-79"/>
        </w:rPr>
        <w:t> </w:t>
      </w:r>
      <w:r>
        <w:rPr/>
        <w:t>备</w:t>
      </w:r>
      <w:r>
        <w:rPr>
          <w:spacing w:val="-79"/>
        </w:rPr>
        <w:t> </w:t>
      </w:r>
      <w:r>
        <w:rPr/>
        <w:t>损</w:t>
      </w:r>
      <w:r>
        <w:rPr>
          <w:spacing w:val="-77"/>
        </w:rPr>
        <w:t> </w:t>
      </w:r>
      <w:r>
        <w:rPr/>
        <w:t>失</w:t>
      </w:r>
      <w:r>
        <w:rPr>
          <w:spacing w:val="-26"/>
        </w:rPr>
        <w:t> </w:t>
      </w:r>
      <w:r>
        <w:rPr/>
        <w:t>1,614,009.01</w:t>
      </w:r>
      <w:r>
        <w:rPr>
          <w:spacing w:val="-23"/>
        </w:rPr>
        <w:t> </w:t>
      </w:r>
      <w:r>
        <w:rPr/>
        <w:t>元</w:t>
      </w:r>
      <w:r>
        <w:rPr>
          <w:spacing w:val="-79"/>
        </w:rPr>
        <w:t> </w:t>
      </w:r>
      <w:r>
        <w:rPr/>
        <w:t>，</w:t>
      </w:r>
      <w:r>
        <w:rPr>
          <w:spacing w:val="-77"/>
        </w:rPr>
        <w:t> </w:t>
      </w:r>
      <w:r>
        <w:rPr/>
        <w:t>其</w:t>
      </w:r>
      <w:r>
        <w:rPr>
          <w:spacing w:val="-79"/>
        </w:rPr>
        <w:t> </w:t>
      </w:r>
      <w:r>
        <w:rPr/>
        <w:t>中</w:t>
      </w:r>
      <w:r>
        <w:rPr>
          <w:spacing w:val="-79"/>
        </w:rPr>
        <w:t> </w:t>
      </w:r>
      <w:r>
        <w:rPr/>
        <w:t>确</w:t>
      </w:r>
      <w:r>
        <w:rPr>
          <w:spacing w:val="-77"/>
        </w:rPr>
        <w:t> </w:t>
      </w:r>
      <w:r>
        <w:rPr/>
        <w:t>认</w:t>
      </w:r>
      <w:r>
        <w:rPr>
          <w:spacing w:val="-79"/>
        </w:rPr>
        <w:t> </w:t>
      </w:r>
      <w:r>
        <w:rPr/>
        <w:t>递</w:t>
      </w:r>
      <w:r>
        <w:rPr>
          <w:spacing w:val="-79"/>
        </w:rPr>
        <w:t> </w:t>
      </w:r>
      <w:r>
        <w:rPr/>
        <w:t>延</w:t>
      </w:r>
      <w:r>
        <w:rPr>
          <w:spacing w:val="-79"/>
        </w:rPr>
        <w:t> </w:t>
      </w:r>
      <w:r>
        <w:rPr/>
        <w:t>所</w:t>
      </w:r>
      <w:r>
        <w:rPr>
          <w:spacing w:val="-77"/>
        </w:rPr>
        <w:t> </w:t>
      </w:r>
      <w:r>
        <w:rPr/>
        <w:t>得</w:t>
      </w:r>
      <w:r>
        <w:rPr>
          <w:spacing w:val="-79"/>
        </w:rPr>
        <w:t> </w:t>
      </w:r>
      <w:r>
        <w:rPr/>
        <w:t>税</w:t>
      </w:r>
      <w:r>
        <w:rPr>
          <w:spacing w:val="-79"/>
        </w:rPr>
        <w:t> </w:t>
      </w:r>
      <w:r>
        <w:rPr/>
        <w:t>资</w:t>
      </w:r>
      <w:r>
        <w:rPr>
          <w:spacing w:val="-77"/>
        </w:rPr>
        <w:t> </w:t>
      </w:r>
      <w:r>
        <w:rPr/>
        <w:t>产</w:t>
      </w:r>
      <w:r>
        <w:rPr>
          <w:spacing w:val="-79"/>
        </w:rPr>
        <w:t> </w:t>
      </w:r>
      <w:r>
        <w:rPr/>
        <w:t>金</w:t>
      </w:r>
      <w:r>
        <w:rPr>
          <w:spacing w:val="-77"/>
        </w:rPr>
        <w:t> </w:t>
      </w:r>
      <w:r>
        <w:rPr/>
        <w:t>额</w:t>
      </w:r>
      <w:r>
        <w:rPr>
          <w:w w:val="100"/>
        </w:rPr>
        <w:t> </w:t>
      </w:r>
      <w:r>
        <w:rPr/>
        <w:t>341,836.35</w:t>
      </w:r>
      <w:r>
        <w:rPr>
          <w:spacing w:val="-57"/>
        </w:rPr>
        <w:t> </w:t>
      </w:r>
      <w:r>
        <w:rPr/>
        <w:t>元，确认递延所得税负债金额</w:t>
      </w:r>
      <w:r>
        <w:rPr>
          <w:spacing w:val="-51"/>
        </w:rPr>
        <w:t> </w:t>
      </w:r>
      <w:r>
        <w:rPr/>
        <w:t>166,225.00，在其他综合收益项目列示损失金</w:t>
      </w:r>
    </w:p>
    <w:p>
      <w:pPr>
        <w:pStyle w:val="BodyText"/>
        <w:spacing w:line="240" w:lineRule="auto" w:before="17"/>
        <w:ind w:left="401" w:right="0"/>
        <w:jc w:val="both"/>
      </w:pPr>
      <w:r>
        <w:rPr/>
        <w:t>额为</w:t>
      </w:r>
      <w:r>
        <w:rPr>
          <w:spacing w:val="-61"/>
        </w:rPr>
        <w:t> </w:t>
      </w:r>
      <w:r>
        <w:rPr/>
        <w:t>1,438,397.66</w:t>
      </w:r>
      <w:r>
        <w:rPr>
          <w:spacing w:val="-61"/>
        </w:rPr>
        <w:t> </w:t>
      </w:r>
      <w:r>
        <w:rPr/>
        <w:t>元。</w:t>
      </w:r>
    </w:p>
    <w:p>
      <w:pPr>
        <w:pStyle w:val="BodyText"/>
        <w:spacing w:line="240" w:lineRule="auto" w:before="192"/>
        <w:ind w:left="804" w:right="0"/>
        <w:jc w:val="left"/>
      </w:pPr>
      <w:r>
        <w:rPr/>
        <w:t>57.</w:t>
      </w:r>
      <w:r>
        <w:rPr>
          <w:spacing w:val="-48"/>
        </w:rPr>
        <w:t> </w:t>
      </w:r>
      <w:bookmarkStart w:name="57.政府补助" w:id="348"/>
      <w:bookmarkEnd w:id="348"/>
      <w:r>
        <w:rPr/>
        <w:t>政</w:t>
      </w:r>
      <w:r>
        <w:rPr/>
        <w:t>府补助</w:t>
      </w:r>
    </w:p>
    <w:p>
      <w:pPr>
        <w:spacing w:line="240" w:lineRule="auto" w:before="4"/>
        <w:rPr>
          <w:rFonts w:ascii="宋体" w:hAnsi="宋体" w:cs="宋体" w:eastAsia="宋体" w:hint="default"/>
          <w:sz w:val="12"/>
          <w:szCs w:val="12"/>
        </w:rPr>
      </w:pPr>
    </w:p>
    <w:tbl>
      <w:tblPr>
        <w:tblW w:w="0" w:type="auto"/>
        <w:jc w:val="left"/>
        <w:tblInd w:w="278" w:type="dxa"/>
        <w:tblLayout w:type="fixed"/>
        <w:tblCellMar>
          <w:top w:w="0" w:type="dxa"/>
          <w:left w:w="0" w:type="dxa"/>
          <w:bottom w:w="0" w:type="dxa"/>
          <w:right w:w="0" w:type="dxa"/>
        </w:tblCellMar>
        <w:tblLook w:val="01E0"/>
      </w:tblPr>
      <w:tblGrid>
        <w:gridCol w:w="2518"/>
        <w:gridCol w:w="1701"/>
        <w:gridCol w:w="2552"/>
        <w:gridCol w:w="1952"/>
      </w:tblGrid>
      <w:tr>
        <w:trPr>
          <w:trHeight w:val="415" w:hRule="exact"/>
        </w:trPr>
        <w:tc>
          <w:tcPr>
            <w:tcW w:w="2518"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c>
        <w:tc>
          <w:tcPr>
            <w:tcW w:w="17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5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列报项目</w:t>
            </w:r>
            <w:r>
              <w:rPr>
                <w:rFonts w:ascii="宋体" w:hAnsi="宋体" w:cs="宋体" w:eastAsia="宋体" w:hint="default"/>
                <w:sz w:val="18"/>
                <w:szCs w:val="18"/>
              </w:rPr>
            </w:r>
          </w:p>
        </w:tc>
        <w:tc>
          <w:tcPr>
            <w:tcW w:w="19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b/>
                <w:bCs/>
                <w:sz w:val="18"/>
                <w:szCs w:val="18"/>
              </w:rPr>
              <w:t>计入当期损益的金额</w:t>
            </w:r>
            <w:r>
              <w:rPr>
                <w:rFonts w:ascii="宋体" w:hAnsi="宋体" w:cs="宋体" w:eastAsia="宋体" w:hint="default"/>
                <w:sz w:val="18"/>
                <w:szCs w:val="18"/>
              </w:rPr>
            </w:r>
          </w:p>
        </w:tc>
      </w:tr>
      <w:tr>
        <w:trPr>
          <w:trHeight w:val="400" w:hRule="exact"/>
        </w:trPr>
        <w:tc>
          <w:tcPr>
            <w:tcW w:w="251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与资产相关的政府补助</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420" w:right="0"/>
              <w:jc w:val="left"/>
              <w:rPr>
                <w:rFonts w:ascii="宋体" w:hAnsi="宋体" w:cs="宋体" w:eastAsia="宋体" w:hint="default"/>
                <w:sz w:val="18"/>
                <w:szCs w:val="18"/>
              </w:rPr>
            </w:pPr>
            <w:r>
              <w:rPr>
                <w:rFonts w:ascii="宋体"/>
                <w:sz w:val="18"/>
              </w:rPr>
              <w:t>28,107,070.40</w:t>
            </w:r>
          </w:p>
        </w:tc>
        <w:tc>
          <w:tcPr>
            <w:tcW w:w="25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06" w:right="0"/>
              <w:jc w:val="left"/>
              <w:rPr>
                <w:rFonts w:ascii="宋体" w:hAnsi="宋体" w:cs="宋体" w:eastAsia="宋体" w:hint="default"/>
                <w:sz w:val="18"/>
                <w:szCs w:val="18"/>
              </w:rPr>
            </w:pPr>
            <w:r>
              <w:rPr>
                <w:rFonts w:ascii="宋体" w:hAnsi="宋体" w:cs="宋体" w:eastAsia="宋体" w:hint="default"/>
                <w:sz w:val="18"/>
                <w:szCs w:val="18"/>
              </w:rPr>
              <w:t>递延收益、其他收益</w:t>
            </w:r>
          </w:p>
        </w:tc>
        <w:tc>
          <w:tcPr>
            <w:tcW w:w="195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left="671" w:right="0"/>
              <w:jc w:val="left"/>
              <w:rPr>
                <w:rFonts w:ascii="宋体" w:hAnsi="宋体" w:cs="宋体" w:eastAsia="宋体" w:hint="default"/>
                <w:sz w:val="18"/>
                <w:szCs w:val="18"/>
              </w:rPr>
            </w:pPr>
            <w:r>
              <w:rPr>
                <w:rFonts w:ascii="宋体"/>
                <w:sz w:val="18"/>
              </w:rPr>
              <w:t>16,189,841.36</w:t>
            </w:r>
          </w:p>
        </w:tc>
      </w:tr>
    </w:tbl>
    <w:p>
      <w:pPr>
        <w:spacing w:after="0" w:line="240" w:lineRule="auto"/>
        <w:jc w:val="left"/>
        <w:rPr>
          <w:rFonts w:ascii="宋体" w:hAnsi="宋体" w:cs="宋体" w:eastAsia="宋体" w:hint="default"/>
          <w:sz w:val="18"/>
          <w:szCs w:val="18"/>
        </w:rPr>
        <w:sectPr>
          <w:pgSz w:w="11910" w:h="16840"/>
          <w:pgMar w:header="939" w:footer="883" w:top="1940" w:bottom="1080" w:left="1300" w:right="0"/>
        </w:sectPr>
      </w:pPr>
    </w:p>
    <w:p>
      <w:pPr>
        <w:spacing w:line="240" w:lineRule="auto" w:before="12"/>
        <w:rPr>
          <w:rFonts w:ascii="宋体" w:hAnsi="宋体" w:cs="宋体" w:eastAsia="宋体" w:hint="default"/>
          <w:sz w:val="12"/>
          <w:szCs w:val="12"/>
        </w:rPr>
      </w:pPr>
    </w:p>
    <w:tbl>
      <w:tblPr>
        <w:tblW w:w="0" w:type="auto"/>
        <w:jc w:val="left"/>
        <w:tblInd w:w="258" w:type="dxa"/>
        <w:tblLayout w:type="fixed"/>
        <w:tblCellMar>
          <w:top w:w="0" w:type="dxa"/>
          <w:left w:w="0" w:type="dxa"/>
          <w:bottom w:w="0" w:type="dxa"/>
          <w:right w:w="0" w:type="dxa"/>
        </w:tblCellMar>
        <w:tblLook w:val="01E0"/>
      </w:tblPr>
      <w:tblGrid>
        <w:gridCol w:w="2518"/>
        <w:gridCol w:w="1701"/>
        <w:gridCol w:w="2552"/>
        <w:gridCol w:w="1952"/>
      </w:tblGrid>
      <w:tr>
        <w:trPr>
          <w:trHeight w:val="415" w:hRule="exact"/>
        </w:trPr>
        <w:tc>
          <w:tcPr>
            <w:tcW w:w="2518"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c>
        <w:tc>
          <w:tcPr>
            <w:tcW w:w="17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55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列报项目</w:t>
            </w:r>
            <w:r>
              <w:rPr>
                <w:rFonts w:ascii="宋体" w:hAnsi="宋体" w:cs="宋体" w:eastAsia="宋体" w:hint="default"/>
                <w:sz w:val="18"/>
                <w:szCs w:val="18"/>
              </w:rPr>
            </w:r>
          </w:p>
        </w:tc>
        <w:tc>
          <w:tcPr>
            <w:tcW w:w="195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163" w:right="0"/>
              <w:jc w:val="left"/>
              <w:rPr>
                <w:rFonts w:ascii="宋体" w:hAnsi="宋体" w:cs="宋体" w:eastAsia="宋体" w:hint="default"/>
                <w:sz w:val="18"/>
                <w:szCs w:val="18"/>
              </w:rPr>
            </w:pPr>
            <w:r>
              <w:rPr>
                <w:rFonts w:ascii="宋体" w:hAnsi="宋体" w:cs="宋体" w:eastAsia="宋体" w:hint="default"/>
                <w:b/>
                <w:bCs/>
                <w:sz w:val="18"/>
                <w:szCs w:val="18"/>
              </w:rPr>
              <w:t>计入当期损益的金额</w:t>
            </w:r>
            <w:r>
              <w:rPr>
                <w:rFonts w:ascii="宋体" w:hAnsi="宋体" w:cs="宋体" w:eastAsia="宋体" w:hint="default"/>
                <w:sz w:val="18"/>
                <w:szCs w:val="18"/>
              </w:rPr>
            </w:r>
          </w:p>
        </w:tc>
      </w:tr>
      <w:tr>
        <w:trPr>
          <w:trHeight w:val="414" w:hRule="exact"/>
        </w:trPr>
        <w:tc>
          <w:tcPr>
            <w:tcW w:w="251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与收益相关的政府补助</w:t>
            </w:r>
          </w:p>
        </w:tc>
        <w:tc>
          <w:tcPr>
            <w:tcW w:w="170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420" w:right="0"/>
              <w:jc w:val="left"/>
              <w:rPr>
                <w:rFonts w:ascii="宋体" w:hAnsi="宋体" w:cs="宋体" w:eastAsia="宋体" w:hint="default"/>
                <w:sz w:val="18"/>
                <w:szCs w:val="18"/>
              </w:rPr>
            </w:pPr>
            <w:r>
              <w:rPr>
                <w:rFonts w:ascii="宋体"/>
                <w:sz w:val="18"/>
              </w:rPr>
              <w:t>26,358,000.31</w:t>
            </w:r>
          </w:p>
        </w:tc>
        <w:tc>
          <w:tcPr>
            <w:tcW w:w="25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其他收益、营业外收入</w:t>
            </w:r>
          </w:p>
        </w:tc>
        <w:tc>
          <w:tcPr>
            <w:tcW w:w="195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left="671" w:right="0"/>
              <w:jc w:val="left"/>
              <w:rPr>
                <w:rFonts w:ascii="宋体" w:hAnsi="宋体" w:cs="宋体" w:eastAsia="宋体" w:hint="default"/>
                <w:sz w:val="18"/>
                <w:szCs w:val="18"/>
              </w:rPr>
            </w:pPr>
            <w:r>
              <w:rPr>
                <w:rFonts w:ascii="宋体"/>
                <w:sz w:val="18"/>
              </w:rPr>
              <w:t>26,358,000.31</w:t>
            </w:r>
          </w:p>
        </w:tc>
      </w:tr>
    </w:tbl>
    <w:p>
      <w:pPr>
        <w:spacing w:line="240" w:lineRule="auto" w:before="4"/>
        <w:rPr>
          <w:rFonts w:ascii="宋体" w:hAnsi="宋体" w:cs="宋体" w:eastAsia="宋体" w:hint="default"/>
          <w:sz w:val="18"/>
          <w:szCs w:val="18"/>
        </w:rPr>
      </w:pPr>
    </w:p>
    <w:p>
      <w:pPr>
        <w:pStyle w:val="Heading4"/>
        <w:spacing w:line="240" w:lineRule="auto" w:before="33"/>
        <w:ind w:left="840" w:right="1694"/>
        <w:jc w:val="left"/>
        <w:rPr>
          <w:b w:val="0"/>
          <w:bCs w:val="0"/>
        </w:rPr>
      </w:pPr>
      <w:bookmarkStart w:name="九、合并范围的变化" w:id="349"/>
      <w:bookmarkEnd w:id="349"/>
      <w:r>
        <w:rPr>
          <w:b w:val="0"/>
          <w:bCs w:val="0"/>
        </w:rPr>
      </w:r>
      <w:r>
        <w:rPr/>
        <w:t>九</w:t>
      </w:r>
      <w:r>
        <w:rPr>
          <w:spacing w:val="-71"/>
        </w:rPr>
        <w:t> </w:t>
      </w:r>
      <w:r>
        <w:rPr/>
        <w:t>、</w:t>
      </w:r>
      <w:r>
        <w:rPr>
          <w:spacing w:val="-73"/>
        </w:rPr>
        <w:t> </w:t>
      </w:r>
      <w:r>
        <w:rPr/>
        <w:t>合</w:t>
      </w:r>
      <w:r>
        <w:rPr>
          <w:spacing w:val="-71"/>
        </w:rPr>
        <w:t> </w:t>
      </w:r>
      <w:r>
        <w:rPr/>
        <w:t>并</w:t>
      </w:r>
      <w:r>
        <w:rPr>
          <w:spacing w:val="-71"/>
        </w:rPr>
        <w:t> </w:t>
      </w:r>
      <w:r>
        <w:rPr/>
        <w:t>范</w:t>
      </w:r>
      <w:r>
        <w:rPr>
          <w:spacing w:val="-73"/>
        </w:rPr>
        <w:t> </w:t>
      </w:r>
      <w:r>
        <w:rPr/>
        <w:t>围</w:t>
      </w:r>
      <w:r>
        <w:rPr>
          <w:spacing w:val="-71"/>
        </w:rPr>
        <w:t> </w:t>
      </w:r>
      <w:r>
        <w:rPr/>
        <w:t>的</w:t>
      </w:r>
      <w:r>
        <w:rPr>
          <w:spacing w:val="-71"/>
        </w:rPr>
        <w:t> </w:t>
      </w:r>
      <w:r>
        <w:rPr/>
        <w:t>变</w:t>
      </w:r>
      <w:r>
        <w:rPr>
          <w:spacing w:val="-71"/>
        </w:rPr>
        <w:t> </w:t>
      </w:r>
      <w:r>
        <w:rPr/>
        <w:t>化</w:t>
      </w:r>
      <w:r>
        <w:rPr>
          <w:b w:val="0"/>
          <w:bCs w:val="0"/>
        </w:rPr>
      </w:r>
    </w:p>
    <w:p>
      <w:pPr>
        <w:pStyle w:val="BodyText"/>
        <w:tabs>
          <w:tab w:pos="1281" w:val="left" w:leader="none"/>
        </w:tabs>
        <w:spacing w:line="240" w:lineRule="auto" w:before="192"/>
        <w:ind w:left="820" w:right="1694"/>
        <w:jc w:val="left"/>
      </w:pPr>
      <w:r>
        <w:rPr>
          <w:rFonts w:ascii="Times New Roman" w:hAnsi="Times New Roman" w:cs="Times New Roman" w:eastAsia="Times New Roman" w:hint="default"/>
          <w:spacing w:val="-1"/>
        </w:rPr>
        <w:t>1.</w:t>
        <w:tab/>
      </w:r>
      <w:bookmarkStart w:name="1.非同一控制下企业合并" w:id="350"/>
      <w:bookmarkEnd w:id="350"/>
      <w:r>
        <w:rPr>
          <w:rFonts w:ascii="Times New Roman" w:hAnsi="Times New Roman" w:cs="Times New Roman" w:eastAsia="Times New Roman" w:hint="default"/>
          <w:spacing w:val="-1"/>
        </w:rPr>
      </w:r>
      <w:r>
        <w:rPr>
          <w:spacing w:val="-2"/>
        </w:rPr>
        <w:t>非同一控制下企业合并</w:t>
      </w:r>
    </w:p>
    <w:p>
      <w:pPr>
        <w:spacing w:line="240" w:lineRule="auto" w:before="8"/>
        <w:rPr>
          <w:rFonts w:ascii="宋体" w:hAnsi="宋体" w:cs="宋体" w:eastAsia="宋体" w:hint="default"/>
          <w:sz w:val="17"/>
          <w:szCs w:val="17"/>
        </w:rPr>
      </w:pPr>
    </w:p>
    <w:p>
      <w:pPr>
        <w:pStyle w:val="BodyText"/>
        <w:spacing w:line="240" w:lineRule="auto" w:before="0"/>
        <w:ind w:left="820" w:right="1694"/>
        <w:jc w:val="left"/>
      </w:pPr>
      <w:r>
        <w:rPr/>
        <w:t>（1）</w:t>
      </w:r>
      <w:r>
        <w:rPr>
          <w:spacing w:val="-12"/>
        </w:rPr>
        <w:t> </w:t>
      </w:r>
      <w:bookmarkStart w:name="（1）本年发生的非同一控制下企业合并" w:id="351"/>
      <w:bookmarkEnd w:id="351"/>
      <w:r>
        <w:rPr/>
        <w:t>本</w:t>
      </w:r>
      <w:r>
        <w:rPr/>
        <w:t>年发生的非同一控制下企业合并</w:t>
      </w:r>
    </w:p>
    <w:p>
      <w:pPr>
        <w:spacing w:line="240" w:lineRule="auto" w:before="5"/>
        <w:rPr>
          <w:rFonts w:ascii="宋体" w:hAnsi="宋体" w:cs="宋体" w:eastAsia="宋体"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1391"/>
        <w:gridCol w:w="913"/>
        <w:gridCol w:w="934"/>
        <w:gridCol w:w="992"/>
        <w:gridCol w:w="709"/>
        <w:gridCol w:w="992"/>
        <w:gridCol w:w="709"/>
        <w:gridCol w:w="1160"/>
        <w:gridCol w:w="1228"/>
      </w:tblGrid>
      <w:tr>
        <w:trPr>
          <w:trHeight w:val="798" w:hRule="exact"/>
        </w:trPr>
        <w:tc>
          <w:tcPr>
            <w:tcW w:w="139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b/>
                <w:bCs/>
                <w:sz w:val="18"/>
                <w:szCs w:val="18"/>
              </w:rPr>
              <w:t>被购买方名称</w:t>
            </w:r>
            <w:r>
              <w:rPr>
                <w:rFonts w:ascii="宋体" w:hAnsi="宋体" w:cs="宋体" w:eastAsia="宋体" w:hint="default"/>
                <w:sz w:val="18"/>
                <w:szCs w:val="18"/>
              </w:rPr>
            </w:r>
          </w:p>
        </w:tc>
        <w:tc>
          <w:tcPr>
            <w:tcW w:w="913"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152"/>
              <w:ind w:left="274" w:right="89" w:hanging="180"/>
              <w:jc w:val="left"/>
              <w:rPr>
                <w:rFonts w:ascii="宋体" w:hAnsi="宋体" w:cs="宋体" w:eastAsia="宋体" w:hint="default"/>
                <w:sz w:val="18"/>
                <w:szCs w:val="18"/>
              </w:rPr>
            </w:pPr>
            <w:r>
              <w:rPr>
                <w:rFonts w:ascii="宋体" w:hAnsi="宋体" w:cs="宋体" w:eastAsia="宋体" w:hint="default"/>
                <w:b/>
                <w:bCs/>
                <w:sz w:val="18"/>
                <w:szCs w:val="18"/>
              </w:rPr>
              <w:t>股权取得</w:t>
            </w:r>
            <w:r>
              <w:rPr>
                <w:rFonts w:ascii="宋体" w:hAnsi="宋体" w:cs="宋体" w:eastAsia="宋体" w:hint="default"/>
                <w:b/>
                <w:bCs/>
                <w:w w:val="99"/>
                <w:sz w:val="18"/>
                <w:szCs w:val="18"/>
              </w:rPr>
              <w:t> </w:t>
            </w:r>
            <w:r>
              <w:rPr>
                <w:rFonts w:ascii="宋体" w:hAnsi="宋体" w:cs="宋体" w:eastAsia="宋体" w:hint="default"/>
                <w:b/>
                <w:bCs/>
                <w:sz w:val="18"/>
                <w:szCs w:val="18"/>
              </w:rPr>
              <w:t>时点</w:t>
            </w:r>
            <w:r>
              <w:rPr>
                <w:rFonts w:ascii="宋体" w:hAnsi="宋体" w:cs="宋体" w:eastAsia="宋体" w:hint="default"/>
                <w:sz w:val="18"/>
                <w:szCs w:val="18"/>
              </w:rPr>
            </w:r>
          </w:p>
        </w:tc>
        <w:tc>
          <w:tcPr>
            <w:tcW w:w="934"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152"/>
              <w:ind w:left="285" w:right="99" w:hanging="180"/>
              <w:jc w:val="left"/>
              <w:rPr>
                <w:rFonts w:ascii="宋体" w:hAnsi="宋体" w:cs="宋体" w:eastAsia="宋体" w:hint="default"/>
                <w:sz w:val="18"/>
                <w:szCs w:val="18"/>
              </w:rPr>
            </w:pPr>
            <w:r>
              <w:rPr>
                <w:rFonts w:ascii="宋体" w:hAnsi="宋体" w:cs="宋体" w:eastAsia="宋体" w:hint="default"/>
                <w:b/>
                <w:bCs/>
                <w:sz w:val="18"/>
                <w:szCs w:val="18"/>
              </w:rPr>
              <w:t>股权取得</w:t>
            </w:r>
            <w:r>
              <w:rPr>
                <w:rFonts w:ascii="宋体" w:hAnsi="宋体" w:cs="宋体" w:eastAsia="宋体" w:hint="default"/>
                <w:b/>
                <w:bCs/>
                <w:w w:val="99"/>
                <w:sz w:val="18"/>
                <w:szCs w:val="18"/>
              </w:rPr>
              <w:t> </w:t>
            </w:r>
            <w:r>
              <w:rPr>
                <w:rFonts w:ascii="宋体" w:hAnsi="宋体" w:cs="宋体" w:eastAsia="宋体" w:hint="default"/>
                <w:b/>
                <w:bCs/>
                <w:sz w:val="18"/>
                <w:szCs w:val="18"/>
              </w:rPr>
              <w:t>成本</w:t>
            </w:r>
            <w:r>
              <w:rPr>
                <w:rFonts w:ascii="宋体" w:hAnsi="宋体" w:cs="宋体" w:eastAsia="宋体" w:hint="default"/>
                <w:sz w:val="18"/>
                <w:szCs w:val="18"/>
              </w:rPr>
            </w:r>
          </w:p>
        </w:tc>
        <w:tc>
          <w:tcPr>
            <w:tcW w:w="992"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152"/>
              <w:ind w:left="179" w:right="128" w:hanging="46"/>
              <w:jc w:val="left"/>
              <w:rPr>
                <w:rFonts w:ascii="宋体" w:hAnsi="宋体" w:cs="宋体" w:eastAsia="宋体" w:hint="default"/>
                <w:sz w:val="18"/>
                <w:szCs w:val="18"/>
              </w:rPr>
            </w:pPr>
            <w:r>
              <w:rPr>
                <w:rFonts w:ascii="宋体" w:hAnsi="宋体" w:cs="宋体" w:eastAsia="宋体" w:hint="default"/>
                <w:b/>
                <w:bCs/>
                <w:sz w:val="18"/>
                <w:szCs w:val="18"/>
              </w:rPr>
              <w:t>股权取得</w:t>
            </w:r>
            <w:r>
              <w:rPr>
                <w:rFonts w:ascii="宋体" w:hAnsi="宋体" w:cs="宋体" w:eastAsia="宋体" w:hint="default"/>
                <w:b/>
                <w:bCs/>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709"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152"/>
              <w:ind w:left="80" w:right="79"/>
              <w:jc w:val="left"/>
              <w:rPr>
                <w:rFonts w:ascii="宋体" w:hAnsi="宋体" w:cs="宋体" w:eastAsia="宋体" w:hint="default"/>
                <w:sz w:val="18"/>
                <w:szCs w:val="18"/>
              </w:rPr>
            </w:pPr>
            <w:r>
              <w:rPr>
                <w:rFonts w:ascii="宋体" w:hAnsi="宋体" w:cs="宋体" w:eastAsia="宋体" w:hint="default"/>
                <w:b/>
                <w:bCs/>
                <w:sz w:val="18"/>
                <w:szCs w:val="18"/>
              </w:rPr>
              <w:t>股权取</w:t>
            </w:r>
            <w:r>
              <w:rPr>
                <w:rFonts w:ascii="宋体" w:hAnsi="宋体" w:cs="宋体" w:eastAsia="宋体" w:hint="default"/>
                <w:b/>
                <w:bCs/>
                <w:w w:val="99"/>
                <w:sz w:val="18"/>
                <w:szCs w:val="18"/>
              </w:rPr>
              <w:t> </w:t>
            </w:r>
            <w:r>
              <w:rPr>
                <w:rFonts w:ascii="宋体" w:hAnsi="宋体" w:cs="宋体" w:eastAsia="宋体" w:hint="default"/>
                <w:b/>
                <w:bCs/>
                <w:sz w:val="18"/>
                <w:szCs w:val="18"/>
              </w:rPr>
              <w:t>得方式</w:t>
            </w:r>
            <w:r>
              <w:rPr>
                <w:rFonts w:ascii="宋体" w:hAnsi="宋体" w:cs="宋体" w:eastAsia="宋体" w:hint="default"/>
                <w:sz w:val="18"/>
                <w:szCs w:val="18"/>
              </w:rPr>
            </w:r>
          </w:p>
        </w:tc>
        <w:tc>
          <w:tcPr>
            <w:tcW w:w="992"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b/>
                <w:bCs/>
                <w:sz w:val="18"/>
                <w:szCs w:val="18"/>
              </w:rPr>
              <w:t>购买日</w:t>
            </w:r>
            <w:r>
              <w:rPr>
                <w:rFonts w:ascii="宋体" w:hAnsi="宋体" w:cs="宋体" w:eastAsia="宋体" w:hint="default"/>
                <w:sz w:val="18"/>
                <w:szCs w:val="18"/>
              </w:rPr>
            </w:r>
          </w:p>
        </w:tc>
        <w:tc>
          <w:tcPr>
            <w:tcW w:w="709"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81" w:right="78"/>
              <w:jc w:val="both"/>
              <w:rPr>
                <w:rFonts w:ascii="宋体" w:hAnsi="宋体" w:cs="宋体" w:eastAsia="宋体" w:hint="default"/>
                <w:sz w:val="18"/>
                <w:szCs w:val="18"/>
              </w:rPr>
            </w:pPr>
            <w:r>
              <w:rPr>
                <w:rFonts w:ascii="宋体" w:hAnsi="宋体" w:cs="宋体" w:eastAsia="宋体" w:hint="default"/>
                <w:b/>
                <w:bCs/>
                <w:sz w:val="18"/>
                <w:szCs w:val="18"/>
              </w:rPr>
              <w:t>购买日</w:t>
            </w:r>
            <w:r>
              <w:rPr>
                <w:rFonts w:ascii="宋体" w:hAnsi="宋体" w:cs="宋体" w:eastAsia="宋体" w:hint="default"/>
                <w:b/>
                <w:bCs/>
                <w:w w:val="99"/>
                <w:sz w:val="18"/>
                <w:szCs w:val="18"/>
              </w:rPr>
              <w:t> </w:t>
            </w:r>
            <w:r>
              <w:rPr>
                <w:rFonts w:ascii="宋体" w:hAnsi="宋体" w:cs="宋体" w:eastAsia="宋体" w:hint="default"/>
                <w:b/>
                <w:bCs/>
                <w:sz w:val="18"/>
                <w:szCs w:val="18"/>
              </w:rPr>
              <w:t>的确定</w:t>
            </w:r>
            <w:r>
              <w:rPr>
                <w:rFonts w:ascii="宋体" w:hAnsi="宋体" w:cs="宋体" w:eastAsia="宋体" w:hint="default"/>
                <w:b/>
                <w:bCs/>
                <w:w w:val="99"/>
                <w:sz w:val="18"/>
                <w:szCs w:val="18"/>
              </w:rPr>
              <w:t> </w:t>
            </w:r>
            <w:r>
              <w:rPr>
                <w:rFonts w:ascii="宋体" w:hAnsi="宋体" w:cs="宋体" w:eastAsia="宋体" w:hint="default"/>
                <w:b/>
                <w:bCs/>
                <w:sz w:val="18"/>
                <w:szCs w:val="18"/>
              </w:rPr>
              <w:t>依据</w:t>
            </w:r>
            <w:r>
              <w:rPr>
                <w:rFonts w:ascii="宋体" w:hAnsi="宋体" w:cs="宋体" w:eastAsia="宋体" w:hint="default"/>
                <w:sz w:val="18"/>
                <w:szCs w:val="18"/>
              </w:rPr>
            </w:r>
          </w:p>
        </w:tc>
        <w:tc>
          <w:tcPr>
            <w:tcW w:w="1160"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127" w:right="122"/>
              <w:jc w:val="center"/>
              <w:rPr>
                <w:rFonts w:ascii="宋体" w:hAnsi="宋体" w:cs="宋体" w:eastAsia="宋体" w:hint="default"/>
                <w:sz w:val="18"/>
                <w:szCs w:val="18"/>
              </w:rPr>
            </w:pPr>
            <w:r>
              <w:rPr>
                <w:rFonts w:ascii="宋体" w:hAnsi="宋体" w:cs="宋体" w:eastAsia="宋体" w:hint="default"/>
                <w:b/>
                <w:bCs/>
                <w:sz w:val="18"/>
                <w:szCs w:val="18"/>
              </w:rPr>
              <w:t>购买日至年</w:t>
            </w:r>
            <w:r>
              <w:rPr>
                <w:rFonts w:ascii="宋体" w:hAnsi="宋体" w:cs="宋体" w:eastAsia="宋体" w:hint="default"/>
                <w:b/>
                <w:bCs/>
                <w:w w:val="99"/>
                <w:sz w:val="18"/>
                <w:szCs w:val="18"/>
              </w:rPr>
              <w:t> </w:t>
            </w:r>
            <w:r>
              <w:rPr>
                <w:rFonts w:ascii="宋体" w:hAnsi="宋体" w:cs="宋体" w:eastAsia="宋体" w:hint="default"/>
                <w:b/>
                <w:bCs/>
                <w:sz w:val="18"/>
                <w:szCs w:val="18"/>
              </w:rPr>
              <w:t>末被购买方</w:t>
            </w:r>
            <w:r>
              <w:rPr>
                <w:rFonts w:ascii="宋体" w:hAnsi="宋体" w:cs="宋体" w:eastAsia="宋体" w:hint="default"/>
                <w:b/>
                <w:bCs/>
                <w:w w:val="99"/>
                <w:sz w:val="18"/>
                <w:szCs w:val="18"/>
              </w:rPr>
              <w:t> </w:t>
            </w:r>
            <w:r>
              <w:rPr>
                <w:rFonts w:ascii="宋体" w:hAnsi="宋体" w:cs="宋体" w:eastAsia="宋体" w:hint="default"/>
                <w:b/>
                <w:bCs/>
                <w:sz w:val="18"/>
                <w:szCs w:val="18"/>
              </w:rPr>
              <w:t>的收入</w:t>
            </w:r>
            <w:r>
              <w:rPr>
                <w:rFonts w:ascii="宋体" w:hAnsi="宋体" w:cs="宋体" w:eastAsia="宋体" w:hint="default"/>
                <w:sz w:val="18"/>
                <w:szCs w:val="18"/>
              </w:rPr>
            </w:r>
          </w:p>
        </w:tc>
        <w:tc>
          <w:tcPr>
            <w:tcW w:w="1228"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7"/>
              <w:ind w:left="72" w:right="69"/>
              <w:jc w:val="center"/>
              <w:rPr>
                <w:rFonts w:ascii="宋体" w:hAnsi="宋体" w:cs="宋体" w:eastAsia="宋体" w:hint="default"/>
                <w:sz w:val="18"/>
                <w:szCs w:val="18"/>
              </w:rPr>
            </w:pPr>
            <w:r>
              <w:rPr>
                <w:rFonts w:ascii="宋体" w:hAnsi="宋体" w:cs="宋体" w:eastAsia="宋体" w:hint="default"/>
                <w:b/>
                <w:bCs/>
                <w:w w:val="95"/>
                <w:sz w:val="18"/>
                <w:szCs w:val="18"/>
              </w:rPr>
              <w:t>购买日至年末</w:t>
            </w:r>
            <w:r>
              <w:rPr>
                <w:rFonts w:ascii="宋体" w:hAnsi="宋体" w:cs="宋体" w:eastAsia="宋体" w:hint="default"/>
                <w:b/>
                <w:bCs/>
                <w:spacing w:val="-37"/>
                <w:w w:val="95"/>
                <w:sz w:val="18"/>
                <w:szCs w:val="18"/>
              </w:rPr>
              <w:t> </w:t>
            </w:r>
            <w:r>
              <w:rPr>
                <w:rFonts w:ascii="宋体" w:hAnsi="宋体" w:cs="宋体" w:eastAsia="宋体" w:hint="default"/>
                <w:b/>
                <w:bCs/>
                <w:spacing w:val="-37"/>
                <w:w w:val="95"/>
                <w:sz w:val="18"/>
                <w:szCs w:val="18"/>
              </w:rPr>
            </w:r>
            <w:r>
              <w:rPr>
                <w:rFonts w:ascii="宋体" w:hAnsi="宋体" w:cs="宋体" w:eastAsia="宋体" w:hint="default"/>
                <w:b/>
                <w:bCs/>
                <w:w w:val="95"/>
                <w:sz w:val="18"/>
                <w:szCs w:val="18"/>
              </w:rPr>
              <w:t>被购买方的净</w:t>
            </w:r>
            <w:r>
              <w:rPr>
                <w:rFonts w:ascii="宋体" w:hAnsi="宋体" w:cs="宋体" w:eastAsia="宋体" w:hint="default"/>
                <w:b/>
                <w:bCs/>
                <w:spacing w:val="-37"/>
                <w:w w:val="95"/>
                <w:sz w:val="18"/>
                <w:szCs w:val="18"/>
              </w:rPr>
              <w:t> </w:t>
            </w:r>
            <w:r>
              <w:rPr>
                <w:rFonts w:ascii="宋体" w:hAnsi="宋体" w:cs="宋体" w:eastAsia="宋体" w:hint="default"/>
                <w:b/>
                <w:bCs/>
                <w:spacing w:val="-37"/>
                <w:w w:val="95"/>
                <w:sz w:val="18"/>
                <w:szCs w:val="18"/>
              </w:rPr>
            </w:r>
            <w:r>
              <w:rPr>
                <w:rFonts w:ascii="宋体" w:hAnsi="宋体" w:cs="宋体" w:eastAsia="宋体" w:hint="default"/>
                <w:b/>
                <w:bCs/>
                <w:sz w:val="18"/>
                <w:szCs w:val="18"/>
              </w:rPr>
              <w:t>利润</w:t>
            </w:r>
            <w:r>
              <w:rPr>
                <w:rFonts w:ascii="宋体" w:hAnsi="宋体" w:cs="宋体" w:eastAsia="宋体" w:hint="default"/>
                <w:sz w:val="18"/>
                <w:szCs w:val="18"/>
              </w:rPr>
            </w:r>
          </w:p>
        </w:tc>
      </w:tr>
      <w:tr>
        <w:trPr>
          <w:trHeight w:val="798" w:hRule="exact"/>
        </w:trPr>
        <w:tc>
          <w:tcPr>
            <w:tcW w:w="1391" w:type="dxa"/>
            <w:tcBorders>
              <w:top w:val="single" w:sz="2" w:space="0" w:color="000000"/>
              <w:left w:val="nil" w:sz="6" w:space="0" w:color="auto"/>
              <w:bottom w:val="single" w:sz="12" w:space="0" w:color="000000"/>
              <w:right w:val="single" w:sz="2" w:space="0" w:color="000000"/>
            </w:tcBorders>
          </w:tcPr>
          <w:p>
            <w:pPr>
              <w:pStyle w:val="TableParagraph"/>
              <w:spacing w:line="232" w:lineRule="exact" w:before="36"/>
              <w:ind w:left="52" w:right="48"/>
              <w:jc w:val="left"/>
              <w:rPr>
                <w:rFonts w:ascii="宋体" w:hAnsi="宋体" w:cs="宋体" w:eastAsia="宋体" w:hint="default"/>
                <w:sz w:val="18"/>
                <w:szCs w:val="18"/>
              </w:rPr>
            </w:pPr>
            <w:r>
              <w:rPr>
                <w:rFonts w:ascii="宋体"/>
                <w:sz w:val="18"/>
              </w:rPr>
              <w:t>Steed</w:t>
            </w:r>
            <w:r>
              <w:rPr>
                <w:rFonts w:ascii="宋体"/>
                <w:spacing w:val="20"/>
                <w:sz w:val="18"/>
              </w:rPr>
              <w:t> </w:t>
            </w:r>
            <w:r>
              <w:rPr>
                <w:rFonts w:ascii="宋体"/>
                <w:sz w:val="18"/>
              </w:rPr>
              <w:t>Networks</w:t>
            </w:r>
            <w:r>
              <w:rPr>
                <w:rFonts w:ascii="宋体"/>
                <w:sz w:val="18"/>
              </w:rPr>
              <w:t> Technologies Co.,LTD</w:t>
            </w:r>
          </w:p>
        </w:tc>
        <w:tc>
          <w:tcPr>
            <w:tcW w:w="913" w:type="dxa"/>
            <w:tcBorders>
              <w:top w:val="single" w:sz="2" w:space="0" w:color="000000"/>
              <w:left w:val="single" w:sz="2" w:space="0" w:color="000000"/>
              <w:bottom w:val="single" w:sz="12" w:space="0" w:color="000000"/>
              <w:right w:val="single" w:sz="2" w:space="0" w:color="000000"/>
            </w:tcBorders>
          </w:tcPr>
          <w:p>
            <w:pPr>
              <w:pStyle w:val="TableParagraph"/>
              <w:spacing w:line="235" w:lineRule="exact" w:before="126"/>
              <w:ind w:left="83"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p>
          <w:p>
            <w:pPr>
              <w:pStyle w:val="TableParagraph"/>
              <w:spacing w:line="240" w:lineRule="auto"/>
              <w:ind w:left="262" w:right="0"/>
              <w:jc w:val="center"/>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93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58" w:right="0"/>
              <w:jc w:val="left"/>
              <w:rPr>
                <w:rFonts w:ascii="宋体" w:hAnsi="宋体" w:cs="宋体" w:eastAsia="宋体" w:hint="default"/>
                <w:sz w:val="18"/>
                <w:szCs w:val="18"/>
              </w:rPr>
            </w:pPr>
            <w:r>
              <w:rPr>
                <w:rFonts w:ascii="宋体"/>
                <w:sz w:val="18"/>
              </w:rPr>
              <w:t>4,135.78</w:t>
            </w:r>
          </w:p>
        </w:tc>
        <w:tc>
          <w:tcPr>
            <w:tcW w:w="99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75" w:right="0"/>
              <w:jc w:val="left"/>
              <w:rPr>
                <w:rFonts w:ascii="宋体" w:hAnsi="宋体" w:cs="宋体" w:eastAsia="宋体" w:hint="default"/>
                <w:sz w:val="18"/>
                <w:szCs w:val="18"/>
              </w:rPr>
            </w:pPr>
            <w:r>
              <w:rPr>
                <w:rFonts w:ascii="宋体"/>
                <w:sz w:val="18"/>
              </w:rPr>
              <w:t>100%</w:t>
            </w:r>
          </w:p>
        </w:tc>
        <w:tc>
          <w:tcPr>
            <w:tcW w:w="70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left="171" w:right="170"/>
              <w:jc w:val="left"/>
              <w:rPr>
                <w:rFonts w:ascii="宋体" w:hAnsi="宋体" w:cs="宋体" w:eastAsia="宋体" w:hint="default"/>
                <w:sz w:val="18"/>
                <w:szCs w:val="18"/>
              </w:rPr>
            </w:pPr>
            <w:r>
              <w:rPr>
                <w:rFonts w:ascii="宋体" w:hAnsi="宋体" w:cs="宋体" w:eastAsia="宋体" w:hint="default"/>
                <w:sz w:val="18"/>
                <w:szCs w:val="18"/>
              </w:rPr>
              <w:t>现金 购买</w:t>
            </w:r>
          </w:p>
        </w:tc>
        <w:tc>
          <w:tcPr>
            <w:tcW w:w="992" w:type="dxa"/>
            <w:tcBorders>
              <w:top w:val="single" w:sz="2" w:space="0" w:color="000000"/>
              <w:left w:val="single" w:sz="2" w:space="0" w:color="000000"/>
              <w:bottom w:val="single" w:sz="12" w:space="0" w:color="000000"/>
              <w:right w:val="single" w:sz="2" w:space="0" w:color="000000"/>
            </w:tcBorders>
          </w:tcPr>
          <w:p>
            <w:pPr>
              <w:pStyle w:val="TableParagraph"/>
              <w:spacing w:line="235" w:lineRule="exact" w:before="126"/>
              <w:ind w:left="199"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ind w:left="156"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0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left="52" w:right="50"/>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59"/>
                <w:sz w:val="18"/>
                <w:szCs w:val="18"/>
              </w:rPr>
              <w:t> </w:t>
            </w:r>
            <w:r>
              <w:rPr>
                <w:rFonts w:ascii="宋体" w:hAnsi="宋体" w:cs="宋体" w:eastAsia="宋体" w:hint="default"/>
                <w:sz w:val="18"/>
                <w:szCs w:val="18"/>
              </w:rPr>
              <w:t>让</w:t>
            </w:r>
            <w:r>
              <w:rPr>
                <w:rFonts w:ascii="宋体" w:hAnsi="宋体" w:cs="宋体" w:eastAsia="宋体" w:hint="default"/>
                <w:spacing w:val="-62"/>
                <w:sz w:val="18"/>
                <w:szCs w:val="18"/>
              </w:rPr>
              <w:t> </w:t>
            </w:r>
            <w:r>
              <w:rPr>
                <w:rFonts w:ascii="宋体" w:hAnsi="宋体" w:cs="宋体" w:eastAsia="宋体" w:hint="default"/>
                <w:sz w:val="18"/>
                <w:szCs w:val="18"/>
              </w:rPr>
              <w:t>协</w:t>
            </w:r>
            <w:r>
              <w:rPr>
                <w:rFonts w:ascii="宋体" w:hAnsi="宋体" w:cs="宋体" w:eastAsia="宋体" w:hint="default"/>
                <w:sz w:val="18"/>
                <w:szCs w:val="18"/>
              </w:rPr>
              <w:t> 议</w:t>
            </w:r>
          </w:p>
        </w:tc>
        <w:tc>
          <w:tcPr>
            <w:tcW w:w="1160" w:type="dxa"/>
            <w:tcBorders>
              <w:top w:val="single" w:sz="2" w:space="0" w:color="000000"/>
              <w:left w:val="single" w:sz="2" w:space="0" w:color="000000"/>
              <w:bottom w:val="single" w:sz="12" w:space="0" w:color="000000"/>
              <w:right w:val="single" w:sz="2" w:space="0" w:color="000000"/>
            </w:tcBorders>
          </w:tcPr>
          <w:p>
            <w:pPr/>
          </w:p>
        </w:tc>
        <w:tc>
          <w:tcPr>
            <w:tcW w:w="1228"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82" w:right="0"/>
              <w:jc w:val="left"/>
              <w:rPr>
                <w:rFonts w:ascii="宋体" w:hAnsi="宋体" w:cs="宋体" w:eastAsia="宋体" w:hint="default"/>
                <w:sz w:val="18"/>
                <w:szCs w:val="18"/>
              </w:rPr>
            </w:pPr>
            <w:r>
              <w:rPr>
                <w:rFonts w:ascii="宋体"/>
                <w:sz w:val="18"/>
              </w:rPr>
              <w:t>-133,852.88</w:t>
            </w:r>
          </w:p>
        </w:tc>
      </w:tr>
    </w:tbl>
    <w:p>
      <w:pPr>
        <w:spacing w:line="240" w:lineRule="auto" w:before="3"/>
        <w:rPr>
          <w:rFonts w:ascii="宋体" w:hAnsi="宋体" w:cs="宋体" w:eastAsia="宋体" w:hint="default"/>
          <w:sz w:val="13"/>
          <w:szCs w:val="13"/>
        </w:rPr>
      </w:pPr>
    </w:p>
    <w:p>
      <w:pPr>
        <w:pStyle w:val="BodyText"/>
        <w:spacing w:line="240" w:lineRule="auto"/>
        <w:ind w:left="820" w:right="1694"/>
        <w:jc w:val="left"/>
      </w:pPr>
      <w:r>
        <w:rPr/>
        <w:t>（2）</w:t>
      </w:r>
      <w:r>
        <w:rPr>
          <w:spacing w:val="-6"/>
        </w:rPr>
        <w:t> </w:t>
      </w:r>
      <w:bookmarkStart w:name="（2）合并成本及商誉" w:id="352"/>
      <w:bookmarkEnd w:id="352"/>
      <w:r>
        <w:rPr/>
        <w:t>合</w:t>
      </w:r>
      <w:r>
        <w:rPr/>
        <w:t>并成本及商誉</w:t>
      </w:r>
    </w:p>
    <w:p>
      <w:pPr>
        <w:spacing w:line="240" w:lineRule="auto" w:before="6"/>
        <w:rPr>
          <w:rFonts w:ascii="宋体" w:hAnsi="宋体" w:cs="宋体" w:eastAsia="宋体" w:hint="default"/>
          <w:sz w:val="16"/>
          <w:szCs w:val="16"/>
        </w:rPr>
      </w:pPr>
    </w:p>
    <w:tbl>
      <w:tblPr>
        <w:tblW w:w="0" w:type="auto"/>
        <w:jc w:val="left"/>
        <w:tblInd w:w="258" w:type="dxa"/>
        <w:tblLayout w:type="fixed"/>
        <w:tblCellMar>
          <w:top w:w="0" w:type="dxa"/>
          <w:left w:w="0" w:type="dxa"/>
          <w:bottom w:w="0" w:type="dxa"/>
          <w:right w:w="0" w:type="dxa"/>
        </w:tblCellMar>
        <w:tblLook w:val="01E0"/>
      </w:tblPr>
      <w:tblGrid>
        <w:gridCol w:w="4503"/>
        <w:gridCol w:w="4220"/>
      </w:tblGrid>
      <w:tr>
        <w:trPr>
          <w:trHeight w:val="458" w:hRule="exact"/>
        </w:trPr>
        <w:tc>
          <w:tcPr>
            <w:tcW w:w="450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19"/>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220"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119"/>
              <w:ind w:left="532" w:right="0"/>
              <w:jc w:val="left"/>
              <w:rPr>
                <w:rFonts w:ascii="宋体" w:hAnsi="宋体" w:cs="宋体" w:eastAsia="宋体" w:hint="default"/>
                <w:sz w:val="18"/>
                <w:szCs w:val="18"/>
              </w:rPr>
            </w:pPr>
            <w:r>
              <w:rPr>
                <w:rFonts w:ascii="宋体"/>
                <w:b/>
                <w:sz w:val="18"/>
              </w:rPr>
              <w:t>Steed Networks Technologies</w:t>
            </w:r>
            <w:r>
              <w:rPr>
                <w:rFonts w:ascii="宋体"/>
                <w:b/>
                <w:spacing w:val="-8"/>
                <w:sz w:val="18"/>
              </w:rPr>
              <w:t> </w:t>
            </w:r>
            <w:r>
              <w:rPr>
                <w:rFonts w:ascii="宋体"/>
                <w:b/>
                <w:sz w:val="18"/>
              </w:rPr>
              <w:t>Co.,LTD</w:t>
            </w:r>
            <w:r>
              <w:rPr>
                <w:rFonts w:ascii="宋体"/>
                <w:sz w:val="18"/>
              </w:rPr>
            </w:r>
          </w:p>
        </w:tc>
      </w:tr>
      <w:tr>
        <w:trPr>
          <w:trHeight w:val="445"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422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17"/>
              <w:ind w:right="105"/>
              <w:jc w:val="right"/>
              <w:rPr>
                <w:rFonts w:ascii="宋体" w:hAnsi="宋体" w:cs="宋体" w:eastAsia="宋体" w:hint="default"/>
                <w:sz w:val="18"/>
                <w:szCs w:val="18"/>
              </w:rPr>
            </w:pPr>
            <w:r>
              <w:rPr>
                <w:rFonts w:ascii="宋体"/>
                <w:spacing w:val="-1"/>
                <w:sz w:val="18"/>
              </w:rPr>
              <w:t>4,135.78</w:t>
            </w:r>
          </w:p>
        </w:tc>
      </w:tr>
      <w:tr>
        <w:trPr>
          <w:trHeight w:val="445"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3"/>
              <w:ind w:left="108"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22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19"/>
              <w:ind w:right="105"/>
              <w:jc w:val="right"/>
              <w:rPr>
                <w:rFonts w:ascii="宋体" w:hAnsi="宋体" w:cs="宋体" w:eastAsia="宋体" w:hint="default"/>
                <w:sz w:val="18"/>
                <w:szCs w:val="18"/>
              </w:rPr>
            </w:pPr>
            <w:r>
              <w:rPr>
                <w:rFonts w:ascii="宋体"/>
                <w:spacing w:val="-1"/>
                <w:sz w:val="18"/>
              </w:rPr>
              <w:t>4,135.78</w:t>
            </w:r>
          </w:p>
        </w:tc>
      </w:tr>
      <w:tr>
        <w:trPr>
          <w:trHeight w:val="445" w:hRule="exact"/>
        </w:trPr>
        <w:tc>
          <w:tcPr>
            <w:tcW w:w="450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22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18"/>
              <w:ind w:right="105"/>
              <w:jc w:val="right"/>
              <w:rPr>
                <w:rFonts w:ascii="宋体" w:hAnsi="宋体" w:cs="宋体" w:eastAsia="宋体" w:hint="default"/>
                <w:sz w:val="18"/>
                <w:szCs w:val="18"/>
              </w:rPr>
            </w:pPr>
            <w:r>
              <w:rPr>
                <w:rFonts w:ascii="宋体"/>
                <w:spacing w:val="-1"/>
                <w:sz w:val="18"/>
              </w:rPr>
              <w:t>4,135.78</w:t>
            </w:r>
          </w:p>
        </w:tc>
      </w:tr>
      <w:tr>
        <w:trPr>
          <w:trHeight w:val="563" w:hRule="exact"/>
        </w:trPr>
        <w:tc>
          <w:tcPr>
            <w:tcW w:w="4503" w:type="dxa"/>
            <w:tcBorders>
              <w:top w:val="single" w:sz="2" w:space="0" w:color="000000"/>
              <w:left w:val="nil" w:sz="6" w:space="0" w:color="auto"/>
              <w:bottom w:val="single" w:sz="12" w:space="0" w:color="000000"/>
              <w:right w:val="single" w:sz="2" w:space="0" w:color="000000"/>
            </w:tcBorders>
          </w:tcPr>
          <w:p>
            <w:pPr>
              <w:pStyle w:val="TableParagraph"/>
              <w:spacing w:line="232" w:lineRule="exact" w:before="36"/>
              <w:ind w:left="108" w:right="103"/>
              <w:jc w:val="left"/>
              <w:rPr>
                <w:rFonts w:ascii="宋体" w:hAnsi="宋体" w:cs="宋体" w:eastAsia="宋体" w:hint="default"/>
                <w:sz w:val="18"/>
                <w:szCs w:val="18"/>
              </w:rPr>
            </w:pPr>
            <w:r>
              <w:rPr>
                <w:rFonts w:ascii="宋体" w:hAnsi="宋体" w:cs="宋体" w:eastAsia="宋体" w:hint="default"/>
                <w:sz w:val="18"/>
                <w:szCs w:val="18"/>
              </w:rPr>
              <w:t>商誉/合并成本小于取得的可辨认净资产公允价值份额</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的金额</w:t>
            </w:r>
          </w:p>
        </w:tc>
        <w:tc>
          <w:tcPr>
            <w:tcW w:w="4220" w:type="dxa"/>
            <w:tcBorders>
              <w:top w:val="single" w:sz="2" w:space="0" w:color="000000"/>
              <w:left w:val="single" w:sz="2" w:space="0" w:color="000000"/>
              <w:bottom w:val="single" w:sz="12" w:space="0" w:color="000000"/>
              <w:right w:val="nil" w:sz="6" w:space="0" w:color="auto"/>
            </w:tcBorders>
          </w:tcPr>
          <w:p>
            <w:pPr/>
          </w:p>
        </w:tc>
      </w:tr>
    </w:tbl>
    <w:p>
      <w:pPr>
        <w:spacing w:line="240" w:lineRule="auto" w:before="3"/>
        <w:rPr>
          <w:rFonts w:ascii="宋体" w:hAnsi="宋体" w:cs="宋体" w:eastAsia="宋体" w:hint="default"/>
          <w:sz w:val="13"/>
          <w:szCs w:val="13"/>
        </w:rPr>
      </w:pPr>
    </w:p>
    <w:p>
      <w:pPr>
        <w:pStyle w:val="BodyText"/>
        <w:spacing w:line="240" w:lineRule="auto"/>
        <w:ind w:left="820" w:right="1694"/>
        <w:jc w:val="left"/>
      </w:pPr>
      <w:r>
        <w:rPr/>
        <w:t>（3）</w:t>
      </w:r>
      <w:r>
        <w:rPr>
          <w:spacing w:val="-12"/>
        </w:rPr>
        <w:t> </w:t>
      </w:r>
      <w:bookmarkStart w:name="（3）被购买方于购买日可辨认资产、负债" w:id="353"/>
      <w:bookmarkEnd w:id="353"/>
      <w:r>
        <w:rPr/>
        <w:t>被</w:t>
      </w:r>
      <w:r>
        <w:rPr/>
        <w:t>购买方于购买日可辨认资产、负债</w:t>
      </w:r>
    </w:p>
    <w:p>
      <w:pPr>
        <w:spacing w:line="240" w:lineRule="auto" w:before="6"/>
        <w:rPr>
          <w:rFonts w:ascii="宋体" w:hAnsi="宋体" w:cs="宋体" w:eastAsia="宋体" w:hint="default"/>
          <w:sz w:val="16"/>
          <w:szCs w:val="16"/>
        </w:rPr>
      </w:pPr>
    </w:p>
    <w:tbl>
      <w:tblPr>
        <w:tblW w:w="0" w:type="auto"/>
        <w:jc w:val="left"/>
        <w:tblInd w:w="258" w:type="dxa"/>
        <w:tblLayout w:type="fixed"/>
        <w:tblCellMar>
          <w:top w:w="0" w:type="dxa"/>
          <w:left w:w="0" w:type="dxa"/>
          <w:bottom w:w="0" w:type="dxa"/>
          <w:right w:w="0" w:type="dxa"/>
        </w:tblCellMar>
        <w:tblLook w:val="01E0"/>
      </w:tblPr>
      <w:tblGrid>
        <w:gridCol w:w="4077"/>
        <w:gridCol w:w="2645"/>
        <w:gridCol w:w="2001"/>
      </w:tblGrid>
      <w:tr>
        <w:trPr>
          <w:trHeight w:val="458" w:hRule="exact"/>
        </w:trPr>
        <w:tc>
          <w:tcPr>
            <w:tcW w:w="4077"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646"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119"/>
              <w:ind w:left="745" w:right="0"/>
              <w:jc w:val="left"/>
              <w:rPr>
                <w:rFonts w:ascii="宋体" w:hAnsi="宋体" w:cs="宋体" w:eastAsia="宋体" w:hint="default"/>
                <w:sz w:val="18"/>
                <w:szCs w:val="18"/>
              </w:rPr>
            </w:pPr>
            <w:r>
              <w:rPr>
                <w:rFonts w:ascii="宋体"/>
                <w:b/>
                <w:sz w:val="18"/>
              </w:rPr>
              <w:t>Steed Networks Technologies</w:t>
            </w:r>
            <w:r>
              <w:rPr>
                <w:rFonts w:ascii="宋体"/>
                <w:b/>
                <w:spacing w:val="-6"/>
                <w:sz w:val="18"/>
              </w:rPr>
              <w:t> </w:t>
            </w:r>
            <w:r>
              <w:rPr>
                <w:rFonts w:ascii="宋体"/>
                <w:b/>
                <w:sz w:val="18"/>
              </w:rPr>
              <w:t>Co.,LTD</w:t>
            </w:r>
            <w:r>
              <w:rPr>
                <w:rFonts w:ascii="宋体"/>
                <w:sz w:val="18"/>
              </w:rPr>
            </w:r>
          </w:p>
        </w:tc>
      </w:tr>
      <w:tr>
        <w:trPr>
          <w:trHeight w:val="345" w:hRule="exact"/>
        </w:trPr>
        <w:tc>
          <w:tcPr>
            <w:tcW w:w="4077" w:type="dxa"/>
            <w:vMerge/>
            <w:tcBorders>
              <w:left w:val="nil" w:sz="6" w:space="0" w:color="auto"/>
              <w:bottom w:val="single" w:sz="2" w:space="0" w:color="000000"/>
              <w:right w:val="single" w:sz="2" w:space="0" w:color="000000"/>
            </w:tcBorders>
          </w:tcPr>
          <w:p>
            <w:pPr/>
          </w:p>
        </w:tc>
        <w:tc>
          <w:tcPr>
            <w:tcW w:w="264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6"/>
              <w:ind w:left="690" w:right="0"/>
              <w:jc w:val="left"/>
              <w:rPr>
                <w:rFonts w:ascii="宋体" w:hAnsi="宋体" w:cs="宋体" w:eastAsia="宋体" w:hint="default"/>
                <w:sz w:val="18"/>
                <w:szCs w:val="18"/>
              </w:rPr>
            </w:pPr>
            <w:r>
              <w:rPr>
                <w:rFonts w:ascii="宋体" w:hAnsi="宋体" w:cs="宋体" w:eastAsia="宋体" w:hint="default"/>
                <w:b/>
                <w:bCs/>
                <w:sz w:val="18"/>
                <w:szCs w:val="18"/>
              </w:rPr>
              <w:t>购买日公允价值</w:t>
            </w:r>
            <w:r>
              <w:rPr>
                <w:rFonts w:ascii="宋体" w:hAnsi="宋体" w:cs="宋体" w:eastAsia="宋体" w:hint="default"/>
                <w:sz w:val="18"/>
                <w:szCs w:val="18"/>
              </w:rPr>
            </w:r>
          </w:p>
        </w:tc>
        <w:tc>
          <w:tcPr>
            <w:tcW w:w="200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left="368" w:right="0"/>
              <w:jc w:val="left"/>
              <w:rPr>
                <w:rFonts w:ascii="宋体" w:hAnsi="宋体" w:cs="宋体" w:eastAsia="宋体" w:hint="default"/>
                <w:sz w:val="18"/>
                <w:szCs w:val="18"/>
              </w:rPr>
            </w:pPr>
            <w:r>
              <w:rPr>
                <w:rFonts w:ascii="宋体" w:hAnsi="宋体" w:cs="宋体" w:eastAsia="宋体" w:hint="default"/>
                <w:b/>
                <w:bCs/>
                <w:sz w:val="18"/>
                <w:szCs w:val="18"/>
              </w:rPr>
              <w:t>购买日账面价值</w:t>
            </w:r>
            <w:r>
              <w:rPr>
                <w:rFonts w:ascii="宋体" w:hAnsi="宋体" w:cs="宋体" w:eastAsia="宋体" w:hint="default"/>
                <w:sz w:val="18"/>
                <w:szCs w:val="18"/>
              </w:rPr>
            </w:r>
          </w:p>
        </w:tc>
      </w:tr>
      <w:tr>
        <w:trPr>
          <w:trHeight w:val="445" w:hRule="exact"/>
        </w:trPr>
        <w:tc>
          <w:tcPr>
            <w:tcW w:w="40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264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7"/>
              <w:ind w:right="101"/>
              <w:jc w:val="right"/>
              <w:rPr>
                <w:rFonts w:ascii="宋体" w:hAnsi="宋体" w:cs="宋体" w:eastAsia="宋体" w:hint="default"/>
                <w:sz w:val="18"/>
                <w:szCs w:val="18"/>
              </w:rPr>
            </w:pPr>
            <w:r>
              <w:rPr>
                <w:rFonts w:ascii="宋体"/>
                <w:spacing w:val="-1"/>
                <w:sz w:val="18"/>
              </w:rPr>
              <w:t>4,135.78</w:t>
            </w:r>
          </w:p>
        </w:tc>
        <w:tc>
          <w:tcPr>
            <w:tcW w:w="200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17"/>
              <w:ind w:right="105"/>
              <w:jc w:val="right"/>
              <w:rPr>
                <w:rFonts w:ascii="宋体" w:hAnsi="宋体" w:cs="宋体" w:eastAsia="宋体" w:hint="default"/>
                <w:sz w:val="18"/>
                <w:szCs w:val="18"/>
              </w:rPr>
            </w:pPr>
            <w:r>
              <w:rPr>
                <w:rFonts w:ascii="宋体"/>
                <w:spacing w:val="-1"/>
                <w:sz w:val="18"/>
              </w:rPr>
              <w:t>4,135.78</w:t>
            </w:r>
          </w:p>
        </w:tc>
      </w:tr>
      <w:tr>
        <w:trPr>
          <w:trHeight w:val="445" w:hRule="exact"/>
        </w:trPr>
        <w:tc>
          <w:tcPr>
            <w:tcW w:w="40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6"/>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64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9"/>
              <w:ind w:right="101"/>
              <w:jc w:val="right"/>
              <w:rPr>
                <w:rFonts w:ascii="宋体" w:hAnsi="宋体" w:cs="宋体" w:eastAsia="宋体" w:hint="default"/>
                <w:sz w:val="18"/>
                <w:szCs w:val="18"/>
              </w:rPr>
            </w:pPr>
            <w:r>
              <w:rPr>
                <w:rFonts w:ascii="宋体"/>
                <w:spacing w:val="-1"/>
                <w:sz w:val="18"/>
              </w:rPr>
              <w:t>4,135.78</w:t>
            </w:r>
          </w:p>
        </w:tc>
        <w:tc>
          <w:tcPr>
            <w:tcW w:w="200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19"/>
              <w:ind w:right="105"/>
              <w:jc w:val="right"/>
              <w:rPr>
                <w:rFonts w:ascii="宋体" w:hAnsi="宋体" w:cs="宋体" w:eastAsia="宋体" w:hint="default"/>
                <w:sz w:val="18"/>
                <w:szCs w:val="18"/>
              </w:rPr>
            </w:pPr>
            <w:r>
              <w:rPr>
                <w:rFonts w:ascii="宋体"/>
                <w:spacing w:val="-1"/>
                <w:sz w:val="18"/>
              </w:rPr>
              <w:t>4,135.78</w:t>
            </w:r>
          </w:p>
        </w:tc>
      </w:tr>
      <w:tr>
        <w:trPr>
          <w:trHeight w:val="445" w:hRule="exact"/>
        </w:trPr>
        <w:tc>
          <w:tcPr>
            <w:tcW w:w="40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5"/>
              <w:ind w:left="108"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2645" w:type="dxa"/>
            <w:tcBorders>
              <w:top w:val="single" w:sz="2" w:space="0" w:color="000000"/>
              <w:left w:val="single" w:sz="2" w:space="0" w:color="000000"/>
              <w:bottom w:val="single" w:sz="2" w:space="0" w:color="000000"/>
              <w:right w:val="single" w:sz="2" w:space="0" w:color="000000"/>
            </w:tcBorders>
          </w:tcPr>
          <w:p>
            <w:pPr/>
          </w:p>
        </w:tc>
        <w:tc>
          <w:tcPr>
            <w:tcW w:w="2001" w:type="dxa"/>
            <w:tcBorders>
              <w:top w:val="single" w:sz="2" w:space="0" w:color="000000"/>
              <w:left w:val="single" w:sz="2" w:space="0" w:color="000000"/>
              <w:bottom w:val="single" w:sz="2" w:space="0" w:color="000000"/>
              <w:right w:val="nil" w:sz="6" w:space="0" w:color="auto"/>
            </w:tcBorders>
          </w:tcPr>
          <w:p>
            <w:pPr/>
          </w:p>
        </w:tc>
      </w:tr>
      <w:tr>
        <w:trPr>
          <w:trHeight w:val="445" w:hRule="exact"/>
        </w:trPr>
        <w:tc>
          <w:tcPr>
            <w:tcW w:w="40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264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19"/>
              <w:ind w:right="101"/>
              <w:jc w:val="right"/>
              <w:rPr>
                <w:rFonts w:ascii="宋体" w:hAnsi="宋体" w:cs="宋体" w:eastAsia="宋体" w:hint="default"/>
                <w:sz w:val="18"/>
                <w:szCs w:val="18"/>
              </w:rPr>
            </w:pPr>
            <w:r>
              <w:rPr>
                <w:rFonts w:ascii="宋体"/>
                <w:spacing w:val="-1"/>
                <w:sz w:val="18"/>
              </w:rPr>
              <w:t>4,135.78</w:t>
            </w:r>
          </w:p>
        </w:tc>
        <w:tc>
          <w:tcPr>
            <w:tcW w:w="200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19"/>
              <w:ind w:right="105"/>
              <w:jc w:val="right"/>
              <w:rPr>
                <w:rFonts w:ascii="宋体" w:hAnsi="宋体" w:cs="宋体" w:eastAsia="宋体" w:hint="default"/>
                <w:sz w:val="18"/>
                <w:szCs w:val="18"/>
              </w:rPr>
            </w:pPr>
            <w:r>
              <w:rPr>
                <w:rFonts w:ascii="宋体"/>
                <w:spacing w:val="-1"/>
                <w:sz w:val="18"/>
              </w:rPr>
              <w:t>4,135.78</w:t>
            </w:r>
          </w:p>
        </w:tc>
      </w:tr>
      <w:tr>
        <w:trPr>
          <w:trHeight w:val="445" w:hRule="exact"/>
        </w:trPr>
        <w:tc>
          <w:tcPr>
            <w:tcW w:w="407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5"/>
              <w:ind w:left="108" w:right="0"/>
              <w:jc w:val="left"/>
              <w:rPr>
                <w:rFonts w:ascii="宋体" w:hAnsi="宋体" w:cs="宋体" w:eastAsia="宋体" w:hint="default"/>
                <w:sz w:val="18"/>
                <w:szCs w:val="18"/>
              </w:rPr>
            </w:pPr>
            <w:r>
              <w:rPr>
                <w:rFonts w:ascii="宋体" w:hAnsi="宋体" w:cs="宋体" w:eastAsia="宋体" w:hint="default"/>
                <w:sz w:val="18"/>
                <w:szCs w:val="18"/>
              </w:rPr>
              <w:t>减：少数股东权益</w:t>
            </w:r>
          </w:p>
        </w:tc>
        <w:tc>
          <w:tcPr>
            <w:tcW w:w="2645" w:type="dxa"/>
            <w:tcBorders>
              <w:top w:val="single" w:sz="2" w:space="0" w:color="000000"/>
              <w:left w:val="single" w:sz="2" w:space="0" w:color="000000"/>
              <w:bottom w:val="single" w:sz="2" w:space="0" w:color="000000"/>
              <w:right w:val="single" w:sz="2" w:space="0" w:color="000000"/>
            </w:tcBorders>
          </w:tcPr>
          <w:p>
            <w:pPr/>
          </w:p>
        </w:tc>
        <w:tc>
          <w:tcPr>
            <w:tcW w:w="2001" w:type="dxa"/>
            <w:tcBorders>
              <w:top w:val="single" w:sz="2" w:space="0" w:color="000000"/>
              <w:left w:val="single" w:sz="2" w:space="0" w:color="000000"/>
              <w:bottom w:val="single" w:sz="2" w:space="0" w:color="000000"/>
              <w:right w:val="nil" w:sz="6" w:space="0" w:color="auto"/>
            </w:tcBorders>
          </w:tcPr>
          <w:p>
            <w:pPr/>
          </w:p>
        </w:tc>
      </w:tr>
      <w:tr>
        <w:trPr>
          <w:trHeight w:val="457" w:hRule="exact"/>
        </w:trPr>
        <w:tc>
          <w:tcPr>
            <w:tcW w:w="407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264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0"/>
              <w:ind w:right="101"/>
              <w:jc w:val="right"/>
              <w:rPr>
                <w:rFonts w:ascii="宋体" w:hAnsi="宋体" w:cs="宋体" w:eastAsia="宋体" w:hint="default"/>
                <w:sz w:val="18"/>
                <w:szCs w:val="18"/>
              </w:rPr>
            </w:pPr>
            <w:r>
              <w:rPr>
                <w:rFonts w:ascii="宋体"/>
                <w:spacing w:val="-1"/>
                <w:sz w:val="18"/>
              </w:rPr>
              <w:t>4,135.78</w:t>
            </w:r>
          </w:p>
        </w:tc>
        <w:tc>
          <w:tcPr>
            <w:tcW w:w="2001"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120"/>
              <w:ind w:right="105"/>
              <w:jc w:val="right"/>
              <w:rPr>
                <w:rFonts w:ascii="宋体" w:hAnsi="宋体" w:cs="宋体" w:eastAsia="宋体" w:hint="default"/>
                <w:sz w:val="18"/>
                <w:szCs w:val="18"/>
              </w:rPr>
            </w:pPr>
            <w:r>
              <w:rPr>
                <w:rFonts w:ascii="宋体"/>
                <w:spacing w:val="-1"/>
                <w:sz w:val="18"/>
              </w:rPr>
              <w:t>4,135.78</w:t>
            </w:r>
          </w:p>
        </w:tc>
      </w:tr>
    </w:tbl>
    <w:p>
      <w:pPr>
        <w:spacing w:line="240" w:lineRule="auto" w:before="3"/>
        <w:rPr>
          <w:rFonts w:ascii="宋体" w:hAnsi="宋体" w:cs="宋体" w:eastAsia="宋体" w:hint="default"/>
          <w:sz w:val="9"/>
          <w:szCs w:val="9"/>
        </w:rPr>
      </w:pPr>
    </w:p>
    <w:p>
      <w:pPr>
        <w:pStyle w:val="BodyText"/>
        <w:tabs>
          <w:tab w:pos="1281" w:val="left" w:leader="none"/>
        </w:tabs>
        <w:spacing w:line="240" w:lineRule="auto"/>
        <w:ind w:left="820" w:right="1694"/>
        <w:jc w:val="left"/>
      </w:pPr>
      <w:r>
        <w:rPr>
          <w:rFonts w:ascii="Times New Roman" w:hAnsi="Times New Roman" w:cs="Times New Roman" w:eastAsia="Times New Roman" w:hint="default"/>
          <w:spacing w:val="-1"/>
        </w:rPr>
        <w:t>2.</w:t>
        <w:tab/>
      </w:r>
      <w:bookmarkStart w:name="2.本集团本年度无同一控制下企业合并、反向收购及处置子公司事项。" w:id="354"/>
      <w:bookmarkEnd w:id="354"/>
      <w:r>
        <w:rPr>
          <w:rFonts w:ascii="Times New Roman" w:hAnsi="Times New Roman" w:cs="Times New Roman" w:eastAsia="Times New Roman" w:hint="default"/>
          <w:spacing w:val="-1"/>
        </w:rPr>
      </w:r>
      <w:r>
        <w:rPr>
          <w:spacing w:val="-2"/>
        </w:rPr>
        <w:t>本集团本年度无同一控制下企业合并、反向收购及处置子公司事项。</w:t>
      </w:r>
    </w:p>
    <w:p>
      <w:pPr>
        <w:pStyle w:val="BodyText"/>
        <w:tabs>
          <w:tab w:pos="1281" w:val="left" w:leader="none"/>
        </w:tabs>
        <w:spacing w:line="240" w:lineRule="auto" w:before="175"/>
        <w:ind w:left="820" w:right="1694"/>
        <w:jc w:val="left"/>
      </w:pPr>
      <w:r>
        <w:rPr>
          <w:rFonts w:ascii="Times New Roman" w:hAnsi="Times New Roman" w:cs="Times New Roman" w:eastAsia="Times New Roman" w:hint="default"/>
          <w:spacing w:val="-1"/>
        </w:rPr>
        <w:t>3.</w:t>
        <w:tab/>
      </w:r>
      <w:bookmarkStart w:name="3.其他原因的合并范围变动" w:id="355"/>
      <w:bookmarkEnd w:id="355"/>
      <w:r>
        <w:rPr>
          <w:rFonts w:ascii="Times New Roman" w:hAnsi="Times New Roman" w:cs="Times New Roman" w:eastAsia="Times New Roman" w:hint="default"/>
          <w:spacing w:val="-1"/>
        </w:rPr>
      </w:r>
      <w:r>
        <w:rPr>
          <w:spacing w:val="-2"/>
        </w:rPr>
        <w:t>其他原因的合并范围变动</w:t>
      </w:r>
    </w:p>
    <w:p>
      <w:pPr>
        <w:spacing w:line="260" w:lineRule="exact" w:before="135"/>
        <w:ind w:left="381" w:right="1694" w:firstLine="420"/>
        <w:jc w:val="left"/>
        <w:rPr>
          <w:rFonts w:ascii="宋体" w:hAnsi="宋体" w:cs="宋体" w:eastAsia="宋体" w:hint="default"/>
          <w:sz w:val="20"/>
          <w:szCs w:val="20"/>
        </w:rPr>
      </w:pPr>
      <w:r>
        <w:rPr>
          <w:rFonts w:ascii="宋体" w:hAnsi="宋体" w:cs="宋体" w:eastAsia="宋体" w:hint="default"/>
          <w:sz w:val="20"/>
          <w:szCs w:val="20"/>
        </w:rPr>
        <w:t>详见本报告“第四节</w:t>
      </w:r>
      <w:r>
        <w:rPr>
          <w:rFonts w:ascii="宋体" w:hAnsi="宋体" w:cs="宋体" w:eastAsia="宋体" w:hint="default"/>
          <w:spacing w:val="-24"/>
          <w:sz w:val="20"/>
          <w:szCs w:val="20"/>
        </w:rPr>
        <w:t> </w:t>
      </w:r>
      <w:r>
        <w:rPr>
          <w:rFonts w:ascii="宋体" w:hAnsi="宋体" w:cs="宋体" w:eastAsia="宋体" w:hint="default"/>
          <w:sz w:val="20"/>
          <w:szCs w:val="20"/>
        </w:rPr>
        <w:t>经营情况讨论与分析</w:t>
      </w:r>
      <w:r>
        <w:rPr>
          <w:rFonts w:ascii="宋体" w:hAnsi="宋体" w:cs="宋体" w:eastAsia="宋体" w:hint="default"/>
          <w:spacing w:val="-26"/>
          <w:sz w:val="20"/>
          <w:szCs w:val="20"/>
        </w:rPr>
        <w:t> </w:t>
      </w:r>
      <w:r>
        <w:rPr>
          <w:rFonts w:ascii="宋体" w:hAnsi="宋体" w:cs="宋体" w:eastAsia="宋体" w:hint="default"/>
          <w:sz w:val="20"/>
          <w:szCs w:val="20"/>
        </w:rPr>
        <w:t>二、主营业务分析</w:t>
      </w:r>
      <w:r>
        <w:rPr>
          <w:rFonts w:ascii="宋体" w:hAnsi="宋体" w:cs="宋体" w:eastAsia="宋体" w:hint="default"/>
          <w:spacing w:val="-26"/>
          <w:sz w:val="20"/>
          <w:szCs w:val="20"/>
        </w:rPr>
        <w:t> </w:t>
      </w:r>
      <w:r>
        <w:rPr>
          <w:rFonts w:ascii="Times New Roman" w:hAnsi="Times New Roman" w:cs="Times New Roman" w:eastAsia="Times New Roman" w:hint="default"/>
          <w:sz w:val="20"/>
          <w:szCs w:val="20"/>
        </w:rPr>
        <w:t>2.</w:t>
      </w:r>
      <w:r>
        <w:rPr>
          <w:rFonts w:ascii="宋体" w:hAnsi="宋体" w:cs="宋体" w:eastAsia="宋体" w:hint="default"/>
          <w:sz w:val="20"/>
          <w:szCs w:val="20"/>
        </w:rPr>
        <w:t>收入与成本（</w:t>
      </w:r>
      <w:r>
        <w:rPr>
          <w:rFonts w:ascii="Times New Roman" w:hAnsi="Times New Roman" w:cs="Times New Roman" w:eastAsia="Times New Roman" w:hint="default"/>
          <w:sz w:val="20"/>
          <w:szCs w:val="20"/>
        </w:rPr>
        <w:t>6</w:t>
      </w:r>
      <w:r>
        <w:rPr>
          <w:rFonts w:ascii="宋体" w:hAnsi="宋体" w:cs="宋体" w:eastAsia="宋体" w:hint="default"/>
          <w:sz w:val="20"/>
          <w:szCs w:val="20"/>
        </w:rPr>
        <w:t>）报告期内合</w:t>
      </w:r>
      <w:r>
        <w:rPr>
          <w:rFonts w:ascii="宋体" w:hAnsi="宋体" w:cs="宋体" w:eastAsia="宋体" w:hint="default"/>
          <w:w w:val="99"/>
          <w:sz w:val="20"/>
          <w:szCs w:val="20"/>
        </w:rPr>
        <w:t> </w:t>
      </w:r>
      <w:r>
        <w:rPr>
          <w:rFonts w:ascii="宋体" w:hAnsi="宋体" w:cs="宋体" w:eastAsia="宋体" w:hint="default"/>
          <w:sz w:val="20"/>
          <w:szCs w:val="20"/>
        </w:rPr>
        <w:t>并范围是否发生变动”</w:t>
      </w:r>
    </w:p>
    <w:p>
      <w:pPr>
        <w:spacing w:after="0" w:line="260" w:lineRule="exact"/>
        <w:jc w:val="left"/>
        <w:rPr>
          <w:rFonts w:ascii="宋体" w:hAnsi="宋体" w:cs="宋体" w:eastAsia="宋体" w:hint="default"/>
          <w:sz w:val="20"/>
          <w:szCs w:val="20"/>
        </w:rPr>
        <w:sectPr>
          <w:pgSz w:w="11910" w:h="16840"/>
          <w:pgMar w:header="939" w:footer="883" w:top="1940" w:bottom="1080" w:left="1320" w:right="0"/>
        </w:sectPr>
      </w:pPr>
    </w:p>
    <w:p>
      <w:pPr>
        <w:spacing w:line="240" w:lineRule="auto" w:before="13"/>
        <w:rPr>
          <w:rFonts w:ascii="宋体" w:hAnsi="宋体" w:cs="宋体" w:eastAsia="宋体" w:hint="default"/>
          <w:sz w:val="12"/>
          <w:szCs w:val="12"/>
        </w:rPr>
      </w:pPr>
    </w:p>
    <w:p>
      <w:pPr>
        <w:pStyle w:val="Heading4"/>
        <w:spacing w:line="240" w:lineRule="auto" w:before="33"/>
        <w:ind w:left="700" w:right="1445"/>
        <w:jc w:val="left"/>
        <w:rPr>
          <w:b w:val="0"/>
          <w:bCs w:val="0"/>
        </w:rPr>
      </w:pPr>
      <w:bookmarkStart w:name="十、在其他主体中的权益" w:id="356"/>
      <w:bookmarkEnd w:id="356"/>
      <w:r>
        <w:rPr>
          <w:b w:val="0"/>
          <w:bCs w:val="0"/>
        </w:rPr>
      </w:r>
      <w:r>
        <w:rPr/>
        <w:t>十</w:t>
      </w:r>
      <w:r>
        <w:rPr>
          <w:spacing w:val="-71"/>
        </w:rPr>
        <w:t> </w:t>
      </w:r>
      <w:r>
        <w:rPr/>
        <w:t>、</w:t>
      </w:r>
      <w:r>
        <w:rPr>
          <w:spacing w:val="-73"/>
        </w:rPr>
        <w:t> </w:t>
      </w:r>
      <w:r>
        <w:rPr/>
        <w:t>在</w:t>
      </w:r>
      <w:r>
        <w:rPr>
          <w:spacing w:val="-71"/>
        </w:rPr>
        <w:t> </w:t>
      </w:r>
      <w:r>
        <w:rPr/>
        <w:t>其</w:t>
      </w:r>
      <w:r>
        <w:rPr>
          <w:spacing w:val="-71"/>
        </w:rPr>
        <w:t> </w:t>
      </w:r>
      <w:r>
        <w:rPr/>
        <w:t>他</w:t>
      </w:r>
      <w:r>
        <w:rPr>
          <w:spacing w:val="-73"/>
        </w:rPr>
        <w:t> </w:t>
      </w:r>
      <w:r>
        <w:rPr/>
        <w:t>主</w:t>
      </w:r>
      <w:r>
        <w:rPr>
          <w:spacing w:val="-71"/>
        </w:rPr>
        <w:t> </w:t>
      </w:r>
      <w:r>
        <w:rPr/>
        <w:t>体</w:t>
      </w:r>
      <w:r>
        <w:rPr>
          <w:spacing w:val="-71"/>
        </w:rPr>
        <w:t> </w:t>
      </w:r>
      <w:r>
        <w:rPr/>
        <w:t>中</w:t>
      </w:r>
      <w:r>
        <w:rPr>
          <w:spacing w:val="-71"/>
        </w:rPr>
        <w:t> </w:t>
      </w:r>
      <w:r>
        <w:rPr/>
        <w:t>的</w:t>
      </w:r>
      <w:r>
        <w:rPr>
          <w:spacing w:val="-73"/>
        </w:rPr>
        <w:t> </w:t>
      </w:r>
      <w:r>
        <w:rPr/>
        <w:t>权</w:t>
      </w:r>
      <w:r>
        <w:rPr>
          <w:spacing w:val="-71"/>
        </w:rPr>
        <w:t> </w:t>
      </w:r>
      <w:r>
        <w:rPr/>
        <w:t>益</w:t>
      </w:r>
      <w:r>
        <w:rPr>
          <w:b w:val="0"/>
          <w:bCs w:val="0"/>
        </w:rPr>
      </w:r>
    </w:p>
    <w:p>
      <w:pPr>
        <w:pStyle w:val="BodyText"/>
        <w:spacing w:line="240" w:lineRule="auto" w:before="192"/>
        <w:ind w:left="0" w:right="6735"/>
        <w:jc w:val="center"/>
      </w:pPr>
      <w:r>
        <w:rPr>
          <w:rFonts w:ascii="Times New Roman" w:hAnsi="Times New Roman" w:cs="Times New Roman" w:eastAsia="Times New Roman" w:hint="default"/>
        </w:rPr>
        <w:t>1. </w:t>
      </w:r>
      <w:r>
        <w:rPr>
          <w:rFonts w:ascii="Times New Roman" w:hAnsi="Times New Roman" w:cs="Times New Roman" w:eastAsia="Times New Roman" w:hint="default"/>
          <w:spacing w:val="53"/>
        </w:rPr>
        <w:t> </w:t>
      </w:r>
      <w:bookmarkStart w:name="1.在子公司中的权益" w:id="357"/>
      <w:bookmarkEnd w:id="357"/>
      <w:r>
        <w:rPr>
          <w:rFonts w:ascii="Times New Roman" w:hAnsi="Times New Roman" w:cs="Times New Roman" w:eastAsia="Times New Roman" w:hint="default"/>
          <w:spacing w:val="53"/>
        </w:rPr>
      </w:r>
      <w:r>
        <w:rPr/>
        <w:t>在子公司中的权益</w:t>
      </w:r>
    </w:p>
    <w:p>
      <w:pPr>
        <w:pStyle w:val="BodyText"/>
        <w:spacing w:line="240" w:lineRule="auto" w:before="175"/>
        <w:ind w:left="673" w:right="1445"/>
        <w:jc w:val="left"/>
      </w:pPr>
      <w:r>
        <w:rPr/>
        <w:t>（</w:t>
      </w:r>
      <w:r>
        <w:rPr>
          <w:rFonts w:ascii="Times New Roman" w:hAnsi="Times New Roman" w:cs="Times New Roman" w:eastAsia="Times New Roman" w:hint="default"/>
        </w:rPr>
        <w:t>1</w:t>
      </w:r>
      <w:r>
        <w:rPr/>
        <w:t>）</w:t>
      </w:r>
      <w:r>
        <w:rPr>
          <w:spacing w:val="36"/>
        </w:rPr>
        <w:t> </w:t>
      </w:r>
      <w:bookmarkStart w:name="（1）企业集团的构成" w:id="358"/>
      <w:bookmarkEnd w:id="358"/>
      <w:r>
        <w:rPr/>
        <w:t>企</w:t>
      </w:r>
      <w:r>
        <w:rPr/>
        <w:t>业集团的构成</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538"/>
        <w:gridCol w:w="1554"/>
        <w:gridCol w:w="567"/>
        <w:gridCol w:w="850"/>
        <w:gridCol w:w="851"/>
        <w:gridCol w:w="2127"/>
        <w:gridCol w:w="710"/>
        <w:gridCol w:w="708"/>
        <w:gridCol w:w="818"/>
      </w:tblGrid>
      <w:tr>
        <w:trPr>
          <w:trHeight w:val="415" w:hRule="exact"/>
        </w:trPr>
        <w:tc>
          <w:tcPr>
            <w:tcW w:w="538" w:type="dxa"/>
            <w:vMerge w:val="restart"/>
            <w:tcBorders>
              <w:top w:val="single" w:sz="12" w:space="0" w:color="000000"/>
              <w:left w:val="nil" w:sz="6" w:space="0" w:color="auto"/>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554" w:type="dxa"/>
            <w:vMerge w:val="restart"/>
            <w:tcBorders>
              <w:top w:val="single" w:sz="12" w:space="0" w:color="000000"/>
              <w:left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567" w:type="dxa"/>
            <w:vMerge w:val="restart"/>
            <w:tcBorders>
              <w:top w:val="single" w:sz="12" w:space="0" w:color="000000"/>
              <w:left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b/>
                <w:bCs/>
                <w:sz w:val="18"/>
                <w:szCs w:val="18"/>
              </w:rPr>
              <w:t>级次</w:t>
            </w:r>
            <w:r>
              <w:rPr>
                <w:rFonts w:ascii="宋体" w:hAnsi="宋体" w:cs="宋体" w:eastAsia="宋体" w:hint="default"/>
                <w:sz w:val="18"/>
                <w:szCs w:val="18"/>
              </w:rPr>
            </w:r>
          </w:p>
        </w:tc>
        <w:tc>
          <w:tcPr>
            <w:tcW w:w="850" w:type="dxa"/>
            <w:vMerge w:val="restart"/>
            <w:tcBorders>
              <w:top w:val="single" w:sz="12" w:space="0" w:color="000000"/>
              <w:left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331" w:right="57" w:hanging="269"/>
              <w:jc w:val="left"/>
              <w:rPr>
                <w:rFonts w:ascii="宋体" w:hAnsi="宋体" w:cs="宋体" w:eastAsia="宋体" w:hint="default"/>
                <w:sz w:val="18"/>
                <w:szCs w:val="18"/>
              </w:rPr>
            </w:pPr>
            <w:r>
              <w:rPr>
                <w:rFonts w:ascii="宋体" w:hAnsi="宋体" w:cs="宋体" w:eastAsia="宋体" w:hint="default"/>
                <w:b/>
                <w:bCs/>
                <w:sz w:val="18"/>
                <w:szCs w:val="18"/>
              </w:rPr>
              <w:t>主要经营</w:t>
            </w:r>
            <w:r>
              <w:rPr>
                <w:rFonts w:ascii="宋体" w:hAnsi="宋体" w:cs="宋体" w:eastAsia="宋体" w:hint="default"/>
                <w:b/>
                <w:bCs/>
                <w:w w:val="99"/>
                <w:sz w:val="18"/>
                <w:szCs w:val="18"/>
              </w:rPr>
              <w:t> </w:t>
            </w:r>
            <w:r>
              <w:rPr>
                <w:rFonts w:ascii="宋体" w:hAnsi="宋体" w:cs="宋体" w:eastAsia="宋体" w:hint="default"/>
                <w:b/>
                <w:bCs/>
                <w:sz w:val="18"/>
                <w:szCs w:val="18"/>
              </w:rPr>
              <w:t>地</w:t>
            </w:r>
            <w:r>
              <w:rPr>
                <w:rFonts w:ascii="宋体" w:hAnsi="宋体" w:cs="宋体" w:eastAsia="宋体" w:hint="default"/>
                <w:sz w:val="18"/>
                <w:szCs w:val="18"/>
              </w:rPr>
            </w:r>
          </w:p>
        </w:tc>
        <w:tc>
          <w:tcPr>
            <w:tcW w:w="851" w:type="dxa"/>
            <w:vMerge w:val="restart"/>
            <w:tcBorders>
              <w:top w:val="single" w:sz="12" w:space="0" w:color="000000"/>
              <w:left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c>
        <w:tc>
          <w:tcPr>
            <w:tcW w:w="2127" w:type="dxa"/>
            <w:vMerge w:val="restart"/>
            <w:tcBorders>
              <w:top w:val="single" w:sz="12" w:space="0" w:color="000000"/>
              <w:left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699" w:right="0"/>
              <w:jc w:val="left"/>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c>
        <w:tc>
          <w:tcPr>
            <w:tcW w:w="1418"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12" w:right="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c>
          <w:tcPr>
            <w:tcW w:w="818" w:type="dxa"/>
            <w:vMerge w:val="restart"/>
            <w:tcBorders>
              <w:top w:val="single" w:sz="12" w:space="0" w:color="000000"/>
              <w:left w:val="single" w:sz="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315" w:right="135" w:hanging="180"/>
              <w:jc w:val="left"/>
              <w:rPr>
                <w:rFonts w:ascii="宋体" w:hAnsi="宋体" w:cs="宋体" w:eastAsia="宋体" w:hint="default"/>
                <w:sz w:val="18"/>
                <w:szCs w:val="18"/>
              </w:rPr>
            </w:pPr>
            <w:r>
              <w:rPr>
                <w:rFonts w:ascii="宋体" w:hAnsi="宋体" w:cs="宋体" w:eastAsia="宋体" w:hint="default"/>
                <w:b/>
                <w:bCs/>
                <w:sz w:val="18"/>
                <w:szCs w:val="18"/>
              </w:rPr>
              <w:t>取得方</w:t>
            </w:r>
            <w:r>
              <w:rPr>
                <w:rFonts w:ascii="宋体" w:hAnsi="宋体" w:cs="宋体" w:eastAsia="宋体" w:hint="default"/>
                <w:b/>
                <w:bCs/>
                <w:w w:val="99"/>
                <w:sz w:val="18"/>
                <w:szCs w:val="18"/>
              </w:rPr>
              <w:t> </w:t>
            </w:r>
            <w:r>
              <w:rPr>
                <w:rFonts w:ascii="宋体" w:hAnsi="宋体" w:cs="宋体" w:eastAsia="宋体" w:hint="default"/>
                <w:b/>
                <w:bCs/>
                <w:sz w:val="18"/>
                <w:szCs w:val="18"/>
              </w:rPr>
              <w:t>式</w:t>
            </w:r>
            <w:r>
              <w:rPr>
                <w:rFonts w:ascii="宋体" w:hAnsi="宋体" w:cs="宋体" w:eastAsia="宋体" w:hint="default"/>
                <w:sz w:val="18"/>
                <w:szCs w:val="18"/>
              </w:rPr>
            </w:r>
          </w:p>
        </w:tc>
      </w:tr>
      <w:tr>
        <w:trPr>
          <w:trHeight w:val="402" w:hRule="exact"/>
        </w:trPr>
        <w:tc>
          <w:tcPr>
            <w:tcW w:w="538" w:type="dxa"/>
            <w:vMerge/>
            <w:tcBorders>
              <w:left w:val="nil" w:sz="6" w:space="0" w:color="auto"/>
              <w:bottom w:val="single" w:sz="2" w:space="0" w:color="000000"/>
              <w:right w:val="single" w:sz="2" w:space="0" w:color="000000"/>
            </w:tcBorders>
          </w:tcPr>
          <w:p>
            <w:pPr/>
          </w:p>
        </w:tc>
        <w:tc>
          <w:tcPr>
            <w:tcW w:w="1554" w:type="dxa"/>
            <w:vMerge/>
            <w:tcBorders>
              <w:left w:val="single" w:sz="2" w:space="0" w:color="000000"/>
              <w:bottom w:val="single" w:sz="2" w:space="0" w:color="000000"/>
              <w:right w:val="single" w:sz="2" w:space="0" w:color="000000"/>
            </w:tcBorders>
          </w:tcPr>
          <w:p>
            <w:pPr/>
          </w:p>
        </w:tc>
        <w:tc>
          <w:tcPr>
            <w:tcW w:w="567" w:type="dxa"/>
            <w:vMerge/>
            <w:tcBorders>
              <w:left w:val="single" w:sz="2" w:space="0" w:color="000000"/>
              <w:bottom w:val="single" w:sz="2" w:space="0" w:color="000000"/>
              <w:right w:val="single" w:sz="2" w:space="0" w:color="000000"/>
            </w:tcBorders>
          </w:tcPr>
          <w:p>
            <w:pPr/>
          </w:p>
        </w:tc>
        <w:tc>
          <w:tcPr>
            <w:tcW w:w="850" w:type="dxa"/>
            <w:vMerge/>
            <w:tcBorders>
              <w:left w:val="single" w:sz="2" w:space="0" w:color="000000"/>
              <w:bottom w:val="single" w:sz="2" w:space="0" w:color="000000"/>
              <w:right w:val="single" w:sz="2" w:space="0" w:color="000000"/>
            </w:tcBorders>
          </w:tcPr>
          <w:p>
            <w:pPr/>
          </w:p>
        </w:tc>
        <w:tc>
          <w:tcPr>
            <w:tcW w:w="851" w:type="dxa"/>
            <w:vMerge/>
            <w:tcBorders>
              <w:left w:val="single" w:sz="2" w:space="0" w:color="000000"/>
              <w:bottom w:val="single" w:sz="2" w:space="0" w:color="000000"/>
              <w:right w:val="single" w:sz="2" w:space="0" w:color="000000"/>
            </w:tcBorders>
          </w:tcPr>
          <w:p>
            <w:pPr/>
          </w:p>
        </w:tc>
        <w:tc>
          <w:tcPr>
            <w:tcW w:w="2127" w:type="dxa"/>
            <w:vMerge/>
            <w:tcBorders>
              <w:left w:val="single" w:sz="2" w:space="0" w:color="000000"/>
              <w:bottom w:val="single" w:sz="2" w:space="0" w:color="000000"/>
              <w:right w:val="single" w:sz="2" w:space="0" w:color="000000"/>
            </w:tcBorders>
          </w:tcPr>
          <w:p>
            <w:pP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69"/>
              <w:jc w:val="right"/>
              <w:rPr>
                <w:rFonts w:ascii="宋体" w:hAnsi="宋体" w:cs="宋体" w:eastAsia="宋体" w:hint="default"/>
                <w:sz w:val="18"/>
                <w:szCs w:val="18"/>
              </w:rPr>
            </w:pPr>
            <w:r>
              <w:rPr>
                <w:rFonts w:ascii="宋体" w:hAnsi="宋体" w:cs="宋体" w:eastAsia="宋体" w:hint="default"/>
                <w:b/>
                <w:bCs/>
                <w:w w:val="95"/>
                <w:sz w:val="18"/>
                <w:szCs w:val="18"/>
              </w:rPr>
              <w:t>直接</w:t>
            </w:r>
            <w:r>
              <w:rPr>
                <w:rFonts w:ascii="宋体" w:hAnsi="宋体" w:cs="宋体" w:eastAsia="宋体" w:hint="default"/>
                <w:sz w:val="18"/>
                <w:szCs w:val="18"/>
              </w:rPr>
            </w: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69"/>
              <w:jc w:val="right"/>
              <w:rPr>
                <w:rFonts w:ascii="宋体" w:hAnsi="宋体" w:cs="宋体" w:eastAsia="宋体" w:hint="default"/>
                <w:sz w:val="18"/>
                <w:szCs w:val="18"/>
              </w:rPr>
            </w:pPr>
            <w:r>
              <w:rPr>
                <w:rFonts w:ascii="宋体" w:hAnsi="宋体" w:cs="宋体" w:eastAsia="宋体" w:hint="default"/>
                <w:b/>
                <w:bCs/>
                <w:w w:val="95"/>
                <w:sz w:val="18"/>
                <w:szCs w:val="18"/>
              </w:rPr>
              <w:t>间接</w:t>
            </w:r>
            <w:r>
              <w:rPr>
                <w:rFonts w:ascii="宋体" w:hAnsi="宋体" w:cs="宋体" w:eastAsia="宋体" w:hint="default"/>
                <w:sz w:val="18"/>
                <w:szCs w:val="18"/>
              </w:rPr>
            </w:r>
          </w:p>
        </w:tc>
        <w:tc>
          <w:tcPr>
            <w:tcW w:w="818" w:type="dxa"/>
            <w:vMerge/>
            <w:tcBorders>
              <w:left w:val="single" w:sz="2" w:space="0" w:color="000000"/>
              <w:bottom w:val="single" w:sz="2" w:space="0" w:color="000000"/>
              <w:right w:val="nil" w:sz="6" w:space="0" w:color="auto"/>
            </w:tcBorders>
          </w:tcPr>
          <w:p>
            <w:pPr/>
          </w:p>
        </w:tc>
      </w:tr>
      <w:tr>
        <w:trPr>
          <w:trHeight w:val="785"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18"/>
                <w:szCs w:val="18"/>
              </w:rPr>
            </w:pPr>
            <w:r>
              <w:rPr>
                <w:rFonts w:ascii="宋体"/>
                <w:sz w:val="18"/>
              </w:rPr>
              <w:t>1</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50" w:right="51"/>
              <w:jc w:val="left"/>
              <w:rPr>
                <w:rFonts w:ascii="宋体" w:hAnsi="宋体" w:cs="宋体" w:eastAsia="宋体" w:hint="default"/>
                <w:sz w:val="18"/>
                <w:szCs w:val="18"/>
              </w:rPr>
            </w:pPr>
            <w:r>
              <w:rPr>
                <w:rFonts w:ascii="宋体" w:hAnsi="宋体" w:cs="宋体" w:eastAsia="宋体" w:hint="default"/>
                <w:sz w:val="18"/>
                <w:szCs w:val="18"/>
              </w:rPr>
              <w:t>浙江万马高分子材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料集团有限公司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1" w:right="0"/>
              <w:jc w:val="left"/>
              <w:rPr>
                <w:rFonts w:ascii="宋体" w:hAnsi="宋体" w:cs="宋体" w:eastAsia="宋体" w:hint="default"/>
                <w:sz w:val="18"/>
                <w:szCs w:val="18"/>
              </w:rPr>
            </w:pPr>
            <w:r>
              <w:rPr>
                <w:rFonts w:ascii="宋体" w:hAnsi="宋体" w:cs="宋体" w:eastAsia="宋体" w:hint="default"/>
                <w:sz w:val="18"/>
                <w:szCs w:val="18"/>
              </w:rPr>
              <w:t>生产销售高分子材料产品</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18"/>
                <w:szCs w:val="18"/>
              </w:rPr>
            </w:pPr>
            <w:r>
              <w:rPr>
                <w:rFonts w:ascii="宋体"/>
                <w:spacing w:val="-1"/>
                <w:sz w:val="18"/>
              </w:rPr>
              <w:t>80.00</w:t>
            </w: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18"/>
                <w:szCs w:val="18"/>
              </w:rPr>
            </w:pPr>
            <w:r>
              <w:rPr>
                <w:rFonts w:ascii="宋体"/>
                <w:spacing w:val="-1"/>
                <w:sz w:val="18"/>
              </w:rPr>
              <w:t>20.00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32" w:lineRule="exact" w:before="36"/>
              <w:ind w:left="135" w:right="139"/>
              <w:jc w:val="center"/>
              <w:rPr>
                <w:rFonts w:ascii="宋体" w:hAnsi="宋体" w:cs="宋体" w:eastAsia="宋体" w:hint="default"/>
                <w:sz w:val="18"/>
                <w:szCs w:val="18"/>
              </w:rPr>
            </w:pPr>
            <w:r>
              <w:rPr>
                <w:rFonts w:ascii="宋体" w:hAnsi="宋体" w:cs="宋体" w:eastAsia="宋体" w:hint="default"/>
                <w:sz w:val="18"/>
                <w:szCs w:val="18"/>
              </w:rPr>
              <w:t>同一控 制下合 并</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9"/>
              <w:ind w:left="223" w:right="0"/>
              <w:jc w:val="left"/>
              <w:rPr>
                <w:rFonts w:ascii="宋体" w:hAnsi="宋体" w:cs="宋体" w:eastAsia="宋体" w:hint="default"/>
                <w:sz w:val="18"/>
                <w:szCs w:val="18"/>
              </w:rPr>
            </w:pPr>
            <w:r>
              <w:rPr>
                <w:rFonts w:ascii="宋体"/>
                <w:sz w:val="18"/>
              </w:rPr>
              <w:t>2</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四川万马高分子材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料有限公司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63" w:right="0"/>
              <w:jc w:val="left"/>
              <w:rPr>
                <w:rFonts w:ascii="宋体" w:hAnsi="宋体" w:cs="宋体" w:eastAsia="宋体" w:hint="default"/>
                <w:sz w:val="18"/>
                <w:szCs w:val="18"/>
              </w:rPr>
            </w:pPr>
            <w:r>
              <w:rPr>
                <w:rFonts w:ascii="宋体" w:hAnsi="宋体" w:cs="宋体" w:eastAsia="宋体" w:hint="default"/>
                <w:sz w:val="18"/>
                <w:szCs w:val="18"/>
              </w:rPr>
              <w:t>四川成都</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61"/>
              <w:jc w:val="right"/>
              <w:rPr>
                <w:rFonts w:ascii="宋体" w:hAnsi="宋体" w:cs="宋体" w:eastAsia="宋体" w:hint="default"/>
                <w:sz w:val="18"/>
                <w:szCs w:val="18"/>
              </w:rPr>
            </w:pPr>
            <w:r>
              <w:rPr>
                <w:rFonts w:ascii="宋体" w:hAnsi="宋体" w:cs="宋体" w:eastAsia="宋体" w:hint="default"/>
                <w:sz w:val="18"/>
                <w:szCs w:val="18"/>
              </w:rPr>
              <w:t>四川成都</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51" w:right="0"/>
              <w:jc w:val="left"/>
              <w:rPr>
                <w:rFonts w:ascii="宋体" w:hAnsi="宋体" w:cs="宋体" w:eastAsia="宋体" w:hint="default"/>
                <w:sz w:val="18"/>
                <w:szCs w:val="18"/>
              </w:rPr>
            </w:pPr>
            <w:r>
              <w:rPr>
                <w:rFonts w:ascii="宋体" w:hAnsi="宋体" w:cs="宋体" w:eastAsia="宋体" w:hint="default"/>
                <w:sz w:val="18"/>
                <w:szCs w:val="18"/>
              </w:rPr>
              <w:t>生产销售高分子材料产品</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79"/>
              <w:jc w:val="right"/>
              <w:rPr>
                <w:rFonts w:ascii="宋体" w:hAnsi="宋体" w:cs="宋体" w:eastAsia="宋体" w:hint="default"/>
                <w:sz w:val="18"/>
                <w:szCs w:val="18"/>
              </w:rPr>
            </w:pPr>
            <w:r>
              <w:rPr>
                <w:rFonts w:ascii="宋体"/>
                <w:spacing w:val="-1"/>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9"/>
              <w:ind w:left="223" w:right="0"/>
              <w:jc w:val="left"/>
              <w:rPr>
                <w:rFonts w:ascii="宋体" w:hAnsi="宋体" w:cs="宋体" w:eastAsia="宋体" w:hint="default"/>
                <w:sz w:val="18"/>
                <w:szCs w:val="18"/>
              </w:rPr>
            </w:pPr>
            <w:r>
              <w:rPr>
                <w:rFonts w:ascii="宋体"/>
                <w:sz w:val="18"/>
              </w:rPr>
              <w:t>3</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浙江万马聚力新材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料科技有限公司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51" w:right="0"/>
              <w:jc w:val="left"/>
              <w:rPr>
                <w:rFonts w:ascii="宋体" w:hAnsi="宋体" w:cs="宋体" w:eastAsia="宋体" w:hint="default"/>
                <w:sz w:val="18"/>
                <w:szCs w:val="18"/>
              </w:rPr>
            </w:pPr>
            <w:r>
              <w:rPr>
                <w:rFonts w:ascii="宋体" w:hAnsi="宋体" w:cs="宋体" w:eastAsia="宋体" w:hint="default"/>
                <w:sz w:val="18"/>
                <w:szCs w:val="18"/>
              </w:rPr>
              <w:t>生产销售高分子材料产品</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125"/>
              <w:jc w:val="right"/>
              <w:rPr>
                <w:rFonts w:ascii="宋体" w:hAnsi="宋体" w:cs="宋体" w:eastAsia="宋体" w:hint="default"/>
                <w:sz w:val="18"/>
                <w:szCs w:val="18"/>
              </w:rPr>
            </w:pPr>
            <w:r>
              <w:rPr>
                <w:rFonts w:ascii="宋体"/>
                <w:spacing w:val="-1"/>
                <w:sz w:val="18"/>
              </w:rPr>
              <w:t>82.00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9"/>
              <w:ind w:left="223" w:right="0"/>
              <w:jc w:val="left"/>
              <w:rPr>
                <w:rFonts w:ascii="宋体" w:hAnsi="宋体" w:cs="宋体" w:eastAsia="宋体" w:hint="default"/>
                <w:sz w:val="18"/>
                <w:szCs w:val="18"/>
              </w:rPr>
            </w:pPr>
            <w:r>
              <w:rPr>
                <w:rFonts w:ascii="宋体"/>
                <w:sz w:val="18"/>
              </w:rPr>
              <w:t>4</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清远万马新材料有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63" w:right="0"/>
              <w:jc w:val="left"/>
              <w:rPr>
                <w:rFonts w:ascii="宋体" w:hAnsi="宋体" w:cs="宋体" w:eastAsia="宋体" w:hint="default"/>
                <w:sz w:val="18"/>
                <w:szCs w:val="18"/>
              </w:rPr>
            </w:pPr>
            <w:r>
              <w:rPr>
                <w:rFonts w:ascii="宋体" w:hAnsi="宋体" w:cs="宋体" w:eastAsia="宋体" w:hint="default"/>
                <w:sz w:val="18"/>
                <w:szCs w:val="18"/>
              </w:rPr>
              <w:t>广州清远</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61"/>
              <w:jc w:val="right"/>
              <w:rPr>
                <w:rFonts w:ascii="宋体" w:hAnsi="宋体" w:cs="宋体" w:eastAsia="宋体" w:hint="default"/>
                <w:sz w:val="18"/>
                <w:szCs w:val="18"/>
              </w:rPr>
            </w:pPr>
            <w:r>
              <w:rPr>
                <w:rFonts w:ascii="宋体" w:hAnsi="宋体" w:cs="宋体" w:eastAsia="宋体" w:hint="default"/>
                <w:sz w:val="18"/>
                <w:szCs w:val="18"/>
              </w:rPr>
              <w:t>广州清远</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left="51" w:right="0"/>
              <w:jc w:val="left"/>
              <w:rPr>
                <w:rFonts w:ascii="宋体" w:hAnsi="宋体" w:cs="宋体" w:eastAsia="宋体" w:hint="default"/>
                <w:sz w:val="18"/>
                <w:szCs w:val="18"/>
              </w:rPr>
            </w:pPr>
            <w:r>
              <w:rPr>
                <w:rFonts w:ascii="宋体" w:hAnsi="宋体" w:cs="宋体" w:eastAsia="宋体" w:hint="default"/>
                <w:sz w:val="18"/>
                <w:szCs w:val="18"/>
              </w:rPr>
              <w:t>生产销售高分子材料产品</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9"/>
              <w:ind w:right="79"/>
              <w:jc w:val="right"/>
              <w:rPr>
                <w:rFonts w:ascii="宋体" w:hAnsi="宋体" w:cs="宋体" w:eastAsia="宋体" w:hint="default"/>
                <w:sz w:val="18"/>
                <w:szCs w:val="18"/>
              </w:rPr>
            </w:pPr>
            <w:r>
              <w:rPr>
                <w:rFonts w:ascii="宋体"/>
                <w:spacing w:val="-1"/>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785"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18"/>
                <w:szCs w:val="18"/>
              </w:rPr>
            </w:pPr>
            <w:r>
              <w:rPr>
                <w:rFonts w:ascii="宋体"/>
                <w:sz w:val="18"/>
              </w:rPr>
              <w:t>5</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1"/>
              <w:ind w:left="50" w:right="51"/>
              <w:jc w:val="left"/>
              <w:rPr>
                <w:rFonts w:ascii="宋体" w:hAnsi="宋体" w:cs="宋体" w:eastAsia="宋体" w:hint="default"/>
                <w:sz w:val="18"/>
                <w:szCs w:val="18"/>
              </w:rPr>
            </w:pPr>
            <w:r>
              <w:rPr>
                <w:rFonts w:ascii="宋体" w:hAnsi="宋体" w:cs="宋体" w:eastAsia="宋体" w:hint="default"/>
                <w:sz w:val="18"/>
                <w:szCs w:val="18"/>
              </w:rPr>
              <w:t>浙江万马天屹通信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线缆有限公司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1" w:right="0"/>
              <w:jc w:val="left"/>
              <w:rPr>
                <w:rFonts w:ascii="宋体" w:hAnsi="宋体" w:cs="宋体" w:eastAsia="宋体" w:hint="default"/>
                <w:sz w:val="18"/>
                <w:szCs w:val="18"/>
              </w:rPr>
            </w:pPr>
            <w:r>
              <w:rPr>
                <w:rFonts w:ascii="宋体" w:hAnsi="宋体" w:cs="宋体" w:eastAsia="宋体" w:hint="default"/>
                <w:sz w:val="18"/>
                <w:szCs w:val="18"/>
              </w:rPr>
              <w:t>生产销售通信电缆</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79"/>
              <w:jc w:val="right"/>
              <w:rPr>
                <w:rFonts w:ascii="宋体" w:hAnsi="宋体" w:cs="宋体" w:eastAsia="宋体" w:hint="default"/>
                <w:sz w:val="18"/>
                <w:szCs w:val="18"/>
              </w:rPr>
            </w:pPr>
            <w:r>
              <w:rPr>
                <w:rFonts w:ascii="宋体"/>
                <w:spacing w:val="-1"/>
                <w:sz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32" w:lineRule="exact" w:before="36"/>
              <w:ind w:left="135" w:right="139"/>
              <w:jc w:val="center"/>
              <w:rPr>
                <w:rFonts w:ascii="宋体" w:hAnsi="宋体" w:cs="宋体" w:eastAsia="宋体" w:hint="default"/>
                <w:sz w:val="18"/>
                <w:szCs w:val="18"/>
              </w:rPr>
            </w:pPr>
            <w:r>
              <w:rPr>
                <w:rFonts w:ascii="宋体" w:hAnsi="宋体" w:cs="宋体" w:eastAsia="宋体" w:hint="default"/>
                <w:sz w:val="18"/>
                <w:szCs w:val="18"/>
              </w:rPr>
              <w:t>同一控 制下合 并</w:t>
            </w:r>
          </w:p>
        </w:tc>
      </w:tr>
      <w:tr>
        <w:trPr>
          <w:trHeight w:val="786"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18"/>
                <w:szCs w:val="18"/>
              </w:rPr>
            </w:pPr>
            <w:r>
              <w:rPr>
                <w:rFonts w:ascii="宋体"/>
                <w:sz w:val="18"/>
              </w:rPr>
              <w:t>6</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3"/>
              <w:ind w:left="50" w:right="51"/>
              <w:jc w:val="left"/>
              <w:rPr>
                <w:rFonts w:ascii="宋体" w:hAnsi="宋体" w:cs="宋体" w:eastAsia="宋体" w:hint="default"/>
                <w:sz w:val="18"/>
                <w:szCs w:val="18"/>
              </w:rPr>
            </w:pPr>
            <w:r>
              <w:rPr>
                <w:rFonts w:ascii="宋体" w:hAnsi="宋体" w:cs="宋体" w:eastAsia="宋体" w:hint="default"/>
                <w:sz w:val="18"/>
                <w:szCs w:val="18"/>
              </w:rPr>
              <w:t>浙江万马集团特种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电子电缆有限公司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1" w:right="0"/>
              <w:jc w:val="left"/>
              <w:rPr>
                <w:rFonts w:ascii="宋体" w:hAnsi="宋体" w:cs="宋体" w:eastAsia="宋体" w:hint="default"/>
                <w:sz w:val="18"/>
                <w:szCs w:val="18"/>
              </w:rPr>
            </w:pPr>
            <w:r>
              <w:rPr>
                <w:rFonts w:ascii="宋体" w:hAnsi="宋体" w:cs="宋体" w:eastAsia="宋体" w:hint="default"/>
                <w:sz w:val="18"/>
                <w:szCs w:val="18"/>
              </w:rPr>
              <w:t>生产销售电线电缆</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79"/>
              <w:jc w:val="right"/>
              <w:rPr>
                <w:rFonts w:ascii="宋体" w:hAnsi="宋体" w:cs="宋体" w:eastAsia="宋体" w:hint="default"/>
                <w:sz w:val="18"/>
                <w:szCs w:val="18"/>
              </w:rPr>
            </w:pPr>
            <w:r>
              <w:rPr>
                <w:rFonts w:ascii="宋体"/>
                <w:spacing w:val="-1"/>
                <w:sz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32" w:lineRule="exact" w:before="35"/>
              <w:ind w:left="135" w:right="139"/>
              <w:jc w:val="both"/>
              <w:rPr>
                <w:rFonts w:ascii="宋体" w:hAnsi="宋体" w:cs="宋体" w:eastAsia="宋体" w:hint="default"/>
                <w:sz w:val="18"/>
                <w:szCs w:val="18"/>
              </w:rPr>
            </w:pPr>
            <w:r>
              <w:rPr>
                <w:rFonts w:ascii="宋体" w:hAnsi="宋体" w:cs="宋体" w:eastAsia="宋体" w:hint="default"/>
                <w:sz w:val="18"/>
                <w:szCs w:val="18"/>
              </w:rPr>
              <w:t>非同一 控制下 合并</w:t>
            </w:r>
          </w:p>
        </w:tc>
      </w:tr>
      <w:tr>
        <w:trPr>
          <w:trHeight w:val="785"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18"/>
                <w:szCs w:val="18"/>
              </w:rPr>
            </w:pPr>
            <w:r>
              <w:rPr>
                <w:rFonts w:ascii="宋体"/>
                <w:sz w:val="18"/>
              </w:rPr>
              <w:t>7</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152"/>
              <w:ind w:left="50" w:right="51"/>
              <w:jc w:val="left"/>
              <w:rPr>
                <w:rFonts w:ascii="宋体" w:hAnsi="宋体" w:cs="宋体" w:eastAsia="宋体" w:hint="default"/>
                <w:sz w:val="18"/>
                <w:szCs w:val="18"/>
              </w:rPr>
            </w:pPr>
            <w:r>
              <w:rPr>
                <w:rFonts w:ascii="宋体" w:hAnsi="宋体" w:cs="宋体" w:eastAsia="宋体" w:hint="default"/>
                <w:sz w:val="18"/>
                <w:szCs w:val="18"/>
              </w:rPr>
              <w:t>香港骐骥国际发展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63"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61"/>
              <w:jc w:val="right"/>
              <w:rPr>
                <w:rFonts w:ascii="宋体" w:hAnsi="宋体" w:cs="宋体" w:eastAsia="宋体" w:hint="default"/>
                <w:sz w:val="18"/>
                <w:szCs w:val="18"/>
              </w:rPr>
            </w:pPr>
            <w:r>
              <w:rPr>
                <w:rFonts w:ascii="宋体" w:hAnsi="宋体" w:cs="宋体" w:eastAsia="宋体" w:hint="default"/>
                <w:sz w:val="18"/>
                <w:szCs w:val="18"/>
              </w:rPr>
              <w:t>中国香港</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7" w:lineRule="auto" w:before="12"/>
              <w:ind w:left="51" w:right="50"/>
              <w:jc w:val="both"/>
              <w:rPr>
                <w:rFonts w:ascii="宋体" w:hAnsi="宋体" w:cs="宋体" w:eastAsia="宋体" w:hint="default"/>
                <w:sz w:val="18"/>
                <w:szCs w:val="18"/>
              </w:rPr>
            </w:pPr>
            <w:r>
              <w:rPr>
                <w:rFonts w:ascii="宋体" w:hAnsi="宋体" w:cs="宋体" w:eastAsia="宋体" w:hint="default"/>
                <w:spacing w:val="2"/>
                <w:sz w:val="18"/>
                <w:szCs w:val="18"/>
              </w:rPr>
              <w:t>电解铜、铝、锌、高分子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材料、同轴电缆等进出口</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贸易业务</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79"/>
              <w:jc w:val="right"/>
              <w:rPr>
                <w:rFonts w:ascii="宋体" w:hAnsi="宋体" w:cs="宋体" w:eastAsia="宋体" w:hint="default"/>
                <w:sz w:val="18"/>
                <w:szCs w:val="18"/>
              </w:rPr>
            </w:pPr>
            <w:r>
              <w:rPr>
                <w:rFonts w:ascii="宋体"/>
                <w:spacing w:val="-1"/>
                <w:sz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223" w:right="0"/>
              <w:jc w:val="left"/>
              <w:rPr>
                <w:rFonts w:ascii="宋体" w:hAnsi="宋体" w:cs="宋体" w:eastAsia="宋体" w:hint="default"/>
                <w:sz w:val="18"/>
                <w:szCs w:val="18"/>
              </w:rPr>
            </w:pPr>
            <w:r>
              <w:rPr>
                <w:rFonts w:ascii="宋体"/>
                <w:sz w:val="18"/>
              </w:rPr>
              <w:t>8</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left="50" w:right="51"/>
              <w:jc w:val="left"/>
              <w:rPr>
                <w:rFonts w:ascii="宋体" w:hAnsi="宋体" w:cs="宋体" w:eastAsia="宋体" w:hint="default"/>
                <w:sz w:val="18"/>
                <w:szCs w:val="18"/>
              </w:rPr>
            </w:pPr>
            <w:r>
              <w:rPr>
                <w:rFonts w:ascii="宋体" w:hAnsi="宋体" w:cs="宋体" w:eastAsia="宋体" w:hint="default"/>
                <w:sz w:val="18"/>
                <w:szCs w:val="18"/>
              </w:rPr>
              <w:t>浙江万马专用线缆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科技有限公司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51" w:right="0"/>
              <w:jc w:val="left"/>
              <w:rPr>
                <w:rFonts w:ascii="宋体" w:hAnsi="宋体" w:cs="宋体" w:eastAsia="宋体" w:hint="default"/>
                <w:sz w:val="18"/>
                <w:szCs w:val="18"/>
              </w:rPr>
            </w:pPr>
            <w:r>
              <w:rPr>
                <w:rFonts w:ascii="宋体" w:hAnsi="宋体" w:cs="宋体" w:eastAsia="宋体" w:hint="default"/>
                <w:sz w:val="18"/>
                <w:szCs w:val="18"/>
              </w:rPr>
              <w:t>生产销售特种电缆</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79"/>
              <w:jc w:val="right"/>
              <w:rPr>
                <w:rFonts w:ascii="宋体" w:hAnsi="宋体" w:cs="宋体" w:eastAsia="宋体" w:hint="default"/>
                <w:sz w:val="18"/>
                <w:szCs w:val="18"/>
              </w:rPr>
            </w:pPr>
            <w:r>
              <w:rPr>
                <w:rFonts w:ascii="宋体"/>
                <w:spacing w:val="-1"/>
                <w:sz w:val="18"/>
              </w:rPr>
              <w:t>84.275</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223" w:right="0"/>
              <w:jc w:val="left"/>
              <w:rPr>
                <w:rFonts w:ascii="宋体" w:hAnsi="宋体" w:cs="宋体" w:eastAsia="宋体" w:hint="default"/>
                <w:sz w:val="18"/>
                <w:szCs w:val="18"/>
              </w:rPr>
            </w:pPr>
            <w:r>
              <w:rPr>
                <w:rFonts w:ascii="宋体"/>
                <w:sz w:val="18"/>
              </w:rPr>
              <w:t>9</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left="50" w:right="51"/>
              <w:jc w:val="left"/>
              <w:rPr>
                <w:rFonts w:ascii="宋体" w:hAnsi="宋体" w:cs="宋体" w:eastAsia="宋体" w:hint="default"/>
                <w:sz w:val="18"/>
                <w:szCs w:val="18"/>
              </w:rPr>
            </w:pPr>
            <w:r>
              <w:rPr>
                <w:rFonts w:ascii="宋体" w:hAnsi="宋体" w:cs="宋体" w:eastAsia="宋体" w:hint="default"/>
                <w:sz w:val="18"/>
                <w:szCs w:val="18"/>
              </w:rPr>
              <w:t>浙江万马电缆有限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51" w:right="0"/>
              <w:jc w:val="left"/>
              <w:rPr>
                <w:rFonts w:ascii="宋体" w:hAnsi="宋体" w:cs="宋体" w:eastAsia="宋体" w:hint="default"/>
                <w:sz w:val="18"/>
                <w:szCs w:val="18"/>
              </w:rPr>
            </w:pPr>
            <w:r>
              <w:rPr>
                <w:rFonts w:ascii="宋体" w:hAnsi="宋体" w:cs="宋体" w:eastAsia="宋体" w:hint="default"/>
                <w:sz w:val="18"/>
                <w:szCs w:val="18"/>
              </w:rPr>
              <w:t>生产销售</w:t>
            </w:r>
            <w:r>
              <w:rPr>
                <w:rFonts w:ascii="宋体" w:hAnsi="宋体" w:cs="宋体" w:eastAsia="宋体" w:hint="default"/>
                <w:spacing w:val="-46"/>
                <w:sz w:val="18"/>
                <w:szCs w:val="18"/>
              </w:rPr>
              <w:t> </w:t>
            </w:r>
            <w:r>
              <w:rPr>
                <w:rFonts w:ascii="宋体" w:hAnsi="宋体" w:cs="宋体" w:eastAsia="宋体" w:hint="default"/>
                <w:sz w:val="18"/>
                <w:szCs w:val="18"/>
              </w:rPr>
              <w:t>3kV</w:t>
            </w:r>
            <w:r>
              <w:rPr>
                <w:rFonts w:ascii="宋体" w:hAnsi="宋体" w:cs="宋体" w:eastAsia="宋体" w:hint="default"/>
                <w:spacing w:val="-47"/>
                <w:sz w:val="18"/>
                <w:szCs w:val="18"/>
              </w:rPr>
              <w:t> </w:t>
            </w:r>
            <w:r>
              <w:rPr>
                <w:rFonts w:ascii="宋体" w:hAnsi="宋体" w:cs="宋体" w:eastAsia="宋体" w:hint="default"/>
                <w:sz w:val="18"/>
                <w:szCs w:val="18"/>
              </w:rPr>
              <w:t>以下电缆</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79"/>
              <w:jc w:val="right"/>
              <w:rPr>
                <w:rFonts w:ascii="宋体" w:hAnsi="宋体" w:cs="宋体" w:eastAsia="宋体" w:hint="default"/>
                <w:sz w:val="18"/>
                <w:szCs w:val="18"/>
              </w:rPr>
            </w:pPr>
            <w:r>
              <w:rPr>
                <w:rFonts w:ascii="宋体"/>
                <w:spacing w:val="-1"/>
                <w:sz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10</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left="50" w:right="51"/>
              <w:jc w:val="left"/>
              <w:rPr>
                <w:rFonts w:ascii="宋体" w:hAnsi="宋体" w:cs="宋体" w:eastAsia="宋体" w:hint="default"/>
                <w:sz w:val="18"/>
                <w:szCs w:val="18"/>
              </w:rPr>
            </w:pPr>
            <w:r>
              <w:rPr>
                <w:rFonts w:ascii="宋体" w:hAnsi="宋体" w:cs="宋体" w:eastAsia="宋体" w:hint="default"/>
                <w:sz w:val="18"/>
                <w:szCs w:val="18"/>
              </w:rPr>
              <w:t>浙江万马家装有限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3" w:right="0"/>
              <w:jc w:val="left"/>
              <w:rPr>
                <w:rFonts w:ascii="宋体" w:hAnsi="宋体" w:cs="宋体" w:eastAsia="宋体" w:hint="default"/>
                <w:sz w:val="18"/>
                <w:szCs w:val="18"/>
              </w:rPr>
            </w:pPr>
            <w:r>
              <w:rPr>
                <w:rFonts w:ascii="宋体" w:hAnsi="宋体" w:cs="宋体" w:eastAsia="宋体" w:hint="default"/>
                <w:sz w:val="18"/>
                <w:szCs w:val="18"/>
              </w:rPr>
              <w:t>浙江杭州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61"/>
              <w:jc w:val="right"/>
              <w:rPr>
                <w:rFonts w:ascii="宋体" w:hAnsi="宋体" w:cs="宋体" w:eastAsia="宋体" w:hint="default"/>
                <w:sz w:val="18"/>
                <w:szCs w:val="18"/>
              </w:rPr>
            </w:pPr>
            <w:r>
              <w:rPr>
                <w:rFonts w:ascii="宋体" w:hAnsi="宋体" w:cs="宋体" w:eastAsia="宋体" w:hint="default"/>
                <w:sz w:val="18"/>
                <w:szCs w:val="18"/>
              </w:rPr>
              <w:t>浙江杭州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51" w:right="0"/>
              <w:jc w:val="left"/>
              <w:rPr>
                <w:rFonts w:ascii="宋体" w:hAnsi="宋体" w:cs="宋体" w:eastAsia="宋体" w:hint="default"/>
                <w:sz w:val="18"/>
                <w:szCs w:val="18"/>
              </w:rPr>
            </w:pPr>
            <w:r>
              <w:rPr>
                <w:rFonts w:ascii="宋体" w:hAnsi="宋体" w:cs="宋体" w:eastAsia="宋体" w:hint="default"/>
                <w:sz w:val="18"/>
                <w:szCs w:val="18"/>
              </w:rPr>
              <w:t>电线电缆贸易</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79"/>
              <w:jc w:val="right"/>
              <w:rPr>
                <w:rFonts w:ascii="宋体" w:hAnsi="宋体" w:cs="宋体" w:eastAsia="宋体" w:hint="default"/>
                <w:sz w:val="18"/>
                <w:szCs w:val="18"/>
              </w:rPr>
            </w:pPr>
            <w:r>
              <w:rPr>
                <w:rFonts w:ascii="宋体"/>
                <w:spacing w:val="-1"/>
                <w:sz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1"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11</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left="50" w:right="235"/>
              <w:jc w:val="left"/>
              <w:rPr>
                <w:rFonts w:ascii="宋体" w:hAnsi="宋体" w:cs="宋体" w:eastAsia="宋体" w:hint="default"/>
                <w:sz w:val="18"/>
                <w:szCs w:val="18"/>
              </w:rPr>
            </w:pPr>
            <w:r>
              <w:rPr>
                <w:rFonts w:ascii="宋体"/>
                <w:sz w:val="18"/>
              </w:rPr>
              <w:t>Optrum Technology</w:t>
            </w:r>
            <w:r>
              <w:rPr>
                <w:rFonts w:ascii="宋体"/>
                <w:spacing w:val="-4"/>
                <w:sz w:val="18"/>
              </w:rPr>
              <w:t> </w:t>
            </w:r>
            <w:r>
              <w:rPr>
                <w:rFonts w:ascii="宋体"/>
                <w:sz w:val="18"/>
              </w:rPr>
              <w:t>LLC</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left="151" w:right="61" w:hanging="89"/>
              <w:jc w:val="left"/>
              <w:rPr>
                <w:rFonts w:ascii="宋体" w:hAnsi="宋体" w:cs="宋体" w:eastAsia="宋体" w:hint="default"/>
                <w:sz w:val="18"/>
                <w:szCs w:val="18"/>
              </w:rPr>
            </w:pPr>
            <w:r>
              <w:rPr>
                <w:rFonts w:ascii="宋体" w:hAnsi="宋体" w:cs="宋体" w:eastAsia="宋体" w:hint="default"/>
                <w:sz w:val="18"/>
                <w:szCs w:val="18"/>
              </w:rPr>
              <w:t>美国德克 萨斯州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left="151" w:right="61" w:hanging="89"/>
              <w:jc w:val="left"/>
              <w:rPr>
                <w:rFonts w:ascii="宋体" w:hAnsi="宋体" w:cs="宋体" w:eastAsia="宋体" w:hint="default"/>
                <w:sz w:val="18"/>
                <w:szCs w:val="18"/>
              </w:rPr>
            </w:pPr>
            <w:r>
              <w:rPr>
                <w:rFonts w:ascii="宋体" w:hAnsi="宋体" w:cs="宋体" w:eastAsia="宋体" w:hint="default"/>
                <w:sz w:val="18"/>
                <w:szCs w:val="18"/>
              </w:rPr>
              <w:t>美国德克 萨斯州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left="51" w:right="50"/>
              <w:jc w:val="left"/>
              <w:rPr>
                <w:rFonts w:ascii="宋体" w:hAnsi="宋体" w:cs="宋体" w:eastAsia="宋体" w:hint="default"/>
                <w:sz w:val="18"/>
                <w:szCs w:val="18"/>
              </w:rPr>
            </w:pPr>
            <w:r>
              <w:rPr>
                <w:rFonts w:ascii="宋体" w:hAnsi="宋体" w:cs="宋体" w:eastAsia="宋体" w:hint="default"/>
                <w:spacing w:val="2"/>
                <w:sz w:val="18"/>
                <w:szCs w:val="18"/>
              </w:rPr>
              <w:t>电线电缆、高分子材料等</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销售和进出口贸易</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79"/>
              <w:jc w:val="right"/>
              <w:rPr>
                <w:rFonts w:ascii="宋体" w:hAnsi="宋体" w:cs="宋体" w:eastAsia="宋体" w:hint="default"/>
                <w:sz w:val="18"/>
                <w:szCs w:val="18"/>
              </w:rPr>
            </w:pPr>
            <w:r>
              <w:rPr>
                <w:rFonts w:ascii="宋体"/>
                <w:spacing w:val="-1"/>
                <w:sz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12</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50" w:right="51"/>
              <w:jc w:val="left"/>
              <w:rPr>
                <w:rFonts w:ascii="宋体" w:hAnsi="宋体" w:cs="宋体" w:eastAsia="宋体" w:hint="default"/>
                <w:sz w:val="18"/>
                <w:szCs w:val="18"/>
              </w:rPr>
            </w:pPr>
            <w:r>
              <w:rPr>
                <w:rFonts w:ascii="宋体" w:hAnsi="宋体" w:cs="宋体" w:eastAsia="宋体" w:hint="default"/>
                <w:sz w:val="18"/>
                <w:szCs w:val="18"/>
              </w:rPr>
              <w:t>万马奔腾新能源产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业集团有限公司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63" w:right="0"/>
              <w:jc w:val="left"/>
              <w:rPr>
                <w:rFonts w:ascii="宋体" w:hAnsi="宋体" w:cs="宋体" w:eastAsia="宋体" w:hint="default"/>
                <w:sz w:val="18"/>
                <w:szCs w:val="18"/>
              </w:rPr>
            </w:pPr>
            <w:r>
              <w:rPr>
                <w:rFonts w:ascii="宋体" w:hAnsi="宋体" w:cs="宋体" w:eastAsia="宋体" w:hint="default"/>
                <w:sz w:val="18"/>
                <w:szCs w:val="18"/>
              </w:rPr>
              <w:t>浙江杭州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61"/>
              <w:jc w:val="right"/>
              <w:rPr>
                <w:rFonts w:ascii="宋体" w:hAnsi="宋体" w:cs="宋体" w:eastAsia="宋体" w:hint="default"/>
                <w:sz w:val="18"/>
                <w:szCs w:val="18"/>
              </w:rPr>
            </w:pPr>
            <w:r>
              <w:rPr>
                <w:rFonts w:ascii="宋体" w:hAnsi="宋体" w:cs="宋体" w:eastAsia="宋体" w:hint="default"/>
                <w:sz w:val="18"/>
                <w:szCs w:val="18"/>
              </w:rPr>
              <w:t>浙江杭州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51" w:right="138"/>
              <w:jc w:val="left"/>
              <w:rPr>
                <w:rFonts w:ascii="宋体" w:hAnsi="宋体" w:cs="宋体" w:eastAsia="宋体" w:hint="default"/>
                <w:sz w:val="18"/>
                <w:szCs w:val="18"/>
              </w:rPr>
            </w:pPr>
            <w:r>
              <w:rPr>
                <w:rFonts w:ascii="宋体" w:hAnsi="宋体" w:cs="宋体" w:eastAsia="宋体" w:hint="default"/>
                <w:spacing w:val="-5"/>
                <w:sz w:val="18"/>
                <w:szCs w:val="18"/>
              </w:rPr>
              <w:t>光伏技术开发、实业投资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投资管理</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
              <w:ind w:left="-146" w:right="79"/>
              <w:jc w:val="right"/>
              <w:rPr>
                <w:rFonts w:ascii="宋体" w:hAnsi="宋体" w:cs="宋体" w:eastAsia="宋体" w:hint="default"/>
                <w:sz w:val="18"/>
                <w:szCs w:val="18"/>
              </w:rPr>
            </w:pPr>
            <w:r>
              <w:rPr>
                <w:rFonts w:ascii="宋体" w:hAnsi="宋体" w:cs="宋体" w:eastAsia="宋体" w:hint="default"/>
                <w:position w:val="12"/>
                <w:sz w:val="18"/>
                <w:szCs w:val="18"/>
              </w:rPr>
              <w:t>，</w:t>
            </w:r>
            <w:r>
              <w:rPr>
                <w:rFonts w:ascii="宋体" w:hAnsi="宋体" w:cs="宋体" w:eastAsia="宋体" w:hint="default"/>
                <w:spacing w:val="-43"/>
                <w:position w:val="12"/>
                <w:sz w:val="18"/>
                <w:szCs w:val="18"/>
              </w:rPr>
              <w:t> </w:t>
            </w:r>
            <w:r>
              <w:rPr>
                <w:rFonts w:ascii="宋体" w:hAnsi="宋体" w:cs="宋体" w:eastAsia="宋体" w:hint="default"/>
                <w:sz w:val="18"/>
                <w:szCs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13</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50" w:right="51"/>
              <w:jc w:val="left"/>
              <w:rPr>
                <w:rFonts w:ascii="宋体" w:hAnsi="宋体" w:cs="宋体" w:eastAsia="宋体" w:hint="default"/>
                <w:sz w:val="18"/>
                <w:szCs w:val="18"/>
              </w:rPr>
            </w:pPr>
            <w:r>
              <w:rPr>
                <w:rFonts w:ascii="宋体" w:hAnsi="宋体" w:cs="宋体" w:eastAsia="宋体" w:hint="default"/>
                <w:sz w:val="18"/>
                <w:szCs w:val="18"/>
              </w:rPr>
              <w:t>浙江万马新能源有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51" w:right="0"/>
              <w:jc w:val="left"/>
              <w:rPr>
                <w:rFonts w:ascii="宋体" w:hAnsi="宋体" w:cs="宋体" w:eastAsia="宋体" w:hint="default"/>
                <w:sz w:val="18"/>
                <w:szCs w:val="18"/>
              </w:rPr>
            </w:pPr>
            <w:r>
              <w:rPr>
                <w:rFonts w:ascii="宋体" w:hAnsi="宋体" w:cs="宋体" w:eastAsia="宋体" w:hint="default"/>
                <w:sz w:val="18"/>
                <w:szCs w:val="18"/>
              </w:rPr>
              <w:t>生产销售汽车充电设备</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125"/>
              <w:jc w:val="right"/>
              <w:rPr>
                <w:rFonts w:ascii="宋体" w:hAnsi="宋体" w:cs="宋体" w:eastAsia="宋体" w:hint="default"/>
                <w:sz w:val="18"/>
                <w:szCs w:val="18"/>
              </w:rPr>
            </w:pPr>
            <w:r>
              <w:rPr>
                <w:rFonts w:ascii="宋体"/>
                <w:spacing w:val="-1"/>
                <w:sz w:val="18"/>
              </w:rPr>
              <w:t>70.00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14</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50" w:right="51"/>
              <w:jc w:val="left"/>
              <w:rPr>
                <w:rFonts w:ascii="宋体" w:hAnsi="宋体" w:cs="宋体" w:eastAsia="宋体" w:hint="default"/>
                <w:sz w:val="18"/>
                <w:szCs w:val="18"/>
              </w:rPr>
            </w:pPr>
            <w:r>
              <w:rPr>
                <w:rFonts w:ascii="宋体" w:hAnsi="宋体" w:cs="宋体" w:eastAsia="宋体" w:hint="default"/>
                <w:sz w:val="18"/>
                <w:szCs w:val="18"/>
              </w:rPr>
              <w:t>浙江万马光伏有限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63" w:right="0"/>
              <w:jc w:val="left"/>
              <w:rPr>
                <w:rFonts w:ascii="宋体" w:hAnsi="宋体" w:cs="宋体" w:eastAsia="宋体" w:hint="default"/>
                <w:sz w:val="18"/>
                <w:szCs w:val="18"/>
              </w:rPr>
            </w:pPr>
            <w:r>
              <w:rPr>
                <w:rFonts w:ascii="宋体" w:hAnsi="宋体" w:cs="宋体" w:eastAsia="宋体" w:hint="default"/>
                <w:sz w:val="18"/>
                <w:szCs w:val="18"/>
              </w:rPr>
              <w:t>浙江嘉兴</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61"/>
              <w:jc w:val="right"/>
              <w:rPr>
                <w:rFonts w:ascii="宋体" w:hAnsi="宋体" w:cs="宋体" w:eastAsia="宋体" w:hint="default"/>
                <w:sz w:val="18"/>
                <w:szCs w:val="18"/>
              </w:rPr>
            </w:pPr>
            <w:r>
              <w:rPr>
                <w:rFonts w:ascii="宋体" w:hAnsi="宋体" w:cs="宋体" w:eastAsia="宋体" w:hint="default"/>
                <w:sz w:val="18"/>
                <w:szCs w:val="18"/>
              </w:rPr>
              <w:t>浙江嘉兴</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51" w:right="50"/>
              <w:jc w:val="left"/>
              <w:rPr>
                <w:rFonts w:ascii="宋体" w:hAnsi="宋体" w:cs="宋体" w:eastAsia="宋体" w:hint="default"/>
                <w:sz w:val="18"/>
                <w:szCs w:val="18"/>
              </w:rPr>
            </w:pPr>
            <w:r>
              <w:rPr>
                <w:rFonts w:ascii="宋体" w:hAnsi="宋体" w:cs="宋体" w:eastAsia="宋体" w:hint="default"/>
                <w:spacing w:val="2"/>
                <w:sz w:val="18"/>
                <w:szCs w:val="18"/>
              </w:rPr>
              <w:t>新能源领域开发、光伏发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电</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79"/>
              <w:jc w:val="right"/>
              <w:rPr>
                <w:rFonts w:ascii="宋体" w:hAnsi="宋体" w:cs="宋体" w:eastAsia="宋体" w:hint="default"/>
                <w:sz w:val="18"/>
                <w:szCs w:val="18"/>
              </w:rPr>
            </w:pPr>
            <w:r>
              <w:rPr>
                <w:rFonts w:ascii="宋体"/>
                <w:spacing w:val="-1"/>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15</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
              <w:ind w:left="50" w:right="51"/>
              <w:jc w:val="left"/>
              <w:rPr>
                <w:rFonts w:ascii="宋体" w:hAnsi="宋体" w:cs="宋体" w:eastAsia="宋体" w:hint="default"/>
                <w:sz w:val="18"/>
                <w:szCs w:val="18"/>
              </w:rPr>
            </w:pPr>
            <w:r>
              <w:rPr>
                <w:rFonts w:ascii="宋体" w:hAnsi="宋体" w:cs="宋体" w:eastAsia="宋体" w:hint="default"/>
                <w:sz w:val="18"/>
                <w:szCs w:val="18"/>
              </w:rPr>
              <w:t>浙江爱充网络科技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63" w:right="0"/>
              <w:jc w:val="left"/>
              <w:rPr>
                <w:rFonts w:ascii="宋体" w:hAnsi="宋体" w:cs="宋体" w:eastAsia="宋体" w:hint="default"/>
                <w:sz w:val="18"/>
                <w:szCs w:val="18"/>
              </w:rPr>
            </w:pPr>
            <w:r>
              <w:rPr>
                <w:rFonts w:ascii="宋体" w:hAnsi="宋体" w:cs="宋体" w:eastAsia="宋体" w:hint="default"/>
                <w:sz w:val="18"/>
                <w:szCs w:val="18"/>
              </w:rPr>
              <w:t>浙江杭州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61"/>
              <w:jc w:val="right"/>
              <w:rPr>
                <w:rFonts w:ascii="宋体" w:hAnsi="宋体" w:cs="宋体" w:eastAsia="宋体" w:hint="default"/>
                <w:sz w:val="18"/>
                <w:szCs w:val="18"/>
              </w:rPr>
            </w:pPr>
            <w:r>
              <w:rPr>
                <w:rFonts w:ascii="宋体" w:hAnsi="宋体" w:cs="宋体" w:eastAsia="宋体" w:hint="default"/>
                <w:sz w:val="18"/>
                <w:szCs w:val="18"/>
              </w:rPr>
              <w:t>浙江杭州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51" w:right="0"/>
              <w:jc w:val="left"/>
              <w:rPr>
                <w:rFonts w:ascii="宋体" w:hAnsi="宋体" w:cs="宋体" w:eastAsia="宋体" w:hint="default"/>
                <w:sz w:val="18"/>
                <w:szCs w:val="18"/>
              </w:rPr>
            </w:pPr>
            <w:r>
              <w:rPr>
                <w:rFonts w:ascii="宋体" w:hAnsi="宋体" w:cs="宋体" w:eastAsia="宋体" w:hint="default"/>
                <w:sz w:val="18"/>
                <w:szCs w:val="18"/>
              </w:rPr>
              <w:t>互联网技术开发</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79"/>
              <w:jc w:val="right"/>
              <w:rPr>
                <w:rFonts w:ascii="宋体" w:hAnsi="宋体" w:cs="宋体" w:eastAsia="宋体" w:hint="default"/>
                <w:sz w:val="18"/>
                <w:szCs w:val="18"/>
              </w:rPr>
            </w:pPr>
            <w:r>
              <w:rPr>
                <w:rFonts w:ascii="宋体"/>
                <w:spacing w:val="-1"/>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16</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上海万马乾驭电动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汽车服务有限公司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4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65"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75" w:right="75"/>
              <w:jc w:val="left"/>
              <w:rPr>
                <w:rFonts w:ascii="宋体" w:hAnsi="宋体" w:cs="宋体" w:eastAsia="宋体" w:hint="default"/>
                <w:sz w:val="18"/>
                <w:szCs w:val="18"/>
              </w:rPr>
            </w:pPr>
            <w:r>
              <w:rPr>
                <w:rFonts w:ascii="宋体" w:hAnsi="宋体" w:cs="宋体" w:eastAsia="宋体" w:hint="default"/>
                <w:spacing w:val="-1"/>
                <w:sz w:val="18"/>
                <w:szCs w:val="18"/>
              </w:rPr>
              <w:t>货物运输、仓储、装卸搬</w:t>
            </w:r>
            <w:r>
              <w:rPr>
                <w:rFonts w:ascii="宋体" w:hAnsi="宋体" w:cs="宋体" w:eastAsia="宋体" w:hint="default"/>
                <w:sz w:val="18"/>
                <w:szCs w:val="18"/>
              </w:rPr>
              <w:t> 运服务</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25"/>
              <w:jc w:val="right"/>
              <w:rPr>
                <w:rFonts w:ascii="宋体" w:hAnsi="宋体" w:cs="宋体" w:eastAsia="宋体" w:hint="default"/>
                <w:sz w:val="18"/>
                <w:szCs w:val="18"/>
              </w:rPr>
            </w:pPr>
            <w:r>
              <w:rPr>
                <w:rFonts w:ascii="宋体"/>
                <w:spacing w:val="-1"/>
                <w:sz w:val="18"/>
              </w:rPr>
              <w:t>60.00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17</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杭州以田科技有限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63" w:right="0"/>
              <w:jc w:val="left"/>
              <w:rPr>
                <w:rFonts w:ascii="宋体" w:hAnsi="宋体" w:cs="宋体" w:eastAsia="宋体" w:hint="default"/>
                <w:sz w:val="18"/>
                <w:szCs w:val="18"/>
              </w:rPr>
            </w:pPr>
            <w:r>
              <w:rPr>
                <w:rFonts w:ascii="宋体" w:hAnsi="宋体" w:cs="宋体" w:eastAsia="宋体" w:hint="default"/>
                <w:sz w:val="18"/>
                <w:szCs w:val="18"/>
              </w:rPr>
              <w:t>浙江临安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61"/>
              <w:jc w:val="right"/>
              <w:rPr>
                <w:rFonts w:ascii="宋体" w:hAnsi="宋体" w:cs="宋体" w:eastAsia="宋体" w:hint="default"/>
                <w:sz w:val="18"/>
                <w:szCs w:val="18"/>
              </w:rPr>
            </w:pPr>
            <w:r>
              <w:rPr>
                <w:rFonts w:ascii="宋体" w:hAnsi="宋体" w:cs="宋体" w:eastAsia="宋体" w:hint="default"/>
                <w:sz w:val="18"/>
                <w:szCs w:val="18"/>
              </w:rPr>
              <w:t>浙江临安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51" w:right="0"/>
              <w:jc w:val="left"/>
              <w:rPr>
                <w:rFonts w:ascii="宋体" w:hAnsi="宋体" w:cs="宋体" w:eastAsia="宋体" w:hint="default"/>
                <w:sz w:val="18"/>
                <w:szCs w:val="18"/>
              </w:rPr>
            </w:pPr>
            <w:r>
              <w:rPr>
                <w:rFonts w:ascii="宋体" w:hAnsi="宋体" w:cs="宋体" w:eastAsia="宋体" w:hint="default"/>
                <w:sz w:val="18"/>
                <w:szCs w:val="18"/>
              </w:rPr>
              <w:t>生产销售高分子材料产品</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25"/>
              <w:jc w:val="right"/>
              <w:rPr>
                <w:rFonts w:ascii="宋体" w:hAnsi="宋体" w:cs="宋体" w:eastAsia="宋体" w:hint="default"/>
                <w:sz w:val="18"/>
                <w:szCs w:val="18"/>
              </w:rPr>
            </w:pPr>
            <w:r>
              <w:rPr>
                <w:rFonts w:ascii="宋体"/>
                <w:spacing w:val="-1"/>
                <w:sz w:val="18"/>
              </w:rPr>
              <w:t>60.00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0"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18</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万马联合新能源投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63" w:right="0"/>
              <w:jc w:val="left"/>
              <w:rPr>
                <w:rFonts w:ascii="宋体" w:hAnsi="宋体" w:cs="宋体" w:eastAsia="宋体" w:hint="default"/>
                <w:sz w:val="18"/>
                <w:szCs w:val="18"/>
              </w:rPr>
            </w:pPr>
            <w:r>
              <w:rPr>
                <w:rFonts w:ascii="宋体" w:hAnsi="宋体" w:cs="宋体" w:eastAsia="宋体" w:hint="default"/>
                <w:sz w:val="18"/>
                <w:szCs w:val="18"/>
              </w:rPr>
              <w:t>浙江杭州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61"/>
              <w:jc w:val="right"/>
              <w:rPr>
                <w:rFonts w:ascii="宋体" w:hAnsi="宋体" w:cs="宋体" w:eastAsia="宋体" w:hint="default"/>
                <w:sz w:val="18"/>
                <w:szCs w:val="18"/>
              </w:rPr>
            </w:pPr>
            <w:r>
              <w:rPr>
                <w:rFonts w:ascii="宋体" w:hAnsi="宋体" w:cs="宋体" w:eastAsia="宋体" w:hint="default"/>
                <w:sz w:val="18"/>
                <w:szCs w:val="18"/>
              </w:rPr>
              <w:t>浙江杭州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1" w:right="50"/>
              <w:jc w:val="left"/>
              <w:rPr>
                <w:rFonts w:ascii="宋体" w:hAnsi="宋体" w:cs="宋体" w:eastAsia="宋体" w:hint="default"/>
                <w:sz w:val="18"/>
                <w:szCs w:val="18"/>
              </w:rPr>
            </w:pPr>
            <w:r>
              <w:rPr>
                <w:rFonts w:ascii="宋体" w:hAnsi="宋体" w:cs="宋体" w:eastAsia="宋体" w:hint="default"/>
                <w:spacing w:val="2"/>
                <w:sz w:val="18"/>
                <w:szCs w:val="18"/>
              </w:rPr>
              <w:t>实业投资、投资管理、投</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资咨询（除证券、期货）</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79"/>
              <w:jc w:val="right"/>
              <w:rPr>
                <w:rFonts w:ascii="宋体" w:hAnsi="宋体" w:cs="宋体" w:eastAsia="宋体" w:hint="default"/>
                <w:sz w:val="18"/>
                <w:szCs w:val="18"/>
              </w:rPr>
            </w:pPr>
            <w:r>
              <w:rPr>
                <w:rFonts w:ascii="宋体"/>
                <w:spacing w:val="-1"/>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center"/>
        <w:rPr>
          <w:rFonts w:ascii="宋体" w:hAnsi="宋体" w:cs="宋体" w:eastAsia="宋体" w:hint="default"/>
          <w:sz w:val="18"/>
          <w:szCs w:val="18"/>
        </w:rPr>
        <w:sectPr>
          <w:pgSz w:w="11910" w:h="16840"/>
          <w:pgMar w:header="939" w:footer="883" w:top="1940" w:bottom="1080" w:left="1460" w:right="0"/>
        </w:sectPr>
      </w:pPr>
    </w:p>
    <w:p>
      <w:pPr>
        <w:spacing w:line="240" w:lineRule="auto" w:before="9"/>
        <w:rPr>
          <w:rFonts w:ascii="Times New Roman" w:hAnsi="Times New Roman" w:cs="Times New Roman" w:eastAsia="Times New Roman"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538"/>
        <w:gridCol w:w="1554"/>
        <w:gridCol w:w="567"/>
        <w:gridCol w:w="850"/>
        <w:gridCol w:w="851"/>
        <w:gridCol w:w="2127"/>
        <w:gridCol w:w="710"/>
        <w:gridCol w:w="708"/>
        <w:gridCol w:w="818"/>
      </w:tblGrid>
      <w:tr>
        <w:trPr>
          <w:trHeight w:val="415" w:hRule="exact"/>
        </w:trPr>
        <w:tc>
          <w:tcPr>
            <w:tcW w:w="538" w:type="dxa"/>
            <w:vMerge w:val="restart"/>
            <w:tcBorders>
              <w:top w:val="single" w:sz="12" w:space="0" w:color="000000"/>
              <w:left w:val="nil" w:sz="6" w:space="0" w:color="auto"/>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89"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554" w:type="dxa"/>
            <w:vMerge w:val="restart"/>
            <w:tcBorders>
              <w:top w:val="single" w:sz="12" w:space="0" w:color="000000"/>
              <w:left w:val="single" w:sz="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567" w:type="dxa"/>
            <w:vMerge w:val="restart"/>
            <w:tcBorders>
              <w:top w:val="single" w:sz="12" w:space="0" w:color="000000"/>
              <w:left w:val="single" w:sz="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b/>
                <w:bCs/>
                <w:sz w:val="18"/>
                <w:szCs w:val="18"/>
              </w:rPr>
              <w:t>级次</w:t>
            </w:r>
            <w:r>
              <w:rPr>
                <w:rFonts w:ascii="宋体" w:hAnsi="宋体" w:cs="宋体" w:eastAsia="宋体" w:hint="default"/>
                <w:sz w:val="18"/>
                <w:szCs w:val="18"/>
              </w:rPr>
            </w:r>
          </w:p>
        </w:tc>
        <w:tc>
          <w:tcPr>
            <w:tcW w:w="850" w:type="dxa"/>
            <w:vMerge w:val="restart"/>
            <w:tcBorders>
              <w:top w:val="single" w:sz="12" w:space="0" w:color="000000"/>
              <w:left w:val="single" w:sz="2" w:space="0" w:color="000000"/>
              <w:right w:val="single" w:sz="2" w:space="0" w:color="00000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32" w:lineRule="exact"/>
              <w:ind w:left="331" w:right="57" w:hanging="269"/>
              <w:jc w:val="left"/>
              <w:rPr>
                <w:rFonts w:ascii="宋体" w:hAnsi="宋体" w:cs="宋体" w:eastAsia="宋体" w:hint="default"/>
                <w:sz w:val="18"/>
                <w:szCs w:val="18"/>
              </w:rPr>
            </w:pPr>
            <w:r>
              <w:rPr>
                <w:rFonts w:ascii="宋体" w:hAnsi="宋体" w:cs="宋体" w:eastAsia="宋体" w:hint="default"/>
                <w:b/>
                <w:bCs/>
                <w:sz w:val="18"/>
                <w:szCs w:val="18"/>
              </w:rPr>
              <w:t>主要经营</w:t>
            </w:r>
            <w:r>
              <w:rPr>
                <w:rFonts w:ascii="宋体" w:hAnsi="宋体" w:cs="宋体" w:eastAsia="宋体" w:hint="default"/>
                <w:b/>
                <w:bCs/>
                <w:w w:val="99"/>
                <w:sz w:val="18"/>
                <w:szCs w:val="18"/>
              </w:rPr>
              <w:t> </w:t>
            </w:r>
            <w:r>
              <w:rPr>
                <w:rFonts w:ascii="宋体" w:hAnsi="宋体" w:cs="宋体" w:eastAsia="宋体" w:hint="default"/>
                <w:b/>
                <w:bCs/>
                <w:sz w:val="18"/>
                <w:szCs w:val="18"/>
              </w:rPr>
              <w:t>地</w:t>
            </w:r>
            <w:r>
              <w:rPr>
                <w:rFonts w:ascii="宋体" w:hAnsi="宋体" w:cs="宋体" w:eastAsia="宋体" w:hint="default"/>
                <w:sz w:val="18"/>
                <w:szCs w:val="18"/>
              </w:rPr>
            </w:r>
          </w:p>
        </w:tc>
        <w:tc>
          <w:tcPr>
            <w:tcW w:w="851" w:type="dxa"/>
            <w:vMerge w:val="restart"/>
            <w:tcBorders>
              <w:top w:val="single" w:sz="12" w:space="0" w:color="000000"/>
              <w:left w:val="single" w:sz="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c>
        <w:tc>
          <w:tcPr>
            <w:tcW w:w="2127" w:type="dxa"/>
            <w:vMerge w:val="restart"/>
            <w:tcBorders>
              <w:top w:val="single" w:sz="12" w:space="0" w:color="000000"/>
              <w:left w:val="single" w:sz="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699" w:right="0"/>
              <w:jc w:val="left"/>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c>
        <w:tc>
          <w:tcPr>
            <w:tcW w:w="1418"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12" w:right="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c>
          <w:tcPr>
            <w:tcW w:w="818" w:type="dxa"/>
            <w:vMerge w:val="restart"/>
            <w:tcBorders>
              <w:top w:val="single" w:sz="12" w:space="0" w:color="000000"/>
              <w:left w:val="single" w:sz="2"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32" w:lineRule="exact"/>
              <w:ind w:left="315" w:right="135" w:hanging="180"/>
              <w:jc w:val="left"/>
              <w:rPr>
                <w:rFonts w:ascii="宋体" w:hAnsi="宋体" w:cs="宋体" w:eastAsia="宋体" w:hint="default"/>
                <w:sz w:val="18"/>
                <w:szCs w:val="18"/>
              </w:rPr>
            </w:pPr>
            <w:r>
              <w:rPr>
                <w:rFonts w:ascii="宋体" w:hAnsi="宋体" w:cs="宋体" w:eastAsia="宋体" w:hint="default"/>
                <w:b/>
                <w:bCs/>
                <w:sz w:val="18"/>
                <w:szCs w:val="18"/>
              </w:rPr>
              <w:t>取得方</w:t>
            </w:r>
            <w:r>
              <w:rPr>
                <w:rFonts w:ascii="宋体" w:hAnsi="宋体" w:cs="宋体" w:eastAsia="宋体" w:hint="default"/>
                <w:b/>
                <w:bCs/>
                <w:w w:val="99"/>
                <w:sz w:val="18"/>
                <w:szCs w:val="18"/>
              </w:rPr>
              <w:t> </w:t>
            </w:r>
            <w:r>
              <w:rPr>
                <w:rFonts w:ascii="宋体" w:hAnsi="宋体" w:cs="宋体" w:eastAsia="宋体" w:hint="default"/>
                <w:b/>
                <w:bCs/>
                <w:sz w:val="18"/>
                <w:szCs w:val="18"/>
              </w:rPr>
              <w:t>式</w:t>
            </w:r>
            <w:r>
              <w:rPr>
                <w:rFonts w:ascii="宋体" w:hAnsi="宋体" w:cs="宋体" w:eastAsia="宋体" w:hint="default"/>
                <w:sz w:val="18"/>
                <w:szCs w:val="18"/>
              </w:rPr>
            </w:r>
          </w:p>
        </w:tc>
      </w:tr>
      <w:tr>
        <w:trPr>
          <w:trHeight w:val="402" w:hRule="exact"/>
        </w:trPr>
        <w:tc>
          <w:tcPr>
            <w:tcW w:w="538" w:type="dxa"/>
            <w:vMerge/>
            <w:tcBorders>
              <w:left w:val="nil" w:sz="6" w:space="0" w:color="auto"/>
              <w:bottom w:val="single" w:sz="2" w:space="0" w:color="000000"/>
              <w:right w:val="single" w:sz="2" w:space="0" w:color="000000"/>
            </w:tcBorders>
          </w:tcPr>
          <w:p>
            <w:pPr/>
          </w:p>
        </w:tc>
        <w:tc>
          <w:tcPr>
            <w:tcW w:w="1554" w:type="dxa"/>
            <w:vMerge/>
            <w:tcBorders>
              <w:left w:val="single" w:sz="2" w:space="0" w:color="000000"/>
              <w:bottom w:val="single" w:sz="2" w:space="0" w:color="000000"/>
              <w:right w:val="single" w:sz="2" w:space="0" w:color="000000"/>
            </w:tcBorders>
          </w:tcPr>
          <w:p>
            <w:pPr/>
          </w:p>
        </w:tc>
        <w:tc>
          <w:tcPr>
            <w:tcW w:w="567" w:type="dxa"/>
            <w:vMerge/>
            <w:tcBorders>
              <w:left w:val="single" w:sz="2" w:space="0" w:color="000000"/>
              <w:bottom w:val="single" w:sz="2" w:space="0" w:color="000000"/>
              <w:right w:val="single" w:sz="2" w:space="0" w:color="000000"/>
            </w:tcBorders>
          </w:tcPr>
          <w:p>
            <w:pPr/>
          </w:p>
        </w:tc>
        <w:tc>
          <w:tcPr>
            <w:tcW w:w="850" w:type="dxa"/>
            <w:vMerge/>
            <w:tcBorders>
              <w:left w:val="single" w:sz="2" w:space="0" w:color="000000"/>
              <w:bottom w:val="single" w:sz="2" w:space="0" w:color="000000"/>
              <w:right w:val="single" w:sz="2" w:space="0" w:color="000000"/>
            </w:tcBorders>
          </w:tcPr>
          <w:p>
            <w:pPr/>
          </w:p>
        </w:tc>
        <w:tc>
          <w:tcPr>
            <w:tcW w:w="851" w:type="dxa"/>
            <w:vMerge/>
            <w:tcBorders>
              <w:left w:val="single" w:sz="2" w:space="0" w:color="000000"/>
              <w:bottom w:val="single" w:sz="2" w:space="0" w:color="000000"/>
              <w:right w:val="single" w:sz="2" w:space="0" w:color="000000"/>
            </w:tcBorders>
          </w:tcPr>
          <w:p>
            <w:pPr/>
          </w:p>
        </w:tc>
        <w:tc>
          <w:tcPr>
            <w:tcW w:w="2127" w:type="dxa"/>
            <w:vMerge/>
            <w:tcBorders>
              <w:left w:val="single" w:sz="2" w:space="0" w:color="000000"/>
              <w:bottom w:val="single" w:sz="2" w:space="0" w:color="000000"/>
              <w:right w:val="single" w:sz="2" w:space="0" w:color="000000"/>
            </w:tcBorders>
          </w:tcPr>
          <w:p>
            <w:pP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直接</w:t>
            </w:r>
            <w:r>
              <w:rPr>
                <w:rFonts w:ascii="宋体" w:hAnsi="宋体" w:cs="宋体" w:eastAsia="宋体" w:hint="default"/>
                <w:sz w:val="18"/>
                <w:szCs w:val="18"/>
              </w:rPr>
            </w: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间接</w:t>
            </w:r>
            <w:r>
              <w:rPr>
                <w:rFonts w:ascii="宋体" w:hAnsi="宋体" w:cs="宋体" w:eastAsia="宋体" w:hint="default"/>
                <w:sz w:val="18"/>
                <w:szCs w:val="18"/>
              </w:rPr>
            </w:r>
          </w:p>
        </w:tc>
        <w:tc>
          <w:tcPr>
            <w:tcW w:w="818" w:type="dxa"/>
            <w:vMerge/>
            <w:tcBorders>
              <w:left w:val="single" w:sz="2" w:space="0" w:color="000000"/>
              <w:bottom w:val="single" w:sz="2" w:space="0" w:color="000000"/>
              <w:right w:val="nil" w:sz="6" w:space="0" w:color="auto"/>
            </w:tcBorders>
          </w:tcPr>
          <w:p>
            <w:pP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19</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江苏万充新能源科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20"/>
              <w:jc w:val="center"/>
              <w:rPr>
                <w:rFonts w:ascii="宋体" w:hAnsi="宋体" w:cs="宋体" w:eastAsia="宋体" w:hint="default"/>
                <w:sz w:val="18"/>
                <w:szCs w:val="18"/>
              </w:rPr>
            </w:pPr>
            <w:r>
              <w:rPr>
                <w:rFonts w:ascii="宋体" w:hAnsi="宋体" w:cs="宋体" w:eastAsia="宋体" w:hint="default"/>
                <w:sz w:val="18"/>
                <w:szCs w:val="18"/>
              </w:rPr>
              <w:t>江苏南京</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江苏南京</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20</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苏州万充新能源科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五级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江苏苏州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江苏苏州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21</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无锡万充新能源科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五级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江苏无锡</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江苏无锡</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22</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武汉万爱新能源科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湖北武汉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湖北武汉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1"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23</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0" w:right="51"/>
              <w:jc w:val="left"/>
              <w:rPr>
                <w:rFonts w:ascii="宋体" w:hAnsi="宋体" w:cs="宋体" w:eastAsia="宋体" w:hint="default"/>
                <w:sz w:val="18"/>
                <w:szCs w:val="18"/>
              </w:rPr>
            </w:pPr>
            <w:r>
              <w:rPr>
                <w:rFonts w:ascii="宋体" w:hAnsi="宋体" w:cs="宋体" w:eastAsia="宋体" w:hint="default"/>
                <w:sz w:val="18"/>
                <w:szCs w:val="18"/>
              </w:rPr>
              <w:t>北京万京新能源科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6"/>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24</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0" w:right="51"/>
              <w:jc w:val="left"/>
              <w:rPr>
                <w:rFonts w:ascii="宋体" w:hAnsi="宋体" w:cs="宋体" w:eastAsia="宋体" w:hint="default"/>
                <w:sz w:val="18"/>
                <w:szCs w:val="18"/>
              </w:rPr>
            </w:pPr>
            <w:r>
              <w:rPr>
                <w:rFonts w:ascii="宋体" w:hAnsi="宋体" w:cs="宋体" w:eastAsia="宋体" w:hint="default"/>
                <w:sz w:val="18"/>
                <w:szCs w:val="18"/>
              </w:rPr>
              <w:t>宁波万爱新能源科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浙江宁波</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浙江宁波</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25</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0" w:right="51"/>
              <w:jc w:val="left"/>
              <w:rPr>
                <w:rFonts w:ascii="宋体" w:hAnsi="宋体" w:cs="宋体" w:eastAsia="宋体" w:hint="default"/>
                <w:sz w:val="18"/>
                <w:szCs w:val="18"/>
              </w:rPr>
            </w:pPr>
            <w:r>
              <w:rPr>
                <w:rFonts w:ascii="宋体" w:hAnsi="宋体" w:cs="宋体" w:eastAsia="宋体" w:hint="default"/>
                <w:sz w:val="18"/>
                <w:szCs w:val="18"/>
              </w:rPr>
              <w:t>上海万遥新能源科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上海</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上海</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26</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0" w:right="51"/>
              <w:jc w:val="left"/>
              <w:rPr>
                <w:rFonts w:ascii="宋体" w:hAnsi="宋体" w:cs="宋体" w:eastAsia="宋体" w:hint="default"/>
                <w:sz w:val="18"/>
                <w:szCs w:val="18"/>
              </w:rPr>
            </w:pPr>
            <w:r>
              <w:rPr>
                <w:rFonts w:ascii="宋体" w:hAnsi="宋体" w:cs="宋体" w:eastAsia="宋体" w:hint="default"/>
                <w:sz w:val="18"/>
                <w:szCs w:val="18"/>
              </w:rPr>
              <w:t>福州万充新能源科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福建福州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福建福州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27</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0" w:right="51"/>
              <w:jc w:val="left"/>
              <w:rPr>
                <w:rFonts w:ascii="宋体" w:hAnsi="宋体" w:cs="宋体" w:eastAsia="宋体" w:hint="default"/>
                <w:sz w:val="18"/>
                <w:szCs w:val="18"/>
              </w:rPr>
            </w:pPr>
            <w:r>
              <w:rPr>
                <w:rFonts w:ascii="宋体" w:hAnsi="宋体" w:cs="宋体" w:eastAsia="宋体" w:hint="default"/>
                <w:sz w:val="18"/>
                <w:szCs w:val="18"/>
              </w:rPr>
              <w:t>深圳万充新能源科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广东深圳</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广东深圳</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28</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0" w:right="51"/>
              <w:jc w:val="left"/>
              <w:rPr>
                <w:rFonts w:ascii="宋体" w:hAnsi="宋体" w:cs="宋体" w:eastAsia="宋体" w:hint="default"/>
                <w:sz w:val="18"/>
                <w:szCs w:val="18"/>
              </w:rPr>
            </w:pPr>
            <w:r>
              <w:rPr>
                <w:rFonts w:ascii="宋体" w:hAnsi="宋体" w:cs="宋体" w:eastAsia="宋体" w:hint="default"/>
                <w:sz w:val="18"/>
                <w:szCs w:val="18"/>
              </w:rPr>
              <w:t>陕西万充新能源科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陕西西安</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陕西西安</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29</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0" w:right="51"/>
              <w:jc w:val="left"/>
              <w:rPr>
                <w:rFonts w:ascii="宋体" w:hAnsi="宋体" w:cs="宋体" w:eastAsia="宋体" w:hint="default"/>
                <w:sz w:val="18"/>
                <w:szCs w:val="18"/>
              </w:rPr>
            </w:pPr>
            <w:r>
              <w:rPr>
                <w:rFonts w:ascii="宋体" w:hAnsi="宋体" w:cs="宋体" w:eastAsia="宋体" w:hint="default"/>
                <w:sz w:val="18"/>
                <w:szCs w:val="18"/>
              </w:rPr>
              <w:t>杭州万充电力工程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浙江杭州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浙江杭州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1" w:right="50"/>
              <w:jc w:val="left"/>
              <w:rPr>
                <w:rFonts w:ascii="宋体" w:hAnsi="宋体" w:cs="宋体" w:eastAsia="宋体" w:hint="default"/>
                <w:sz w:val="18"/>
                <w:szCs w:val="18"/>
              </w:rPr>
            </w:pPr>
            <w:r>
              <w:rPr>
                <w:rFonts w:ascii="宋体" w:hAnsi="宋体" w:cs="宋体" w:eastAsia="宋体" w:hint="default"/>
                <w:spacing w:val="2"/>
                <w:sz w:val="18"/>
                <w:szCs w:val="18"/>
              </w:rPr>
              <w:t>承装、承修、承试电力设</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施，承接建筑、市政工程</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61" w:right="0"/>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30</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0" w:right="51"/>
              <w:jc w:val="left"/>
              <w:rPr>
                <w:rFonts w:ascii="宋体" w:hAnsi="宋体" w:cs="宋体" w:eastAsia="宋体" w:hint="default"/>
                <w:sz w:val="18"/>
                <w:szCs w:val="18"/>
              </w:rPr>
            </w:pPr>
            <w:r>
              <w:rPr>
                <w:rFonts w:ascii="宋体" w:hAnsi="宋体" w:cs="宋体" w:eastAsia="宋体" w:hint="default"/>
                <w:sz w:val="18"/>
                <w:szCs w:val="18"/>
              </w:rPr>
              <w:t>重庆万充新能源科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四川重庆</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四川重庆</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1"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7"/>
              <w:ind w:left="178" w:right="0"/>
              <w:jc w:val="left"/>
              <w:rPr>
                <w:rFonts w:ascii="宋体" w:hAnsi="宋体" w:cs="宋体" w:eastAsia="宋体" w:hint="default"/>
                <w:sz w:val="18"/>
                <w:szCs w:val="18"/>
              </w:rPr>
            </w:pPr>
            <w:r>
              <w:rPr>
                <w:rFonts w:ascii="宋体"/>
                <w:sz w:val="18"/>
              </w:rPr>
              <w:t>31</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0" w:right="51"/>
              <w:jc w:val="left"/>
              <w:rPr>
                <w:rFonts w:ascii="宋体" w:hAnsi="宋体" w:cs="宋体" w:eastAsia="宋体" w:hint="default"/>
                <w:sz w:val="18"/>
                <w:szCs w:val="18"/>
              </w:rPr>
            </w:pPr>
            <w:r>
              <w:rPr>
                <w:rFonts w:ascii="宋体" w:hAnsi="宋体" w:cs="宋体" w:eastAsia="宋体" w:hint="default"/>
                <w:sz w:val="18"/>
                <w:szCs w:val="18"/>
              </w:rPr>
              <w:t>四川万充新能源科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四川成都</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四川成都</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4"/>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32</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广州万充新能源科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广东广州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广东广州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33</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海南万充新能源科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海南海口</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海南海口</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34</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山西万马新能源科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山西太原</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山西太原</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8"/>
              <w:ind w:left="178" w:right="0"/>
              <w:jc w:val="left"/>
              <w:rPr>
                <w:rFonts w:ascii="宋体" w:hAnsi="宋体" w:cs="宋体" w:eastAsia="宋体" w:hint="default"/>
                <w:sz w:val="18"/>
                <w:szCs w:val="18"/>
              </w:rPr>
            </w:pPr>
            <w:r>
              <w:rPr>
                <w:rFonts w:ascii="宋体"/>
                <w:sz w:val="18"/>
              </w:rPr>
              <w:t>35</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佛山万爱新能源科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广东佛山</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广东佛山</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36</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广州万马爱充新能</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源科技有限公司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四级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广东广州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广东广州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1" w:right="50"/>
              <w:jc w:val="left"/>
              <w:rPr>
                <w:rFonts w:ascii="宋体" w:hAnsi="宋体" w:cs="宋体" w:eastAsia="宋体" w:hint="default"/>
                <w:sz w:val="18"/>
                <w:szCs w:val="18"/>
              </w:rPr>
            </w:pPr>
            <w:r>
              <w:rPr>
                <w:rFonts w:ascii="宋体" w:hAnsi="宋体" w:cs="宋体" w:eastAsia="宋体" w:hint="default"/>
                <w:spacing w:val="2"/>
                <w:sz w:val="18"/>
                <w:szCs w:val="18"/>
              </w:rPr>
              <w:t>充电设施投资、建设、运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营</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37</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浙江骏业科创科技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浙江杭州</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浙江杭州</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1" w:right="50"/>
              <w:jc w:val="left"/>
              <w:rPr>
                <w:rFonts w:ascii="宋体" w:hAnsi="宋体" w:cs="宋体" w:eastAsia="宋体" w:hint="default"/>
                <w:sz w:val="18"/>
                <w:szCs w:val="18"/>
              </w:rPr>
            </w:pPr>
            <w:r>
              <w:rPr>
                <w:rFonts w:ascii="宋体" w:hAnsi="宋体" w:cs="宋体" w:eastAsia="宋体" w:hint="default"/>
                <w:spacing w:val="2"/>
                <w:sz w:val="18"/>
                <w:szCs w:val="18"/>
              </w:rPr>
              <w:t>通讯领域、人工智能技术</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的技术开发、咨询及转让</w:t>
            </w:r>
          </w:p>
        </w:tc>
        <w:tc>
          <w:tcPr>
            <w:tcW w:w="7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sz w:val="18"/>
              </w:rPr>
              <w:t>100.00</w:t>
            </w:r>
          </w:p>
        </w:tc>
        <w:tc>
          <w:tcPr>
            <w:tcW w:w="708" w:type="dxa"/>
            <w:tcBorders>
              <w:top w:val="single" w:sz="2" w:space="0" w:color="000000"/>
              <w:left w:val="single" w:sz="2" w:space="0" w:color="000000"/>
              <w:bottom w:val="single" w:sz="2" w:space="0" w:color="000000"/>
              <w:right w:val="single" w:sz="2" w:space="0" w:color="000000"/>
            </w:tcBorders>
          </w:tcPr>
          <w:p>
            <w:pP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2" w:hRule="exact"/>
        </w:trPr>
        <w:tc>
          <w:tcPr>
            <w:tcW w:w="53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26"/>
              <w:ind w:left="178" w:right="0"/>
              <w:jc w:val="left"/>
              <w:rPr>
                <w:rFonts w:ascii="宋体" w:hAnsi="宋体" w:cs="宋体" w:eastAsia="宋体" w:hint="default"/>
                <w:sz w:val="18"/>
                <w:szCs w:val="18"/>
              </w:rPr>
            </w:pPr>
            <w:r>
              <w:rPr>
                <w:rFonts w:ascii="宋体"/>
                <w:sz w:val="18"/>
              </w:rPr>
              <w:t>38</w:t>
            </w:r>
          </w:p>
        </w:tc>
        <w:tc>
          <w:tcPr>
            <w:tcW w:w="1554"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5"/>
              <w:ind w:left="50" w:right="51"/>
              <w:jc w:val="left"/>
              <w:rPr>
                <w:rFonts w:ascii="宋体" w:hAnsi="宋体" w:cs="宋体" w:eastAsia="宋体" w:hint="default"/>
                <w:sz w:val="18"/>
                <w:szCs w:val="18"/>
              </w:rPr>
            </w:pPr>
            <w:r>
              <w:rPr>
                <w:rFonts w:ascii="宋体" w:hAnsi="宋体" w:cs="宋体" w:eastAsia="宋体" w:hint="default"/>
                <w:sz w:val="18"/>
                <w:szCs w:val="18"/>
              </w:rPr>
              <w:t>万马线缆（越南）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56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越南北宁</w:t>
            </w:r>
          </w:p>
        </w:tc>
        <w:tc>
          <w:tcPr>
            <w:tcW w:w="8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越南北宁</w:t>
            </w:r>
          </w:p>
        </w:tc>
        <w:tc>
          <w:tcPr>
            <w:tcW w:w="21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left="51" w:right="0"/>
              <w:jc w:val="left"/>
              <w:rPr>
                <w:rFonts w:ascii="宋体" w:hAnsi="宋体" w:cs="宋体" w:eastAsia="宋体" w:hint="default"/>
                <w:sz w:val="18"/>
                <w:szCs w:val="18"/>
              </w:rPr>
            </w:pPr>
            <w:r>
              <w:rPr>
                <w:rFonts w:ascii="宋体" w:hAnsi="宋体" w:cs="宋体" w:eastAsia="宋体" w:hint="default"/>
                <w:sz w:val="18"/>
                <w:szCs w:val="18"/>
              </w:rPr>
              <w:t>生产销售通信电缆</w:t>
            </w:r>
          </w:p>
        </w:tc>
        <w:tc>
          <w:tcPr>
            <w:tcW w:w="710" w:type="dxa"/>
            <w:tcBorders>
              <w:top w:val="single" w:sz="2" w:space="0" w:color="000000"/>
              <w:left w:val="single" w:sz="2" w:space="0" w:color="000000"/>
              <w:bottom w:val="single" w:sz="2" w:space="0" w:color="000000"/>
              <w:right w:val="single" w:sz="2" w:space="0" w:color="000000"/>
            </w:tcBorders>
          </w:tcPr>
          <w:p>
            <w:pPr/>
          </w:p>
        </w:tc>
        <w:tc>
          <w:tcPr>
            <w:tcW w:w="70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6"/>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797" w:hRule="exact"/>
        </w:trPr>
        <w:tc>
          <w:tcPr>
            <w:tcW w:w="53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178" w:right="0"/>
              <w:jc w:val="left"/>
              <w:rPr>
                <w:rFonts w:ascii="宋体" w:hAnsi="宋体" w:cs="宋体" w:eastAsia="宋体" w:hint="default"/>
                <w:sz w:val="18"/>
                <w:szCs w:val="18"/>
              </w:rPr>
            </w:pPr>
            <w:r>
              <w:rPr>
                <w:rFonts w:ascii="宋体"/>
                <w:sz w:val="18"/>
              </w:rPr>
              <w:t>39</w:t>
            </w:r>
          </w:p>
        </w:tc>
        <w:tc>
          <w:tcPr>
            <w:tcW w:w="1554" w:type="dxa"/>
            <w:tcBorders>
              <w:top w:val="single" w:sz="2" w:space="0" w:color="000000"/>
              <w:left w:val="single" w:sz="2" w:space="0" w:color="000000"/>
              <w:bottom w:val="single" w:sz="12" w:space="0" w:color="000000"/>
              <w:right w:val="single" w:sz="2" w:space="0" w:color="000000"/>
            </w:tcBorders>
          </w:tcPr>
          <w:p>
            <w:pPr>
              <w:pStyle w:val="TableParagraph"/>
              <w:tabs>
                <w:tab w:pos="777" w:val="left" w:leader="none"/>
              </w:tabs>
              <w:spacing w:line="232" w:lineRule="exact" w:before="35"/>
              <w:ind w:left="50" w:right="48"/>
              <w:jc w:val="left"/>
              <w:rPr>
                <w:rFonts w:ascii="宋体" w:hAnsi="宋体" w:cs="宋体" w:eastAsia="宋体" w:hint="default"/>
                <w:sz w:val="18"/>
                <w:szCs w:val="18"/>
              </w:rPr>
            </w:pPr>
            <w:r>
              <w:rPr>
                <w:rFonts w:ascii="宋体"/>
                <w:spacing w:val="-1"/>
                <w:sz w:val="18"/>
              </w:rPr>
              <w:t>Steed</w:t>
              <w:tab/>
              <w:t>networks</w:t>
            </w:r>
            <w:r>
              <w:rPr>
                <w:rFonts w:ascii="宋体"/>
                <w:spacing w:val="-84"/>
                <w:sz w:val="18"/>
              </w:rPr>
              <w:t> </w:t>
            </w:r>
            <w:r>
              <w:rPr>
                <w:rFonts w:ascii="宋体"/>
                <w:spacing w:val="-84"/>
                <w:sz w:val="18"/>
              </w:rPr>
            </w:r>
            <w:r>
              <w:rPr>
                <w:rFonts w:ascii="宋体"/>
                <w:sz w:val="18"/>
              </w:rPr>
              <w:t>technologies</w:t>
            </w:r>
            <w:r>
              <w:rPr>
                <w:rFonts w:ascii="宋体"/>
                <w:sz w:val="18"/>
              </w:rPr>
              <w:t> Co.,LTD</w:t>
            </w:r>
          </w:p>
        </w:tc>
        <w:tc>
          <w:tcPr>
            <w:tcW w:w="56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850" w:type="dxa"/>
            <w:tcBorders>
              <w:top w:val="single" w:sz="2" w:space="0" w:color="000000"/>
              <w:left w:val="single" w:sz="2" w:space="0" w:color="000000"/>
              <w:bottom w:val="single" w:sz="12" w:space="0" w:color="000000"/>
              <w:right w:val="single" w:sz="2" w:space="0" w:color="000000"/>
            </w:tcBorders>
          </w:tcPr>
          <w:p>
            <w:pPr>
              <w:pStyle w:val="TableParagraph"/>
              <w:spacing w:line="232" w:lineRule="exact" w:before="151"/>
              <w:ind w:left="331" w:right="61" w:hanging="269"/>
              <w:jc w:val="left"/>
              <w:rPr>
                <w:rFonts w:ascii="宋体" w:hAnsi="宋体" w:cs="宋体" w:eastAsia="宋体" w:hint="default"/>
                <w:sz w:val="18"/>
                <w:szCs w:val="18"/>
              </w:rPr>
            </w:pPr>
            <w:r>
              <w:rPr>
                <w:rFonts w:ascii="宋体" w:hAnsi="宋体" w:cs="宋体" w:eastAsia="宋体" w:hint="default"/>
                <w:sz w:val="18"/>
                <w:szCs w:val="18"/>
              </w:rPr>
              <w:t>柬埔寨金 边</w:t>
            </w:r>
          </w:p>
        </w:tc>
        <w:tc>
          <w:tcPr>
            <w:tcW w:w="851" w:type="dxa"/>
            <w:tcBorders>
              <w:top w:val="single" w:sz="2" w:space="0" w:color="000000"/>
              <w:left w:val="single" w:sz="2" w:space="0" w:color="000000"/>
              <w:bottom w:val="single" w:sz="12" w:space="0" w:color="000000"/>
              <w:right w:val="single" w:sz="2" w:space="0" w:color="000000"/>
            </w:tcBorders>
          </w:tcPr>
          <w:p>
            <w:pPr>
              <w:pStyle w:val="TableParagraph"/>
              <w:spacing w:line="232" w:lineRule="exact" w:before="151"/>
              <w:ind w:left="331" w:right="61" w:hanging="269"/>
              <w:jc w:val="left"/>
              <w:rPr>
                <w:rFonts w:ascii="宋体" w:hAnsi="宋体" w:cs="宋体" w:eastAsia="宋体" w:hint="default"/>
                <w:sz w:val="18"/>
                <w:szCs w:val="18"/>
              </w:rPr>
            </w:pPr>
            <w:r>
              <w:rPr>
                <w:rFonts w:ascii="宋体" w:hAnsi="宋体" w:cs="宋体" w:eastAsia="宋体" w:hint="default"/>
                <w:sz w:val="18"/>
                <w:szCs w:val="18"/>
              </w:rPr>
              <w:t>柬埔寨金 边</w:t>
            </w:r>
          </w:p>
        </w:tc>
        <w:tc>
          <w:tcPr>
            <w:tcW w:w="21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51" w:right="0"/>
              <w:jc w:val="left"/>
              <w:rPr>
                <w:rFonts w:ascii="宋体" w:hAnsi="宋体" w:cs="宋体" w:eastAsia="宋体" w:hint="default"/>
                <w:sz w:val="18"/>
                <w:szCs w:val="18"/>
              </w:rPr>
            </w:pPr>
            <w:r>
              <w:rPr>
                <w:rFonts w:ascii="宋体" w:hAnsi="宋体" w:cs="宋体" w:eastAsia="宋体" w:hint="default"/>
                <w:sz w:val="18"/>
                <w:szCs w:val="18"/>
              </w:rPr>
              <w:t>电线电缆贸易</w:t>
            </w:r>
          </w:p>
        </w:tc>
        <w:tc>
          <w:tcPr>
            <w:tcW w:w="710" w:type="dxa"/>
            <w:tcBorders>
              <w:top w:val="single" w:sz="2" w:space="0" w:color="000000"/>
              <w:left w:val="single" w:sz="2" w:space="0" w:color="000000"/>
              <w:bottom w:val="single" w:sz="12" w:space="0" w:color="000000"/>
              <w:right w:val="single" w:sz="2" w:space="0" w:color="000000"/>
            </w:tcBorders>
          </w:tcPr>
          <w:p>
            <w:pPr/>
          </w:p>
        </w:tc>
        <w:tc>
          <w:tcPr>
            <w:tcW w:w="70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sz w:val="18"/>
              </w:rPr>
              <w:t>100.00</w:t>
            </w:r>
          </w:p>
        </w:tc>
        <w:tc>
          <w:tcPr>
            <w:tcW w:w="818" w:type="dxa"/>
            <w:tcBorders>
              <w:top w:val="single" w:sz="2" w:space="0" w:color="000000"/>
              <w:left w:val="single" w:sz="2" w:space="0" w:color="000000"/>
              <w:bottom w:val="single" w:sz="12" w:space="0" w:color="000000"/>
              <w:right w:val="nil" w:sz="6" w:space="0" w:color="auto"/>
            </w:tcBorders>
          </w:tcPr>
          <w:p>
            <w:pPr>
              <w:pStyle w:val="TableParagraph"/>
              <w:spacing w:line="232" w:lineRule="exact" w:before="35"/>
              <w:ind w:left="135" w:right="139"/>
              <w:jc w:val="both"/>
              <w:rPr>
                <w:rFonts w:ascii="宋体" w:hAnsi="宋体" w:cs="宋体" w:eastAsia="宋体" w:hint="default"/>
                <w:sz w:val="18"/>
                <w:szCs w:val="18"/>
              </w:rPr>
            </w:pPr>
            <w:r>
              <w:rPr>
                <w:rFonts w:ascii="宋体" w:hAnsi="宋体" w:cs="宋体" w:eastAsia="宋体" w:hint="default"/>
                <w:sz w:val="18"/>
                <w:szCs w:val="18"/>
              </w:rPr>
              <w:t>非同一 控制下 合并</w:t>
            </w:r>
          </w:p>
        </w:tc>
      </w:tr>
    </w:tbl>
    <w:p>
      <w:pPr>
        <w:spacing w:after="0" w:line="232" w:lineRule="exact"/>
        <w:jc w:val="both"/>
        <w:rPr>
          <w:rFonts w:ascii="宋体" w:hAnsi="宋体" w:cs="宋体" w:eastAsia="宋体" w:hint="default"/>
          <w:sz w:val="18"/>
          <w:szCs w:val="18"/>
        </w:rPr>
        <w:sectPr>
          <w:pgSz w:w="11910" w:h="16840"/>
          <w:pgMar w:header="939" w:footer="883" w:top="1940" w:bottom="1080" w:left="1460" w:right="0"/>
        </w:sectPr>
      </w:pPr>
    </w:p>
    <w:p>
      <w:pPr>
        <w:spacing w:line="240" w:lineRule="auto" w:before="9"/>
        <w:rPr>
          <w:rFonts w:ascii="Times New Roman" w:hAnsi="Times New Roman" w:cs="Times New Roman" w:eastAsia="Times New Roman" w:hint="default"/>
          <w:sz w:val="17"/>
          <w:szCs w:val="17"/>
        </w:rPr>
      </w:pPr>
    </w:p>
    <w:p>
      <w:pPr>
        <w:spacing w:before="44"/>
        <w:ind w:left="673" w:right="1445" w:firstLine="0"/>
        <w:jc w:val="left"/>
        <w:rPr>
          <w:rFonts w:ascii="宋体" w:hAnsi="宋体" w:cs="宋体" w:eastAsia="宋体" w:hint="default"/>
          <w:sz w:val="18"/>
          <w:szCs w:val="18"/>
        </w:rPr>
      </w:pPr>
      <w:bookmarkStart w:name="注：山西万马新能源科技有限公司已于2019年9月12日注销。" w:id="359"/>
      <w:bookmarkEnd w:id="359"/>
      <w:r>
        <w:rPr/>
      </w:r>
      <w:r>
        <w:rPr>
          <w:rFonts w:ascii="宋体" w:hAnsi="宋体" w:cs="宋体" w:eastAsia="宋体" w:hint="default"/>
          <w:sz w:val="18"/>
          <w:szCs w:val="18"/>
        </w:rPr>
        <w:t>注：山西万马新能源科技有限公司已于</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日注销。</w:t>
      </w:r>
    </w:p>
    <w:p>
      <w:pPr>
        <w:spacing w:line="240" w:lineRule="auto" w:before="1"/>
        <w:rPr>
          <w:rFonts w:ascii="宋体" w:hAnsi="宋体" w:cs="宋体" w:eastAsia="宋体" w:hint="default"/>
          <w:sz w:val="15"/>
          <w:szCs w:val="15"/>
        </w:rPr>
      </w:pPr>
    </w:p>
    <w:p>
      <w:pPr>
        <w:pStyle w:val="BodyText"/>
        <w:spacing w:line="240" w:lineRule="auto" w:before="0"/>
        <w:ind w:left="673" w:right="1445"/>
        <w:jc w:val="left"/>
      </w:pPr>
      <w:r>
        <w:rPr/>
        <w:t>（</w:t>
      </w:r>
      <w:r>
        <w:rPr>
          <w:rFonts w:ascii="Times New Roman" w:hAnsi="Times New Roman" w:cs="Times New Roman" w:eastAsia="Times New Roman" w:hint="default"/>
        </w:rPr>
        <w:t>2</w:t>
      </w:r>
      <w:r>
        <w:rPr/>
        <w:t>）</w:t>
      </w:r>
      <w:r>
        <w:rPr>
          <w:spacing w:val="34"/>
        </w:rPr>
        <w:t> </w:t>
      </w:r>
      <w:bookmarkStart w:name="（2）重要的非全资子公司" w:id="360"/>
      <w:bookmarkEnd w:id="360"/>
      <w:r>
        <w:rPr/>
        <w:t>重</w:t>
      </w:r>
      <w:r>
        <w:rPr/>
        <w:t>要的非全资子公司</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942"/>
        <w:gridCol w:w="1136"/>
        <w:gridCol w:w="1547"/>
        <w:gridCol w:w="1549"/>
        <w:gridCol w:w="1549"/>
      </w:tblGrid>
      <w:tr>
        <w:trPr>
          <w:trHeight w:val="817" w:hRule="exact"/>
        </w:trPr>
        <w:tc>
          <w:tcPr>
            <w:tcW w:w="2942"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113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159" w:right="110" w:hanging="44"/>
              <w:jc w:val="left"/>
              <w:rPr>
                <w:rFonts w:ascii="宋体" w:hAnsi="宋体" w:cs="宋体" w:eastAsia="宋体" w:hint="default"/>
                <w:sz w:val="18"/>
                <w:szCs w:val="18"/>
              </w:rPr>
            </w:pPr>
            <w:r>
              <w:rPr>
                <w:rFonts w:ascii="宋体" w:hAnsi="宋体" w:cs="宋体" w:eastAsia="宋体" w:hint="default"/>
                <w:b/>
                <w:bCs/>
                <w:sz w:val="18"/>
                <w:szCs w:val="18"/>
              </w:rPr>
              <w:t>少数股东持</w:t>
            </w:r>
            <w:r>
              <w:rPr>
                <w:rFonts w:ascii="宋体" w:hAnsi="宋体" w:cs="宋体" w:eastAsia="宋体" w:hint="default"/>
                <w:b/>
                <w:bCs/>
                <w:w w:val="99"/>
                <w:sz w:val="18"/>
                <w:szCs w:val="18"/>
              </w:rPr>
              <w:t> </w:t>
            </w:r>
            <w:r>
              <w:rPr>
                <w:rFonts w:ascii="宋体" w:hAnsi="宋体" w:cs="宋体" w:eastAsia="宋体" w:hint="default"/>
                <w:b/>
                <w:bCs/>
                <w:sz w:val="18"/>
                <w:szCs w:val="18"/>
              </w:rPr>
              <w:t>股比例(%)</w:t>
            </w:r>
            <w:r>
              <w:rPr>
                <w:rFonts w:ascii="宋体" w:hAnsi="宋体" w:cs="宋体" w:eastAsia="宋体" w:hint="default"/>
                <w:sz w:val="18"/>
                <w:szCs w:val="18"/>
              </w:rPr>
            </w:r>
          </w:p>
        </w:tc>
        <w:tc>
          <w:tcPr>
            <w:tcW w:w="154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319" w:right="136" w:hanging="180"/>
              <w:jc w:val="left"/>
              <w:rPr>
                <w:rFonts w:ascii="宋体" w:hAnsi="宋体" w:cs="宋体" w:eastAsia="宋体" w:hint="default"/>
                <w:sz w:val="18"/>
                <w:szCs w:val="18"/>
              </w:rPr>
            </w:pPr>
            <w:r>
              <w:rPr>
                <w:rFonts w:ascii="宋体" w:hAnsi="宋体" w:cs="宋体" w:eastAsia="宋体" w:hint="default"/>
                <w:b/>
                <w:bCs/>
                <w:sz w:val="18"/>
                <w:szCs w:val="18"/>
              </w:rPr>
              <w:t>本年归属于少数</w:t>
            </w:r>
            <w:r>
              <w:rPr>
                <w:rFonts w:ascii="宋体" w:hAnsi="宋体" w:cs="宋体" w:eastAsia="宋体" w:hint="default"/>
                <w:b/>
                <w:bCs/>
                <w:w w:val="99"/>
                <w:sz w:val="18"/>
                <w:szCs w:val="18"/>
              </w:rPr>
              <w:t> </w:t>
            </w:r>
            <w:r>
              <w:rPr>
                <w:rFonts w:ascii="宋体" w:hAnsi="宋体" w:cs="宋体" w:eastAsia="宋体" w:hint="default"/>
                <w:b/>
                <w:bCs/>
                <w:sz w:val="18"/>
                <w:szCs w:val="18"/>
              </w:rPr>
              <w:t>股东的损益</w:t>
            </w:r>
            <w:r>
              <w:rPr>
                <w:rFonts w:ascii="宋体" w:hAnsi="宋体" w:cs="宋体" w:eastAsia="宋体" w:hint="default"/>
                <w:sz w:val="18"/>
                <w:szCs w:val="18"/>
              </w:rPr>
            </w:r>
          </w:p>
        </w:tc>
        <w:tc>
          <w:tcPr>
            <w:tcW w:w="154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140" w:right="137"/>
              <w:jc w:val="left"/>
              <w:rPr>
                <w:rFonts w:ascii="宋体" w:hAnsi="宋体" w:cs="宋体" w:eastAsia="宋体" w:hint="default"/>
                <w:sz w:val="18"/>
                <w:szCs w:val="18"/>
              </w:rPr>
            </w:pPr>
            <w:r>
              <w:rPr>
                <w:rFonts w:ascii="宋体" w:hAnsi="宋体" w:cs="宋体" w:eastAsia="宋体" w:hint="default"/>
                <w:b/>
                <w:bCs/>
                <w:sz w:val="18"/>
                <w:szCs w:val="18"/>
              </w:rPr>
              <w:t>本年向少数股东</w:t>
            </w:r>
            <w:r>
              <w:rPr>
                <w:rFonts w:ascii="宋体" w:hAnsi="宋体" w:cs="宋体" w:eastAsia="宋体" w:hint="default"/>
                <w:b/>
                <w:bCs/>
                <w:w w:val="99"/>
                <w:sz w:val="18"/>
                <w:szCs w:val="18"/>
              </w:rPr>
              <w:t> </w:t>
            </w:r>
            <w:r>
              <w:rPr>
                <w:rFonts w:ascii="宋体" w:hAnsi="宋体" w:cs="宋体" w:eastAsia="宋体" w:hint="default"/>
                <w:b/>
                <w:bCs/>
                <w:sz w:val="18"/>
                <w:szCs w:val="18"/>
              </w:rPr>
              <w:t>宣告分派的股利</w:t>
            </w:r>
            <w:r>
              <w:rPr>
                <w:rFonts w:ascii="宋体" w:hAnsi="宋体" w:cs="宋体" w:eastAsia="宋体" w:hint="default"/>
                <w:sz w:val="18"/>
                <w:szCs w:val="18"/>
              </w:rPr>
            </w:r>
          </w:p>
        </w:tc>
        <w:tc>
          <w:tcPr>
            <w:tcW w:w="1549"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32" w:lineRule="exact"/>
              <w:ind w:left="501" w:right="138" w:hanging="360"/>
              <w:jc w:val="left"/>
              <w:rPr>
                <w:rFonts w:ascii="宋体" w:hAnsi="宋体" w:cs="宋体" w:eastAsia="宋体" w:hint="default"/>
                <w:sz w:val="18"/>
                <w:szCs w:val="18"/>
              </w:rPr>
            </w:pPr>
            <w:r>
              <w:rPr>
                <w:rFonts w:ascii="宋体" w:hAnsi="宋体" w:cs="宋体" w:eastAsia="宋体" w:hint="default"/>
                <w:b/>
                <w:bCs/>
                <w:sz w:val="18"/>
                <w:szCs w:val="18"/>
              </w:rPr>
              <w:t>年末少数股东权</w:t>
            </w:r>
            <w:r>
              <w:rPr>
                <w:rFonts w:ascii="宋体" w:hAnsi="宋体" w:cs="宋体" w:eastAsia="宋体" w:hint="default"/>
                <w:b/>
                <w:bCs/>
                <w:w w:val="99"/>
                <w:sz w:val="18"/>
                <w:szCs w:val="18"/>
              </w:rPr>
              <w:t> </w:t>
            </w:r>
            <w:r>
              <w:rPr>
                <w:rFonts w:ascii="宋体" w:hAnsi="宋体" w:cs="宋体" w:eastAsia="宋体" w:hint="default"/>
                <w:b/>
                <w:bCs/>
                <w:sz w:val="18"/>
                <w:szCs w:val="18"/>
              </w:rPr>
              <w:t>益余额</w:t>
            </w:r>
            <w:r>
              <w:rPr>
                <w:rFonts w:ascii="宋体" w:hAnsi="宋体" w:cs="宋体" w:eastAsia="宋体" w:hint="default"/>
                <w:sz w:val="18"/>
                <w:szCs w:val="18"/>
              </w:rPr>
            </w:r>
          </w:p>
        </w:tc>
      </w:tr>
      <w:tr>
        <w:trPr>
          <w:trHeight w:val="402" w:hRule="exact"/>
        </w:trPr>
        <w:tc>
          <w:tcPr>
            <w:tcW w:w="2942"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浙江万马新能源有限公司</w:t>
            </w:r>
          </w:p>
        </w:tc>
        <w:tc>
          <w:tcPr>
            <w:tcW w:w="11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30.000</w:t>
            </w:r>
          </w:p>
        </w:tc>
        <w:tc>
          <w:tcPr>
            <w:tcW w:w="154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5,924,546.35</w:t>
            </w:r>
          </w:p>
        </w:tc>
        <w:tc>
          <w:tcPr>
            <w:tcW w:w="1549" w:type="dxa"/>
            <w:tcBorders>
              <w:top w:val="single" w:sz="2" w:space="0" w:color="000000"/>
              <w:left w:val="single" w:sz="2" w:space="0" w:color="000000"/>
              <w:bottom w:val="single" w:sz="2" w:space="0" w:color="000000"/>
              <w:right w:val="single" w:sz="2" w:space="0" w:color="000000"/>
            </w:tcBorders>
          </w:tcPr>
          <w:p>
            <w:pPr/>
          </w:p>
        </w:tc>
        <w:tc>
          <w:tcPr>
            <w:tcW w:w="154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17,291,946.44</w:t>
            </w:r>
          </w:p>
        </w:tc>
      </w:tr>
      <w:tr>
        <w:trPr>
          <w:trHeight w:val="414" w:hRule="exact"/>
        </w:trPr>
        <w:tc>
          <w:tcPr>
            <w:tcW w:w="2942"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浙江万马专用线缆科技有限公司</w:t>
            </w:r>
          </w:p>
        </w:tc>
        <w:tc>
          <w:tcPr>
            <w:tcW w:w="113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49"/>
              <w:jc w:val="right"/>
              <w:rPr>
                <w:rFonts w:ascii="宋体" w:hAnsi="宋体" w:cs="宋体" w:eastAsia="宋体" w:hint="default"/>
                <w:sz w:val="18"/>
                <w:szCs w:val="18"/>
              </w:rPr>
            </w:pPr>
            <w:r>
              <w:rPr>
                <w:rFonts w:ascii="宋体"/>
                <w:spacing w:val="-1"/>
                <w:sz w:val="18"/>
              </w:rPr>
              <w:t>15.725</w:t>
            </w:r>
          </w:p>
        </w:tc>
        <w:tc>
          <w:tcPr>
            <w:tcW w:w="154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48"/>
              <w:jc w:val="right"/>
              <w:rPr>
                <w:rFonts w:ascii="宋体" w:hAnsi="宋体" w:cs="宋体" w:eastAsia="宋体" w:hint="default"/>
                <w:sz w:val="18"/>
                <w:szCs w:val="18"/>
              </w:rPr>
            </w:pPr>
            <w:r>
              <w:rPr>
                <w:rFonts w:ascii="宋体"/>
                <w:spacing w:val="-1"/>
                <w:sz w:val="18"/>
              </w:rPr>
              <w:t>3,881,331.65</w:t>
            </w:r>
          </w:p>
        </w:tc>
        <w:tc>
          <w:tcPr>
            <w:tcW w:w="1549" w:type="dxa"/>
            <w:tcBorders>
              <w:top w:val="single" w:sz="2" w:space="0" w:color="000000"/>
              <w:left w:val="single" w:sz="2" w:space="0" w:color="000000"/>
              <w:bottom w:val="single" w:sz="12" w:space="0" w:color="000000"/>
              <w:right w:val="single" w:sz="2" w:space="0" w:color="000000"/>
            </w:tcBorders>
          </w:tcPr>
          <w:p>
            <w:pPr/>
          </w:p>
        </w:tc>
        <w:tc>
          <w:tcPr>
            <w:tcW w:w="154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9,282,941.34</w:t>
            </w:r>
          </w:p>
        </w:tc>
      </w:tr>
    </w:tbl>
    <w:p>
      <w:pPr>
        <w:spacing w:after="0" w:line="240" w:lineRule="auto"/>
        <w:jc w:val="right"/>
        <w:rPr>
          <w:rFonts w:ascii="宋体" w:hAnsi="宋体" w:cs="宋体" w:eastAsia="宋体" w:hint="default"/>
          <w:sz w:val="18"/>
          <w:szCs w:val="18"/>
        </w:rPr>
        <w:sectPr>
          <w:pgSz w:w="11910" w:h="16840"/>
          <w:pgMar w:header="939" w:footer="883" w:top="1940" w:bottom="1080" w:left="1460" w:right="0"/>
        </w:sectPr>
      </w:pPr>
    </w:p>
    <w:p>
      <w:pPr>
        <w:pStyle w:val="Heading4"/>
        <w:spacing w:line="240" w:lineRule="auto" w:before="3"/>
        <w:ind w:left="338" w:right="0"/>
        <w:jc w:val="left"/>
        <w:rPr>
          <w:b w:val="0"/>
          <w:bCs w:val="0"/>
        </w:rPr>
      </w:pPr>
      <w:r>
        <w:rPr/>
        <w:pict>
          <v:shape style="position:absolute;margin-left:589.160217pt;margin-top:570.55481pt;width:42.077306pt;height:18.950848pt;mso-position-horizontal-relative:page;mso-position-vertical-relative:page;z-index:1864" type="#_x0000_t75" stroked="false">
            <v:imagedata r:id="rId48" o:title=""/>
          </v:shape>
        </w:pict>
      </w:r>
      <w:r>
        <w:rPr/>
        <w:t>浙江万马股份有限公司财务报表附注</w:t>
      </w:r>
      <w:r>
        <w:rPr>
          <w:b w:val="0"/>
          <w:bCs w:val="0"/>
        </w:rPr>
      </w:r>
    </w:p>
    <w:p>
      <w:pPr>
        <w:spacing w:before="109"/>
        <w:ind w:left="338"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338"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p>
      <w:pPr>
        <w:spacing w:line="240" w:lineRule="auto" w:before="13"/>
        <w:rPr>
          <w:rFonts w:ascii="宋体" w:hAnsi="宋体" w:cs="宋体" w:eastAsia="宋体" w:hint="default"/>
          <w:sz w:val="9"/>
          <w:szCs w:val="9"/>
        </w:rPr>
      </w:pPr>
    </w:p>
    <w:p>
      <w:pPr>
        <w:spacing w:line="20" w:lineRule="exact"/>
        <w:ind w:left="187" w:right="0" w:firstLine="0"/>
        <w:rPr>
          <w:rFonts w:ascii="宋体" w:hAnsi="宋体" w:cs="宋体" w:eastAsia="宋体" w:hint="default"/>
          <w:sz w:val="2"/>
          <w:szCs w:val="2"/>
        </w:rPr>
      </w:pPr>
      <w:r>
        <w:rPr>
          <w:rFonts w:ascii="宋体" w:hAnsi="宋体" w:cs="宋体" w:eastAsia="宋体" w:hint="default"/>
          <w:sz w:val="2"/>
          <w:szCs w:val="2"/>
        </w:rPr>
        <w:pict>
          <v:group style="width:711.75pt;height:.75pt;mso-position-horizontal-relative:char;mso-position-vertical-relative:line" coordorigin="0,0" coordsize="14235,15">
            <v:group style="position:absolute;left:8;top:8;width:14220;height:2" coordorigin="8,8" coordsize="14220,2">
              <v:shape style="position:absolute;left:8;top:8;width:14220;height:2" coordorigin="8,8" coordsize="14220,0" path="m8,8l14228,8e" filled="false" stroked="true" strokeweight=".75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9"/>
          <w:szCs w:val="9"/>
        </w:rPr>
      </w:pPr>
    </w:p>
    <w:p>
      <w:pPr>
        <w:pStyle w:val="BodyText"/>
        <w:spacing w:line="240" w:lineRule="auto"/>
        <w:ind w:left="770" w:right="0"/>
        <w:jc w:val="left"/>
      </w:pPr>
      <w:r>
        <w:rPr/>
        <w:t>（</w:t>
      </w:r>
      <w:r>
        <w:rPr>
          <w:rFonts w:ascii="Times New Roman" w:hAnsi="Times New Roman" w:cs="Times New Roman" w:eastAsia="Times New Roman" w:hint="default"/>
        </w:rPr>
        <w:t>3</w:t>
      </w:r>
      <w:r>
        <w:rPr/>
        <w:t>）</w:t>
      </w:r>
      <w:r>
        <w:rPr>
          <w:spacing w:val="30"/>
        </w:rPr>
        <w:t> </w:t>
      </w:r>
      <w:bookmarkStart w:name="（3）重要非全资子公司的主要财务信息" w:id="361"/>
      <w:bookmarkEnd w:id="361"/>
      <w:r>
        <w:rPr/>
        <w:t>重</w:t>
      </w:r>
      <w:r>
        <w:rPr/>
        <w:t>要非全资子公司的主要财务信息</w:t>
      </w:r>
    </w:p>
    <w:p>
      <w:pPr>
        <w:spacing w:line="240" w:lineRule="auto" w:before="12"/>
        <w:rPr>
          <w:rFonts w:ascii="宋体" w:hAnsi="宋体" w:cs="宋体" w:eastAsia="宋体" w:hint="default"/>
          <w:sz w:val="10"/>
          <w:szCs w:val="10"/>
        </w:rPr>
      </w:pPr>
    </w:p>
    <w:tbl>
      <w:tblPr>
        <w:tblW w:w="0" w:type="auto"/>
        <w:jc w:val="left"/>
        <w:tblInd w:w="215" w:type="dxa"/>
        <w:tblLayout w:type="fixed"/>
        <w:tblCellMar>
          <w:top w:w="0" w:type="dxa"/>
          <w:left w:w="0" w:type="dxa"/>
          <w:bottom w:w="0" w:type="dxa"/>
          <w:right w:w="0" w:type="dxa"/>
        </w:tblCellMar>
        <w:tblLook w:val="01E0"/>
      </w:tblPr>
      <w:tblGrid>
        <w:gridCol w:w="3314"/>
        <w:gridCol w:w="1868"/>
        <w:gridCol w:w="1711"/>
        <w:gridCol w:w="1868"/>
        <w:gridCol w:w="2024"/>
        <w:gridCol w:w="1558"/>
        <w:gridCol w:w="1871"/>
      </w:tblGrid>
      <w:tr>
        <w:trPr>
          <w:trHeight w:val="385" w:hRule="exact"/>
        </w:trPr>
        <w:tc>
          <w:tcPr>
            <w:tcW w:w="3314" w:type="dxa"/>
            <w:vMerge w:val="restart"/>
            <w:tcBorders>
              <w:top w:val="single" w:sz="12" w:space="0" w:color="000000"/>
              <w:left w:val="nil" w:sz="6" w:space="0" w:color="auto"/>
              <w:right w:val="single" w:sz="2"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10900" w:type="dxa"/>
            <w:gridSpan w:val="6"/>
            <w:tcBorders>
              <w:top w:val="single" w:sz="12" w:space="0" w:color="000000"/>
              <w:left w:val="single" w:sz="2" w:space="0" w:color="000000"/>
              <w:bottom w:val="single" w:sz="2" w:space="0" w:color="000000"/>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97" w:hRule="exact"/>
        </w:trPr>
        <w:tc>
          <w:tcPr>
            <w:tcW w:w="3314" w:type="dxa"/>
            <w:vMerge/>
            <w:tcBorders>
              <w:left w:val="nil" w:sz="6" w:space="0" w:color="auto"/>
              <w:bottom w:val="single" w:sz="2" w:space="0" w:color="000000"/>
              <w:right w:val="single" w:sz="2" w:space="0" w:color="000000"/>
            </w:tcBorders>
          </w:tcPr>
          <w:p>
            <w:pP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572"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71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4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571" w:right="0"/>
              <w:jc w:val="left"/>
              <w:rPr>
                <w:rFonts w:ascii="宋体" w:hAnsi="宋体" w:cs="宋体" w:eastAsia="宋体" w:hint="default"/>
                <w:sz w:val="18"/>
                <w:szCs w:val="18"/>
              </w:rPr>
            </w:pPr>
            <w:r>
              <w:rPr>
                <w:rFonts w:ascii="宋体" w:hAnsi="宋体" w:cs="宋体" w:eastAsia="宋体" w:hint="default"/>
                <w:b/>
                <w:bCs/>
                <w:sz w:val="18"/>
                <w:szCs w:val="18"/>
              </w:rPr>
              <w:t>资产合计</w:t>
            </w:r>
            <w:r>
              <w:rPr>
                <w:rFonts w:ascii="宋体" w:hAnsi="宋体" w:cs="宋体" w:eastAsia="宋体" w:hint="default"/>
                <w:sz w:val="18"/>
                <w:szCs w:val="18"/>
              </w:rPr>
            </w:r>
          </w:p>
        </w:tc>
        <w:tc>
          <w:tcPr>
            <w:tcW w:w="20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649"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0"/>
              <w:ind w:left="327"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187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0"/>
              <w:ind w:left="571"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r>
      <w:tr>
        <w:trPr>
          <w:trHeight w:val="397" w:hRule="exact"/>
        </w:trPr>
        <w:tc>
          <w:tcPr>
            <w:tcW w:w="3314"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浙江万马新能源有限公司</w:t>
            </w: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533" w:right="0"/>
              <w:jc w:val="left"/>
              <w:rPr>
                <w:rFonts w:ascii="宋体" w:hAnsi="宋体" w:cs="宋体" w:eastAsia="宋体" w:hint="default"/>
                <w:sz w:val="18"/>
                <w:szCs w:val="18"/>
              </w:rPr>
            </w:pPr>
            <w:r>
              <w:rPr>
                <w:rFonts w:ascii="宋体"/>
                <w:sz w:val="18"/>
              </w:rPr>
              <w:t>115,965,999.48</w:t>
            </w:r>
          </w:p>
        </w:tc>
        <w:tc>
          <w:tcPr>
            <w:tcW w:w="171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66"/>
              <w:jc w:val="right"/>
              <w:rPr>
                <w:rFonts w:ascii="宋体" w:hAnsi="宋体" w:cs="宋体" w:eastAsia="宋体" w:hint="default"/>
                <w:sz w:val="18"/>
                <w:szCs w:val="18"/>
              </w:rPr>
            </w:pPr>
            <w:r>
              <w:rPr>
                <w:rFonts w:ascii="宋体"/>
                <w:spacing w:val="-1"/>
                <w:sz w:val="18"/>
              </w:rPr>
              <w:t>5,802,060.09</w:t>
            </w: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532" w:right="0"/>
              <w:jc w:val="left"/>
              <w:rPr>
                <w:rFonts w:ascii="宋体" w:hAnsi="宋体" w:cs="宋体" w:eastAsia="宋体" w:hint="default"/>
                <w:sz w:val="18"/>
                <w:szCs w:val="18"/>
              </w:rPr>
            </w:pPr>
            <w:r>
              <w:rPr>
                <w:rFonts w:ascii="宋体"/>
                <w:sz w:val="18"/>
              </w:rPr>
              <w:t>121,768,059.57</w:t>
            </w:r>
          </w:p>
        </w:tc>
        <w:tc>
          <w:tcPr>
            <w:tcW w:w="202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67"/>
              <w:jc w:val="right"/>
              <w:rPr>
                <w:rFonts w:ascii="宋体" w:hAnsi="宋体" w:cs="宋体" w:eastAsia="宋体" w:hint="default"/>
                <w:sz w:val="18"/>
                <w:szCs w:val="18"/>
              </w:rPr>
            </w:pPr>
            <w:r>
              <w:rPr>
                <w:rFonts w:ascii="宋体"/>
                <w:spacing w:val="-1"/>
                <w:sz w:val="18"/>
              </w:rPr>
              <w:t>60,199,434.65</w:t>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65"/>
              <w:jc w:val="right"/>
              <w:rPr>
                <w:rFonts w:ascii="宋体" w:hAnsi="宋体" w:cs="宋体" w:eastAsia="宋体" w:hint="default"/>
                <w:sz w:val="18"/>
                <w:szCs w:val="18"/>
              </w:rPr>
            </w:pPr>
            <w:r>
              <w:rPr>
                <w:rFonts w:ascii="宋体"/>
                <w:spacing w:val="-1"/>
                <w:sz w:val="18"/>
              </w:rPr>
              <w:t>3,928,803.44</w:t>
            </w:r>
          </w:p>
        </w:tc>
        <w:tc>
          <w:tcPr>
            <w:tcW w:w="187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69"/>
              <w:jc w:val="right"/>
              <w:rPr>
                <w:rFonts w:ascii="宋体" w:hAnsi="宋体" w:cs="宋体" w:eastAsia="宋体" w:hint="default"/>
                <w:sz w:val="18"/>
                <w:szCs w:val="18"/>
              </w:rPr>
            </w:pPr>
            <w:r>
              <w:rPr>
                <w:rFonts w:ascii="宋体"/>
                <w:spacing w:val="-1"/>
                <w:sz w:val="18"/>
              </w:rPr>
              <w:t>64,128,238.09</w:t>
            </w:r>
          </w:p>
        </w:tc>
      </w:tr>
      <w:tr>
        <w:trPr>
          <w:trHeight w:val="409" w:hRule="exact"/>
        </w:trPr>
        <w:tc>
          <w:tcPr>
            <w:tcW w:w="3314"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浙江万马专用线缆科技有限公司</w:t>
            </w:r>
          </w:p>
        </w:tc>
        <w:tc>
          <w:tcPr>
            <w:tcW w:w="186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left="533" w:right="0"/>
              <w:jc w:val="left"/>
              <w:rPr>
                <w:rFonts w:ascii="宋体" w:hAnsi="宋体" w:cs="宋体" w:eastAsia="宋体" w:hint="default"/>
                <w:sz w:val="18"/>
                <w:szCs w:val="18"/>
              </w:rPr>
            </w:pPr>
            <w:r>
              <w:rPr>
                <w:rFonts w:ascii="宋体"/>
                <w:sz w:val="18"/>
              </w:rPr>
              <w:t>197,702,334.16</w:t>
            </w:r>
          </w:p>
        </w:tc>
        <w:tc>
          <w:tcPr>
            <w:tcW w:w="171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68"/>
              <w:jc w:val="right"/>
              <w:rPr>
                <w:rFonts w:ascii="宋体" w:hAnsi="宋体" w:cs="宋体" w:eastAsia="宋体" w:hint="default"/>
                <w:sz w:val="18"/>
                <w:szCs w:val="18"/>
              </w:rPr>
            </w:pPr>
            <w:r>
              <w:rPr>
                <w:rFonts w:ascii="宋体"/>
                <w:spacing w:val="-1"/>
                <w:sz w:val="18"/>
              </w:rPr>
              <w:t>12,400,126.45</w:t>
            </w:r>
          </w:p>
        </w:tc>
        <w:tc>
          <w:tcPr>
            <w:tcW w:w="186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left="532" w:right="0"/>
              <w:jc w:val="left"/>
              <w:rPr>
                <w:rFonts w:ascii="宋体" w:hAnsi="宋体" w:cs="宋体" w:eastAsia="宋体" w:hint="default"/>
                <w:sz w:val="18"/>
                <w:szCs w:val="18"/>
              </w:rPr>
            </w:pPr>
            <w:r>
              <w:rPr>
                <w:rFonts w:ascii="宋体"/>
                <w:sz w:val="18"/>
              </w:rPr>
              <w:t>210,102,460.61</w:t>
            </w:r>
          </w:p>
        </w:tc>
        <w:tc>
          <w:tcPr>
            <w:tcW w:w="202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65"/>
              <w:jc w:val="right"/>
              <w:rPr>
                <w:rFonts w:ascii="宋体" w:hAnsi="宋体" w:cs="宋体" w:eastAsia="宋体" w:hint="default"/>
                <w:sz w:val="18"/>
                <w:szCs w:val="18"/>
              </w:rPr>
            </w:pPr>
            <w:r>
              <w:rPr>
                <w:rFonts w:ascii="宋体"/>
                <w:spacing w:val="-1"/>
                <w:sz w:val="18"/>
              </w:rPr>
              <w:t>149,744,480.01</w:t>
            </w:r>
          </w:p>
        </w:tc>
        <w:tc>
          <w:tcPr>
            <w:tcW w:w="15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65"/>
              <w:jc w:val="right"/>
              <w:rPr>
                <w:rFonts w:ascii="宋体" w:hAnsi="宋体" w:cs="宋体" w:eastAsia="宋体" w:hint="default"/>
                <w:sz w:val="18"/>
                <w:szCs w:val="18"/>
              </w:rPr>
            </w:pPr>
            <w:r>
              <w:rPr>
                <w:rFonts w:ascii="宋体"/>
                <w:spacing w:val="-1"/>
                <w:sz w:val="18"/>
              </w:rPr>
              <w:t>736,765.62</w:t>
            </w:r>
          </w:p>
        </w:tc>
        <w:tc>
          <w:tcPr>
            <w:tcW w:w="1871"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0"/>
              <w:ind w:right="69"/>
              <w:jc w:val="right"/>
              <w:rPr>
                <w:rFonts w:ascii="宋体" w:hAnsi="宋体" w:cs="宋体" w:eastAsia="宋体" w:hint="default"/>
                <w:sz w:val="18"/>
                <w:szCs w:val="18"/>
              </w:rPr>
            </w:pPr>
            <w:r>
              <w:rPr>
                <w:rFonts w:ascii="宋体"/>
                <w:spacing w:val="-1"/>
                <w:sz w:val="18"/>
              </w:rPr>
              <w:t>150,481,245.63</w:t>
            </w:r>
          </w:p>
        </w:tc>
      </w:tr>
    </w:tbl>
    <w:p>
      <w:pPr>
        <w:spacing w:line="240" w:lineRule="auto" w:before="3"/>
        <w:rPr>
          <w:rFonts w:ascii="宋体" w:hAnsi="宋体" w:cs="宋体" w:eastAsia="宋体" w:hint="default"/>
          <w:sz w:val="9"/>
          <w:szCs w:val="9"/>
        </w:rPr>
      </w:pPr>
    </w:p>
    <w:p>
      <w:pPr>
        <w:pStyle w:val="BodyText"/>
        <w:spacing w:line="240" w:lineRule="auto"/>
        <w:ind w:left="777" w:right="0"/>
        <w:jc w:val="left"/>
      </w:pPr>
      <w:r>
        <w:rPr/>
        <w:t>（续表）</w:t>
      </w:r>
    </w:p>
    <w:p>
      <w:pPr>
        <w:spacing w:line="240" w:lineRule="auto" w:before="2"/>
        <w:rPr>
          <w:rFonts w:ascii="宋体" w:hAnsi="宋体" w:cs="宋体" w:eastAsia="宋体" w:hint="default"/>
          <w:sz w:val="12"/>
          <w:szCs w:val="12"/>
        </w:rPr>
      </w:pPr>
    </w:p>
    <w:tbl>
      <w:tblPr>
        <w:tblW w:w="0" w:type="auto"/>
        <w:jc w:val="left"/>
        <w:tblInd w:w="215" w:type="dxa"/>
        <w:tblLayout w:type="fixed"/>
        <w:tblCellMar>
          <w:top w:w="0" w:type="dxa"/>
          <w:left w:w="0" w:type="dxa"/>
          <w:bottom w:w="0" w:type="dxa"/>
          <w:right w:w="0" w:type="dxa"/>
        </w:tblCellMar>
        <w:tblLook w:val="01E0"/>
      </w:tblPr>
      <w:tblGrid>
        <w:gridCol w:w="3318"/>
        <w:gridCol w:w="1865"/>
        <w:gridCol w:w="1711"/>
        <w:gridCol w:w="1865"/>
        <w:gridCol w:w="2021"/>
        <w:gridCol w:w="1555"/>
        <w:gridCol w:w="1879"/>
      </w:tblGrid>
      <w:tr>
        <w:trPr>
          <w:trHeight w:val="385" w:hRule="exact"/>
        </w:trPr>
        <w:tc>
          <w:tcPr>
            <w:tcW w:w="3318" w:type="dxa"/>
            <w:vMerge w:val="restart"/>
            <w:tcBorders>
              <w:top w:val="single" w:sz="12" w:space="0" w:color="000000"/>
              <w:left w:val="nil" w:sz="6" w:space="0" w:color="auto"/>
              <w:right w:val="single" w:sz="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10896" w:type="dxa"/>
            <w:gridSpan w:val="6"/>
            <w:tcBorders>
              <w:top w:val="single" w:sz="12" w:space="0" w:color="000000"/>
              <w:left w:val="single" w:sz="2" w:space="0" w:color="000000"/>
              <w:bottom w:val="single" w:sz="2" w:space="0" w:color="000000"/>
              <w:right w:val="nil" w:sz="6" w:space="0" w:color="auto"/>
            </w:tcBorders>
          </w:tcPr>
          <w:p>
            <w:pPr>
              <w:pStyle w:val="TableParagraph"/>
              <w:spacing w:line="240" w:lineRule="auto" w:before="38"/>
              <w:ind w:right="1"/>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397" w:hRule="exact"/>
        </w:trPr>
        <w:tc>
          <w:tcPr>
            <w:tcW w:w="3318" w:type="dxa"/>
            <w:vMerge/>
            <w:tcBorders>
              <w:left w:val="nil" w:sz="6" w:space="0" w:color="auto"/>
              <w:bottom w:val="single" w:sz="2" w:space="0" w:color="000000"/>
              <w:right w:val="single" w:sz="2" w:space="0" w:color="000000"/>
            </w:tcBorders>
          </w:tcPr>
          <w:p>
            <w:pPr/>
          </w:p>
        </w:tc>
        <w:tc>
          <w:tcPr>
            <w:tcW w:w="186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570"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71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402"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86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570" w:right="0"/>
              <w:jc w:val="left"/>
              <w:rPr>
                <w:rFonts w:ascii="宋体" w:hAnsi="宋体" w:cs="宋体" w:eastAsia="宋体" w:hint="default"/>
                <w:sz w:val="18"/>
                <w:szCs w:val="18"/>
              </w:rPr>
            </w:pPr>
            <w:r>
              <w:rPr>
                <w:rFonts w:ascii="宋体" w:hAnsi="宋体" w:cs="宋体" w:eastAsia="宋体" w:hint="default"/>
                <w:b/>
                <w:bCs/>
                <w:sz w:val="18"/>
                <w:szCs w:val="18"/>
              </w:rPr>
              <w:t>资产合计</w:t>
            </w:r>
            <w:r>
              <w:rPr>
                <w:rFonts w:ascii="宋体" w:hAnsi="宋体" w:cs="宋体" w:eastAsia="宋体" w:hint="default"/>
                <w:sz w:val="18"/>
                <w:szCs w:val="18"/>
              </w:rPr>
            </w:r>
          </w:p>
        </w:tc>
        <w:tc>
          <w:tcPr>
            <w:tcW w:w="202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646"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15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325"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187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left="577"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r>
      <w:tr>
        <w:trPr>
          <w:trHeight w:val="397" w:hRule="exact"/>
        </w:trPr>
        <w:tc>
          <w:tcPr>
            <w:tcW w:w="331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浙江万马新能源有限公司</w:t>
            </w:r>
          </w:p>
        </w:tc>
        <w:tc>
          <w:tcPr>
            <w:tcW w:w="186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529" w:right="0"/>
              <w:jc w:val="left"/>
              <w:rPr>
                <w:rFonts w:ascii="宋体" w:hAnsi="宋体" w:cs="宋体" w:eastAsia="宋体" w:hint="default"/>
                <w:sz w:val="18"/>
                <w:szCs w:val="18"/>
              </w:rPr>
            </w:pPr>
            <w:r>
              <w:rPr>
                <w:rFonts w:ascii="宋体"/>
                <w:sz w:val="18"/>
              </w:rPr>
              <w:t>101,029,648.05</w:t>
            </w:r>
          </w:p>
        </w:tc>
        <w:tc>
          <w:tcPr>
            <w:tcW w:w="171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67"/>
              <w:jc w:val="right"/>
              <w:rPr>
                <w:rFonts w:ascii="宋体" w:hAnsi="宋体" w:cs="宋体" w:eastAsia="宋体" w:hint="default"/>
                <w:sz w:val="18"/>
                <w:szCs w:val="18"/>
              </w:rPr>
            </w:pPr>
            <w:r>
              <w:rPr>
                <w:rFonts w:ascii="宋体"/>
                <w:spacing w:val="-1"/>
                <w:sz w:val="18"/>
              </w:rPr>
              <w:t>5,583,714.55</w:t>
            </w:r>
          </w:p>
        </w:tc>
        <w:tc>
          <w:tcPr>
            <w:tcW w:w="186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67"/>
              <w:jc w:val="right"/>
              <w:rPr>
                <w:rFonts w:ascii="宋体" w:hAnsi="宋体" w:cs="宋体" w:eastAsia="宋体" w:hint="default"/>
                <w:sz w:val="18"/>
                <w:szCs w:val="18"/>
              </w:rPr>
            </w:pPr>
            <w:r>
              <w:rPr>
                <w:rFonts w:ascii="宋体"/>
                <w:spacing w:val="-1"/>
                <w:sz w:val="18"/>
              </w:rPr>
              <w:t>106,613,362.60</w:t>
            </w:r>
          </w:p>
        </w:tc>
        <w:tc>
          <w:tcPr>
            <w:tcW w:w="202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67"/>
              <w:jc w:val="right"/>
              <w:rPr>
                <w:rFonts w:ascii="宋体" w:hAnsi="宋体" w:cs="宋体" w:eastAsia="宋体" w:hint="default"/>
                <w:sz w:val="18"/>
                <w:szCs w:val="18"/>
              </w:rPr>
            </w:pPr>
            <w:r>
              <w:rPr>
                <w:rFonts w:ascii="宋体"/>
                <w:spacing w:val="-1"/>
                <w:sz w:val="18"/>
              </w:rPr>
              <w:t>67,116,803.28</w:t>
            </w:r>
          </w:p>
        </w:tc>
        <w:tc>
          <w:tcPr>
            <w:tcW w:w="15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399" w:right="0"/>
              <w:jc w:val="left"/>
              <w:rPr>
                <w:rFonts w:ascii="宋体" w:hAnsi="宋体" w:cs="宋体" w:eastAsia="宋体" w:hint="default"/>
                <w:sz w:val="18"/>
                <w:szCs w:val="18"/>
              </w:rPr>
            </w:pPr>
            <w:r>
              <w:rPr>
                <w:rFonts w:ascii="宋体"/>
                <w:sz w:val="18"/>
              </w:rPr>
              <w:t>1,605,225.70</w:t>
            </w:r>
          </w:p>
        </w:tc>
        <w:tc>
          <w:tcPr>
            <w:tcW w:w="187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69"/>
              <w:jc w:val="right"/>
              <w:rPr>
                <w:rFonts w:ascii="宋体" w:hAnsi="宋体" w:cs="宋体" w:eastAsia="宋体" w:hint="default"/>
                <w:sz w:val="18"/>
                <w:szCs w:val="18"/>
              </w:rPr>
            </w:pPr>
            <w:r>
              <w:rPr>
                <w:rFonts w:ascii="宋体"/>
                <w:spacing w:val="-1"/>
                <w:sz w:val="18"/>
              </w:rPr>
              <w:t>68,722,028.98</w:t>
            </w:r>
          </w:p>
        </w:tc>
      </w:tr>
      <w:tr>
        <w:trPr>
          <w:trHeight w:val="409" w:hRule="exact"/>
        </w:trPr>
        <w:tc>
          <w:tcPr>
            <w:tcW w:w="331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浙江万马专用线缆科技有限公司</w:t>
            </w:r>
          </w:p>
        </w:tc>
        <w:tc>
          <w:tcPr>
            <w:tcW w:w="186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left="620" w:right="0"/>
              <w:jc w:val="left"/>
              <w:rPr>
                <w:rFonts w:ascii="宋体" w:hAnsi="宋体" w:cs="宋体" w:eastAsia="宋体" w:hint="default"/>
                <w:sz w:val="18"/>
                <w:szCs w:val="18"/>
              </w:rPr>
            </w:pPr>
            <w:r>
              <w:rPr>
                <w:rFonts w:ascii="宋体"/>
                <w:sz w:val="18"/>
              </w:rPr>
              <w:t>59,007,952.17</w:t>
            </w:r>
          </w:p>
        </w:tc>
        <w:tc>
          <w:tcPr>
            <w:tcW w:w="171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67"/>
              <w:jc w:val="right"/>
              <w:rPr>
                <w:rFonts w:ascii="宋体" w:hAnsi="宋体" w:cs="宋体" w:eastAsia="宋体" w:hint="default"/>
                <w:sz w:val="18"/>
                <w:szCs w:val="18"/>
              </w:rPr>
            </w:pPr>
            <w:r>
              <w:rPr>
                <w:rFonts w:ascii="宋体"/>
                <w:spacing w:val="-1"/>
                <w:sz w:val="18"/>
              </w:rPr>
              <w:t>13,428,852.98</w:t>
            </w:r>
          </w:p>
        </w:tc>
        <w:tc>
          <w:tcPr>
            <w:tcW w:w="186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67"/>
              <w:jc w:val="right"/>
              <w:rPr>
                <w:rFonts w:ascii="宋体" w:hAnsi="宋体" w:cs="宋体" w:eastAsia="宋体" w:hint="default"/>
                <w:sz w:val="18"/>
                <w:szCs w:val="18"/>
              </w:rPr>
            </w:pPr>
            <w:r>
              <w:rPr>
                <w:rFonts w:ascii="宋体"/>
                <w:spacing w:val="-1"/>
                <w:sz w:val="18"/>
              </w:rPr>
              <w:t>72,436,805.15</w:t>
            </w:r>
          </w:p>
        </w:tc>
        <w:tc>
          <w:tcPr>
            <w:tcW w:w="202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67"/>
              <w:jc w:val="right"/>
              <w:rPr>
                <w:rFonts w:ascii="宋体" w:hAnsi="宋体" w:cs="宋体" w:eastAsia="宋体" w:hint="default"/>
                <w:sz w:val="18"/>
                <w:szCs w:val="18"/>
              </w:rPr>
            </w:pPr>
            <w:r>
              <w:rPr>
                <w:rFonts w:ascii="宋体"/>
                <w:spacing w:val="-1"/>
                <w:sz w:val="18"/>
              </w:rPr>
              <w:t>37,809,440.67</w:t>
            </w:r>
          </w:p>
        </w:tc>
        <w:tc>
          <w:tcPr>
            <w:tcW w:w="1555" w:type="dxa"/>
            <w:tcBorders>
              <w:top w:val="single" w:sz="2" w:space="0" w:color="000000"/>
              <w:left w:val="single" w:sz="2" w:space="0" w:color="000000"/>
              <w:bottom w:val="single" w:sz="12" w:space="0" w:color="000000"/>
              <w:right w:val="single" w:sz="2" w:space="0" w:color="000000"/>
            </w:tcBorders>
          </w:tcPr>
          <w:p>
            <w:pPr/>
          </w:p>
        </w:tc>
        <w:tc>
          <w:tcPr>
            <w:tcW w:w="187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0"/>
              <w:ind w:right="69"/>
              <w:jc w:val="right"/>
              <w:rPr>
                <w:rFonts w:ascii="宋体" w:hAnsi="宋体" w:cs="宋体" w:eastAsia="宋体" w:hint="default"/>
                <w:sz w:val="18"/>
                <w:szCs w:val="18"/>
              </w:rPr>
            </w:pPr>
            <w:r>
              <w:rPr>
                <w:rFonts w:ascii="宋体"/>
                <w:spacing w:val="-1"/>
                <w:sz w:val="18"/>
              </w:rPr>
              <w:t>37,809,440.67</w:t>
            </w:r>
          </w:p>
        </w:tc>
      </w:tr>
    </w:tbl>
    <w:p>
      <w:pPr>
        <w:spacing w:line="240" w:lineRule="auto" w:before="3"/>
        <w:rPr>
          <w:rFonts w:ascii="宋体" w:hAnsi="宋体" w:cs="宋体" w:eastAsia="宋体" w:hint="default"/>
          <w:sz w:val="9"/>
          <w:szCs w:val="9"/>
        </w:rPr>
      </w:pPr>
    </w:p>
    <w:p>
      <w:pPr>
        <w:pStyle w:val="BodyText"/>
        <w:spacing w:line="240" w:lineRule="auto"/>
        <w:ind w:left="777" w:right="0"/>
        <w:jc w:val="left"/>
      </w:pPr>
      <w:r>
        <w:rPr/>
        <w:t>（续表）</w:t>
      </w:r>
    </w:p>
    <w:p>
      <w:pPr>
        <w:spacing w:line="240" w:lineRule="auto" w:before="3"/>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1805"/>
        <w:gridCol w:w="1561"/>
        <w:gridCol w:w="1558"/>
        <w:gridCol w:w="1561"/>
        <w:gridCol w:w="1558"/>
        <w:gridCol w:w="1561"/>
        <w:gridCol w:w="1569"/>
        <w:gridCol w:w="1549"/>
        <w:gridCol w:w="1702"/>
      </w:tblGrid>
      <w:tr>
        <w:trPr>
          <w:trHeight w:val="415" w:hRule="exact"/>
        </w:trPr>
        <w:tc>
          <w:tcPr>
            <w:tcW w:w="1805" w:type="dxa"/>
            <w:vMerge w:val="restart"/>
            <w:tcBorders>
              <w:top w:val="single" w:sz="12" w:space="0" w:color="000000"/>
              <w:left w:val="nil" w:sz="6" w:space="0" w:color="auto"/>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6238" w:type="dxa"/>
            <w:gridSpan w:val="4"/>
            <w:tcBorders>
              <w:top w:val="single" w:sz="12" w:space="0" w:color="000000"/>
              <w:left w:val="single" w:sz="2" w:space="0" w:color="000000"/>
              <w:bottom w:val="single" w:sz="2" w:space="0" w:color="000000"/>
              <w:right w:val="single" w:sz="2" w:space="0" w:color="000000"/>
            </w:tcBorders>
          </w:tcPr>
          <w:p>
            <w:pPr>
              <w:pStyle w:val="TableParagraph"/>
              <w:spacing w:line="240" w:lineRule="auto" w:before="55"/>
              <w:ind w:left="1" w:right="0"/>
              <w:jc w:val="center"/>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6381" w:type="dxa"/>
            <w:gridSpan w:val="4"/>
            <w:tcBorders>
              <w:top w:val="single" w:sz="12" w:space="0" w:color="000000"/>
              <w:left w:val="single" w:sz="2" w:space="0" w:color="000000"/>
              <w:bottom w:val="single" w:sz="2" w:space="0" w:color="000000"/>
              <w:right w:val="nil" w:sz="6" w:space="0" w:color="auto"/>
            </w:tcBorders>
          </w:tcPr>
          <w:p>
            <w:pPr>
              <w:pStyle w:val="TableParagraph"/>
              <w:spacing w:line="240" w:lineRule="auto" w:before="55"/>
              <w:ind w:right="1"/>
              <w:jc w:val="center"/>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1805" w:type="dxa"/>
            <w:vMerge/>
            <w:tcBorders>
              <w:left w:val="nil" w:sz="6" w:space="0" w:color="auto"/>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417" w:right="0"/>
              <w:jc w:val="left"/>
              <w:rPr>
                <w:rFonts w:ascii="宋体" w:hAnsi="宋体" w:cs="宋体" w:eastAsia="宋体" w:hint="default"/>
                <w:sz w:val="18"/>
                <w:szCs w:val="18"/>
              </w:rPr>
            </w:pPr>
            <w:r>
              <w:rPr>
                <w:rFonts w:ascii="宋体" w:hAnsi="宋体" w:cs="宋体" w:eastAsia="宋体" w:hint="default"/>
                <w:b/>
                <w:bCs/>
                <w:sz w:val="18"/>
                <w:szCs w:val="18"/>
              </w:rPr>
              <w:t>营业收入</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507" w:right="0"/>
              <w:jc w:val="left"/>
              <w:rPr>
                <w:rFonts w:ascii="宋体" w:hAnsi="宋体" w:cs="宋体" w:eastAsia="宋体" w:hint="default"/>
                <w:sz w:val="18"/>
                <w:szCs w:val="18"/>
              </w:rPr>
            </w:pPr>
            <w:r>
              <w:rPr>
                <w:rFonts w:ascii="宋体" w:hAnsi="宋体" w:cs="宋体" w:eastAsia="宋体" w:hint="default"/>
                <w:b/>
                <w:bCs/>
                <w:sz w:val="18"/>
                <w:szCs w:val="18"/>
              </w:rPr>
              <w:t>净利润</w:t>
            </w:r>
            <w:r>
              <w:rPr>
                <w:rFonts w:ascii="宋体" w:hAnsi="宋体" w:cs="宋体" w:eastAsia="宋体" w:hint="default"/>
                <w:sz w:val="18"/>
                <w:szCs w:val="18"/>
              </w:rPr>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238" w:right="0"/>
              <w:jc w:val="left"/>
              <w:rPr>
                <w:rFonts w:ascii="宋体" w:hAnsi="宋体" w:cs="宋体" w:eastAsia="宋体" w:hint="default"/>
                <w:sz w:val="18"/>
                <w:szCs w:val="18"/>
              </w:rPr>
            </w:pPr>
            <w:r>
              <w:rPr>
                <w:rFonts w:ascii="宋体" w:hAnsi="宋体" w:cs="宋体" w:eastAsia="宋体" w:hint="default"/>
                <w:b/>
                <w:bCs/>
                <w:sz w:val="18"/>
                <w:szCs w:val="18"/>
              </w:rPr>
              <w:t>综合收益总额</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hAnsi="宋体" w:cs="宋体" w:eastAsia="宋体" w:hint="default"/>
                <w:b/>
                <w:bCs/>
                <w:w w:val="95"/>
                <w:sz w:val="18"/>
                <w:szCs w:val="18"/>
              </w:rPr>
              <w:t>经营活动现金流量</w:t>
            </w:r>
            <w:r>
              <w:rPr>
                <w:rFonts w:ascii="宋体" w:hAnsi="宋体" w:cs="宋体" w:eastAsia="宋体" w:hint="default"/>
                <w:sz w:val="18"/>
                <w:szCs w:val="18"/>
              </w:rPr>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416" w:right="0"/>
              <w:jc w:val="left"/>
              <w:rPr>
                <w:rFonts w:ascii="宋体" w:hAnsi="宋体" w:cs="宋体" w:eastAsia="宋体" w:hint="default"/>
                <w:sz w:val="18"/>
                <w:szCs w:val="18"/>
              </w:rPr>
            </w:pPr>
            <w:r>
              <w:rPr>
                <w:rFonts w:ascii="宋体" w:hAnsi="宋体" w:cs="宋体" w:eastAsia="宋体" w:hint="default"/>
                <w:b/>
                <w:bCs/>
                <w:sz w:val="18"/>
                <w:szCs w:val="18"/>
              </w:rPr>
              <w:t>营业收入</w:t>
            </w:r>
            <w:r>
              <w:rPr>
                <w:rFonts w:ascii="宋体" w:hAnsi="宋体" w:cs="宋体" w:eastAsia="宋体" w:hint="default"/>
                <w:sz w:val="18"/>
                <w:szCs w:val="18"/>
              </w:rPr>
            </w:r>
          </w:p>
        </w:tc>
        <w:tc>
          <w:tcPr>
            <w:tcW w:w="15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511" w:right="0"/>
              <w:jc w:val="left"/>
              <w:rPr>
                <w:rFonts w:ascii="宋体" w:hAnsi="宋体" w:cs="宋体" w:eastAsia="宋体" w:hint="default"/>
                <w:sz w:val="18"/>
                <w:szCs w:val="18"/>
              </w:rPr>
            </w:pPr>
            <w:r>
              <w:rPr>
                <w:rFonts w:ascii="宋体" w:hAnsi="宋体" w:cs="宋体" w:eastAsia="宋体" w:hint="default"/>
                <w:b/>
                <w:bCs/>
                <w:sz w:val="18"/>
                <w:szCs w:val="18"/>
              </w:rPr>
              <w:t>净利润</w:t>
            </w:r>
            <w:r>
              <w:rPr>
                <w:rFonts w:ascii="宋体" w:hAnsi="宋体" w:cs="宋体" w:eastAsia="宋体" w:hint="default"/>
                <w:sz w:val="18"/>
                <w:szCs w:val="18"/>
              </w:rPr>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b/>
                <w:bCs/>
                <w:sz w:val="18"/>
                <w:szCs w:val="18"/>
              </w:rPr>
              <w:t>综合收益总额</w:t>
            </w:r>
            <w:r>
              <w:rPr>
                <w:rFonts w:ascii="宋体" w:hAnsi="宋体" w:cs="宋体" w:eastAsia="宋体" w:hint="default"/>
                <w:sz w:val="18"/>
                <w:szCs w:val="18"/>
              </w:rPr>
            </w:r>
          </w:p>
        </w:tc>
        <w:tc>
          <w:tcPr>
            <w:tcW w:w="170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left="127" w:right="0"/>
              <w:jc w:val="left"/>
              <w:rPr>
                <w:rFonts w:ascii="宋体" w:hAnsi="宋体" w:cs="宋体" w:eastAsia="宋体" w:hint="default"/>
                <w:sz w:val="18"/>
                <w:szCs w:val="18"/>
              </w:rPr>
            </w:pPr>
            <w:r>
              <w:rPr>
                <w:rFonts w:ascii="宋体" w:hAnsi="宋体" w:cs="宋体" w:eastAsia="宋体" w:hint="default"/>
                <w:b/>
                <w:bCs/>
                <w:sz w:val="18"/>
                <w:szCs w:val="18"/>
              </w:rPr>
              <w:t>经营活动现金流量</w:t>
            </w:r>
            <w:r>
              <w:rPr>
                <w:rFonts w:ascii="宋体" w:hAnsi="宋体" w:cs="宋体" w:eastAsia="宋体" w:hint="default"/>
                <w:sz w:val="18"/>
                <w:szCs w:val="18"/>
              </w:rPr>
            </w:r>
          </w:p>
        </w:tc>
      </w:tr>
      <w:tr>
        <w:trPr>
          <w:trHeight w:val="552" w:hRule="exact"/>
        </w:trPr>
        <w:tc>
          <w:tcPr>
            <w:tcW w:w="180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10"/>
              <w:ind w:left="55" w:right="48"/>
              <w:jc w:val="left"/>
              <w:rPr>
                <w:rFonts w:ascii="宋体" w:hAnsi="宋体" w:cs="宋体" w:eastAsia="宋体" w:hint="default"/>
                <w:sz w:val="18"/>
                <w:szCs w:val="18"/>
              </w:rPr>
            </w:pPr>
            <w:r>
              <w:rPr>
                <w:rFonts w:ascii="宋体" w:hAnsi="宋体" w:cs="宋体" w:eastAsia="宋体" w:hint="default"/>
                <w:spacing w:val="8"/>
                <w:sz w:val="18"/>
                <w:szCs w:val="18"/>
              </w:rPr>
              <w:t>浙江万马新能源有限</w:t>
            </w:r>
            <w:r>
              <w:rPr>
                <w:rFonts w:ascii="宋体" w:hAnsi="宋体" w:cs="宋体" w:eastAsia="宋体" w:hint="default"/>
                <w:sz w:val="18"/>
                <w:szCs w:val="18"/>
              </w:rPr>
              <w:t> 公司</w:t>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48"/>
              <w:jc w:val="right"/>
              <w:rPr>
                <w:rFonts w:ascii="宋体" w:hAnsi="宋体" w:cs="宋体" w:eastAsia="宋体" w:hint="default"/>
                <w:sz w:val="18"/>
                <w:szCs w:val="18"/>
              </w:rPr>
            </w:pPr>
            <w:r>
              <w:rPr>
                <w:rFonts w:ascii="宋体"/>
                <w:spacing w:val="-1"/>
                <w:sz w:val="18"/>
              </w:rPr>
              <w:t>73,884,211.81</w:t>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49"/>
              <w:jc w:val="right"/>
              <w:rPr>
                <w:rFonts w:ascii="宋体" w:hAnsi="宋体" w:cs="宋体" w:eastAsia="宋体" w:hint="default"/>
                <w:sz w:val="18"/>
                <w:szCs w:val="18"/>
              </w:rPr>
            </w:pPr>
            <w:r>
              <w:rPr>
                <w:rFonts w:ascii="宋体"/>
                <w:spacing w:val="-1"/>
                <w:sz w:val="18"/>
              </w:rPr>
              <w:t>19,748,487.86</w:t>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50"/>
              <w:jc w:val="right"/>
              <w:rPr>
                <w:rFonts w:ascii="宋体" w:hAnsi="宋体" w:cs="宋体" w:eastAsia="宋体" w:hint="default"/>
                <w:sz w:val="18"/>
                <w:szCs w:val="18"/>
              </w:rPr>
            </w:pPr>
            <w:r>
              <w:rPr>
                <w:rFonts w:ascii="宋体"/>
                <w:spacing w:val="-1"/>
                <w:sz w:val="18"/>
              </w:rPr>
              <w:t>19,748,487.86</w:t>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50"/>
              <w:jc w:val="right"/>
              <w:rPr>
                <w:rFonts w:ascii="宋体" w:hAnsi="宋体" w:cs="宋体" w:eastAsia="宋体" w:hint="default"/>
                <w:sz w:val="18"/>
                <w:szCs w:val="18"/>
              </w:rPr>
            </w:pPr>
            <w:r>
              <w:rPr>
                <w:rFonts w:ascii="宋体"/>
                <w:spacing w:val="-1"/>
                <w:sz w:val="18"/>
              </w:rPr>
              <w:t>-2,332,412.41</w:t>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49"/>
              <w:jc w:val="right"/>
              <w:rPr>
                <w:rFonts w:ascii="宋体" w:hAnsi="宋体" w:cs="宋体" w:eastAsia="宋体" w:hint="default"/>
                <w:sz w:val="18"/>
                <w:szCs w:val="18"/>
              </w:rPr>
            </w:pPr>
            <w:r>
              <w:rPr>
                <w:rFonts w:ascii="宋体"/>
                <w:spacing w:val="-1"/>
                <w:sz w:val="18"/>
              </w:rPr>
              <w:t>85,857,644.60</w:t>
            </w:r>
          </w:p>
        </w:tc>
        <w:tc>
          <w:tcPr>
            <w:tcW w:w="15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50"/>
              <w:jc w:val="right"/>
              <w:rPr>
                <w:rFonts w:ascii="宋体" w:hAnsi="宋体" w:cs="宋体" w:eastAsia="宋体" w:hint="default"/>
                <w:sz w:val="18"/>
                <w:szCs w:val="18"/>
              </w:rPr>
            </w:pPr>
            <w:r>
              <w:rPr>
                <w:rFonts w:ascii="宋体"/>
                <w:spacing w:val="-1"/>
                <w:sz w:val="18"/>
              </w:rPr>
              <w:t>16,070,846.03</w:t>
            </w:r>
          </w:p>
        </w:tc>
        <w:tc>
          <w:tcPr>
            <w:tcW w:w="15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28"/>
              <w:ind w:right="49"/>
              <w:jc w:val="right"/>
              <w:rPr>
                <w:rFonts w:ascii="宋体" w:hAnsi="宋体" w:cs="宋体" w:eastAsia="宋体" w:hint="default"/>
                <w:sz w:val="18"/>
                <w:szCs w:val="18"/>
              </w:rPr>
            </w:pPr>
            <w:r>
              <w:rPr>
                <w:rFonts w:ascii="宋体"/>
                <w:spacing w:val="-1"/>
                <w:sz w:val="18"/>
              </w:rPr>
              <w:t>16,070,846.03</w:t>
            </w:r>
          </w:p>
        </w:tc>
        <w:tc>
          <w:tcPr>
            <w:tcW w:w="170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52"/>
              <w:jc w:val="right"/>
              <w:rPr>
                <w:rFonts w:ascii="宋体" w:hAnsi="宋体" w:cs="宋体" w:eastAsia="宋体" w:hint="default"/>
                <w:sz w:val="18"/>
                <w:szCs w:val="18"/>
              </w:rPr>
            </w:pPr>
            <w:r>
              <w:rPr>
                <w:rFonts w:ascii="宋体"/>
                <w:spacing w:val="-1"/>
                <w:sz w:val="18"/>
              </w:rPr>
              <w:t>48,673,819.63</w:t>
            </w:r>
          </w:p>
        </w:tc>
      </w:tr>
      <w:tr>
        <w:trPr>
          <w:trHeight w:val="564" w:hRule="exact"/>
        </w:trPr>
        <w:tc>
          <w:tcPr>
            <w:tcW w:w="1805" w:type="dxa"/>
            <w:tcBorders>
              <w:top w:val="single" w:sz="2" w:space="0" w:color="000000"/>
              <w:left w:val="nil" w:sz="6" w:space="0" w:color="auto"/>
              <w:bottom w:val="single" w:sz="12" w:space="0" w:color="000000"/>
              <w:right w:val="single" w:sz="2" w:space="0" w:color="000000"/>
            </w:tcBorders>
          </w:tcPr>
          <w:p>
            <w:pPr>
              <w:pStyle w:val="TableParagraph"/>
              <w:spacing w:line="232" w:lineRule="exact" w:before="35"/>
              <w:ind w:left="55" w:right="48"/>
              <w:jc w:val="left"/>
              <w:rPr>
                <w:rFonts w:ascii="宋体" w:hAnsi="宋体" w:cs="宋体" w:eastAsia="宋体" w:hint="default"/>
                <w:sz w:val="18"/>
                <w:szCs w:val="18"/>
              </w:rPr>
            </w:pPr>
            <w:r>
              <w:rPr>
                <w:rFonts w:ascii="宋体" w:hAnsi="宋体" w:cs="宋体" w:eastAsia="宋体" w:hint="default"/>
                <w:spacing w:val="8"/>
                <w:sz w:val="18"/>
                <w:szCs w:val="18"/>
              </w:rPr>
              <w:t>浙江万马专用线缆科</w:t>
            </w:r>
            <w:r>
              <w:rPr>
                <w:rFonts w:ascii="宋体" w:hAnsi="宋体" w:cs="宋体" w:eastAsia="宋体" w:hint="default"/>
                <w:sz w:val="18"/>
                <w:szCs w:val="18"/>
              </w:rPr>
              <w:t> 技有限公司</w:t>
            </w:r>
          </w:p>
        </w:tc>
        <w:tc>
          <w:tcPr>
            <w:tcW w:w="156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48"/>
              <w:jc w:val="right"/>
              <w:rPr>
                <w:rFonts w:ascii="宋体" w:hAnsi="宋体" w:cs="宋体" w:eastAsia="宋体" w:hint="default"/>
                <w:sz w:val="18"/>
                <w:szCs w:val="18"/>
              </w:rPr>
            </w:pPr>
            <w:r>
              <w:rPr>
                <w:rFonts w:ascii="宋体"/>
                <w:spacing w:val="-1"/>
                <w:sz w:val="18"/>
              </w:rPr>
              <w:t>279,283,610.07</w:t>
            </w:r>
          </w:p>
        </w:tc>
        <w:tc>
          <w:tcPr>
            <w:tcW w:w="15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49"/>
              <w:jc w:val="right"/>
              <w:rPr>
                <w:rFonts w:ascii="宋体" w:hAnsi="宋体" w:cs="宋体" w:eastAsia="宋体" w:hint="default"/>
                <w:sz w:val="18"/>
                <w:szCs w:val="18"/>
              </w:rPr>
            </w:pPr>
            <w:r>
              <w:rPr>
                <w:rFonts w:ascii="宋体"/>
                <w:spacing w:val="-1"/>
                <w:sz w:val="18"/>
              </w:rPr>
              <w:t>24,495,175.50</w:t>
            </w:r>
          </w:p>
        </w:tc>
        <w:tc>
          <w:tcPr>
            <w:tcW w:w="156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50"/>
              <w:jc w:val="right"/>
              <w:rPr>
                <w:rFonts w:ascii="宋体" w:hAnsi="宋体" w:cs="宋体" w:eastAsia="宋体" w:hint="default"/>
                <w:sz w:val="18"/>
                <w:szCs w:val="18"/>
              </w:rPr>
            </w:pPr>
            <w:r>
              <w:rPr>
                <w:rFonts w:ascii="宋体"/>
                <w:spacing w:val="-1"/>
                <w:sz w:val="18"/>
              </w:rPr>
              <w:t>24,993,850.50</w:t>
            </w:r>
          </w:p>
        </w:tc>
        <w:tc>
          <w:tcPr>
            <w:tcW w:w="15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48"/>
              <w:jc w:val="right"/>
              <w:rPr>
                <w:rFonts w:ascii="宋体" w:hAnsi="宋体" w:cs="宋体" w:eastAsia="宋体" w:hint="default"/>
                <w:sz w:val="18"/>
                <w:szCs w:val="18"/>
              </w:rPr>
            </w:pPr>
            <w:r>
              <w:rPr>
                <w:rFonts w:ascii="宋体"/>
                <w:spacing w:val="-1"/>
                <w:sz w:val="18"/>
              </w:rPr>
              <w:t>-68,826,819.98</w:t>
            </w:r>
          </w:p>
        </w:tc>
        <w:tc>
          <w:tcPr>
            <w:tcW w:w="156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49"/>
              <w:jc w:val="right"/>
              <w:rPr>
                <w:rFonts w:ascii="宋体" w:hAnsi="宋体" w:cs="宋体" w:eastAsia="宋体" w:hint="default"/>
                <w:sz w:val="18"/>
                <w:szCs w:val="18"/>
              </w:rPr>
            </w:pPr>
            <w:r>
              <w:rPr>
                <w:rFonts w:ascii="宋体"/>
                <w:spacing w:val="-1"/>
                <w:sz w:val="18"/>
              </w:rPr>
              <w:t>138,156,331.85</w:t>
            </w:r>
          </w:p>
        </w:tc>
        <w:tc>
          <w:tcPr>
            <w:tcW w:w="156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48"/>
              <w:jc w:val="right"/>
              <w:rPr>
                <w:rFonts w:ascii="宋体" w:hAnsi="宋体" w:cs="宋体" w:eastAsia="宋体" w:hint="default"/>
                <w:sz w:val="18"/>
                <w:szCs w:val="18"/>
              </w:rPr>
            </w:pPr>
            <w:r>
              <w:rPr>
                <w:rFonts w:ascii="宋体"/>
                <w:spacing w:val="-1"/>
                <w:sz w:val="18"/>
              </w:rPr>
              <w:t>2,063,436.10</w:t>
            </w:r>
          </w:p>
        </w:tc>
        <w:tc>
          <w:tcPr>
            <w:tcW w:w="154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126"/>
              <w:ind w:right="49"/>
              <w:jc w:val="right"/>
              <w:rPr>
                <w:rFonts w:ascii="宋体" w:hAnsi="宋体" w:cs="宋体" w:eastAsia="宋体" w:hint="default"/>
                <w:sz w:val="18"/>
                <w:szCs w:val="18"/>
              </w:rPr>
            </w:pPr>
            <w:r>
              <w:rPr>
                <w:rFonts w:ascii="宋体"/>
                <w:spacing w:val="-1"/>
                <w:sz w:val="18"/>
              </w:rPr>
              <w:t>2,063,436.10</w:t>
            </w:r>
          </w:p>
        </w:tc>
        <w:tc>
          <w:tcPr>
            <w:tcW w:w="170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126"/>
              <w:ind w:right="52"/>
              <w:jc w:val="right"/>
              <w:rPr>
                <w:rFonts w:ascii="宋体" w:hAnsi="宋体" w:cs="宋体" w:eastAsia="宋体" w:hint="default"/>
                <w:sz w:val="18"/>
                <w:szCs w:val="18"/>
              </w:rPr>
            </w:pPr>
            <w:r>
              <w:rPr>
                <w:rFonts w:ascii="宋体"/>
                <w:spacing w:val="-1"/>
                <w:sz w:val="18"/>
              </w:rPr>
              <w:t>12,007,477.32</w:t>
            </w:r>
          </w:p>
        </w:tc>
      </w:tr>
    </w:tbl>
    <w:p>
      <w:pPr>
        <w:spacing w:after="0" w:line="240" w:lineRule="auto"/>
        <w:jc w:val="right"/>
        <w:rPr>
          <w:rFonts w:ascii="宋体" w:hAnsi="宋体" w:cs="宋体" w:eastAsia="宋体" w:hint="default"/>
          <w:sz w:val="18"/>
          <w:szCs w:val="18"/>
        </w:rPr>
        <w:sectPr>
          <w:headerReference w:type="default" r:id="rId68"/>
          <w:footerReference w:type="default" r:id="rId69"/>
          <w:pgSz w:w="16840" w:h="11910" w:orient="landscape"/>
          <w:pgMar w:header="0" w:footer="886" w:top="860" w:bottom="1080" w:left="1080" w:right="1060"/>
        </w:sectPr>
      </w:pPr>
    </w:p>
    <w:p>
      <w:pPr>
        <w:spacing w:line="240" w:lineRule="auto" w:before="13"/>
        <w:rPr>
          <w:rFonts w:ascii="宋体" w:hAnsi="宋体" w:cs="宋体" w:eastAsia="宋体" w:hint="default"/>
          <w:sz w:val="9"/>
          <w:szCs w:val="9"/>
        </w:rPr>
      </w:pPr>
      <w:r>
        <w:rPr/>
        <w:pict>
          <v:shape style="position:absolute;margin-left:535.638184pt;margin-top:806.509705pt;width:59.477876pt;height:26.787746pt;mso-position-horizontal-relative:page;mso-position-vertical-relative:page;z-index:1912" type="#_x0000_t75" stroked="false">
            <v:imagedata r:id="rId48" o:title=""/>
          </v:shape>
        </w:pict>
      </w: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28.8pt;height:.75pt;mso-position-horizontal-relative:char;mso-position-vertical-relative:line" coordorigin="0,0" coordsize="8576,15">
            <v:group style="position:absolute;left:8;top:8;width:8561;height:2" coordorigin="8,8" coordsize="8561,2">
              <v:shape style="position:absolute;left:8;top:8;width:8561;height:2" coordorigin="8,8" coordsize="8561,0" path="m8,8l8569,8e" filled="false" stroked="true" strokeweight=".75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9"/>
          <w:szCs w:val="9"/>
        </w:rPr>
      </w:pPr>
    </w:p>
    <w:p>
      <w:pPr>
        <w:pStyle w:val="BodyText"/>
        <w:spacing w:line="379" w:lineRule="auto"/>
        <w:ind w:left="580" w:right="4229" w:hanging="8"/>
        <w:jc w:val="left"/>
      </w:pPr>
      <w:r>
        <w:rPr/>
        <w:t>（</w:t>
      </w:r>
      <w:r>
        <w:rPr>
          <w:rFonts w:ascii="Times New Roman" w:hAnsi="Times New Roman" w:cs="Times New Roman" w:eastAsia="Times New Roman" w:hint="default"/>
        </w:rPr>
        <w:t>4</w:t>
      </w:r>
      <w:r>
        <w:rPr/>
        <w:t>）</w:t>
      </w:r>
      <w:r>
        <w:rPr>
          <w:spacing w:val="28"/>
        </w:rPr>
        <w:t> </w:t>
      </w:r>
      <w:bookmarkStart w:name="（4）使用企业集团资产和清偿企业集团债务的重大限制" w:id="362"/>
      <w:bookmarkEnd w:id="362"/>
      <w:r>
        <w:rPr/>
        <w:t>使</w:t>
      </w:r>
      <w:r>
        <w:rPr/>
        <w:t>用企业集团资产和清偿企业集团债务的重大限制</w:t>
      </w:r>
      <w:r>
        <w:rPr>
          <w:w w:val="100"/>
        </w:rPr>
        <w:t> </w:t>
      </w:r>
      <w:r>
        <w:rPr/>
        <w:t>无</w:t>
      </w:r>
    </w:p>
    <w:p>
      <w:pPr>
        <w:pStyle w:val="BodyText"/>
        <w:spacing w:line="379" w:lineRule="auto" w:before="64"/>
        <w:ind w:left="580" w:right="2512" w:hanging="8"/>
        <w:jc w:val="left"/>
      </w:pPr>
      <w:r>
        <w:rPr/>
        <w:t>（</w:t>
      </w:r>
      <w:r>
        <w:rPr>
          <w:rFonts w:ascii="Times New Roman" w:hAnsi="Times New Roman" w:cs="Times New Roman" w:eastAsia="Times New Roman" w:hint="default"/>
        </w:rPr>
        <w:t>5</w:t>
      </w:r>
      <w:r>
        <w:rPr/>
        <w:t>）</w:t>
      </w:r>
      <w:r>
        <w:rPr>
          <w:spacing w:val="25"/>
        </w:rPr>
        <w:t> </w:t>
      </w:r>
      <w:bookmarkStart w:name="（5）向纳入合并财务报表范围的结构化主体提供的财务支持或其他支持" w:id="363"/>
      <w:bookmarkEnd w:id="363"/>
      <w:r>
        <w:rPr/>
        <w:t>向</w:t>
      </w:r>
      <w:r>
        <w:rPr/>
        <w:t>纳入合并财务报表范围的结构化主体提供的财务支持或其他支持</w:t>
      </w:r>
      <w:r>
        <w:rPr>
          <w:w w:val="100"/>
        </w:rPr>
        <w:t> </w:t>
      </w:r>
      <w:r>
        <w:rPr/>
        <w:t>无</w:t>
      </w:r>
    </w:p>
    <w:p>
      <w:pPr>
        <w:pStyle w:val="BodyText"/>
        <w:spacing w:line="240" w:lineRule="auto" w:before="64"/>
        <w:ind w:left="708" w:right="4229"/>
        <w:jc w:val="left"/>
      </w:pPr>
      <w:r>
        <w:rPr>
          <w:rFonts w:ascii="Times New Roman" w:hAnsi="Times New Roman" w:cs="Times New Roman" w:eastAsia="Times New Roman" w:hint="default"/>
        </w:rPr>
        <w:t>2. </w:t>
      </w:r>
      <w:r>
        <w:rPr>
          <w:rFonts w:ascii="Times New Roman" w:hAnsi="Times New Roman" w:cs="Times New Roman" w:eastAsia="Times New Roman" w:hint="default"/>
          <w:spacing w:val="49"/>
        </w:rPr>
        <w:t> </w:t>
      </w:r>
      <w:bookmarkStart w:name="2.在合营企业或联营企业中的权益" w:id="364"/>
      <w:bookmarkEnd w:id="364"/>
      <w:r>
        <w:rPr>
          <w:rFonts w:ascii="Times New Roman" w:hAnsi="Times New Roman" w:cs="Times New Roman" w:eastAsia="Times New Roman" w:hint="default"/>
          <w:spacing w:val="49"/>
        </w:rPr>
      </w:r>
      <w:r>
        <w:rPr/>
        <w:t>在合营企业或联营企业中的权益</w:t>
      </w:r>
    </w:p>
    <w:p>
      <w:pPr>
        <w:pStyle w:val="BodyText"/>
        <w:spacing w:line="379" w:lineRule="auto" w:before="175"/>
        <w:ind w:left="580" w:right="6458" w:hanging="15"/>
        <w:jc w:val="left"/>
      </w:pPr>
      <w:r>
        <w:rPr/>
        <w:t>（</w:t>
      </w:r>
      <w:r>
        <w:rPr>
          <w:rFonts w:ascii="Times New Roman" w:hAnsi="Times New Roman" w:cs="Times New Roman" w:eastAsia="Times New Roman" w:hint="default"/>
        </w:rPr>
        <w:t>1</w:t>
      </w:r>
      <w:r>
        <w:rPr/>
        <w:t>）</w:t>
      </w:r>
      <w:r>
        <w:rPr>
          <w:spacing w:val="6"/>
        </w:rPr>
        <w:t> </w:t>
      </w:r>
      <w:bookmarkStart w:name="（1）重要的合营企业或联营企业" w:id="365"/>
      <w:bookmarkEnd w:id="365"/>
      <w:r>
        <w:rPr/>
        <w:t>重</w:t>
      </w:r>
      <w:r>
        <w:rPr/>
        <w:t>要的合营企业或联营企业</w:t>
      </w:r>
      <w:r>
        <w:rPr>
          <w:w w:val="100"/>
        </w:rPr>
        <w:t> </w:t>
      </w:r>
      <w:r>
        <w:rPr/>
        <w:t>无</w:t>
      </w:r>
    </w:p>
    <w:p>
      <w:pPr>
        <w:pStyle w:val="BodyText"/>
        <w:spacing w:line="240" w:lineRule="auto" w:before="64"/>
        <w:ind w:left="566" w:right="4229"/>
        <w:jc w:val="left"/>
      </w:pPr>
      <w:r>
        <w:rPr/>
        <w:t>（</w:t>
      </w:r>
      <w:r>
        <w:rPr>
          <w:rFonts w:ascii="Times New Roman" w:hAnsi="Times New Roman" w:cs="Times New Roman" w:eastAsia="Times New Roman" w:hint="default"/>
        </w:rPr>
        <w:t>2</w:t>
      </w:r>
      <w:r>
        <w:rPr/>
        <w:t>）</w:t>
      </w:r>
      <w:r>
        <w:rPr>
          <w:spacing w:val="1"/>
        </w:rPr>
        <w:t> </w:t>
      </w:r>
      <w:bookmarkStart w:name="（2）不重要的合营企业和联营企业的汇总财务信息" w:id="366"/>
      <w:bookmarkEnd w:id="366"/>
      <w:r>
        <w:rPr/>
        <w:t>不</w:t>
      </w:r>
      <w:r>
        <w:rPr/>
        <w:t>重要的合营企业和联营企业的汇总财务信息</w:t>
      </w:r>
    </w:p>
    <w:p>
      <w:pPr>
        <w:spacing w:line="240" w:lineRule="auto" w:before="12"/>
        <w:rPr>
          <w:rFonts w:ascii="宋体" w:hAnsi="宋体" w:cs="宋体" w:eastAsia="宋体" w:hint="default"/>
          <w:sz w:val="10"/>
          <w:szCs w:val="10"/>
        </w:rPr>
      </w:pPr>
    </w:p>
    <w:tbl>
      <w:tblPr>
        <w:tblW w:w="0" w:type="auto"/>
        <w:jc w:val="left"/>
        <w:tblInd w:w="113" w:type="dxa"/>
        <w:tblLayout w:type="fixed"/>
        <w:tblCellMar>
          <w:top w:w="0" w:type="dxa"/>
          <w:left w:w="0" w:type="dxa"/>
          <w:bottom w:w="0" w:type="dxa"/>
          <w:right w:w="0" w:type="dxa"/>
        </w:tblCellMar>
        <w:tblLook w:val="01E0"/>
      </w:tblPr>
      <w:tblGrid>
        <w:gridCol w:w="4811"/>
        <w:gridCol w:w="1869"/>
        <w:gridCol w:w="1853"/>
      </w:tblGrid>
      <w:tr>
        <w:trPr>
          <w:trHeight w:val="565" w:hRule="exact"/>
        </w:trPr>
        <w:tc>
          <w:tcPr>
            <w:tcW w:w="481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7"/>
              <w:ind w:left="107"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69"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751" w:right="182" w:hanging="564"/>
              <w:jc w:val="left"/>
              <w:rPr>
                <w:rFonts w:ascii="宋体" w:hAnsi="宋体" w:cs="宋体" w:eastAsia="宋体" w:hint="default"/>
                <w:sz w:val="18"/>
                <w:szCs w:val="18"/>
              </w:rPr>
            </w:pPr>
            <w:r>
              <w:rPr>
                <w:rFonts w:ascii="宋体" w:hAnsi="宋体" w:cs="宋体" w:eastAsia="宋体" w:hint="default"/>
                <w:b/>
                <w:bCs/>
                <w:sz w:val="18"/>
                <w:szCs w:val="18"/>
              </w:rPr>
              <w:t>年末余额 </w:t>
            </w:r>
            <w:r>
              <w:rPr>
                <w:rFonts w:ascii="Arial" w:hAnsi="Arial" w:cs="Arial" w:eastAsia="Arial" w:hint="default"/>
                <w:b/>
                <w:bCs/>
                <w:sz w:val="18"/>
                <w:szCs w:val="18"/>
              </w:rPr>
              <w:t>/</w:t>
            </w:r>
            <w:r>
              <w:rPr>
                <w:rFonts w:ascii="Arial" w:hAnsi="Arial" w:cs="Arial" w:eastAsia="Arial" w:hint="default"/>
                <w:b/>
                <w:bCs/>
                <w:spacing w:val="35"/>
                <w:sz w:val="18"/>
                <w:szCs w:val="18"/>
              </w:rPr>
              <w:t> </w:t>
            </w:r>
            <w:r>
              <w:rPr>
                <w:rFonts w:ascii="宋体" w:hAnsi="宋体" w:cs="宋体" w:eastAsia="宋体" w:hint="default"/>
                <w:b/>
                <w:bCs/>
                <w:sz w:val="18"/>
                <w:szCs w:val="18"/>
              </w:rPr>
              <w:t>本年发</w:t>
            </w:r>
            <w:r>
              <w:rPr>
                <w:rFonts w:ascii="宋体" w:hAnsi="宋体" w:cs="宋体" w:eastAsia="宋体" w:hint="default"/>
                <w:b/>
                <w:bCs/>
                <w:w w:val="99"/>
                <w:sz w:val="18"/>
                <w:szCs w:val="18"/>
              </w:rPr>
              <w:t> </w:t>
            </w:r>
            <w:r>
              <w:rPr>
                <w:rFonts w:ascii="宋体" w:hAnsi="宋体" w:cs="宋体" w:eastAsia="宋体" w:hint="default"/>
                <w:b/>
                <w:bCs/>
                <w:sz w:val="18"/>
                <w:szCs w:val="18"/>
              </w:rPr>
              <w:t>生额</w:t>
            </w:r>
            <w:r>
              <w:rPr>
                <w:rFonts w:ascii="宋体" w:hAnsi="宋体" w:cs="宋体" w:eastAsia="宋体" w:hint="default"/>
                <w:sz w:val="18"/>
                <w:szCs w:val="18"/>
              </w:rPr>
            </w:r>
          </w:p>
        </w:tc>
        <w:tc>
          <w:tcPr>
            <w:tcW w:w="1853"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7"/>
              <w:ind w:left="742" w:right="175" w:hanging="564"/>
              <w:jc w:val="left"/>
              <w:rPr>
                <w:rFonts w:ascii="宋体" w:hAnsi="宋体" w:cs="宋体" w:eastAsia="宋体" w:hint="default"/>
                <w:sz w:val="18"/>
                <w:szCs w:val="18"/>
              </w:rPr>
            </w:pPr>
            <w:r>
              <w:rPr>
                <w:rFonts w:ascii="宋体" w:hAnsi="宋体" w:cs="宋体" w:eastAsia="宋体" w:hint="default"/>
                <w:b/>
                <w:bCs/>
                <w:sz w:val="18"/>
                <w:szCs w:val="18"/>
              </w:rPr>
              <w:t>年初余额 </w:t>
            </w:r>
            <w:r>
              <w:rPr>
                <w:rFonts w:ascii="Arial" w:hAnsi="Arial" w:cs="Arial" w:eastAsia="Arial" w:hint="default"/>
                <w:b/>
                <w:bCs/>
                <w:sz w:val="18"/>
                <w:szCs w:val="18"/>
              </w:rPr>
              <w:t>/</w:t>
            </w:r>
            <w:r>
              <w:rPr>
                <w:rFonts w:ascii="Arial" w:hAnsi="Arial" w:cs="Arial" w:eastAsia="Arial" w:hint="default"/>
                <w:b/>
                <w:bCs/>
                <w:spacing w:val="37"/>
                <w:sz w:val="18"/>
                <w:szCs w:val="18"/>
              </w:rPr>
              <w:t> </w:t>
            </w:r>
            <w:r>
              <w:rPr>
                <w:rFonts w:ascii="宋体" w:hAnsi="宋体" w:cs="宋体" w:eastAsia="宋体" w:hint="default"/>
                <w:b/>
                <w:bCs/>
                <w:sz w:val="18"/>
                <w:szCs w:val="18"/>
              </w:rPr>
              <w:t>上年发</w:t>
            </w:r>
            <w:r>
              <w:rPr>
                <w:rFonts w:ascii="宋体" w:hAnsi="宋体" w:cs="宋体" w:eastAsia="宋体" w:hint="default"/>
                <w:b/>
                <w:bCs/>
                <w:w w:val="99"/>
                <w:sz w:val="18"/>
                <w:szCs w:val="18"/>
              </w:rPr>
              <w:t> </w:t>
            </w:r>
            <w:r>
              <w:rPr>
                <w:rFonts w:ascii="宋体" w:hAnsi="宋体" w:cs="宋体" w:eastAsia="宋体" w:hint="default"/>
                <w:b/>
                <w:bCs/>
                <w:sz w:val="18"/>
                <w:szCs w:val="18"/>
              </w:rPr>
              <w:t>生额</w:t>
            </w:r>
            <w:r>
              <w:rPr>
                <w:rFonts w:ascii="宋体" w:hAnsi="宋体" w:cs="宋体" w:eastAsia="宋体" w:hint="default"/>
                <w:sz w:val="18"/>
                <w:szCs w:val="18"/>
              </w:rPr>
            </w: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b/>
                <w:bCs/>
                <w:sz w:val="18"/>
                <w:szCs w:val="18"/>
              </w:rPr>
              <w:t>合营企业：</w:t>
            </w:r>
            <w:r>
              <w:rPr>
                <w:rFonts w:ascii="宋体" w:hAnsi="宋体" w:cs="宋体" w:eastAsia="宋体" w:hint="default"/>
                <w:sz w:val="18"/>
                <w:szCs w:val="18"/>
              </w:rPr>
            </w:r>
          </w:p>
        </w:tc>
        <w:tc>
          <w:tcPr>
            <w:tcW w:w="1869" w:type="dxa"/>
            <w:tcBorders>
              <w:top w:val="single" w:sz="2" w:space="0" w:color="000000"/>
              <w:left w:val="single" w:sz="2" w:space="0" w:color="000000"/>
              <w:bottom w:val="single" w:sz="2" w:space="0" w:color="000000"/>
              <w:right w:val="single" w:sz="2" w:space="0" w:color="000000"/>
            </w:tcBorders>
          </w:tcPr>
          <w:p>
            <w:pPr/>
          </w:p>
        </w:tc>
        <w:tc>
          <w:tcPr>
            <w:tcW w:w="185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18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pacing w:val="-1"/>
                <w:sz w:val="18"/>
              </w:rPr>
              <w:t>1,254,293.96</w:t>
            </w:r>
          </w:p>
        </w:tc>
        <w:tc>
          <w:tcPr>
            <w:tcW w:w="18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3,257,064.30</w:t>
            </w: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1869" w:type="dxa"/>
            <w:tcBorders>
              <w:top w:val="single" w:sz="2" w:space="0" w:color="000000"/>
              <w:left w:val="single" w:sz="2" w:space="0" w:color="000000"/>
              <w:bottom w:val="single" w:sz="2" w:space="0" w:color="000000"/>
              <w:right w:val="single" w:sz="2" w:space="0" w:color="000000"/>
            </w:tcBorders>
          </w:tcPr>
          <w:p>
            <w:pPr/>
          </w:p>
        </w:tc>
        <w:tc>
          <w:tcPr>
            <w:tcW w:w="185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净利润</w:t>
            </w:r>
          </w:p>
        </w:tc>
        <w:tc>
          <w:tcPr>
            <w:tcW w:w="18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-4,002,770.34</w:t>
            </w:r>
          </w:p>
        </w:tc>
        <w:tc>
          <w:tcPr>
            <w:tcW w:w="18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-4,124,248.15</w:t>
            </w: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7"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其他综合收益</w:t>
            </w:r>
          </w:p>
        </w:tc>
        <w:tc>
          <w:tcPr>
            <w:tcW w:w="1869" w:type="dxa"/>
            <w:tcBorders>
              <w:top w:val="single" w:sz="2" w:space="0" w:color="000000"/>
              <w:left w:val="single" w:sz="2" w:space="0" w:color="000000"/>
              <w:bottom w:val="single" w:sz="2" w:space="0" w:color="000000"/>
              <w:right w:val="single" w:sz="2" w:space="0" w:color="000000"/>
            </w:tcBorders>
          </w:tcPr>
          <w:p>
            <w:pPr/>
          </w:p>
        </w:tc>
        <w:tc>
          <w:tcPr>
            <w:tcW w:w="185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综合收益总额</w:t>
            </w:r>
          </w:p>
        </w:tc>
        <w:tc>
          <w:tcPr>
            <w:tcW w:w="18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-4,002,770.34</w:t>
            </w:r>
          </w:p>
        </w:tc>
        <w:tc>
          <w:tcPr>
            <w:tcW w:w="18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-4,124,248.15</w:t>
            </w: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tc>
        <w:tc>
          <w:tcPr>
            <w:tcW w:w="1869" w:type="dxa"/>
            <w:tcBorders>
              <w:top w:val="single" w:sz="2" w:space="0" w:color="000000"/>
              <w:left w:val="single" w:sz="2" w:space="0" w:color="000000"/>
              <w:bottom w:val="single" w:sz="2" w:space="0" w:color="000000"/>
              <w:right w:val="single" w:sz="2" w:space="0" w:color="000000"/>
            </w:tcBorders>
          </w:tcPr>
          <w:p>
            <w:pPr/>
          </w:p>
        </w:tc>
        <w:tc>
          <w:tcPr>
            <w:tcW w:w="185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18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21,380,689.61</w:t>
            </w:r>
          </w:p>
        </w:tc>
        <w:tc>
          <w:tcPr>
            <w:tcW w:w="18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21,556,472.91</w:t>
            </w: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1869" w:type="dxa"/>
            <w:tcBorders>
              <w:top w:val="single" w:sz="2" w:space="0" w:color="000000"/>
              <w:left w:val="single" w:sz="2" w:space="0" w:color="000000"/>
              <w:bottom w:val="single" w:sz="2" w:space="0" w:color="000000"/>
              <w:right w:val="single" w:sz="2" w:space="0" w:color="000000"/>
            </w:tcBorders>
          </w:tcPr>
          <w:p>
            <w:pPr/>
          </w:p>
        </w:tc>
        <w:tc>
          <w:tcPr>
            <w:tcW w:w="185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净利润</w:t>
            </w:r>
          </w:p>
        </w:tc>
        <w:tc>
          <w:tcPr>
            <w:tcW w:w="18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-175,783.30</w:t>
            </w:r>
          </w:p>
        </w:tc>
        <w:tc>
          <w:tcPr>
            <w:tcW w:w="18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-312,708.33</w:t>
            </w:r>
          </w:p>
        </w:tc>
      </w:tr>
      <w:tr>
        <w:trPr>
          <w:trHeight w:val="402" w:hRule="exact"/>
        </w:trPr>
        <w:tc>
          <w:tcPr>
            <w:tcW w:w="48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7"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其他综合收益</w:t>
            </w:r>
          </w:p>
        </w:tc>
        <w:tc>
          <w:tcPr>
            <w:tcW w:w="1869" w:type="dxa"/>
            <w:tcBorders>
              <w:top w:val="single" w:sz="2" w:space="0" w:color="000000"/>
              <w:left w:val="single" w:sz="2" w:space="0" w:color="000000"/>
              <w:bottom w:val="single" w:sz="2" w:space="0" w:color="000000"/>
              <w:right w:val="single" w:sz="2" w:space="0" w:color="000000"/>
            </w:tcBorders>
          </w:tcPr>
          <w:p>
            <w:pPr/>
          </w:p>
        </w:tc>
        <w:tc>
          <w:tcPr>
            <w:tcW w:w="1853"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481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综合收益总额</w:t>
            </w:r>
          </w:p>
        </w:tc>
        <w:tc>
          <w:tcPr>
            <w:tcW w:w="186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-175,783.30</w:t>
            </w:r>
          </w:p>
        </w:tc>
        <w:tc>
          <w:tcPr>
            <w:tcW w:w="185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-312,708.33</w:t>
            </w:r>
          </w:p>
        </w:tc>
      </w:tr>
    </w:tbl>
    <w:p>
      <w:pPr>
        <w:spacing w:line="240" w:lineRule="auto" w:before="1"/>
        <w:rPr>
          <w:rFonts w:ascii="宋体" w:hAnsi="宋体" w:cs="宋体" w:eastAsia="宋体" w:hint="default"/>
          <w:sz w:val="9"/>
          <w:szCs w:val="9"/>
        </w:rPr>
      </w:pPr>
    </w:p>
    <w:p>
      <w:pPr>
        <w:pStyle w:val="BodyText"/>
        <w:spacing w:line="300" w:lineRule="auto"/>
        <w:ind w:left="141" w:right="1697" w:firstLine="439"/>
        <w:jc w:val="both"/>
      </w:pPr>
      <w:r>
        <w:rPr>
          <w:spacing w:val="-4"/>
        </w:rPr>
        <w:t>注：上述不重要的合营企业为浙江万马海立斯新能源有限公司（万马奔腾新能源产业</w:t>
      </w:r>
      <w:r>
        <w:rPr>
          <w:w w:val="100"/>
        </w:rPr>
        <w:t> </w:t>
      </w:r>
      <w:r>
        <w:rPr/>
        <w:t>集团有限公司与</w:t>
      </w:r>
      <w:r>
        <w:rPr>
          <w:spacing w:val="-59"/>
        </w:rPr>
        <w:t> </w:t>
      </w:r>
      <w:r>
        <w:rPr/>
        <w:t>IES-SYNERGY</w:t>
      </w:r>
      <w:r>
        <w:rPr>
          <w:spacing w:val="-59"/>
        </w:rPr>
        <w:t> </w:t>
      </w:r>
      <w:r>
        <w:rPr/>
        <w:t>SAS</w:t>
      </w:r>
      <w:r>
        <w:rPr>
          <w:spacing w:val="-1"/>
        </w:rPr>
        <w:t> </w:t>
      </w:r>
      <w:r>
        <w:rPr/>
        <w:t>公司合营，本公司持股比例</w:t>
      </w:r>
      <w:r>
        <w:rPr>
          <w:spacing w:val="-59"/>
        </w:rPr>
        <w:t> </w:t>
      </w:r>
      <w:r>
        <w:rPr>
          <w:spacing w:val="-3"/>
        </w:rPr>
        <w:t>50%），不重要的联营企业</w:t>
      </w:r>
      <w:r>
        <w:rPr>
          <w:w w:val="100"/>
        </w:rPr>
        <w:t> </w:t>
      </w:r>
      <w:r>
        <w:rPr>
          <w:spacing w:val="2"/>
        </w:rPr>
        <w:t>包括浙江电腾云光伏科技有限公司（本公司与南京南瑞集团公司联营，本公司持股比例</w:t>
      </w:r>
      <w:r>
        <w:rPr>
          <w:spacing w:val="-51"/>
        </w:rPr>
        <w:t> </w:t>
      </w:r>
      <w:r>
        <w:rPr>
          <w:spacing w:val="-51"/>
        </w:rPr>
      </w:r>
      <w:r>
        <w:rPr>
          <w:spacing w:val="-1"/>
        </w:rPr>
        <w:t>49%）、山东万恩新能源科技有限公司（万马奔腾新能源产业集团有限公司与浙江万马投</w:t>
      </w:r>
      <w:r>
        <w:rPr>
          <w:spacing w:val="-62"/>
        </w:rPr>
        <w:t> </w:t>
      </w:r>
      <w:r>
        <w:rPr>
          <w:spacing w:val="-62"/>
        </w:rPr>
      </w:r>
      <w:r>
        <w:rPr/>
        <w:t>资集团有限公司、山东天恩综合能源有限公司联营，本公司持股比例</w:t>
      </w:r>
      <w:r>
        <w:rPr>
          <w:spacing w:val="-22"/>
        </w:rPr>
        <w:t> </w:t>
      </w:r>
      <w:r>
        <w:rPr/>
        <w:t>31%）。</w:t>
      </w:r>
    </w:p>
    <w:p>
      <w:pPr>
        <w:pStyle w:val="BodyText"/>
        <w:spacing w:line="379" w:lineRule="auto" w:before="137"/>
        <w:ind w:left="580" w:right="3604" w:hanging="15"/>
        <w:jc w:val="left"/>
      </w:pPr>
      <w:r>
        <w:rPr/>
        <w:t>（</w:t>
      </w:r>
      <w:r>
        <w:rPr>
          <w:rFonts w:ascii="Times New Roman" w:hAnsi="Times New Roman" w:cs="Times New Roman" w:eastAsia="Times New Roman" w:hint="default"/>
        </w:rPr>
        <w:t>3</w:t>
      </w:r>
      <w:r>
        <w:rPr/>
        <w:t>） </w:t>
      </w:r>
      <w:bookmarkStart w:name="（3）合营企业或联营企业向公司转移资金能力存在的重大限制" w:id="367"/>
      <w:bookmarkEnd w:id="367"/>
      <w:r>
        <w:rPr/>
        <w:t>合</w:t>
      </w:r>
      <w:r>
        <w:rPr/>
        <w:t>营企业或联营企业向公司转移资金能力存在的重大限制</w:t>
      </w:r>
      <w:r>
        <w:rPr>
          <w:w w:val="100"/>
        </w:rPr>
        <w:t> </w:t>
      </w:r>
      <w:r>
        <w:rPr/>
        <w:t>无</w:t>
      </w:r>
    </w:p>
    <w:p>
      <w:pPr>
        <w:pStyle w:val="BodyText"/>
        <w:spacing w:line="379" w:lineRule="auto" w:before="64"/>
        <w:ind w:left="580" w:right="5580" w:hanging="15"/>
        <w:jc w:val="left"/>
      </w:pPr>
      <w:r>
        <w:rPr/>
        <w:t>（</w:t>
      </w:r>
      <w:r>
        <w:rPr>
          <w:rFonts w:ascii="Times New Roman" w:hAnsi="Times New Roman" w:cs="Times New Roman" w:eastAsia="Times New Roman" w:hint="default"/>
        </w:rPr>
        <w:t>4</w:t>
      </w:r>
      <w:r>
        <w:rPr/>
        <w:t>）</w:t>
      </w:r>
      <w:r>
        <w:rPr>
          <w:spacing w:val="4"/>
        </w:rPr>
        <w:t> </w:t>
      </w:r>
      <w:bookmarkStart w:name="（4）合营企业或联营企业发生的超额亏损" w:id="368"/>
      <w:bookmarkEnd w:id="368"/>
      <w:r>
        <w:rPr/>
        <w:t>合</w:t>
      </w:r>
      <w:r>
        <w:rPr/>
        <w:t>营企业或联营企业发生的超额亏损</w:t>
      </w:r>
      <w:r>
        <w:rPr>
          <w:w w:val="100"/>
        </w:rPr>
        <w:t> </w:t>
      </w:r>
      <w:r>
        <w:rPr/>
        <w:t>无</w:t>
      </w:r>
    </w:p>
    <w:p>
      <w:pPr>
        <w:spacing w:after="0" w:line="379" w:lineRule="auto"/>
        <w:jc w:val="left"/>
        <w:sectPr>
          <w:headerReference w:type="default" r:id="rId70"/>
          <w:footerReference w:type="default" r:id="rId71"/>
          <w:pgSz w:w="11910" w:h="16840"/>
          <w:pgMar w:header="939" w:footer="886" w:top="1840" w:bottom="1080" w:left="1560" w:right="0"/>
        </w:sectPr>
      </w:pPr>
    </w:p>
    <w:p>
      <w:pPr>
        <w:spacing w:line="240" w:lineRule="auto" w:before="7"/>
        <w:rPr>
          <w:rFonts w:ascii="宋体" w:hAnsi="宋体" w:cs="宋体" w:eastAsia="宋体" w:hint="default"/>
          <w:sz w:val="9"/>
          <w:szCs w:val="9"/>
        </w:rPr>
      </w:pPr>
    </w:p>
    <w:p>
      <w:pPr>
        <w:pStyle w:val="BodyText"/>
        <w:spacing w:line="379" w:lineRule="auto"/>
        <w:ind w:left="580" w:right="5800" w:hanging="15"/>
        <w:jc w:val="left"/>
      </w:pPr>
      <w:r>
        <w:rPr/>
        <w:t>（</w:t>
      </w:r>
      <w:r>
        <w:rPr>
          <w:rFonts w:ascii="Times New Roman" w:hAnsi="Times New Roman" w:cs="Times New Roman" w:eastAsia="Times New Roman" w:hint="default"/>
        </w:rPr>
        <w:t>5</w:t>
      </w:r>
      <w:r>
        <w:rPr/>
        <w:t>）</w:t>
      </w:r>
      <w:r>
        <w:rPr>
          <w:spacing w:val="4"/>
        </w:rPr>
        <w:t> </w:t>
      </w:r>
      <w:bookmarkStart w:name="（5）与合营企业投资相关的未确认承诺" w:id="369"/>
      <w:bookmarkEnd w:id="369"/>
      <w:r>
        <w:rPr/>
        <w:t>与</w:t>
      </w:r>
      <w:r>
        <w:rPr/>
        <w:t>合营企业投资相关的未确认承诺</w:t>
      </w:r>
      <w:r>
        <w:rPr>
          <w:w w:val="100"/>
        </w:rPr>
        <w:t> </w:t>
      </w:r>
      <w:r>
        <w:rPr/>
        <w:t>无</w:t>
      </w:r>
    </w:p>
    <w:p>
      <w:pPr>
        <w:pStyle w:val="BodyText"/>
        <w:spacing w:line="379" w:lineRule="auto" w:before="64"/>
        <w:ind w:left="580" w:right="4921" w:hanging="15"/>
        <w:jc w:val="left"/>
      </w:pPr>
      <w:r>
        <w:rPr/>
        <w:t>（</w:t>
      </w:r>
      <w:r>
        <w:rPr>
          <w:rFonts w:ascii="Times New Roman" w:hAnsi="Times New Roman" w:cs="Times New Roman" w:eastAsia="Times New Roman" w:hint="default"/>
        </w:rPr>
        <w:t>6</w:t>
      </w:r>
      <w:r>
        <w:rPr/>
        <w:t>）</w:t>
      </w:r>
      <w:r>
        <w:rPr>
          <w:spacing w:val="3"/>
        </w:rPr>
        <w:t> </w:t>
      </w:r>
      <w:bookmarkStart w:name="（6）与合营企业或联营企业投资相关的或有负债" w:id="370"/>
      <w:bookmarkEnd w:id="370"/>
      <w:r>
        <w:rPr/>
        <w:t>与</w:t>
      </w:r>
      <w:r>
        <w:rPr/>
        <w:t>合营企业或联营企业投资相关的或有负债</w:t>
      </w:r>
      <w:r>
        <w:rPr>
          <w:w w:val="100"/>
        </w:rPr>
        <w:t> </w:t>
      </w:r>
      <w:r>
        <w:rPr/>
        <w:t>无</w:t>
      </w:r>
    </w:p>
    <w:p>
      <w:pPr>
        <w:pStyle w:val="BodyText"/>
        <w:spacing w:line="379" w:lineRule="auto" w:before="64"/>
        <w:ind w:left="580" w:right="7629" w:firstLine="127"/>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53"/>
        </w:rPr>
        <w:t> </w:t>
      </w:r>
      <w:bookmarkStart w:name="3.重要的共同经营" w:id="371"/>
      <w:bookmarkEnd w:id="371"/>
      <w:r>
        <w:rPr>
          <w:rFonts w:ascii="Times New Roman" w:hAnsi="Times New Roman" w:cs="Times New Roman" w:eastAsia="Times New Roman" w:hint="default"/>
          <w:spacing w:val="53"/>
        </w:rPr>
      </w:r>
      <w:r>
        <w:rPr/>
        <w:t>重要的共同经营</w:t>
      </w:r>
      <w:r>
        <w:rPr>
          <w:w w:val="100"/>
        </w:rPr>
        <w:t> </w:t>
      </w:r>
      <w:r>
        <w:rPr/>
        <w:t>无</w:t>
      </w:r>
    </w:p>
    <w:p>
      <w:pPr>
        <w:pStyle w:val="BodyText"/>
        <w:spacing w:line="379" w:lineRule="auto" w:before="64"/>
        <w:ind w:left="580" w:right="5580" w:firstLine="127"/>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48"/>
        </w:rPr>
        <w:t> </w:t>
      </w:r>
      <w:bookmarkStart w:name="4.未纳入合并财务报表范围的结构化主体" w:id="372"/>
      <w:bookmarkEnd w:id="372"/>
      <w:r>
        <w:rPr>
          <w:rFonts w:ascii="Times New Roman" w:hAnsi="Times New Roman" w:cs="Times New Roman" w:eastAsia="Times New Roman" w:hint="default"/>
          <w:spacing w:val="48"/>
        </w:rPr>
      </w:r>
      <w:r>
        <w:rPr/>
        <w:t>未纳入合并财务报表范围的结构化主体</w:t>
      </w:r>
      <w:r>
        <w:rPr>
          <w:w w:val="100"/>
        </w:rPr>
        <w:t> </w:t>
      </w:r>
      <w:r>
        <w:rPr/>
        <w:t>无</w:t>
      </w:r>
    </w:p>
    <w:p>
      <w:pPr>
        <w:spacing w:line="480" w:lineRule="exact" w:before="57"/>
        <w:ind w:left="580" w:right="226" w:firstLine="19"/>
        <w:jc w:val="left"/>
        <w:rPr>
          <w:rFonts w:ascii="宋体" w:hAnsi="宋体" w:cs="宋体" w:eastAsia="宋体" w:hint="default"/>
          <w:sz w:val="22"/>
          <w:szCs w:val="22"/>
        </w:rPr>
      </w:pPr>
      <w:bookmarkStart w:name="十一、与金融工具相关风险" w:id="373"/>
      <w:bookmarkEnd w:id="373"/>
      <w:r>
        <w:rPr/>
      </w:r>
      <w:r>
        <w:rPr>
          <w:rFonts w:ascii="宋体" w:hAnsi="宋体" w:cs="宋体" w:eastAsia="宋体" w:hint="default"/>
          <w:b/>
          <w:bCs/>
          <w:sz w:val="22"/>
          <w:szCs w:val="22"/>
        </w:rPr>
        <w:t>十</w:t>
      </w:r>
      <w:r>
        <w:rPr>
          <w:rFonts w:ascii="宋体" w:hAnsi="宋体" w:cs="宋体" w:eastAsia="宋体" w:hint="default"/>
          <w:b/>
          <w:bCs/>
          <w:spacing w:val="-71"/>
          <w:sz w:val="22"/>
          <w:szCs w:val="22"/>
        </w:rPr>
        <w:t> </w:t>
      </w:r>
      <w:r>
        <w:rPr>
          <w:rFonts w:ascii="宋体" w:hAnsi="宋体" w:cs="宋体" w:eastAsia="宋体" w:hint="default"/>
          <w:b/>
          <w:bCs/>
          <w:sz w:val="22"/>
          <w:szCs w:val="22"/>
        </w:rPr>
        <w:t>一</w:t>
      </w:r>
      <w:r>
        <w:rPr>
          <w:rFonts w:ascii="宋体" w:hAnsi="宋体" w:cs="宋体" w:eastAsia="宋体" w:hint="default"/>
          <w:b/>
          <w:bCs/>
          <w:spacing w:val="-73"/>
          <w:sz w:val="22"/>
          <w:szCs w:val="22"/>
        </w:rPr>
        <w:t> </w:t>
      </w:r>
      <w:r>
        <w:rPr>
          <w:rFonts w:ascii="宋体" w:hAnsi="宋体" w:cs="宋体" w:eastAsia="宋体" w:hint="default"/>
          <w:b/>
          <w:bCs/>
          <w:sz w:val="22"/>
          <w:szCs w:val="22"/>
        </w:rPr>
        <w:t>、</w:t>
      </w:r>
      <w:r>
        <w:rPr>
          <w:rFonts w:ascii="宋体" w:hAnsi="宋体" w:cs="宋体" w:eastAsia="宋体" w:hint="default"/>
          <w:b/>
          <w:bCs/>
          <w:spacing w:val="-71"/>
          <w:sz w:val="22"/>
          <w:szCs w:val="22"/>
        </w:rPr>
        <w:t> </w:t>
      </w:r>
      <w:r>
        <w:rPr>
          <w:rFonts w:ascii="宋体" w:hAnsi="宋体" w:cs="宋体" w:eastAsia="宋体" w:hint="default"/>
          <w:b/>
          <w:bCs/>
          <w:sz w:val="22"/>
          <w:szCs w:val="22"/>
        </w:rPr>
        <w:t>与</w:t>
      </w:r>
      <w:r>
        <w:rPr>
          <w:rFonts w:ascii="宋体" w:hAnsi="宋体" w:cs="宋体" w:eastAsia="宋体" w:hint="default"/>
          <w:b/>
          <w:bCs/>
          <w:spacing w:val="-71"/>
          <w:sz w:val="22"/>
          <w:szCs w:val="22"/>
        </w:rPr>
        <w:t> </w:t>
      </w:r>
      <w:r>
        <w:rPr>
          <w:rFonts w:ascii="宋体" w:hAnsi="宋体" w:cs="宋体" w:eastAsia="宋体" w:hint="default"/>
          <w:b/>
          <w:bCs/>
          <w:sz w:val="22"/>
          <w:szCs w:val="22"/>
        </w:rPr>
        <w:t>金</w:t>
      </w:r>
      <w:r>
        <w:rPr>
          <w:rFonts w:ascii="宋体" w:hAnsi="宋体" w:cs="宋体" w:eastAsia="宋体" w:hint="default"/>
          <w:b/>
          <w:bCs/>
          <w:spacing w:val="-73"/>
          <w:sz w:val="22"/>
          <w:szCs w:val="22"/>
        </w:rPr>
        <w:t> </w:t>
      </w:r>
      <w:r>
        <w:rPr>
          <w:rFonts w:ascii="宋体" w:hAnsi="宋体" w:cs="宋体" w:eastAsia="宋体" w:hint="default"/>
          <w:b/>
          <w:bCs/>
          <w:sz w:val="22"/>
          <w:szCs w:val="22"/>
        </w:rPr>
        <w:t>融</w:t>
      </w:r>
      <w:r>
        <w:rPr>
          <w:rFonts w:ascii="宋体" w:hAnsi="宋体" w:cs="宋体" w:eastAsia="宋体" w:hint="default"/>
          <w:b/>
          <w:bCs/>
          <w:spacing w:val="-71"/>
          <w:sz w:val="22"/>
          <w:szCs w:val="22"/>
        </w:rPr>
        <w:t> </w:t>
      </w:r>
      <w:r>
        <w:rPr>
          <w:rFonts w:ascii="宋体" w:hAnsi="宋体" w:cs="宋体" w:eastAsia="宋体" w:hint="default"/>
          <w:b/>
          <w:bCs/>
          <w:sz w:val="22"/>
          <w:szCs w:val="22"/>
        </w:rPr>
        <w:t>工</w:t>
      </w:r>
      <w:r>
        <w:rPr>
          <w:rFonts w:ascii="宋体" w:hAnsi="宋体" w:cs="宋体" w:eastAsia="宋体" w:hint="default"/>
          <w:b/>
          <w:bCs/>
          <w:spacing w:val="-71"/>
          <w:sz w:val="22"/>
          <w:szCs w:val="22"/>
        </w:rPr>
        <w:t> </w:t>
      </w:r>
      <w:r>
        <w:rPr>
          <w:rFonts w:ascii="宋体" w:hAnsi="宋体" w:cs="宋体" w:eastAsia="宋体" w:hint="default"/>
          <w:b/>
          <w:bCs/>
          <w:sz w:val="22"/>
          <w:szCs w:val="22"/>
        </w:rPr>
        <w:t>具</w:t>
      </w:r>
      <w:r>
        <w:rPr>
          <w:rFonts w:ascii="宋体" w:hAnsi="宋体" w:cs="宋体" w:eastAsia="宋体" w:hint="default"/>
          <w:b/>
          <w:bCs/>
          <w:spacing w:val="-71"/>
          <w:sz w:val="22"/>
          <w:szCs w:val="22"/>
        </w:rPr>
        <w:t> </w:t>
      </w:r>
      <w:r>
        <w:rPr>
          <w:rFonts w:ascii="宋体" w:hAnsi="宋体" w:cs="宋体" w:eastAsia="宋体" w:hint="default"/>
          <w:b/>
          <w:bCs/>
          <w:sz w:val="22"/>
          <w:szCs w:val="22"/>
        </w:rPr>
        <w:t>相</w:t>
      </w:r>
      <w:r>
        <w:rPr>
          <w:rFonts w:ascii="宋体" w:hAnsi="宋体" w:cs="宋体" w:eastAsia="宋体" w:hint="default"/>
          <w:b/>
          <w:bCs/>
          <w:spacing w:val="-73"/>
          <w:sz w:val="22"/>
          <w:szCs w:val="22"/>
        </w:rPr>
        <w:t> </w:t>
      </w:r>
      <w:r>
        <w:rPr>
          <w:rFonts w:ascii="宋体" w:hAnsi="宋体" w:cs="宋体" w:eastAsia="宋体" w:hint="default"/>
          <w:b/>
          <w:bCs/>
          <w:sz w:val="22"/>
          <w:szCs w:val="22"/>
        </w:rPr>
        <w:t>关</w:t>
      </w:r>
      <w:r>
        <w:rPr>
          <w:rFonts w:ascii="宋体" w:hAnsi="宋体" w:cs="宋体" w:eastAsia="宋体" w:hint="default"/>
          <w:b/>
          <w:bCs/>
          <w:spacing w:val="-71"/>
          <w:sz w:val="22"/>
          <w:szCs w:val="22"/>
        </w:rPr>
        <w:t> </w:t>
      </w:r>
      <w:r>
        <w:rPr>
          <w:rFonts w:ascii="宋体" w:hAnsi="宋体" w:cs="宋体" w:eastAsia="宋体" w:hint="default"/>
          <w:b/>
          <w:bCs/>
          <w:sz w:val="22"/>
          <w:szCs w:val="22"/>
        </w:rPr>
        <w:t>风</w:t>
      </w:r>
      <w:r>
        <w:rPr>
          <w:rFonts w:ascii="宋体" w:hAnsi="宋体" w:cs="宋体" w:eastAsia="宋体" w:hint="default"/>
          <w:b/>
          <w:bCs/>
          <w:spacing w:val="-71"/>
          <w:sz w:val="22"/>
          <w:szCs w:val="22"/>
        </w:rPr>
        <w:t> </w:t>
      </w:r>
      <w:r>
        <w:rPr>
          <w:rFonts w:ascii="宋体" w:hAnsi="宋体" w:cs="宋体" w:eastAsia="宋体" w:hint="default"/>
          <w:b/>
          <w:bCs/>
          <w:sz w:val="22"/>
          <w:szCs w:val="22"/>
        </w:rPr>
        <w:t>险</w:t>
      </w:r>
      <w:r>
        <w:rPr>
          <w:rFonts w:ascii="宋体" w:hAnsi="宋体" w:cs="宋体" w:eastAsia="宋体" w:hint="default"/>
          <w:b/>
          <w:bCs/>
          <w:w w:val="100"/>
          <w:sz w:val="22"/>
          <w:szCs w:val="22"/>
        </w:rPr>
        <w:t> </w:t>
      </w:r>
      <w:r>
        <w:rPr>
          <w:rFonts w:ascii="宋体" w:hAnsi="宋体" w:cs="宋体" w:eastAsia="宋体" w:hint="default"/>
          <w:spacing w:val="-2"/>
          <w:sz w:val="22"/>
          <w:szCs w:val="22"/>
        </w:rPr>
        <w:t>本集团的主要金融工具包括借款、应收款项、应付款项、远期结售汇、期货合约等，</w:t>
      </w:r>
    </w:p>
    <w:p>
      <w:pPr>
        <w:pStyle w:val="BodyText"/>
        <w:spacing w:line="300" w:lineRule="auto" w:before="7"/>
        <w:ind w:left="141" w:right="1697"/>
        <w:jc w:val="both"/>
      </w:pPr>
      <w:r>
        <w:rPr>
          <w:spacing w:val="-4"/>
        </w:rPr>
        <w:t>各项金融工具的详细情况说明见本附注八。与这些金融工具有关的风险，以及本集团为降</w:t>
      </w:r>
      <w:r>
        <w:rPr>
          <w:spacing w:val="-51"/>
        </w:rPr>
        <w:t> </w:t>
      </w:r>
      <w:r>
        <w:rPr>
          <w:spacing w:val="-51"/>
        </w:rPr>
      </w:r>
      <w:r>
        <w:rPr>
          <w:spacing w:val="-4"/>
        </w:rPr>
        <w:t>低这些风险所采取的风险管理政策如下所述。本集团管理层对这些风险敞口进行管理和监</w:t>
      </w:r>
      <w:r>
        <w:rPr>
          <w:spacing w:val="-51"/>
        </w:rPr>
        <w:t> </w:t>
      </w:r>
      <w:r>
        <w:rPr>
          <w:spacing w:val="-51"/>
        </w:rPr>
      </w:r>
      <w:r>
        <w:rPr/>
        <w:t>控以确保将上述风险控制在限定的范围之内。</w:t>
      </w:r>
    </w:p>
    <w:p>
      <w:pPr>
        <w:spacing w:line="480" w:lineRule="exact" w:before="10"/>
        <w:ind w:left="580" w:right="226" w:firstLine="0"/>
        <w:jc w:val="left"/>
        <w:rPr>
          <w:rFonts w:ascii="宋体" w:hAnsi="宋体" w:cs="宋体" w:eastAsia="宋体" w:hint="default"/>
          <w:sz w:val="22"/>
          <w:szCs w:val="22"/>
        </w:rPr>
      </w:pPr>
      <w:bookmarkStart w:name="各类风险管理目标和政策：" w:id="374"/>
      <w:bookmarkEnd w:id="374"/>
      <w:r>
        <w:rPr/>
      </w:r>
      <w:r>
        <w:rPr>
          <w:rFonts w:ascii="宋体" w:hAnsi="宋体" w:cs="宋体" w:eastAsia="宋体" w:hint="default"/>
          <w:b/>
          <w:bCs/>
          <w:sz w:val="22"/>
          <w:szCs w:val="22"/>
        </w:rPr>
        <w:t>各类风险管理目标和政策：</w:t>
      </w:r>
      <w:r>
        <w:rPr>
          <w:rFonts w:ascii="宋体" w:hAnsi="宋体" w:cs="宋体" w:eastAsia="宋体" w:hint="default"/>
          <w:b/>
          <w:bCs/>
          <w:w w:val="100"/>
          <w:sz w:val="22"/>
          <w:szCs w:val="22"/>
        </w:rPr>
        <w:t> </w:t>
      </w:r>
      <w:r>
        <w:rPr>
          <w:rFonts w:ascii="宋体" w:hAnsi="宋体" w:cs="宋体" w:eastAsia="宋体" w:hint="default"/>
          <w:spacing w:val="-4"/>
          <w:sz w:val="22"/>
          <w:szCs w:val="22"/>
        </w:rPr>
        <w:t>本集团从事风险管理的目标是在风险和收益之间取得适当的平衡，将风险对本集团经</w:t>
      </w:r>
    </w:p>
    <w:p>
      <w:pPr>
        <w:pStyle w:val="BodyText"/>
        <w:spacing w:line="300" w:lineRule="auto" w:before="7"/>
        <w:ind w:left="141" w:right="1697"/>
        <w:jc w:val="both"/>
      </w:pPr>
      <w:r>
        <w:rPr>
          <w:spacing w:val="-4"/>
        </w:rPr>
        <w:t>营业绩的负面影响降低到最低水平，使股东及其它权益投资者的利益最大化。基于该风险</w:t>
      </w:r>
      <w:r>
        <w:rPr>
          <w:spacing w:val="-51"/>
        </w:rPr>
        <w:t> </w:t>
      </w:r>
      <w:r>
        <w:rPr>
          <w:spacing w:val="-51"/>
        </w:rPr>
      </w:r>
      <w:r>
        <w:rPr>
          <w:spacing w:val="-4"/>
        </w:rPr>
        <w:t>管理目标，本集团风险管理的基本策略是确定和分析本集团所面临的各种风险，建立适当</w:t>
      </w:r>
      <w:r>
        <w:rPr>
          <w:spacing w:val="-51"/>
        </w:rPr>
        <w:t> </w:t>
      </w:r>
      <w:r>
        <w:rPr>
          <w:spacing w:val="-51"/>
        </w:rPr>
      </w:r>
      <w:r>
        <w:rPr>
          <w:spacing w:val="-4"/>
        </w:rPr>
        <w:t>的风险承受底线并进行风险管理，并及时可靠地对各种风险进行监督，将风险控制在限定</w:t>
      </w:r>
      <w:r>
        <w:rPr>
          <w:spacing w:val="-50"/>
        </w:rPr>
        <w:t> </w:t>
      </w:r>
      <w:r>
        <w:rPr>
          <w:spacing w:val="-50"/>
        </w:rPr>
      </w:r>
      <w:r>
        <w:rPr/>
        <w:t>的范围之内。</w:t>
      </w:r>
    </w:p>
    <w:p>
      <w:pPr>
        <w:spacing w:before="137"/>
        <w:ind w:left="580" w:right="4229" w:firstLine="0"/>
        <w:jc w:val="left"/>
        <w:rPr>
          <w:rFonts w:ascii="宋体" w:hAnsi="宋体" w:cs="宋体" w:eastAsia="宋体" w:hint="default"/>
          <w:sz w:val="22"/>
          <w:szCs w:val="22"/>
        </w:rPr>
      </w:pPr>
      <w:r>
        <w:rPr>
          <w:rFonts w:ascii="宋体" w:hAnsi="宋体" w:cs="宋体" w:eastAsia="宋体" w:hint="default"/>
          <w:b/>
          <w:bCs/>
          <w:sz w:val="22"/>
          <w:szCs w:val="22"/>
        </w:rPr>
        <w:t>1.</w:t>
      </w:r>
      <w:r>
        <w:rPr>
          <w:rFonts w:ascii="宋体" w:hAnsi="宋体" w:cs="宋体" w:eastAsia="宋体" w:hint="default"/>
          <w:b/>
          <w:bCs/>
          <w:spacing w:val="66"/>
          <w:sz w:val="22"/>
          <w:szCs w:val="22"/>
        </w:rPr>
        <w:t> </w:t>
      </w:r>
      <w:bookmarkStart w:name="1.市场风险" w:id="375"/>
      <w:bookmarkEnd w:id="375"/>
      <w:r>
        <w:rPr>
          <w:rFonts w:ascii="宋体" w:hAnsi="宋体" w:cs="宋体" w:eastAsia="宋体" w:hint="default"/>
          <w:b/>
          <w:bCs/>
          <w:spacing w:val="66"/>
          <w:sz w:val="22"/>
          <w:szCs w:val="22"/>
        </w:rPr>
      </w:r>
      <w:r>
        <w:rPr>
          <w:rFonts w:ascii="宋体" w:hAnsi="宋体" w:cs="宋体" w:eastAsia="宋体" w:hint="default"/>
          <w:sz w:val="22"/>
          <w:szCs w:val="22"/>
        </w:rPr>
        <w:t>市场风险</w:t>
      </w:r>
    </w:p>
    <w:p>
      <w:pPr>
        <w:pStyle w:val="BodyText"/>
        <w:spacing w:line="480" w:lineRule="atLeast" w:before="0"/>
        <w:ind w:left="580" w:right="226"/>
        <w:jc w:val="left"/>
      </w:pPr>
      <w:r>
        <w:rPr/>
        <w:t>（1）</w:t>
      </w:r>
      <w:r>
        <w:rPr>
          <w:spacing w:val="31"/>
        </w:rPr>
        <w:t> </w:t>
      </w:r>
      <w:r>
        <w:rPr/>
        <w:t>汇率风险</w:t>
      </w:r>
      <w:r>
        <w:rPr>
          <w:w w:val="100"/>
        </w:rPr>
        <w:t> </w:t>
      </w:r>
      <w:r>
        <w:rPr>
          <w:spacing w:val="-1"/>
        </w:rPr>
        <w:t>如附注“八、55.外币货币性项目”所示，本集团外币货币性项目主要是美元，其他</w:t>
      </w:r>
    </w:p>
    <w:p>
      <w:pPr>
        <w:pStyle w:val="BodyText"/>
        <w:spacing w:line="300" w:lineRule="auto" w:before="72"/>
        <w:ind w:left="141" w:right="1694"/>
        <w:jc w:val="both"/>
      </w:pPr>
      <w:r>
        <w:rPr>
          <w:spacing w:val="-4"/>
        </w:rPr>
        <w:t>外币项目如欧元、瑞士法郎以及港币，对本公司不具有重大影响。本集团承受汇率风险主</w:t>
      </w:r>
      <w:r>
        <w:rPr>
          <w:spacing w:val="-51"/>
        </w:rPr>
        <w:t> </w:t>
      </w:r>
      <w:r>
        <w:rPr>
          <w:spacing w:val="-51"/>
        </w:rPr>
      </w:r>
      <w:r>
        <w:rPr>
          <w:spacing w:val="-4"/>
        </w:rPr>
        <w:t>要与美元相关，本集团的下属子公司浙江万马集团特种电子电缆有限公司和浙江万马天屹</w:t>
      </w:r>
      <w:r>
        <w:rPr>
          <w:spacing w:val="-51"/>
        </w:rPr>
        <w:t> </w:t>
      </w:r>
      <w:r>
        <w:rPr>
          <w:spacing w:val="-51"/>
        </w:rPr>
      </w:r>
      <w:r>
        <w:rPr/>
        <w:t>通信线缆有限公司以美元进行销售，下属子公司Optrum</w:t>
      </w:r>
      <w:r>
        <w:rPr>
          <w:spacing w:val="-64"/>
        </w:rPr>
        <w:t> </w:t>
      </w:r>
      <w:r>
        <w:rPr/>
        <w:t>Technology</w:t>
      </w:r>
      <w:r>
        <w:rPr>
          <w:spacing w:val="-64"/>
        </w:rPr>
        <w:t> </w:t>
      </w:r>
      <w:r>
        <w:rPr>
          <w:spacing w:val="-3"/>
        </w:rPr>
        <w:t>LLC、Steed</w:t>
      </w:r>
      <w:r>
        <w:rPr>
          <w:spacing w:val="-62"/>
        </w:rPr>
        <w:t> </w:t>
      </w:r>
      <w:r>
        <w:rPr/>
        <w:t>networks</w:t>
      </w:r>
      <w:r>
        <w:rPr>
          <w:w w:val="100"/>
        </w:rPr>
        <w:t> </w:t>
      </w:r>
      <w:r>
        <w:rPr/>
        <w:t>technologies</w:t>
      </w:r>
      <w:r>
        <w:rPr>
          <w:spacing w:val="-22"/>
        </w:rPr>
        <w:t> </w:t>
      </w:r>
      <w:r>
        <w:rPr>
          <w:spacing w:val="-3"/>
        </w:rPr>
        <w:t>Co.,LTD和香港骐骥国际发展有限公司以美元进行采购和销售，下属子公司</w:t>
      </w:r>
      <w:r>
        <w:rPr>
          <w:spacing w:val="-86"/>
        </w:rPr>
        <w:t> </w:t>
      </w:r>
      <w:r>
        <w:rPr>
          <w:spacing w:val="-86"/>
        </w:rPr>
      </w:r>
      <w:r>
        <w:rPr>
          <w:spacing w:val="-4"/>
        </w:rPr>
        <w:t>万马线缆（越南）有限公司以越南盾进行采购、生产和销售，本集团的其它主要业务活动</w:t>
      </w:r>
      <w:r>
        <w:rPr>
          <w:spacing w:val="-49"/>
        </w:rPr>
        <w:t> </w:t>
      </w:r>
      <w:r>
        <w:rPr>
          <w:spacing w:val="-49"/>
        </w:rPr>
      </w:r>
      <w:r>
        <w:rPr>
          <w:spacing w:val="-4"/>
        </w:rPr>
        <w:t>以人民币计价结算。于2019年12月31日，除下表所述资产及负债的美元、欧元余额外，本</w:t>
      </w:r>
      <w:r>
        <w:rPr>
          <w:spacing w:val="-39"/>
        </w:rPr>
        <w:t> </w:t>
      </w:r>
      <w:r>
        <w:rPr>
          <w:spacing w:val="-39"/>
        </w:rPr>
      </w:r>
      <w:r>
        <w:rPr>
          <w:spacing w:val="-4"/>
        </w:rPr>
        <w:t>集团的资产及负债为人民币余额和零星的瑞士法郎、港币、越南盾余额。该等美元、欧元</w:t>
      </w:r>
      <w:r>
        <w:rPr>
          <w:spacing w:val="-49"/>
        </w:rPr>
        <w:t> </w:t>
      </w:r>
      <w:r>
        <w:rPr>
          <w:spacing w:val="-49"/>
        </w:rPr>
      </w:r>
      <w:r>
        <w:rPr/>
        <w:t>的资产和负债产生的汇率风险可能对本集团的经营业绩产生影响。</w:t>
      </w:r>
    </w:p>
    <w:p>
      <w:pPr>
        <w:spacing w:after="0" w:line="300" w:lineRule="auto"/>
        <w:jc w:val="both"/>
        <w:sectPr>
          <w:headerReference w:type="default" r:id="rId72"/>
          <w:footerReference w:type="default" r:id="rId73"/>
          <w:pgSz w:w="11910" w:h="16840"/>
          <w:pgMar w:header="939" w:footer="883" w:top="1980" w:bottom="1080" w:left="1560" w:right="0"/>
          <w:pgNumType w:start="162"/>
        </w:sectPr>
      </w:pPr>
    </w:p>
    <w:p>
      <w:pPr>
        <w:spacing w:line="240" w:lineRule="auto" w:before="7"/>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3708"/>
        <w:gridCol w:w="2500"/>
        <w:gridCol w:w="2433"/>
      </w:tblGrid>
      <w:tr>
        <w:trPr>
          <w:trHeight w:val="417" w:hRule="exact"/>
        </w:trPr>
        <w:tc>
          <w:tcPr>
            <w:tcW w:w="370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501"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243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left="469"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货币资金－美元</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5,259,636.42</w:t>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10,121,963.51</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应收票据－美元</w:t>
            </w:r>
          </w:p>
        </w:tc>
        <w:tc>
          <w:tcPr>
            <w:tcW w:w="2500" w:type="dxa"/>
            <w:tcBorders>
              <w:top w:val="single" w:sz="4" w:space="0" w:color="000000"/>
              <w:left w:val="single" w:sz="4" w:space="0" w:color="000000"/>
              <w:bottom w:val="single" w:sz="4" w:space="0" w:color="000000"/>
              <w:right w:val="single" w:sz="4" w:space="0" w:color="000000"/>
            </w:tcBorders>
          </w:tcPr>
          <w:p>
            <w:pP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160,380.00</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应收账款－美元</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12,196,469.72</w:t>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13,022,320.77</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预付款项－美元</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宋体" w:hAnsi="宋体" w:cs="宋体" w:eastAsia="宋体" w:hint="default"/>
                <w:sz w:val="18"/>
                <w:szCs w:val="18"/>
              </w:rPr>
            </w:pPr>
            <w:r>
              <w:rPr>
                <w:rFonts w:ascii="宋体"/>
                <w:spacing w:val="-1"/>
                <w:sz w:val="18"/>
              </w:rPr>
              <w:t>6,936.00</w:t>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spacing w:val="-1"/>
                <w:sz w:val="18"/>
              </w:rPr>
              <w:t>7,344.00</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其他应收款－美元</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4,853.60</w:t>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8,539.51</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资产小计</w:t>
            </w:r>
            <w:r>
              <w:rPr>
                <w:rFonts w:ascii="宋体" w:hAnsi="宋体" w:cs="宋体" w:eastAsia="宋体" w:hint="default"/>
                <w:sz w:val="18"/>
                <w:szCs w:val="18"/>
              </w:rPr>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9"/>
              <w:jc w:val="right"/>
              <w:rPr>
                <w:rFonts w:ascii="宋体" w:hAnsi="宋体" w:cs="宋体" w:eastAsia="宋体" w:hint="default"/>
                <w:sz w:val="18"/>
                <w:szCs w:val="18"/>
              </w:rPr>
            </w:pPr>
            <w:r>
              <w:rPr>
                <w:rFonts w:ascii="宋体"/>
                <w:b/>
                <w:w w:val="95"/>
                <w:sz w:val="18"/>
              </w:rPr>
              <w:t>17,467,895.74</w:t>
            </w:r>
            <w:r>
              <w:rPr>
                <w:rFonts w:ascii="宋体"/>
                <w:sz w:val="18"/>
              </w:rPr>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w w:val="95"/>
                <w:sz w:val="18"/>
              </w:rPr>
              <w:t>23,320,547.79</w:t>
            </w:r>
            <w:r>
              <w:rPr>
                <w:rFonts w:ascii="宋体"/>
                <w:sz w:val="18"/>
              </w:rPr>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应付票据－美元</w:t>
            </w:r>
          </w:p>
        </w:tc>
        <w:tc>
          <w:tcPr>
            <w:tcW w:w="2500" w:type="dxa"/>
            <w:tcBorders>
              <w:top w:val="single" w:sz="4" w:space="0" w:color="000000"/>
              <w:left w:val="single" w:sz="4" w:space="0" w:color="000000"/>
              <w:bottom w:val="single" w:sz="4" w:space="0" w:color="000000"/>
              <w:right w:val="single" w:sz="4" w:space="0" w:color="000000"/>
            </w:tcBorders>
          </w:tcPr>
          <w:p>
            <w:pP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155,925.00</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应付账款－美元</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3,408,241.18</w:t>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3,203,365.79</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预收款项－美元</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1,016,547.05</w:t>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206,249.53</w:t>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负债小计</w:t>
            </w:r>
            <w:r>
              <w:rPr>
                <w:rFonts w:ascii="宋体" w:hAnsi="宋体" w:cs="宋体" w:eastAsia="宋体" w:hint="default"/>
                <w:sz w:val="18"/>
                <w:szCs w:val="18"/>
              </w:rPr>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w w:val="95"/>
                <w:sz w:val="18"/>
              </w:rPr>
              <w:t>4,424,788.23</w:t>
            </w:r>
            <w:r>
              <w:rPr>
                <w:rFonts w:ascii="宋体"/>
                <w:sz w:val="18"/>
              </w:rPr>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95"/>
              <w:jc w:val="right"/>
              <w:rPr>
                <w:rFonts w:ascii="宋体" w:hAnsi="宋体" w:cs="宋体" w:eastAsia="宋体" w:hint="default"/>
                <w:sz w:val="18"/>
                <w:szCs w:val="18"/>
              </w:rPr>
            </w:pPr>
            <w:r>
              <w:rPr>
                <w:rFonts w:ascii="宋体"/>
                <w:b/>
                <w:w w:val="95"/>
                <w:sz w:val="18"/>
              </w:rPr>
              <w:t>3,565,540.32</w:t>
            </w:r>
            <w:r>
              <w:rPr>
                <w:rFonts w:ascii="宋体"/>
                <w:sz w:val="18"/>
              </w:rPr>
            </w:r>
          </w:p>
        </w:tc>
      </w:tr>
      <w:tr>
        <w:trPr>
          <w:trHeight w:val="407" w:hRule="exact"/>
        </w:trPr>
        <w:tc>
          <w:tcPr>
            <w:tcW w:w="3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资产-负债</w:t>
            </w:r>
            <w:r>
              <w:rPr>
                <w:rFonts w:ascii="宋体" w:hAnsi="宋体" w:cs="宋体" w:eastAsia="宋体" w:hint="default"/>
                <w:sz w:val="18"/>
                <w:szCs w:val="18"/>
              </w:rPr>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89"/>
              <w:jc w:val="right"/>
              <w:rPr>
                <w:rFonts w:ascii="宋体" w:hAnsi="宋体" w:cs="宋体" w:eastAsia="宋体" w:hint="default"/>
                <w:sz w:val="18"/>
                <w:szCs w:val="18"/>
              </w:rPr>
            </w:pPr>
            <w:r>
              <w:rPr>
                <w:rFonts w:ascii="宋体"/>
                <w:b/>
                <w:w w:val="95"/>
                <w:sz w:val="18"/>
              </w:rPr>
              <w:t>13,043,107.51</w:t>
            </w:r>
            <w:r>
              <w:rPr>
                <w:rFonts w:ascii="宋体"/>
                <w:sz w:val="18"/>
              </w:rPr>
            </w:r>
          </w:p>
        </w:tc>
        <w:tc>
          <w:tcPr>
            <w:tcW w:w="24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93"/>
              <w:jc w:val="right"/>
              <w:rPr>
                <w:rFonts w:ascii="宋体" w:hAnsi="宋体" w:cs="宋体" w:eastAsia="宋体" w:hint="default"/>
                <w:sz w:val="18"/>
                <w:szCs w:val="18"/>
              </w:rPr>
            </w:pPr>
            <w:r>
              <w:rPr>
                <w:rFonts w:ascii="宋体"/>
                <w:b/>
                <w:w w:val="95"/>
                <w:sz w:val="18"/>
              </w:rPr>
              <w:t>19,755,007.47</w:t>
            </w:r>
            <w:r>
              <w:rPr>
                <w:rFonts w:ascii="宋体"/>
                <w:sz w:val="18"/>
              </w:rPr>
            </w:r>
          </w:p>
        </w:tc>
      </w:tr>
      <w:tr>
        <w:trPr>
          <w:trHeight w:val="417" w:hRule="exact"/>
        </w:trPr>
        <w:tc>
          <w:tcPr>
            <w:tcW w:w="370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短期借款－欧元</w:t>
            </w:r>
          </w:p>
        </w:tc>
        <w:tc>
          <w:tcPr>
            <w:tcW w:w="25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4,068,084.53</w:t>
            </w:r>
          </w:p>
        </w:tc>
        <w:tc>
          <w:tcPr>
            <w:tcW w:w="24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4,018,000.00</w:t>
            </w:r>
          </w:p>
        </w:tc>
      </w:tr>
    </w:tbl>
    <w:p>
      <w:pPr>
        <w:spacing w:line="240" w:lineRule="auto" w:before="3"/>
        <w:rPr>
          <w:rFonts w:ascii="宋体" w:hAnsi="宋体" w:cs="宋体" w:eastAsia="宋体" w:hint="default"/>
          <w:sz w:val="9"/>
          <w:szCs w:val="9"/>
        </w:rPr>
      </w:pPr>
    </w:p>
    <w:p>
      <w:pPr>
        <w:pStyle w:val="BodyText"/>
        <w:spacing w:line="240" w:lineRule="auto"/>
        <w:ind w:left="640" w:right="869"/>
        <w:jc w:val="left"/>
      </w:pPr>
      <w:r>
        <w:rPr/>
        <w:t>本集团密切关注汇率变动对本集团的影响。</w:t>
      </w:r>
    </w:p>
    <w:p>
      <w:pPr>
        <w:pStyle w:val="BodyText"/>
        <w:spacing w:line="480" w:lineRule="atLeast" w:before="0"/>
        <w:ind w:left="640" w:right="869"/>
        <w:jc w:val="left"/>
      </w:pPr>
      <w:r>
        <w:rPr/>
        <w:t>（2）</w:t>
      </w:r>
      <w:r>
        <w:rPr>
          <w:spacing w:val="31"/>
        </w:rPr>
        <w:t> </w:t>
      </w:r>
      <w:r>
        <w:rPr/>
        <w:t>利率风险</w:t>
      </w:r>
      <w:r>
        <w:rPr>
          <w:w w:val="100"/>
        </w:rPr>
        <w:t> </w:t>
      </w:r>
      <w:r>
        <w:rPr>
          <w:spacing w:val="-4"/>
        </w:rPr>
        <w:t>本集团的利率风险产生于银行借款及应付债券等带息债务。于2019年12月31日，本集</w:t>
      </w:r>
    </w:p>
    <w:p>
      <w:pPr>
        <w:pStyle w:val="BodyText"/>
        <w:spacing w:line="240" w:lineRule="auto" w:before="72"/>
        <w:ind w:left="201" w:right="869"/>
        <w:jc w:val="left"/>
      </w:pPr>
      <w:r>
        <w:rPr/>
        <w:t>团的带息债务主要为人民币计价的固定利率借款合同，金额合计为1,070,726,981.57元</w:t>
      </w:r>
    </w:p>
    <w:p>
      <w:pPr>
        <w:pStyle w:val="BodyText"/>
        <w:spacing w:line="240" w:lineRule="auto" w:before="72"/>
        <w:ind w:left="201" w:right="869"/>
        <w:jc w:val="left"/>
      </w:pPr>
      <w:r>
        <w:rPr/>
        <w:t>（2018年12月31日：1,495,186,234.26元）。</w:t>
      </w:r>
    </w:p>
    <w:p>
      <w:pPr>
        <w:pStyle w:val="BodyText"/>
        <w:spacing w:line="480" w:lineRule="atLeast" w:before="0"/>
        <w:ind w:left="640" w:right="869"/>
        <w:jc w:val="left"/>
      </w:pPr>
      <w:r>
        <w:rPr/>
        <w:t>（3）</w:t>
      </w:r>
      <w:r>
        <w:rPr>
          <w:spacing w:val="31"/>
        </w:rPr>
        <w:t> </w:t>
      </w:r>
      <w:r>
        <w:rPr/>
        <w:t>价格风险</w:t>
      </w:r>
      <w:r>
        <w:rPr>
          <w:w w:val="100"/>
        </w:rPr>
        <w:t> </w:t>
      </w:r>
      <w:r>
        <w:rPr>
          <w:spacing w:val="-4"/>
        </w:rPr>
        <w:t>本集团以市场价格采购铜材等原材料，同时本集团基于销售订单数据分析预期的铜采</w:t>
      </w:r>
    </w:p>
    <w:p>
      <w:pPr>
        <w:pStyle w:val="BodyText"/>
        <w:spacing w:line="400" w:lineRule="auto" w:before="72"/>
        <w:ind w:left="640" w:right="2597" w:hanging="440"/>
        <w:jc w:val="left"/>
      </w:pPr>
      <w:r>
        <w:rPr>
          <w:spacing w:val="-2"/>
        </w:rPr>
        <w:t>购交易，以此为依据进行期铜合约套期操作，因此受到此等价格波动的影响。</w:t>
      </w:r>
      <w:r>
        <w:rPr>
          <w:spacing w:val="-63"/>
        </w:rPr>
        <w:t> </w:t>
      </w:r>
      <w:r>
        <w:rPr>
          <w:spacing w:val="-63"/>
        </w:rPr>
      </w:r>
      <w:r>
        <w:rPr/>
        <w:t>2.</w:t>
      </w:r>
      <w:r>
        <w:rPr>
          <w:spacing w:val="68"/>
        </w:rPr>
        <w:t> </w:t>
      </w:r>
      <w:bookmarkStart w:name="2.信用风险" w:id="376"/>
      <w:bookmarkEnd w:id="376"/>
      <w:r>
        <w:rPr/>
        <w:t>信</w:t>
      </w:r>
      <w:r>
        <w:rPr/>
        <w:t>用风险</w:t>
      </w:r>
    </w:p>
    <w:p>
      <w:pPr>
        <w:pStyle w:val="BodyText"/>
        <w:spacing w:line="300" w:lineRule="auto" w:before="44"/>
        <w:ind w:left="201" w:right="1697" w:firstLine="439"/>
        <w:jc w:val="both"/>
      </w:pPr>
      <w:r>
        <w:rPr>
          <w:spacing w:val="-4"/>
        </w:rPr>
        <w:t>于2019年12月31日，可能引起本集团财务损失的最大信用风险敞口主要来自于合同另</w:t>
      </w:r>
      <w:r>
        <w:rPr>
          <w:w w:val="100"/>
        </w:rPr>
        <w:t> </w:t>
      </w:r>
      <w:r>
        <w:rPr>
          <w:spacing w:val="-4"/>
        </w:rPr>
        <w:t>一方未能履行义务而导致本集团金融资产产生的损失以及本集团承担的财务担保，具体包</w:t>
      </w:r>
      <w:r>
        <w:rPr>
          <w:spacing w:val="-53"/>
        </w:rPr>
        <w:t> </w:t>
      </w:r>
      <w:r>
        <w:rPr>
          <w:spacing w:val="-53"/>
        </w:rPr>
      </w:r>
      <w:r>
        <w:rPr/>
        <w:t>括：</w:t>
      </w:r>
    </w:p>
    <w:p>
      <w:pPr>
        <w:pStyle w:val="BodyText"/>
        <w:spacing w:line="300" w:lineRule="auto" w:before="137"/>
        <w:ind w:left="201" w:right="1697" w:firstLine="439"/>
        <w:jc w:val="both"/>
      </w:pPr>
      <w:r>
        <w:rPr>
          <w:spacing w:val="-4"/>
        </w:rPr>
        <w:t>合并资产负债表中已确认的金融资产的账面金额；对于以公允价值计量的金融工具而</w:t>
      </w:r>
      <w:r>
        <w:rPr>
          <w:w w:val="100"/>
        </w:rPr>
        <w:t> </w:t>
      </w:r>
      <w:r>
        <w:rPr>
          <w:spacing w:val="-4"/>
        </w:rPr>
        <w:t>言，账面价值反映了其风险敞口，但并非最大风险敞口，其最大风险敞口将随着未来公允</w:t>
      </w:r>
      <w:r>
        <w:rPr>
          <w:spacing w:val="-51"/>
        </w:rPr>
        <w:t> </w:t>
      </w:r>
      <w:r>
        <w:rPr>
          <w:spacing w:val="-51"/>
        </w:rPr>
      </w:r>
      <w:r>
        <w:rPr/>
        <w:t>价值的变化而改变。</w:t>
      </w:r>
    </w:p>
    <w:p>
      <w:pPr>
        <w:pStyle w:val="BodyText"/>
        <w:spacing w:line="300" w:lineRule="auto" w:before="137"/>
        <w:ind w:left="201" w:right="1697" w:firstLine="439"/>
        <w:jc w:val="both"/>
      </w:pPr>
      <w:r>
        <w:rPr>
          <w:spacing w:val="-4"/>
        </w:rPr>
        <w:t>为降低信用风险，本集团成立专门部门确定信用额度、进行信用审批，并执行其它监</w:t>
      </w:r>
      <w:r>
        <w:rPr>
          <w:w w:val="100"/>
        </w:rPr>
        <w:t> </w:t>
      </w:r>
      <w:r>
        <w:rPr>
          <w:spacing w:val="-4"/>
        </w:rPr>
        <w:t>控程序以确保采取必要的措施回收过期债权。此外，本集团于每个资产负债表日审核每一</w:t>
      </w:r>
      <w:r>
        <w:rPr>
          <w:spacing w:val="-51"/>
        </w:rPr>
        <w:t> </w:t>
      </w:r>
      <w:r>
        <w:rPr>
          <w:spacing w:val="-51"/>
        </w:rPr>
      </w:r>
      <w:r>
        <w:rPr>
          <w:spacing w:val="-4"/>
        </w:rPr>
        <w:t>单项应收款的回收情况，以确保就无法回收的款项计提充分的坏账准备。因此，本集团管</w:t>
      </w:r>
      <w:r>
        <w:rPr>
          <w:spacing w:val="-51"/>
        </w:rPr>
        <w:t> </w:t>
      </w:r>
      <w:r>
        <w:rPr>
          <w:spacing w:val="-51"/>
        </w:rPr>
      </w:r>
      <w:r>
        <w:rPr/>
        <w:t>理层认为本集团所承担的信用风险已经大为降低。</w:t>
      </w:r>
    </w:p>
    <w:p>
      <w:pPr>
        <w:spacing w:after="0" w:line="300" w:lineRule="auto"/>
        <w:jc w:val="both"/>
        <w:sectPr>
          <w:pgSz w:w="11910" w:h="16840"/>
          <w:pgMar w:header="939" w:footer="883" w:top="1980" w:bottom="1080" w:left="1500" w:right="0"/>
        </w:sectPr>
      </w:pPr>
    </w:p>
    <w:p>
      <w:pPr>
        <w:spacing w:line="240" w:lineRule="auto" w:before="7"/>
        <w:rPr>
          <w:rFonts w:ascii="宋体" w:hAnsi="宋体" w:cs="宋体" w:eastAsia="宋体" w:hint="default"/>
          <w:sz w:val="9"/>
          <w:szCs w:val="9"/>
        </w:rPr>
      </w:pPr>
    </w:p>
    <w:p>
      <w:pPr>
        <w:pStyle w:val="BodyText"/>
        <w:spacing w:line="240" w:lineRule="auto"/>
        <w:ind w:left="640" w:right="869"/>
        <w:jc w:val="left"/>
      </w:pPr>
      <w:r>
        <w:rPr/>
        <w:t>本集团的流动资金存放在信用评级较高的银行，故流动资金的信用风险较低。</w:t>
      </w:r>
    </w:p>
    <w:p>
      <w:pPr>
        <w:pStyle w:val="BodyText"/>
        <w:spacing w:line="300" w:lineRule="auto" w:before="192"/>
        <w:ind w:left="201" w:right="1697" w:firstLine="439"/>
        <w:jc w:val="both"/>
      </w:pPr>
      <w:r>
        <w:rPr>
          <w:spacing w:val="-4"/>
        </w:rPr>
        <w:t>本集团采用了必要的政策确保所有销售客户均具有良好的信用记录。除应收账款金额</w:t>
      </w:r>
      <w:r>
        <w:rPr>
          <w:w w:val="100"/>
        </w:rPr>
        <w:t> </w:t>
      </w:r>
      <w:r>
        <w:rPr/>
        <w:t>前五名外，本集团无其他重大信用集中风险。</w:t>
      </w:r>
    </w:p>
    <w:p>
      <w:pPr>
        <w:pStyle w:val="BodyText"/>
        <w:spacing w:line="400" w:lineRule="auto" w:before="137"/>
        <w:ind w:left="643" w:right="5005" w:hanging="3"/>
        <w:jc w:val="left"/>
      </w:pPr>
      <w:r>
        <w:rPr>
          <w:spacing w:val="-2"/>
        </w:rPr>
        <w:t>应收账款前五名金额合计：268,206,711.50元。</w:t>
      </w:r>
      <w:r>
        <w:rPr>
          <w:spacing w:val="-71"/>
        </w:rPr>
        <w:t> </w:t>
      </w:r>
      <w:r>
        <w:rPr>
          <w:spacing w:val="-71"/>
        </w:rPr>
      </w:r>
      <w:r>
        <w:rPr/>
        <w:t>3.</w:t>
      </w:r>
      <w:r>
        <w:rPr>
          <w:spacing w:val="66"/>
        </w:rPr>
        <w:t> </w:t>
      </w:r>
      <w:bookmarkStart w:name="3.流动风险" w:id="377"/>
      <w:bookmarkEnd w:id="377"/>
      <w:r>
        <w:rPr/>
        <w:t>流</w:t>
      </w:r>
      <w:r>
        <w:rPr/>
        <w:t>动风险</w:t>
      </w:r>
    </w:p>
    <w:p>
      <w:pPr>
        <w:pStyle w:val="BodyText"/>
        <w:spacing w:line="300" w:lineRule="auto" w:before="44"/>
        <w:ind w:left="201" w:right="1697" w:firstLine="439"/>
        <w:jc w:val="both"/>
      </w:pPr>
      <w:r>
        <w:rPr>
          <w:spacing w:val="-4"/>
        </w:rPr>
        <w:t>流动风险为本集团在到期日无法履行其财务义务的风险。本集团管理流动性风险的方</w:t>
      </w:r>
      <w:r>
        <w:rPr>
          <w:w w:val="100"/>
        </w:rPr>
        <w:t> </w:t>
      </w:r>
      <w:r>
        <w:rPr>
          <w:spacing w:val="-4"/>
        </w:rPr>
        <w:t>法是确保有足够的资金流动性来履行到期债务，而不至于造成不可接受的损失或对企业信</w:t>
      </w:r>
      <w:r>
        <w:rPr>
          <w:spacing w:val="-53"/>
        </w:rPr>
        <w:t> </w:t>
      </w:r>
      <w:r>
        <w:rPr>
          <w:spacing w:val="-53"/>
        </w:rPr>
      </w:r>
      <w:r>
        <w:rPr>
          <w:spacing w:val="-4"/>
        </w:rPr>
        <w:t>誉造成损害。本集团定期分析负债结构和期限，以确保有充裕的资金。本集团管理层对银</w:t>
      </w:r>
      <w:r>
        <w:rPr>
          <w:spacing w:val="-51"/>
        </w:rPr>
        <w:t> </w:t>
      </w:r>
      <w:r>
        <w:rPr>
          <w:spacing w:val="-51"/>
        </w:rPr>
      </w:r>
      <w:r>
        <w:rPr>
          <w:spacing w:val="-4"/>
        </w:rPr>
        <w:t>行借款的使用情况进行监控并确保遵守借款协议。同时与金融机构进行融资磋商，以保持</w:t>
      </w:r>
      <w:r>
        <w:rPr>
          <w:spacing w:val="-53"/>
        </w:rPr>
        <w:t> </w:t>
      </w:r>
      <w:r>
        <w:rPr>
          <w:spacing w:val="-53"/>
        </w:rPr>
      </w:r>
      <w:r>
        <w:rPr/>
        <w:t>一定的授信额度，减低流动性风险。</w:t>
      </w:r>
    </w:p>
    <w:p>
      <w:pPr>
        <w:pStyle w:val="BodyText"/>
        <w:spacing w:line="300" w:lineRule="auto" w:before="137"/>
        <w:ind w:left="201" w:right="1697" w:firstLine="439"/>
        <w:jc w:val="both"/>
      </w:pPr>
      <w:r>
        <w:rPr>
          <w:spacing w:val="-4"/>
        </w:rPr>
        <w:t>本集团将银行借款作为主要资金来源。于2019年12月31日，本集团尚未使用的银行借</w:t>
      </w:r>
      <w:r>
        <w:rPr>
          <w:w w:val="100"/>
        </w:rPr>
        <w:t> </w:t>
      </w:r>
      <w:r>
        <w:rPr/>
        <w:t>款额度为人民币252,985.25万元，均为短期银行借款额度。</w:t>
      </w:r>
    </w:p>
    <w:p>
      <w:pPr>
        <w:spacing w:line="240" w:lineRule="auto" w:before="8"/>
        <w:rPr>
          <w:rFonts w:ascii="宋体" w:hAnsi="宋体" w:cs="宋体" w:eastAsia="宋体" w:hint="default"/>
          <w:sz w:val="19"/>
          <w:szCs w:val="19"/>
        </w:rPr>
      </w:pPr>
    </w:p>
    <w:p>
      <w:pPr>
        <w:pStyle w:val="Heading4"/>
        <w:spacing w:line="240" w:lineRule="auto"/>
        <w:ind w:left="660" w:right="869"/>
        <w:jc w:val="left"/>
        <w:rPr>
          <w:b w:val="0"/>
          <w:bCs w:val="0"/>
        </w:rPr>
      </w:pPr>
      <w:bookmarkStart w:name="十二、公允价值的披露" w:id="378"/>
      <w:bookmarkEnd w:id="378"/>
      <w:r>
        <w:rPr>
          <w:b w:val="0"/>
          <w:bCs w:val="0"/>
        </w:rPr>
      </w:r>
      <w:r>
        <w:rPr/>
        <w:t>十</w:t>
      </w:r>
      <w:r>
        <w:rPr>
          <w:spacing w:val="-71"/>
        </w:rPr>
        <w:t> </w:t>
      </w:r>
      <w:r>
        <w:rPr/>
        <w:t>二</w:t>
      </w:r>
      <w:r>
        <w:rPr>
          <w:spacing w:val="-73"/>
        </w:rPr>
        <w:t> </w:t>
      </w:r>
      <w:r>
        <w:rPr/>
        <w:t>、</w:t>
      </w:r>
      <w:r>
        <w:rPr>
          <w:spacing w:val="-71"/>
        </w:rPr>
        <w:t> </w:t>
      </w:r>
      <w:r>
        <w:rPr/>
        <w:t>公</w:t>
      </w:r>
      <w:r>
        <w:rPr>
          <w:spacing w:val="-71"/>
        </w:rPr>
        <w:t> </w:t>
      </w:r>
      <w:r>
        <w:rPr/>
        <w:t>允</w:t>
      </w:r>
      <w:r>
        <w:rPr>
          <w:spacing w:val="-73"/>
        </w:rPr>
        <w:t> </w:t>
      </w:r>
      <w:r>
        <w:rPr/>
        <w:t>价</w:t>
      </w:r>
      <w:r>
        <w:rPr>
          <w:spacing w:val="-71"/>
        </w:rPr>
        <w:t> </w:t>
      </w:r>
      <w:r>
        <w:rPr/>
        <w:t>值</w:t>
      </w:r>
      <w:r>
        <w:rPr>
          <w:spacing w:val="-71"/>
        </w:rPr>
        <w:t> </w:t>
      </w:r>
      <w:r>
        <w:rPr/>
        <w:t>的</w:t>
      </w:r>
      <w:r>
        <w:rPr>
          <w:spacing w:val="-71"/>
        </w:rPr>
        <w:t> </w:t>
      </w:r>
      <w:r>
        <w:rPr/>
        <w:t>披</w:t>
      </w:r>
      <w:r>
        <w:rPr>
          <w:spacing w:val="-73"/>
        </w:rPr>
        <w:t> </w:t>
      </w:r>
      <w:r>
        <w:rPr/>
        <w:t>露</w:t>
      </w:r>
      <w:r>
        <w:rPr>
          <w:b w:val="0"/>
          <w:bCs w:val="0"/>
        </w:rPr>
      </w:r>
    </w:p>
    <w:p>
      <w:pPr>
        <w:pStyle w:val="BodyText"/>
        <w:spacing w:line="240" w:lineRule="auto" w:before="192"/>
        <w:ind w:left="768" w:right="869"/>
        <w:jc w:val="left"/>
      </w:pPr>
      <w:r>
        <w:rPr/>
        <w:t>1.</w:t>
      </w:r>
      <w:r>
        <w:rPr>
          <w:spacing w:val="-15"/>
        </w:rPr>
        <w:t> </w:t>
      </w:r>
      <w:bookmarkStart w:name="1.年末以公允价值计量的资产和负债的金额和公允价值计量层次" w:id="379"/>
      <w:bookmarkEnd w:id="379"/>
      <w:r>
        <w:rPr/>
        <w:t>年</w:t>
      </w:r>
      <w:r>
        <w:rPr/>
        <w:t>末以公允价值计量的资产和负债的金额和公允价值计量层次</w:t>
      </w:r>
    </w:p>
    <w:p>
      <w:pPr>
        <w:spacing w:line="240" w:lineRule="auto" w:before="2"/>
        <w:rPr>
          <w:rFonts w:ascii="宋体" w:hAnsi="宋体" w:cs="宋体" w:eastAsia="宋体" w:hint="default"/>
          <w:sz w:val="12"/>
          <w:szCs w:val="12"/>
        </w:rPr>
      </w:pPr>
    </w:p>
    <w:tbl>
      <w:tblPr>
        <w:tblW w:w="0" w:type="auto"/>
        <w:jc w:val="left"/>
        <w:tblInd w:w="109" w:type="dxa"/>
        <w:tblLayout w:type="fixed"/>
        <w:tblCellMar>
          <w:top w:w="0" w:type="dxa"/>
          <w:left w:w="0" w:type="dxa"/>
          <w:bottom w:w="0" w:type="dxa"/>
          <w:right w:w="0" w:type="dxa"/>
        </w:tblCellMar>
        <w:tblLook w:val="01E0"/>
      </w:tblPr>
      <w:tblGrid>
        <w:gridCol w:w="2848"/>
        <w:gridCol w:w="1276"/>
        <w:gridCol w:w="1418"/>
        <w:gridCol w:w="1559"/>
        <w:gridCol w:w="1559"/>
      </w:tblGrid>
      <w:tr>
        <w:trPr>
          <w:trHeight w:val="415" w:hRule="exact"/>
        </w:trPr>
        <w:tc>
          <w:tcPr>
            <w:tcW w:w="2848" w:type="dxa"/>
            <w:vMerge w:val="restart"/>
            <w:tcBorders>
              <w:top w:val="single" w:sz="12" w:space="0" w:color="000000"/>
              <w:left w:val="nil" w:sz="6" w:space="0" w:color="auto"/>
              <w:right w:val="single" w:sz="2"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812" w:type="dxa"/>
            <w:gridSpan w:val="4"/>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37"/>
              <w:jc w:val="center"/>
              <w:rPr>
                <w:rFonts w:ascii="宋体" w:hAnsi="宋体" w:cs="宋体" w:eastAsia="宋体" w:hint="default"/>
                <w:sz w:val="18"/>
                <w:szCs w:val="18"/>
              </w:rPr>
            </w:pPr>
            <w:r>
              <w:rPr>
                <w:rFonts w:ascii="宋体" w:hAnsi="宋体" w:cs="宋体" w:eastAsia="宋体" w:hint="default"/>
                <w:b/>
                <w:bCs/>
                <w:sz w:val="18"/>
                <w:szCs w:val="18"/>
              </w:rPr>
              <w:t>年</w:t>
            </w:r>
            <w:r>
              <w:rPr>
                <w:rFonts w:ascii="宋体" w:hAnsi="宋体" w:cs="宋体" w:eastAsia="宋体" w:hint="default"/>
                <w:b/>
                <w:bCs/>
                <w:spacing w:val="-51"/>
                <w:sz w:val="18"/>
                <w:szCs w:val="18"/>
              </w:rPr>
              <w:t> </w:t>
            </w:r>
            <w:r>
              <w:rPr>
                <w:rFonts w:ascii="宋体" w:hAnsi="宋体" w:cs="宋体" w:eastAsia="宋体" w:hint="default"/>
                <w:b/>
                <w:bCs/>
                <w:sz w:val="18"/>
                <w:szCs w:val="18"/>
              </w:rPr>
              <w:t>末</w:t>
            </w:r>
            <w:r>
              <w:rPr>
                <w:rFonts w:ascii="宋体" w:hAnsi="宋体" w:cs="宋体" w:eastAsia="宋体" w:hint="default"/>
                <w:b/>
                <w:bCs/>
                <w:spacing w:val="-51"/>
                <w:sz w:val="18"/>
                <w:szCs w:val="18"/>
              </w:rPr>
              <w:t> </w:t>
            </w:r>
            <w:r>
              <w:rPr>
                <w:rFonts w:ascii="宋体" w:hAnsi="宋体" w:cs="宋体" w:eastAsia="宋体" w:hint="default"/>
                <w:b/>
                <w:bCs/>
                <w:sz w:val="18"/>
                <w:szCs w:val="18"/>
              </w:rPr>
              <w:t>公</w:t>
            </w:r>
            <w:r>
              <w:rPr>
                <w:rFonts w:ascii="宋体" w:hAnsi="宋体" w:cs="宋体" w:eastAsia="宋体" w:hint="default"/>
                <w:b/>
                <w:bCs/>
                <w:spacing w:val="-51"/>
                <w:sz w:val="18"/>
                <w:szCs w:val="18"/>
              </w:rPr>
              <w:t> </w:t>
            </w:r>
            <w:r>
              <w:rPr>
                <w:rFonts w:ascii="宋体" w:hAnsi="宋体" w:cs="宋体" w:eastAsia="宋体" w:hint="default"/>
                <w:b/>
                <w:bCs/>
                <w:sz w:val="18"/>
                <w:szCs w:val="18"/>
              </w:rPr>
              <w:t>允</w:t>
            </w:r>
            <w:r>
              <w:rPr>
                <w:rFonts w:ascii="宋体" w:hAnsi="宋体" w:cs="宋体" w:eastAsia="宋体" w:hint="default"/>
                <w:b/>
                <w:bCs/>
                <w:spacing w:val="-51"/>
                <w:sz w:val="18"/>
                <w:szCs w:val="18"/>
              </w:rPr>
              <w:t> </w:t>
            </w:r>
            <w:r>
              <w:rPr>
                <w:rFonts w:ascii="宋体" w:hAnsi="宋体" w:cs="宋体" w:eastAsia="宋体" w:hint="default"/>
                <w:b/>
                <w:bCs/>
                <w:sz w:val="18"/>
                <w:szCs w:val="18"/>
              </w:rPr>
              <w:t>价</w:t>
            </w:r>
            <w:r>
              <w:rPr>
                <w:rFonts w:ascii="宋体" w:hAnsi="宋体" w:cs="宋体" w:eastAsia="宋体" w:hint="default"/>
                <w:b/>
                <w:bCs/>
                <w:spacing w:val="-51"/>
                <w:sz w:val="18"/>
                <w:szCs w:val="18"/>
              </w:rPr>
              <w:t> </w:t>
            </w:r>
            <w:r>
              <w:rPr>
                <w:rFonts w:ascii="宋体" w:hAnsi="宋体" w:cs="宋体" w:eastAsia="宋体" w:hint="default"/>
                <w:b/>
                <w:bCs/>
                <w:sz w:val="18"/>
                <w:szCs w:val="18"/>
              </w:rPr>
              <w:t>值</w:t>
            </w:r>
            <w:r>
              <w:rPr>
                <w:rFonts w:ascii="宋体" w:hAnsi="宋体" w:cs="宋体" w:eastAsia="宋体" w:hint="default"/>
                <w:sz w:val="18"/>
                <w:szCs w:val="18"/>
              </w:rPr>
            </w:r>
          </w:p>
        </w:tc>
      </w:tr>
      <w:tr>
        <w:trPr>
          <w:trHeight w:val="552" w:hRule="exact"/>
        </w:trPr>
        <w:tc>
          <w:tcPr>
            <w:tcW w:w="2848" w:type="dxa"/>
            <w:vMerge/>
            <w:tcBorders>
              <w:left w:val="nil" w:sz="6" w:space="0" w:color="auto"/>
              <w:bottom w:val="single" w:sz="2" w:space="0" w:color="000000"/>
              <w:right w:val="single" w:sz="2" w:space="0" w:color="000000"/>
            </w:tcBorders>
          </w:tcPr>
          <w:p>
            <w:pPr/>
          </w:p>
        </w:tc>
        <w:tc>
          <w:tcPr>
            <w:tcW w:w="1276"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186" w:right="180"/>
              <w:jc w:val="left"/>
              <w:rPr>
                <w:rFonts w:ascii="宋体" w:hAnsi="宋体" w:cs="宋体" w:eastAsia="宋体" w:hint="default"/>
                <w:sz w:val="18"/>
                <w:szCs w:val="18"/>
              </w:rPr>
            </w:pPr>
            <w:r>
              <w:rPr>
                <w:rFonts w:ascii="宋体" w:hAnsi="宋体" w:cs="宋体" w:eastAsia="宋体" w:hint="default"/>
                <w:b/>
                <w:bCs/>
                <w:sz w:val="18"/>
                <w:szCs w:val="18"/>
              </w:rPr>
              <w:t>第一层次公</w:t>
            </w:r>
            <w:r>
              <w:rPr>
                <w:rFonts w:ascii="宋体" w:hAnsi="宋体" w:cs="宋体" w:eastAsia="宋体" w:hint="default"/>
                <w:b/>
                <w:bCs/>
                <w:w w:val="99"/>
                <w:sz w:val="18"/>
                <w:szCs w:val="18"/>
              </w:rPr>
              <w:t> </w:t>
            </w:r>
            <w:r>
              <w:rPr>
                <w:rFonts w:ascii="宋体" w:hAnsi="宋体" w:cs="宋体" w:eastAsia="宋体" w:hint="default"/>
                <w:b/>
                <w:bCs/>
                <w:sz w:val="18"/>
                <w:szCs w:val="18"/>
              </w:rPr>
              <w:t>允价值计量</w:t>
            </w:r>
            <w:r>
              <w:rPr>
                <w:rFonts w:ascii="宋体" w:hAnsi="宋体" w:cs="宋体" w:eastAsia="宋体" w:hint="default"/>
                <w:sz w:val="18"/>
                <w:szCs w:val="18"/>
              </w:rPr>
            </w:r>
          </w:p>
        </w:tc>
        <w:tc>
          <w:tcPr>
            <w:tcW w:w="1418"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345" w:right="163" w:hanging="180"/>
              <w:jc w:val="left"/>
              <w:rPr>
                <w:rFonts w:ascii="宋体" w:hAnsi="宋体" w:cs="宋体" w:eastAsia="宋体" w:hint="default"/>
                <w:sz w:val="18"/>
                <w:szCs w:val="18"/>
              </w:rPr>
            </w:pPr>
            <w:r>
              <w:rPr>
                <w:rFonts w:ascii="宋体" w:hAnsi="宋体" w:cs="宋体" w:eastAsia="宋体" w:hint="default"/>
                <w:b/>
                <w:bCs/>
                <w:sz w:val="18"/>
                <w:szCs w:val="18"/>
              </w:rPr>
              <w:t>第二层次公允</w:t>
            </w:r>
            <w:r>
              <w:rPr>
                <w:rFonts w:ascii="宋体" w:hAnsi="宋体" w:cs="宋体" w:eastAsia="宋体" w:hint="default"/>
                <w:b/>
                <w:bCs/>
                <w:w w:val="99"/>
                <w:sz w:val="18"/>
                <w:szCs w:val="18"/>
              </w:rPr>
              <w:t> </w:t>
            </w:r>
            <w:r>
              <w:rPr>
                <w:rFonts w:ascii="宋体" w:hAnsi="宋体" w:cs="宋体" w:eastAsia="宋体" w:hint="default"/>
                <w:b/>
                <w:bCs/>
                <w:sz w:val="18"/>
                <w:szCs w:val="18"/>
              </w:rPr>
              <w:t>价值计量</w:t>
            </w:r>
            <w:r>
              <w:rPr>
                <w:rFonts w:ascii="宋体" w:hAnsi="宋体" w:cs="宋体" w:eastAsia="宋体" w:hint="default"/>
                <w:sz w:val="18"/>
                <w:szCs w:val="18"/>
              </w:rPr>
            </w:r>
          </w:p>
        </w:tc>
        <w:tc>
          <w:tcPr>
            <w:tcW w:w="1559" w:type="dxa"/>
            <w:tcBorders>
              <w:top w:val="single" w:sz="2" w:space="0" w:color="000000"/>
              <w:left w:val="single" w:sz="2" w:space="0" w:color="000000"/>
              <w:bottom w:val="single" w:sz="2" w:space="0" w:color="000000"/>
              <w:right w:val="single" w:sz="2" w:space="0" w:color="000000"/>
            </w:tcBorders>
          </w:tcPr>
          <w:p>
            <w:pPr>
              <w:pStyle w:val="TableParagraph"/>
              <w:spacing w:line="232" w:lineRule="exact" w:before="37"/>
              <w:ind w:left="506" w:right="140" w:hanging="360"/>
              <w:jc w:val="left"/>
              <w:rPr>
                <w:rFonts w:ascii="宋体" w:hAnsi="宋体" w:cs="宋体" w:eastAsia="宋体" w:hint="default"/>
                <w:sz w:val="18"/>
                <w:szCs w:val="18"/>
              </w:rPr>
            </w:pPr>
            <w:r>
              <w:rPr>
                <w:rFonts w:ascii="宋体" w:hAnsi="宋体" w:cs="宋体" w:eastAsia="宋体" w:hint="default"/>
                <w:b/>
                <w:bCs/>
                <w:sz w:val="18"/>
                <w:szCs w:val="18"/>
              </w:rPr>
              <w:t>第三层次公允价</w:t>
            </w:r>
            <w:r>
              <w:rPr>
                <w:rFonts w:ascii="宋体" w:hAnsi="宋体" w:cs="宋体" w:eastAsia="宋体" w:hint="default"/>
                <w:b/>
                <w:bCs/>
                <w:w w:val="99"/>
                <w:sz w:val="18"/>
                <w:szCs w:val="18"/>
              </w:rPr>
              <w:t> </w:t>
            </w:r>
            <w:r>
              <w:rPr>
                <w:rFonts w:ascii="宋体" w:hAnsi="宋体" w:cs="宋体" w:eastAsia="宋体" w:hint="default"/>
                <w:b/>
                <w:bCs/>
                <w:sz w:val="18"/>
                <w:szCs w:val="18"/>
              </w:rPr>
              <w:t>值计量</w:t>
            </w:r>
            <w:r>
              <w:rPr>
                <w:rFonts w:ascii="宋体" w:hAnsi="宋体" w:cs="宋体" w:eastAsia="宋体" w:hint="default"/>
                <w:sz w:val="18"/>
                <w:szCs w:val="18"/>
              </w:rPr>
            </w:r>
          </w:p>
        </w:tc>
        <w:tc>
          <w:tcPr>
            <w:tcW w:w="155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402" w:hRule="exact"/>
        </w:trPr>
        <w:tc>
          <w:tcPr>
            <w:tcW w:w="284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一、持续的公允价值计量</w:t>
            </w:r>
            <w:r>
              <w:rPr>
                <w:rFonts w:ascii="宋体" w:hAnsi="宋体" w:cs="宋体" w:eastAsia="宋体" w:hint="default"/>
                <w:sz w:val="18"/>
                <w:szCs w:val="18"/>
              </w:rPr>
            </w:r>
          </w:p>
        </w:tc>
        <w:tc>
          <w:tcPr>
            <w:tcW w:w="1276" w:type="dxa"/>
            <w:tcBorders>
              <w:top w:val="single" w:sz="2" w:space="0" w:color="000000"/>
              <w:left w:val="single" w:sz="2" w:space="0" w:color="000000"/>
              <w:bottom w:val="single" w:sz="2" w:space="0" w:color="000000"/>
              <w:right w:val="single" w:sz="2" w:space="0" w:color="000000"/>
            </w:tcBorders>
          </w:tcPr>
          <w:p>
            <w:pPr/>
          </w:p>
        </w:tc>
        <w:tc>
          <w:tcPr>
            <w:tcW w:w="1418" w:type="dxa"/>
            <w:tcBorders>
              <w:top w:val="single" w:sz="2" w:space="0" w:color="000000"/>
              <w:left w:val="single" w:sz="2" w:space="0" w:color="000000"/>
              <w:bottom w:val="single" w:sz="2" w:space="0" w:color="000000"/>
              <w:right w:val="single" w:sz="2" w:space="0" w:color="000000"/>
            </w:tcBorders>
          </w:tcPr>
          <w:p>
            <w:pPr/>
          </w:p>
        </w:tc>
        <w:tc>
          <w:tcPr>
            <w:tcW w:w="1559" w:type="dxa"/>
            <w:tcBorders>
              <w:top w:val="single" w:sz="2" w:space="0" w:color="000000"/>
              <w:left w:val="single" w:sz="2" w:space="0" w:color="000000"/>
              <w:bottom w:val="single" w:sz="2" w:space="0" w:color="000000"/>
              <w:right w:val="single" w:sz="2" w:space="0" w:color="000000"/>
            </w:tcBorders>
          </w:tcPr>
          <w:p>
            <w:pPr/>
          </w:p>
        </w:tc>
        <w:tc>
          <w:tcPr>
            <w:tcW w:w="1559"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84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77"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276" w:type="dxa"/>
            <w:tcBorders>
              <w:top w:val="single" w:sz="2" w:space="0" w:color="000000"/>
              <w:left w:val="single" w:sz="2" w:space="0" w:color="000000"/>
              <w:bottom w:val="single" w:sz="2" w:space="0" w:color="000000"/>
              <w:right w:val="single" w:sz="2" w:space="0" w:color="000000"/>
            </w:tcBorders>
          </w:tcPr>
          <w:p>
            <w:pPr/>
          </w:p>
        </w:tc>
        <w:tc>
          <w:tcPr>
            <w:tcW w:w="14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30" w:right="0"/>
              <w:jc w:val="center"/>
              <w:rPr>
                <w:rFonts w:ascii="宋体" w:hAnsi="宋体" w:cs="宋体" w:eastAsia="宋体" w:hint="default"/>
                <w:sz w:val="18"/>
                <w:szCs w:val="18"/>
              </w:rPr>
            </w:pPr>
            <w:r>
              <w:rPr>
                <w:rFonts w:ascii="宋体"/>
                <w:sz w:val="18"/>
              </w:rPr>
              <w:t>77,525,430.77</w:t>
            </w:r>
          </w:p>
        </w:tc>
        <w:tc>
          <w:tcPr>
            <w:tcW w:w="1559" w:type="dxa"/>
            <w:tcBorders>
              <w:top w:val="single" w:sz="2" w:space="0" w:color="000000"/>
              <w:left w:val="single" w:sz="2" w:space="0" w:color="000000"/>
              <w:bottom w:val="single" w:sz="2" w:space="0" w:color="000000"/>
              <w:right w:val="single" w:sz="2" w:space="0" w:color="000000"/>
            </w:tcBorders>
          </w:tcPr>
          <w:p>
            <w:pPr/>
          </w:p>
        </w:tc>
        <w:tc>
          <w:tcPr>
            <w:tcW w:w="155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7"/>
              <w:jc w:val="right"/>
              <w:rPr>
                <w:rFonts w:ascii="宋体" w:hAnsi="宋体" w:cs="宋体" w:eastAsia="宋体" w:hint="default"/>
                <w:sz w:val="18"/>
                <w:szCs w:val="18"/>
              </w:rPr>
            </w:pPr>
            <w:r>
              <w:rPr>
                <w:rFonts w:ascii="宋体"/>
                <w:spacing w:val="-1"/>
                <w:sz w:val="18"/>
              </w:rPr>
              <w:t>77,525,430.77</w:t>
            </w:r>
          </w:p>
        </w:tc>
      </w:tr>
      <w:tr>
        <w:trPr>
          <w:trHeight w:val="402" w:hRule="exact"/>
        </w:trPr>
        <w:tc>
          <w:tcPr>
            <w:tcW w:w="284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377"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276" w:type="dxa"/>
            <w:tcBorders>
              <w:top w:val="single" w:sz="2" w:space="0" w:color="000000"/>
              <w:left w:val="single" w:sz="2" w:space="0" w:color="000000"/>
              <w:bottom w:val="single" w:sz="2" w:space="0" w:color="000000"/>
              <w:right w:val="single" w:sz="2" w:space="0" w:color="000000"/>
            </w:tcBorders>
          </w:tcPr>
          <w:p>
            <w:pPr/>
          </w:p>
        </w:tc>
        <w:tc>
          <w:tcPr>
            <w:tcW w:w="1418" w:type="dxa"/>
            <w:tcBorders>
              <w:top w:val="single" w:sz="2" w:space="0" w:color="000000"/>
              <w:left w:val="single" w:sz="2" w:space="0" w:color="000000"/>
              <w:bottom w:val="single" w:sz="2" w:space="0" w:color="000000"/>
              <w:right w:val="single" w:sz="2" w:space="0" w:color="000000"/>
            </w:tcBorders>
          </w:tcPr>
          <w:p>
            <w:pPr/>
          </w:p>
        </w:tc>
        <w:tc>
          <w:tcPr>
            <w:tcW w:w="155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3"/>
              <w:jc w:val="right"/>
              <w:rPr>
                <w:rFonts w:ascii="宋体" w:hAnsi="宋体" w:cs="宋体" w:eastAsia="宋体" w:hint="default"/>
                <w:sz w:val="18"/>
                <w:szCs w:val="18"/>
              </w:rPr>
            </w:pPr>
            <w:r>
              <w:rPr>
                <w:rFonts w:ascii="宋体"/>
                <w:spacing w:val="-1"/>
                <w:sz w:val="18"/>
              </w:rPr>
              <w:t>374,014,153.83</w:t>
            </w:r>
          </w:p>
        </w:tc>
        <w:tc>
          <w:tcPr>
            <w:tcW w:w="155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374,014,153.83</w:t>
            </w:r>
          </w:p>
        </w:tc>
      </w:tr>
      <w:tr>
        <w:trPr>
          <w:trHeight w:val="402" w:hRule="exact"/>
        </w:trPr>
        <w:tc>
          <w:tcPr>
            <w:tcW w:w="284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77"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276" w:type="dxa"/>
            <w:tcBorders>
              <w:top w:val="single" w:sz="2" w:space="0" w:color="000000"/>
              <w:left w:val="single" w:sz="2" w:space="0" w:color="000000"/>
              <w:bottom w:val="single" w:sz="2" w:space="0" w:color="000000"/>
              <w:right w:val="single" w:sz="2" w:space="0" w:color="000000"/>
            </w:tcBorders>
          </w:tcPr>
          <w:p>
            <w:pPr/>
          </w:p>
        </w:tc>
        <w:tc>
          <w:tcPr>
            <w:tcW w:w="1418" w:type="dxa"/>
            <w:tcBorders>
              <w:top w:val="single" w:sz="2" w:space="0" w:color="000000"/>
              <w:left w:val="single" w:sz="2" w:space="0" w:color="000000"/>
              <w:bottom w:val="single" w:sz="2" w:space="0" w:color="000000"/>
              <w:right w:val="single" w:sz="2" w:space="0" w:color="000000"/>
            </w:tcBorders>
          </w:tcPr>
          <w:p>
            <w:pPr/>
          </w:p>
        </w:tc>
        <w:tc>
          <w:tcPr>
            <w:tcW w:w="155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27,039,765.00</w:t>
            </w:r>
          </w:p>
        </w:tc>
        <w:tc>
          <w:tcPr>
            <w:tcW w:w="155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7"/>
              <w:jc w:val="right"/>
              <w:rPr>
                <w:rFonts w:ascii="宋体" w:hAnsi="宋体" w:cs="宋体" w:eastAsia="宋体" w:hint="default"/>
                <w:sz w:val="18"/>
                <w:szCs w:val="18"/>
              </w:rPr>
            </w:pPr>
            <w:r>
              <w:rPr>
                <w:rFonts w:ascii="宋体"/>
                <w:spacing w:val="-1"/>
                <w:sz w:val="18"/>
              </w:rPr>
              <w:t>27,039,765.00</w:t>
            </w:r>
          </w:p>
        </w:tc>
      </w:tr>
      <w:tr>
        <w:trPr>
          <w:trHeight w:val="402" w:hRule="exact"/>
        </w:trPr>
        <w:tc>
          <w:tcPr>
            <w:tcW w:w="284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持续以公允价值计量的资产总额</w:t>
            </w:r>
            <w:r>
              <w:rPr>
                <w:rFonts w:ascii="宋体" w:hAnsi="宋体" w:cs="宋体" w:eastAsia="宋体" w:hint="default"/>
                <w:sz w:val="18"/>
                <w:szCs w:val="18"/>
              </w:rPr>
            </w:r>
          </w:p>
        </w:tc>
        <w:tc>
          <w:tcPr>
            <w:tcW w:w="1276" w:type="dxa"/>
            <w:tcBorders>
              <w:top w:val="single" w:sz="2" w:space="0" w:color="000000"/>
              <w:left w:val="single" w:sz="2" w:space="0" w:color="000000"/>
              <w:bottom w:val="single" w:sz="2" w:space="0" w:color="000000"/>
              <w:right w:val="single" w:sz="2" w:space="0" w:color="000000"/>
            </w:tcBorders>
          </w:tcPr>
          <w:p>
            <w:pPr/>
          </w:p>
        </w:tc>
        <w:tc>
          <w:tcPr>
            <w:tcW w:w="14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42" w:right="0"/>
              <w:jc w:val="center"/>
              <w:rPr>
                <w:rFonts w:ascii="宋体" w:hAnsi="宋体" w:cs="宋体" w:eastAsia="宋体" w:hint="default"/>
                <w:sz w:val="18"/>
                <w:szCs w:val="18"/>
              </w:rPr>
            </w:pPr>
            <w:r>
              <w:rPr>
                <w:rFonts w:ascii="宋体"/>
                <w:b/>
                <w:sz w:val="18"/>
              </w:rPr>
              <w:t>77,525,430.77</w:t>
            </w:r>
            <w:r>
              <w:rPr>
                <w:rFonts w:ascii="宋体"/>
                <w:sz w:val="18"/>
              </w:rPr>
            </w:r>
          </w:p>
        </w:tc>
        <w:tc>
          <w:tcPr>
            <w:tcW w:w="155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91"/>
              <w:jc w:val="right"/>
              <w:rPr>
                <w:rFonts w:ascii="宋体" w:hAnsi="宋体" w:cs="宋体" w:eastAsia="宋体" w:hint="default"/>
                <w:sz w:val="18"/>
                <w:szCs w:val="18"/>
              </w:rPr>
            </w:pPr>
            <w:r>
              <w:rPr>
                <w:rFonts w:ascii="宋体"/>
                <w:b/>
                <w:sz w:val="18"/>
              </w:rPr>
              <w:t>401,053,918.83</w:t>
            </w:r>
            <w:r>
              <w:rPr>
                <w:rFonts w:ascii="宋体"/>
                <w:sz w:val="18"/>
              </w:rPr>
            </w:r>
          </w:p>
        </w:tc>
        <w:tc>
          <w:tcPr>
            <w:tcW w:w="155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92"/>
              <w:jc w:val="right"/>
              <w:rPr>
                <w:rFonts w:ascii="宋体" w:hAnsi="宋体" w:cs="宋体" w:eastAsia="宋体" w:hint="default"/>
                <w:sz w:val="18"/>
                <w:szCs w:val="18"/>
              </w:rPr>
            </w:pPr>
            <w:r>
              <w:rPr>
                <w:rFonts w:ascii="宋体"/>
                <w:b/>
                <w:sz w:val="18"/>
              </w:rPr>
              <w:t>478,579,349.60</w:t>
            </w:r>
            <w:r>
              <w:rPr>
                <w:rFonts w:ascii="宋体"/>
                <w:sz w:val="18"/>
              </w:rPr>
            </w:r>
          </w:p>
        </w:tc>
      </w:tr>
      <w:tr>
        <w:trPr>
          <w:trHeight w:val="402" w:hRule="exact"/>
        </w:trPr>
        <w:tc>
          <w:tcPr>
            <w:tcW w:w="284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468"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276" w:type="dxa"/>
            <w:tcBorders>
              <w:top w:val="single" w:sz="2" w:space="0" w:color="000000"/>
              <w:left w:val="single" w:sz="2" w:space="0" w:color="000000"/>
              <w:bottom w:val="single" w:sz="2" w:space="0" w:color="000000"/>
              <w:right w:val="single" w:sz="2" w:space="0" w:color="000000"/>
            </w:tcBorders>
          </w:tcPr>
          <w:p>
            <w:pPr/>
          </w:p>
        </w:tc>
        <w:tc>
          <w:tcPr>
            <w:tcW w:w="14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23" w:right="0"/>
              <w:jc w:val="center"/>
              <w:rPr>
                <w:rFonts w:ascii="宋体" w:hAnsi="宋体" w:cs="宋体" w:eastAsia="宋体" w:hint="default"/>
                <w:sz w:val="18"/>
                <w:szCs w:val="18"/>
              </w:rPr>
            </w:pPr>
            <w:r>
              <w:rPr>
                <w:rFonts w:ascii="宋体"/>
                <w:sz w:val="18"/>
              </w:rPr>
              <w:t>2,594,373.26</w:t>
            </w:r>
          </w:p>
        </w:tc>
        <w:tc>
          <w:tcPr>
            <w:tcW w:w="1559" w:type="dxa"/>
            <w:tcBorders>
              <w:top w:val="single" w:sz="2" w:space="0" w:color="000000"/>
              <w:left w:val="single" w:sz="2" w:space="0" w:color="000000"/>
              <w:bottom w:val="single" w:sz="2" w:space="0" w:color="000000"/>
              <w:right w:val="single" w:sz="2" w:space="0" w:color="000000"/>
            </w:tcBorders>
          </w:tcPr>
          <w:p>
            <w:pPr/>
          </w:p>
        </w:tc>
        <w:tc>
          <w:tcPr>
            <w:tcW w:w="155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2,594,373.26</w:t>
            </w:r>
          </w:p>
        </w:tc>
      </w:tr>
      <w:tr>
        <w:trPr>
          <w:trHeight w:val="414" w:hRule="exact"/>
        </w:trPr>
        <w:tc>
          <w:tcPr>
            <w:tcW w:w="284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持续以公允价值计量的负债总额</w:t>
            </w:r>
            <w:r>
              <w:rPr>
                <w:rFonts w:ascii="宋体" w:hAnsi="宋体" w:cs="宋体" w:eastAsia="宋体" w:hint="default"/>
                <w:sz w:val="18"/>
                <w:szCs w:val="18"/>
              </w:rPr>
            </w:r>
          </w:p>
        </w:tc>
        <w:tc>
          <w:tcPr>
            <w:tcW w:w="1276" w:type="dxa"/>
            <w:tcBorders>
              <w:top w:val="single" w:sz="2" w:space="0" w:color="000000"/>
              <w:left w:val="single" w:sz="2" w:space="0" w:color="000000"/>
              <w:bottom w:val="single" w:sz="12" w:space="0" w:color="000000"/>
              <w:right w:val="single" w:sz="2" w:space="0" w:color="000000"/>
            </w:tcBorders>
          </w:tcPr>
          <w:p>
            <w:pPr/>
          </w:p>
        </w:tc>
        <w:tc>
          <w:tcPr>
            <w:tcW w:w="141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left="133" w:right="0"/>
              <w:jc w:val="center"/>
              <w:rPr>
                <w:rFonts w:ascii="宋体" w:hAnsi="宋体" w:cs="宋体" w:eastAsia="宋体" w:hint="default"/>
                <w:sz w:val="18"/>
                <w:szCs w:val="18"/>
              </w:rPr>
            </w:pPr>
            <w:r>
              <w:rPr>
                <w:rFonts w:ascii="宋体"/>
                <w:b/>
                <w:sz w:val="18"/>
              </w:rPr>
              <w:t>2,594,373.26</w:t>
            </w:r>
            <w:r>
              <w:rPr>
                <w:rFonts w:ascii="宋体"/>
                <w:sz w:val="18"/>
              </w:rPr>
            </w:r>
          </w:p>
        </w:tc>
        <w:tc>
          <w:tcPr>
            <w:tcW w:w="1559" w:type="dxa"/>
            <w:tcBorders>
              <w:top w:val="single" w:sz="2" w:space="0" w:color="000000"/>
              <w:left w:val="single" w:sz="2" w:space="0" w:color="000000"/>
              <w:bottom w:val="single" w:sz="12" w:space="0" w:color="000000"/>
              <w:right w:val="single" w:sz="2" w:space="0" w:color="000000"/>
            </w:tcBorders>
          </w:tcPr>
          <w:p>
            <w:pPr/>
          </w:p>
        </w:tc>
        <w:tc>
          <w:tcPr>
            <w:tcW w:w="155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5"/>
              <w:jc w:val="right"/>
              <w:rPr>
                <w:rFonts w:ascii="宋体" w:hAnsi="宋体" w:cs="宋体" w:eastAsia="宋体" w:hint="default"/>
                <w:sz w:val="18"/>
                <w:szCs w:val="18"/>
              </w:rPr>
            </w:pPr>
            <w:r>
              <w:rPr>
                <w:rFonts w:ascii="宋体"/>
                <w:b/>
                <w:w w:val="95"/>
                <w:sz w:val="18"/>
              </w:rPr>
              <w:t>2,594,373.26</w:t>
            </w:r>
            <w:r>
              <w:rPr>
                <w:rFonts w:ascii="宋体"/>
                <w:sz w:val="18"/>
              </w:rPr>
            </w:r>
          </w:p>
        </w:tc>
      </w:tr>
    </w:tbl>
    <w:p>
      <w:pPr>
        <w:spacing w:line="240" w:lineRule="auto" w:before="1"/>
        <w:rPr>
          <w:rFonts w:ascii="宋体" w:hAnsi="宋体" w:cs="宋体" w:eastAsia="宋体" w:hint="default"/>
          <w:sz w:val="9"/>
          <w:szCs w:val="9"/>
        </w:rPr>
      </w:pPr>
    </w:p>
    <w:p>
      <w:pPr>
        <w:pStyle w:val="BodyText"/>
        <w:spacing w:line="300" w:lineRule="auto"/>
        <w:ind w:left="201" w:right="869" w:firstLine="566"/>
        <w:jc w:val="left"/>
      </w:pPr>
      <w:r>
        <w:rPr>
          <w:spacing w:val="-1"/>
          <w:w w:val="100"/>
        </w:rPr>
        <w:t>2.</w:t>
      </w:r>
      <w:r>
        <w:rPr>
          <w:spacing w:val="23"/>
          <w:w w:val="100"/>
        </w:rPr>
        <w:t> </w:t>
      </w:r>
      <w:bookmarkStart w:name="2.持续和非持续第二层次公允价值计量项目，采用的估值技术和重要参数的定性及定量信" w:id="380"/>
      <w:bookmarkEnd w:id="380"/>
      <w:r>
        <w:rPr>
          <w:spacing w:val="-5"/>
          <w:w w:val="100"/>
        </w:rPr>
        <w:t>持</w:t>
      </w:r>
      <w:r>
        <w:rPr>
          <w:spacing w:val="-5"/>
          <w:w w:val="100"/>
        </w:rPr>
        <w:t>续和非持续第二层次公允价值计量项目，采用的估值技术和重要参数的定性及</w:t>
      </w:r>
      <w:r>
        <w:rPr>
          <w:w w:val="100"/>
        </w:rPr>
        <w:t> </w:t>
      </w:r>
      <w:r>
        <w:rPr/>
        <w:t>定量信息</w:t>
      </w:r>
    </w:p>
    <w:p>
      <w:pPr>
        <w:pStyle w:val="BodyText"/>
        <w:spacing w:line="300" w:lineRule="auto" w:before="137"/>
        <w:ind w:left="201" w:right="869" w:firstLine="439"/>
        <w:jc w:val="left"/>
      </w:pPr>
      <w:r>
        <w:rPr>
          <w:spacing w:val="2"/>
        </w:rPr>
        <w:t>本集团年末衍生金融资产列支的内容为套期工具年末期货持仓保证金及其公允价值</w:t>
      </w:r>
      <w:r>
        <w:rPr>
          <w:w w:val="100"/>
        </w:rPr>
        <w:t> </w:t>
      </w:r>
      <w:r>
        <w:rPr/>
        <w:t>变动，其年末公允价值按期货公司年末账单提供的持仓结算价确定。</w:t>
      </w:r>
    </w:p>
    <w:p>
      <w:pPr>
        <w:pStyle w:val="BodyText"/>
        <w:spacing w:line="300" w:lineRule="auto" w:before="137"/>
        <w:ind w:left="201" w:right="869" w:firstLine="439"/>
        <w:jc w:val="left"/>
      </w:pPr>
      <w:r>
        <w:rPr>
          <w:spacing w:val="-4"/>
        </w:rPr>
        <w:t>本集团年末衍生金融负债列支的内容为远期外汇交易公允价值变动，其年末公允价值</w:t>
      </w:r>
      <w:r>
        <w:rPr>
          <w:w w:val="100"/>
        </w:rPr>
        <w:t> </w:t>
      </w:r>
      <w:r>
        <w:rPr/>
        <w:t>按银行提供的年末金融市场业务市值重估通知书确定。</w:t>
      </w:r>
    </w:p>
    <w:p>
      <w:pPr>
        <w:pStyle w:val="BodyText"/>
        <w:spacing w:line="240" w:lineRule="auto" w:before="137"/>
        <w:ind w:left="768" w:right="869"/>
        <w:jc w:val="left"/>
      </w:pPr>
      <w:r>
        <w:rPr/>
        <w:t>3.</w:t>
      </w:r>
      <w:r>
        <w:rPr>
          <w:spacing w:val="-11"/>
        </w:rPr>
        <w:t> </w:t>
      </w:r>
      <w:bookmarkStart w:name="3.不以公允价值计量但以公允价值披露的资产和负债" w:id="381"/>
      <w:bookmarkEnd w:id="381"/>
      <w:r>
        <w:rPr/>
        <w:t>不</w:t>
      </w:r>
      <w:r>
        <w:rPr/>
        <w:t>以公允价值计量但以公允价值披露的资产和负债</w:t>
      </w:r>
    </w:p>
    <w:p>
      <w:pPr>
        <w:spacing w:after="0" w:line="240" w:lineRule="auto"/>
        <w:jc w:val="left"/>
        <w:sectPr>
          <w:pgSz w:w="11910" w:h="16840"/>
          <w:pgMar w:header="939" w:footer="883" w:top="1980" w:bottom="1080" w:left="1500" w:right="0"/>
        </w:sectPr>
      </w:pPr>
    </w:p>
    <w:p>
      <w:pPr>
        <w:spacing w:line="240" w:lineRule="auto" w:before="7"/>
        <w:rPr>
          <w:rFonts w:ascii="宋体" w:hAnsi="宋体" w:cs="宋体" w:eastAsia="宋体" w:hint="default"/>
          <w:sz w:val="9"/>
          <w:szCs w:val="9"/>
        </w:rPr>
      </w:pPr>
    </w:p>
    <w:p>
      <w:pPr>
        <w:pStyle w:val="BodyText"/>
        <w:spacing w:line="300" w:lineRule="auto"/>
        <w:ind w:left="241" w:right="1697" w:firstLine="439"/>
        <w:jc w:val="both"/>
      </w:pPr>
      <w:r>
        <w:rPr>
          <w:spacing w:val="2"/>
        </w:rPr>
        <w:t>年末应收款项融资均为银行承兑汇票，本集团以票面金额作为其公允价值合理估计</w:t>
      </w:r>
      <w:r>
        <w:rPr>
          <w:w w:val="100"/>
        </w:rPr>
        <w:t> </w:t>
      </w:r>
      <w:r>
        <w:rPr/>
        <w:t>值。</w:t>
      </w:r>
    </w:p>
    <w:p>
      <w:pPr>
        <w:pStyle w:val="BodyText"/>
        <w:spacing w:line="300" w:lineRule="auto" w:before="137"/>
        <w:ind w:left="241" w:right="1697" w:firstLine="439"/>
        <w:jc w:val="both"/>
      </w:pPr>
      <w:r>
        <w:rPr>
          <w:spacing w:val="-4"/>
        </w:rPr>
        <w:t>年末其他非流动金融资产中对浙江临安中信村镇银行股份有限公司、浙江联飞光纤光</w:t>
      </w:r>
      <w:r>
        <w:rPr>
          <w:w w:val="100"/>
        </w:rPr>
        <w:t> </w:t>
      </w:r>
      <w:r>
        <w:rPr>
          <w:spacing w:val="-4"/>
        </w:rPr>
        <w:t>缆有限公司、之江商学（杭州）创业服务有限公司之投资，本公司以相关资产或负债的不</w:t>
      </w:r>
      <w:r>
        <w:rPr>
          <w:spacing w:val="-50"/>
        </w:rPr>
        <w:t> </w:t>
      </w:r>
      <w:r>
        <w:rPr>
          <w:spacing w:val="-50"/>
        </w:rPr>
      </w:r>
      <w:r>
        <w:rPr/>
        <w:t>可观察输入值（投资成本）作为其公允价值的合理估计值。</w:t>
      </w:r>
    </w:p>
    <w:p>
      <w:pPr>
        <w:spacing w:line="240" w:lineRule="auto" w:before="8"/>
        <w:rPr>
          <w:rFonts w:ascii="宋体" w:hAnsi="宋体" w:cs="宋体" w:eastAsia="宋体" w:hint="default"/>
          <w:sz w:val="19"/>
          <w:szCs w:val="19"/>
        </w:rPr>
      </w:pPr>
    </w:p>
    <w:p>
      <w:pPr>
        <w:pStyle w:val="Heading4"/>
        <w:spacing w:line="240" w:lineRule="auto"/>
        <w:ind w:left="700" w:right="1445"/>
        <w:jc w:val="left"/>
        <w:rPr>
          <w:b w:val="0"/>
          <w:bCs w:val="0"/>
        </w:rPr>
      </w:pPr>
      <w:bookmarkStart w:name="十三、关联方及关联交易" w:id="382"/>
      <w:bookmarkEnd w:id="382"/>
      <w:r>
        <w:rPr>
          <w:b w:val="0"/>
          <w:bCs w:val="0"/>
        </w:rPr>
      </w:r>
      <w:r>
        <w:rPr/>
        <w:t>十</w:t>
      </w:r>
      <w:r>
        <w:rPr>
          <w:spacing w:val="-71"/>
        </w:rPr>
        <w:t> </w:t>
      </w:r>
      <w:r>
        <w:rPr/>
        <w:t>三</w:t>
      </w:r>
      <w:r>
        <w:rPr>
          <w:spacing w:val="-73"/>
        </w:rPr>
        <w:t> </w:t>
      </w:r>
      <w:r>
        <w:rPr/>
        <w:t>、</w:t>
      </w:r>
      <w:r>
        <w:rPr>
          <w:spacing w:val="-71"/>
        </w:rPr>
        <w:t> </w:t>
      </w:r>
      <w:r>
        <w:rPr/>
        <w:t>关</w:t>
      </w:r>
      <w:r>
        <w:rPr>
          <w:spacing w:val="-71"/>
        </w:rPr>
        <w:t> </w:t>
      </w:r>
      <w:r>
        <w:rPr/>
        <w:t>联</w:t>
      </w:r>
      <w:r>
        <w:rPr>
          <w:spacing w:val="-73"/>
        </w:rPr>
        <w:t> </w:t>
      </w:r>
      <w:r>
        <w:rPr/>
        <w:t>方</w:t>
      </w:r>
      <w:r>
        <w:rPr>
          <w:spacing w:val="-71"/>
        </w:rPr>
        <w:t> </w:t>
      </w:r>
      <w:r>
        <w:rPr/>
        <w:t>及</w:t>
      </w:r>
      <w:r>
        <w:rPr>
          <w:spacing w:val="-71"/>
        </w:rPr>
        <w:t> </w:t>
      </w:r>
      <w:r>
        <w:rPr/>
        <w:t>关</w:t>
      </w:r>
      <w:r>
        <w:rPr>
          <w:spacing w:val="-71"/>
        </w:rPr>
        <w:t> </w:t>
      </w:r>
      <w:r>
        <w:rPr/>
        <w:t>联</w:t>
      </w:r>
      <w:r>
        <w:rPr>
          <w:spacing w:val="-73"/>
        </w:rPr>
        <w:t> </w:t>
      </w:r>
      <w:r>
        <w:rPr/>
        <w:t>交</w:t>
      </w:r>
      <w:r>
        <w:rPr>
          <w:spacing w:val="-71"/>
        </w:rPr>
        <w:t> </w:t>
      </w:r>
      <w:r>
        <w:rPr/>
        <w:t>易</w:t>
      </w:r>
      <w:r>
        <w:rPr>
          <w:b w:val="0"/>
          <w:bCs w:val="0"/>
        </w:rPr>
      </w:r>
    </w:p>
    <w:p>
      <w:pPr>
        <w:pStyle w:val="Heading4"/>
        <w:spacing w:line="240" w:lineRule="auto" w:before="192"/>
        <w:ind w:left="661" w:right="1445"/>
        <w:jc w:val="left"/>
        <w:rPr>
          <w:b w:val="0"/>
          <w:bCs w:val="0"/>
        </w:rPr>
      </w:pPr>
      <w:r>
        <w:rPr/>
        <w:t>（一）</w:t>
      </w:r>
      <w:bookmarkStart w:name="（一）关联方关系" w:id="383"/>
      <w:bookmarkEnd w:id="383"/>
      <w:r>
        <w:rPr/>
        <w:t>关</w:t>
      </w:r>
      <w:r>
        <w:rPr/>
        <w:t>联方关系</w:t>
      </w:r>
      <w:r>
        <w:rPr>
          <w:b w:val="0"/>
          <w:bCs w:val="0"/>
        </w:rPr>
      </w:r>
    </w:p>
    <w:p>
      <w:pPr>
        <w:pStyle w:val="Heading4"/>
        <w:tabs>
          <w:tab w:pos="398" w:val="left" w:leader="none"/>
        </w:tabs>
        <w:spacing w:line="240" w:lineRule="auto" w:before="192"/>
        <w:ind w:left="0" w:right="6157"/>
        <w:jc w:val="center"/>
        <w:rPr>
          <w:b w:val="0"/>
          <w:bCs w:val="0"/>
        </w:rPr>
      </w:pPr>
      <w:r>
        <w:rPr>
          <w:rFonts w:ascii="Times New Roman" w:hAnsi="Times New Roman" w:cs="Times New Roman" w:eastAsia="Times New Roman" w:hint="default"/>
          <w:spacing w:val="-1"/>
        </w:rPr>
        <w:t>1.</w:t>
        <w:tab/>
      </w:r>
      <w:bookmarkStart w:name="1.控股股东及最终控制方" w:id="384"/>
      <w:bookmarkEnd w:id="384"/>
      <w:r>
        <w:rPr>
          <w:rFonts w:ascii="Times New Roman" w:hAnsi="Times New Roman" w:cs="Times New Roman" w:eastAsia="Times New Roman" w:hint="default"/>
          <w:spacing w:val="-1"/>
        </w:rPr>
      </w:r>
      <w:r>
        <w:rPr>
          <w:spacing w:val="-1"/>
        </w:rPr>
        <w:t>控股股东及最终控制方</w:t>
      </w:r>
      <w:r>
        <w:rPr>
          <w:b w:val="0"/>
          <w:bCs w:val="0"/>
          <w:spacing w:val="-1"/>
        </w:rPr>
      </w:r>
    </w:p>
    <w:p>
      <w:pPr>
        <w:pStyle w:val="BodyText"/>
        <w:spacing w:line="240" w:lineRule="auto" w:before="175"/>
        <w:ind w:left="0" w:right="6063"/>
        <w:jc w:val="center"/>
      </w:pPr>
      <w:r>
        <w:rPr/>
        <w:t>（</w:t>
      </w:r>
      <w:r>
        <w:rPr>
          <w:rFonts w:ascii="Times New Roman" w:hAnsi="Times New Roman" w:cs="Times New Roman" w:eastAsia="Times New Roman" w:hint="default"/>
        </w:rPr>
        <w:t>1</w:t>
      </w:r>
      <w:r>
        <w:rPr/>
        <w:t>）控股股东及最终控制方</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2941"/>
        <w:gridCol w:w="993"/>
        <w:gridCol w:w="993"/>
        <w:gridCol w:w="1136"/>
        <w:gridCol w:w="1275"/>
        <w:gridCol w:w="1385"/>
      </w:tblGrid>
      <w:tr>
        <w:trPr>
          <w:trHeight w:val="565" w:hRule="exact"/>
        </w:trPr>
        <w:tc>
          <w:tcPr>
            <w:tcW w:w="294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27"/>
              <w:ind w:left="53" w:right="0"/>
              <w:jc w:val="left"/>
              <w:rPr>
                <w:rFonts w:ascii="宋体" w:hAnsi="宋体" w:cs="宋体" w:eastAsia="宋体" w:hint="default"/>
                <w:sz w:val="18"/>
                <w:szCs w:val="18"/>
              </w:rPr>
            </w:pPr>
            <w:r>
              <w:rPr>
                <w:rFonts w:ascii="宋体" w:hAnsi="宋体" w:cs="宋体" w:eastAsia="宋体" w:hint="default"/>
                <w:b/>
                <w:bCs/>
                <w:sz w:val="18"/>
                <w:szCs w:val="18"/>
              </w:rPr>
              <w:t>控股股东及最终控制方名称</w:t>
            </w:r>
            <w:r>
              <w:rPr>
                <w:rFonts w:ascii="宋体" w:hAnsi="宋体" w:cs="宋体" w:eastAsia="宋体" w:hint="default"/>
                <w:sz w:val="18"/>
                <w:szCs w:val="18"/>
              </w:rPr>
            </w:r>
          </w:p>
        </w:tc>
        <w:tc>
          <w:tcPr>
            <w:tcW w:w="99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c>
        <w:tc>
          <w:tcPr>
            <w:tcW w:w="993"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27"/>
              <w:ind w:left="3" w:right="0"/>
              <w:jc w:val="center"/>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c>
        <w:tc>
          <w:tcPr>
            <w:tcW w:w="1136"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384" w:right="48" w:hanging="332"/>
              <w:jc w:val="left"/>
              <w:rPr>
                <w:rFonts w:ascii="宋体" w:hAnsi="宋体" w:cs="宋体" w:eastAsia="宋体" w:hint="default"/>
                <w:sz w:val="18"/>
                <w:szCs w:val="18"/>
              </w:rPr>
            </w:pPr>
            <w:r>
              <w:rPr>
                <w:rFonts w:ascii="宋体" w:hAnsi="宋体" w:cs="宋体" w:eastAsia="宋体" w:hint="default"/>
                <w:b/>
                <w:bCs/>
                <w:spacing w:val="-10"/>
                <w:sz w:val="18"/>
                <w:szCs w:val="18"/>
              </w:rPr>
              <w:t>注册资本（万</w:t>
            </w:r>
            <w:r>
              <w:rPr>
                <w:rFonts w:ascii="宋体" w:hAnsi="宋体" w:cs="宋体" w:eastAsia="宋体" w:hint="default"/>
                <w:b/>
                <w:bCs/>
                <w:w w:val="99"/>
                <w:sz w:val="18"/>
                <w:szCs w:val="18"/>
              </w:rPr>
              <w:t> </w:t>
            </w:r>
            <w:r>
              <w:rPr>
                <w:rFonts w:ascii="宋体" w:hAnsi="宋体" w:cs="宋体" w:eastAsia="宋体" w:hint="default"/>
                <w:b/>
                <w:bCs/>
                <w:sz w:val="18"/>
                <w:szCs w:val="18"/>
              </w:rPr>
              <w:t>元）</w:t>
            </w:r>
            <w:r>
              <w:rPr>
                <w:rFonts w:ascii="宋体" w:hAnsi="宋体" w:cs="宋体" w:eastAsia="宋体" w:hint="default"/>
                <w:sz w:val="18"/>
                <w:szCs w:val="18"/>
              </w:rPr>
            </w:r>
          </w:p>
        </w:tc>
        <w:tc>
          <w:tcPr>
            <w:tcW w:w="1275" w:type="dxa"/>
            <w:tcBorders>
              <w:top w:val="single" w:sz="12" w:space="0" w:color="000000"/>
              <w:left w:val="single" w:sz="2" w:space="0" w:color="000000"/>
              <w:bottom w:val="single" w:sz="2" w:space="0" w:color="000000"/>
              <w:right w:val="single" w:sz="2" w:space="0" w:color="000000"/>
            </w:tcBorders>
          </w:tcPr>
          <w:p>
            <w:pPr>
              <w:pStyle w:val="TableParagraph"/>
              <w:spacing w:line="232" w:lineRule="exact" w:before="37"/>
              <w:ind w:left="50" w:right="46"/>
              <w:jc w:val="left"/>
              <w:rPr>
                <w:rFonts w:ascii="宋体" w:hAnsi="宋体" w:cs="宋体" w:eastAsia="宋体" w:hint="default"/>
                <w:sz w:val="18"/>
                <w:szCs w:val="18"/>
              </w:rPr>
            </w:pPr>
            <w:r>
              <w:rPr>
                <w:rFonts w:ascii="宋体" w:hAnsi="宋体" w:cs="宋体" w:eastAsia="宋体" w:hint="default"/>
                <w:b/>
                <w:bCs/>
                <w:spacing w:val="14"/>
                <w:sz w:val="18"/>
                <w:szCs w:val="18"/>
              </w:rPr>
              <w:t>对本公司的持</w:t>
            </w:r>
            <w:r>
              <w:rPr>
                <w:rFonts w:ascii="宋体" w:hAnsi="宋体" w:cs="宋体" w:eastAsia="宋体" w:hint="default"/>
                <w:b/>
                <w:bCs/>
                <w:w w:val="99"/>
                <w:sz w:val="18"/>
                <w:szCs w:val="18"/>
              </w:rPr>
              <w:t> </w:t>
            </w:r>
            <w:r>
              <w:rPr>
                <w:rFonts w:ascii="宋体" w:hAnsi="宋体" w:cs="宋体" w:eastAsia="宋体" w:hint="default"/>
                <w:b/>
                <w:bCs/>
                <w:sz w:val="18"/>
                <w:szCs w:val="18"/>
              </w:rPr>
              <w:t>股比例(%)</w:t>
            </w:r>
            <w:r>
              <w:rPr>
                <w:rFonts w:ascii="宋体" w:hAnsi="宋体" w:cs="宋体" w:eastAsia="宋体" w:hint="default"/>
                <w:sz w:val="18"/>
                <w:szCs w:val="18"/>
              </w:rPr>
            </w:r>
          </w:p>
        </w:tc>
        <w:tc>
          <w:tcPr>
            <w:tcW w:w="1385" w:type="dxa"/>
            <w:tcBorders>
              <w:top w:val="single" w:sz="12" w:space="0" w:color="000000"/>
              <w:left w:val="single" w:sz="2" w:space="0" w:color="000000"/>
              <w:bottom w:val="single" w:sz="2" w:space="0" w:color="000000"/>
              <w:right w:val="nil" w:sz="6" w:space="0" w:color="auto"/>
            </w:tcBorders>
          </w:tcPr>
          <w:p>
            <w:pPr>
              <w:pStyle w:val="TableParagraph"/>
              <w:spacing w:line="232" w:lineRule="exact" w:before="37"/>
              <w:ind w:left="284" w:right="56" w:hanging="226"/>
              <w:jc w:val="left"/>
              <w:rPr>
                <w:rFonts w:ascii="宋体" w:hAnsi="宋体" w:cs="宋体" w:eastAsia="宋体" w:hint="default"/>
                <w:sz w:val="18"/>
                <w:szCs w:val="18"/>
              </w:rPr>
            </w:pPr>
            <w:r>
              <w:rPr>
                <w:rFonts w:ascii="宋体" w:hAnsi="宋体" w:cs="宋体" w:eastAsia="宋体" w:hint="default"/>
                <w:b/>
                <w:bCs/>
                <w:sz w:val="18"/>
                <w:szCs w:val="18"/>
              </w:rPr>
              <w:t>对本公司的表决</w:t>
            </w:r>
            <w:r>
              <w:rPr>
                <w:rFonts w:ascii="宋体" w:hAnsi="宋体" w:cs="宋体" w:eastAsia="宋体" w:hint="default"/>
                <w:b/>
                <w:bCs/>
                <w:w w:val="99"/>
                <w:sz w:val="18"/>
                <w:szCs w:val="18"/>
              </w:rPr>
              <w:t> </w:t>
            </w:r>
            <w:r>
              <w:rPr>
                <w:rFonts w:ascii="宋体" w:hAnsi="宋体" w:cs="宋体" w:eastAsia="宋体" w:hint="default"/>
                <w:b/>
                <w:bCs/>
                <w:sz w:val="18"/>
                <w:szCs w:val="18"/>
              </w:rPr>
              <w:t>权比例(%)</w:t>
            </w:r>
            <w:r>
              <w:rPr>
                <w:rFonts w:ascii="宋体" w:hAnsi="宋体" w:cs="宋体" w:eastAsia="宋体" w:hint="default"/>
                <w:sz w:val="18"/>
                <w:szCs w:val="18"/>
              </w:rPr>
            </w:r>
          </w:p>
        </w:tc>
      </w:tr>
      <w:tr>
        <w:trPr>
          <w:trHeight w:val="402" w:hRule="exact"/>
        </w:trPr>
        <w:tc>
          <w:tcPr>
            <w:tcW w:w="294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浙江万马智能科技集团有限公司</w:t>
            </w: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浙江临安</w:t>
            </w:r>
          </w:p>
        </w:tc>
        <w:tc>
          <w:tcPr>
            <w:tcW w:w="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实业投资</w:t>
            </w:r>
          </w:p>
        </w:tc>
        <w:tc>
          <w:tcPr>
            <w:tcW w:w="113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9,120.00</w:t>
            </w:r>
          </w:p>
        </w:tc>
        <w:tc>
          <w:tcPr>
            <w:tcW w:w="12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25.41</w:t>
            </w:r>
          </w:p>
        </w:tc>
        <w:tc>
          <w:tcPr>
            <w:tcW w:w="138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25.41</w:t>
            </w:r>
          </w:p>
        </w:tc>
      </w:tr>
      <w:tr>
        <w:trPr>
          <w:trHeight w:val="414" w:hRule="exact"/>
        </w:trPr>
        <w:tc>
          <w:tcPr>
            <w:tcW w:w="294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万马联合控股集团有限公司</w:t>
            </w:r>
          </w:p>
        </w:tc>
        <w:tc>
          <w:tcPr>
            <w:tcW w:w="99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浙江杭州</w:t>
            </w:r>
          </w:p>
        </w:tc>
        <w:tc>
          <w:tcPr>
            <w:tcW w:w="993"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实业投资</w:t>
            </w:r>
          </w:p>
        </w:tc>
        <w:tc>
          <w:tcPr>
            <w:tcW w:w="113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30,000.00</w:t>
            </w:r>
          </w:p>
        </w:tc>
        <w:tc>
          <w:tcPr>
            <w:tcW w:w="127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25.41</w:t>
            </w:r>
          </w:p>
        </w:tc>
        <w:tc>
          <w:tcPr>
            <w:tcW w:w="138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25.41</w:t>
            </w:r>
          </w:p>
        </w:tc>
      </w:tr>
    </w:tbl>
    <w:p>
      <w:pPr>
        <w:spacing w:line="240" w:lineRule="auto" w:before="1"/>
        <w:rPr>
          <w:rFonts w:ascii="宋体" w:hAnsi="宋体" w:cs="宋体" w:eastAsia="宋体" w:hint="default"/>
          <w:sz w:val="9"/>
          <w:szCs w:val="9"/>
        </w:rPr>
      </w:pPr>
    </w:p>
    <w:p>
      <w:pPr>
        <w:pStyle w:val="BodyText"/>
        <w:spacing w:line="240" w:lineRule="auto"/>
        <w:ind w:left="680" w:right="1445"/>
        <w:jc w:val="left"/>
      </w:pPr>
      <w:r>
        <w:rPr/>
        <w:t>张德生先生为万马联合控股集团有限公司实际控制人。</w:t>
      </w:r>
    </w:p>
    <w:p>
      <w:pPr>
        <w:pStyle w:val="BodyText"/>
        <w:spacing w:line="240" w:lineRule="auto" w:before="192"/>
        <w:ind w:left="740" w:right="1445"/>
        <w:jc w:val="left"/>
      </w:pPr>
      <w:r>
        <w:rPr>
          <w:spacing w:val="-2"/>
        </w:rPr>
        <w:t>（</w:t>
      </w:r>
      <w:r>
        <w:rPr>
          <w:rFonts w:ascii="Times New Roman" w:hAnsi="Times New Roman" w:cs="Times New Roman" w:eastAsia="Times New Roman" w:hint="default"/>
          <w:spacing w:val="-2"/>
        </w:rPr>
        <w:t>2</w:t>
      </w:r>
      <w:r>
        <w:rPr>
          <w:spacing w:val="-2"/>
        </w:rPr>
        <w:t>）</w:t>
      </w:r>
      <w:r>
        <w:rPr>
          <w:spacing w:val="-27"/>
        </w:rPr>
        <w:t> </w:t>
      </w:r>
      <w:r>
        <w:rPr>
          <w:spacing w:val="-2"/>
        </w:rPr>
        <w:t>控股股东的注册资本及其变化（单位：万元）</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3083"/>
        <w:gridCol w:w="1410"/>
        <w:gridCol w:w="1410"/>
        <w:gridCol w:w="1410"/>
        <w:gridCol w:w="1410"/>
      </w:tblGrid>
      <w:tr>
        <w:trPr>
          <w:trHeight w:val="415" w:hRule="exact"/>
        </w:trPr>
        <w:tc>
          <w:tcPr>
            <w:tcW w:w="308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控股股东</w:t>
            </w:r>
            <w:r>
              <w:rPr>
                <w:rFonts w:ascii="宋体" w:hAnsi="宋体" w:cs="宋体" w:eastAsia="宋体" w:hint="default"/>
                <w:sz w:val="18"/>
                <w:szCs w:val="18"/>
              </w:rPr>
            </w:r>
          </w:p>
        </w:tc>
        <w:tc>
          <w:tcPr>
            <w:tcW w:w="141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42"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41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43"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41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42"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410"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343"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14" w:hRule="exact"/>
        </w:trPr>
        <w:tc>
          <w:tcPr>
            <w:tcW w:w="308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浙江万马智能科技集团有限公司</w:t>
            </w:r>
          </w:p>
        </w:tc>
        <w:tc>
          <w:tcPr>
            <w:tcW w:w="141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left="580" w:right="0"/>
              <w:jc w:val="left"/>
              <w:rPr>
                <w:rFonts w:ascii="宋体" w:hAnsi="宋体" w:cs="宋体" w:eastAsia="宋体" w:hint="default"/>
                <w:sz w:val="18"/>
                <w:szCs w:val="18"/>
              </w:rPr>
            </w:pPr>
            <w:r>
              <w:rPr>
                <w:rFonts w:ascii="宋体"/>
                <w:sz w:val="18"/>
              </w:rPr>
              <w:t>9,120.00</w:t>
            </w:r>
          </w:p>
        </w:tc>
        <w:tc>
          <w:tcPr>
            <w:tcW w:w="1410" w:type="dxa"/>
            <w:tcBorders>
              <w:top w:val="single" w:sz="2" w:space="0" w:color="000000"/>
              <w:left w:val="single" w:sz="2" w:space="0" w:color="000000"/>
              <w:bottom w:val="single" w:sz="12" w:space="0" w:color="000000"/>
              <w:right w:val="single" w:sz="2" w:space="0" w:color="000000"/>
            </w:tcBorders>
          </w:tcPr>
          <w:p>
            <w:pPr/>
          </w:p>
        </w:tc>
        <w:tc>
          <w:tcPr>
            <w:tcW w:w="1410" w:type="dxa"/>
            <w:tcBorders>
              <w:top w:val="single" w:sz="2" w:space="0" w:color="000000"/>
              <w:left w:val="single" w:sz="2" w:space="0" w:color="000000"/>
              <w:bottom w:val="single" w:sz="12" w:space="0" w:color="000000"/>
              <w:right w:val="single" w:sz="2" w:space="0" w:color="000000"/>
            </w:tcBorders>
          </w:tcPr>
          <w:p>
            <w:pPr/>
          </w:p>
        </w:tc>
        <w:tc>
          <w:tcPr>
            <w:tcW w:w="1410"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left="578" w:right="0"/>
              <w:jc w:val="left"/>
              <w:rPr>
                <w:rFonts w:ascii="宋体" w:hAnsi="宋体" w:cs="宋体" w:eastAsia="宋体" w:hint="default"/>
                <w:sz w:val="18"/>
                <w:szCs w:val="18"/>
              </w:rPr>
            </w:pPr>
            <w:r>
              <w:rPr>
                <w:rFonts w:ascii="宋体"/>
                <w:sz w:val="18"/>
              </w:rPr>
              <w:t>9,120.00</w:t>
            </w:r>
          </w:p>
        </w:tc>
      </w:tr>
    </w:tbl>
    <w:p>
      <w:pPr>
        <w:spacing w:line="240" w:lineRule="auto" w:before="2"/>
        <w:rPr>
          <w:rFonts w:ascii="宋体" w:hAnsi="宋体" w:cs="宋体" w:eastAsia="宋体" w:hint="default"/>
          <w:sz w:val="9"/>
          <w:szCs w:val="9"/>
        </w:rPr>
      </w:pPr>
    </w:p>
    <w:p>
      <w:pPr>
        <w:pStyle w:val="BodyText"/>
        <w:spacing w:line="240" w:lineRule="auto"/>
        <w:ind w:left="740" w:right="1445"/>
        <w:jc w:val="left"/>
      </w:pPr>
      <w:r>
        <w:rPr/>
        <w:t>（</w:t>
      </w:r>
      <w:r>
        <w:rPr>
          <w:rFonts w:ascii="Times New Roman" w:hAnsi="Times New Roman" w:cs="Times New Roman" w:eastAsia="Times New Roman" w:hint="default"/>
        </w:rPr>
        <w:t>3</w:t>
      </w:r>
      <w:r>
        <w:rPr/>
        <w:t>）</w:t>
      </w:r>
      <w:r>
        <w:rPr>
          <w:spacing w:val="-71"/>
        </w:rPr>
        <w:t> </w:t>
      </w:r>
      <w:r>
        <w:rPr/>
        <w:t>控股股东的所持股份或权益及其变化</w:t>
      </w:r>
    </w:p>
    <w:p>
      <w:pPr>
        <w:spacing w:line="240" w:lineRule="auto" w:before="0"/>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3085"/>
        <w:gridCol w:w="1418"/>
        <w:gridCol w:w="1417"/>
        <w:gridCol w:w="1418"/>
        <w:gridCol w:w="1385"/>
      </w:tblGrid>
      <w:tr>
        <w:trPr>
          <w:trHeight w:val="415" w:hRule="exact"/>
        </w:trPr>
        <w:tc>
          <w:tcPr>
            <w:tcW w:w="3085" w:type="dxa"/>
            <w:vMerge w:val="restart"/>
            <w:tcBorders>
              <w:top w:val="single" w:sz="12" w:space="0" w:color="000000"/>
              <w:left w:val="nil" w:sz="6" w:space="0" w:color="auto"/>
              <w:right w:val="single" w:sz="2"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控股股东</w:t>
            </w:r>
            <w:r>
              <w:rPr>
                <w:rFonts w:ascii="宋体" w:hAnsi="宋体" w:cs="宋体" w:eastAsia="宋体" w:hint="default"/>
                <w:sz w:val="18"/>
                <w:szCs w:val="18"/>
              </w:rPr>
            </w:r>
          </w:p>
        </w:tc>
        <w:tc>
          <w:tcPr>
            <w:tcW w:w="2835"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695" w:right="0"/>
              <w:jc w:val="left"/>
              <w:rPr>
                <w:rFonts w:ascii="宋体" w:hAnsi="宋体" w:cs="宋体" w:eastAsia="宋体" w:hint="default"/>
                <w:sz w:val="18"/>
                <w:szCs w:val="18"/>
              </w:rPr>
            </w:pPr>
            <w:r>
              <w:rPr>
                <w:rFonts w:ascii="宋体" w:hAnsi="宋体" w:cs="宋体" w:eastAsia="宋体" w:hint="default"/>
                <w:b/>
                <w:bCs/>
                <w:sz w:val="18"/>
                <w:szCs w:val="18"/>
              </w:rPr>
              <w:t>持股金额（万元）</w:t>
            </w:r>
            <w:r>
              <w:rPr>
                <w:rFonts w:ascii="宋体" w:hAnsi="宋体" w:cs="宋体" w:eastAsia="宋体" w:hint="default"/>
                <w:sz w:val="18"/>
                <w:szCs w:val="18"/>
              </w:rPr>
            </w:r>
          </w:p>
        </w:tc>
        <w:tc>
          <w:tcPr>
            <w:tcW w:w="2803"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903" w:right="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r>
      <w:tr>
        <w:trPr>
          <w:trHeight w:val="402" w:hRule="exact"/>
        </w:trPr>
        <w:tc>
          <w:tcPr>
            <w:tcW w:w="3085" w:type="dxa"/>
            <w:vMerge/>
            <w:tcBorders>
              <w:left w:val="nil" w:sz="6" w:space="0" w:color="auto"/>
              <w:bottom w:val="single" w:sz="2" w:space="0" w:color="000000"/>
              <w:right w:val="single" w:sz="2" w:space="0" w:color="000000"/>
            </w:tcBorders>
          </w:tcPr>
          <w:p>
            <w:pPr/>
          </w:p>
        </w:tc>
        <w:tc>
          <w:tcPr>
            <w:tcW w:w="14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347"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41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347" w:right="0"/>
              <w:jc w:val="left"/>
              <w:rPr>
                <w:rFonts w:ascii="宋体" w:hAnsi="宋体" w:cs="宋体" w:eastAsia="宋体" w:hint="default"/>
                <w:sz w:val="18"/>
                <w:szCs w:val="18"/>
              </w:rPr>
            </w:pPr>
            <w:r>
              <w:rPr>
                <w:rFonts w:ascii="宋体" w:hAnsi="宋体" w:cs="宋体" w:eastAsia="宋体" w:hint="default"/>
                <w:b/>
                <w:bCs/>
                <w:sz w:val="18"/>
                <w:szCs w:val="18"/>
              </w:rPr>
              <w:t>年末比例</w:t>
            </w:r>
            <w:r>
              <w:rPr>
                <w:rFonts w:ascii="宋体" w:hAnsi="宋体" w:cs="宋体" w:eastAsia="宋体" w:hint="default"/>
                <w:sz w:val="18"/>
                <w:szCs w:val="18"/>
              </w:rPr>
            </w:r>
          </w:p>
        </w:tc>
        <w:tc>
          <w:tcPr>
            <w:tcW w:w="138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left="330" w:right="0"/>
              <w:jc w:val="left"/>
              <w:rPr>
                <w:rFonts w:ascii="宋体" w:hAnsi="宋体" w:cs="宋体" w:eastAsia="宋体" w:hint="default"/>
                <w:sz w:val="18"/>
                <w:szCs w:val="18"/>
              </w:rPr>
            </w:pPr>
            <w:r>
              <w:rPr>
                <w:rFonts w:ascii="宋体" w:hAnsi="宋体" w:cs="宋体" w:eastAsia="宋体" w:hint="default"/>
                <w:b/>
                <w:bCs/>
                <w:sz w:val="18"/>
                <w:szCs w:val="18"/>
              </w:rPr>
              <w:t>年初比例</w:t>
            </w:r>
            <w:r>
              <w:rPr>
                <w:rFonts w:ascii="宋体" w:hAnsi="宋体" w:cs="宋体" w:eastAsia="宋体" w:hint="default"/>
                <w:sz w:val="18"/>
                <w:szCs w:val="18"/>
              </w:rPr>
            </w:r>
          </w:p>
        </w:tc>
      </w:tr>
      <w:tr>
        <w:trPr>
          <w:trHeight w:val="414" w:hRule="exact"/>
        </w:trPr>
        <w:tc>
          <w:tcPr>
            <w:tcW w:w="308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浙江万马智能科技集团有限公司</w:t>
            </w:r>
          </w:p>
        </w:tc>
        <w:tc>
          <w:tcPr>
            <w:tcW w:w="141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496" w:right="0"/>
              <w:jc w:val="left"/>
              <w:rPr>
                <w:rFonts w:ascii="宋体" w:hAnsi="宋体" w:cs="宋体" w:eastAsia="宋体" w:hint="default"/>
                <w:sz w:val="18"/>
                <w:szCs w:val="18"/>
              </w:rPr>
            </w:pPr>
            <w:r>
              <w:rPr>
                <w:rFonts w:ascii="宋体"/>
                <w:sz w:val="18"/>
              </w:rPr>
              <w:t>26,314.18</w:t>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496" w:right="0"/>
              <w:jc w:val="left"/>
              <w:rPr>
                <w:rFonts w:ascii="宋体" w:hAnsi="宋体" w:cs="宋体" w:eastAsia="宋体" w:hint="default"/>
                <w:sz w:val="18"/>
                <w:szCs w:val="18"/>
              </w:rPr>
            </w:pPr>
            <w:r>
              <w:rPr>
                <w:rFonts w:ascii="宋体"/>
                <w:sz w:val="18"/>
              </w:rPr>
              <w:t>26,314.18</w:t>
            </w:r>
          </w:p>
        </w:tc>
        <w:tc>
          <w:tcPr>
            <w:tcW w:w="141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858" w:right="0"/>
              <w:jc w:val="left"/>
              <w:rPr>
                <w:rFonts w:ascii="宋体" w:hAnsi="宋体" w:cs="宋体" w:eastAsia="宋体" w:hint="default"/>
                <w:sz w:val="18"/>
                <w:szCs w:val="18"/>
              </w:rPr>
            </w:pPr>
            <w:r>
              <w:rPr>
                <w:rFonts w:ascii="宋体"/>
                <w:sz w:val="18"/>
              </w:rPr>
              <w:t>25.41</w:t>
            </w:r>
          </w:p>
        </w:tc>
        <w:tc>
          <w:tcPr>
            <w:tcW w:w="138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left="824" w:right="0"/>
              <w:jc w:val="left"/>
              <w:rPr>
                <w:rFonts w:ascii="宋体" w:hAnsi="宋体" w:cs="宋体" w:eastAsia="宋体" w:hint="default"/>
                <w:sz w:val="18"/>
                <w:szCs w:val="18"/>
              </w:rPr>
            </w:pPr>
            <w:r>
              <w:rPr>
                <w:rFonts w:ascii="宋体"/>
                <w:sz w:val="18"/>
              </w:rPr>
              <w:t>25.41</w:t>
            </w:r>
          </w:p>
        </w:tc>
      </w:tr>
    </w:tbl>
    <w:p>
      <w:pPr>
        <w:spacing w:line="240" w:lineRule="auto" w:before="1"/>
        <w:rPr>
          <w:rFonts w:ascii="宋体" w:hAnsi="宋体" w:cs="宋体" w:eastAsia="宋体" w:hint="default"/>
          <w:sz w:val="9"/>
          <w:szCs w:val="9"/>
        </w:rPr>
      </w:pPr>
    </w:p>
    <w:p>
      <w:pPr>
        <w:pStyle w:val="BodyText"/>
        <w:tabs>
          <w:tab w:pos="1239" w:val="left" w:leader="none"/>
        </w:tabs>
        <w:spacing w:line="379" w:lineRule="auto"/>
        <w:ind w:left="680" w:right="3274" w:firstLine="160"/>
        <w:jc w:val="left"/>
      </w:pPr>
      <w:r>
        <w:rPr>
          <w:rFonts w:ascii="Times New Roman" w:hAnsi="Times New Roman" w:cs="Times New Roman" w:eastAsia="Times New Roman" w:hint="default"/>
          <w:b/>
          <w:bCs/>
          <w:spacing w:val="-1"/>
        </w:rPr>
        <w:t>2.</w:t>
        <w:tab/>
      </w:r>
      <w:bookmarkStart w:name="2.子公司" w:id="385"/>
      <w:bookmarkEnd w:id="385"/>
      <w:r>
        <w:rPr>
          <w:rFonts w:ascii="Times New Roman" w:hAnsi="Times New Roman" w:cs="Times New Roman" w:eastAsia="Times New Roman" w:hint="default"/>
          <w:b/>
          <w:bCs/>
          <w:spacing w:val="-1"/>
        </w:rPr>
      </w:r>
      <w:r>
        <w:rPr>
          <w:rFonts w:ascii="宋体" w:hAnsi="宋体" w:cs="宋体" w:eastAsia="宋体" w:hint="default"/>
          <w:b/>
          <w:bCs/>
          <w:spacing w:val="-1"/>
        </w:rPr>
        <w:t>子公司</w:t>
      </w:r>
      <w:r>
        <w:rPr>
          <w:rFonts w:ascii="宋体" w:hAnsi="宋体" w:cs="宋体" w:eastAsia="宋体" w:hint="default"/>
          <w:b/>
          <w:bCs/>
          <w:w w:val="100"/>
        </w:rPr>
        <w:t> </w:t>
      </w:r>
      <w:r>
        <w:rPr>
          <w:spacing w:val="-2"/>
        </w:rPr>
        <w:t>子公司情况详见本附注“十、1.（1）企业集团的构成”相关内容。</w:t>
      </w:r>
    </w:p>
    <w:p>
      <w:pPr>
        <w:tabs>
          <w:tab w:pos="1239" w:val="left" w:leader="none"/>
        </w:tabs>
        <w:spacing w:line="379" w:lineRule="auto" w:before="64"/>
        <w:ind w:left="680" w:right="1586" w:firstLine="160"/>
        <w:jc w:val="left"/>
        <w:rPr>
          <w:rFonts w:ascii="宋体" w:hAnsi="宋体" w:cs="宋体" w:eastAsia="宋体" w:hint="default"/>
          <w:sz w:val="22"/>
          <w:szCs w:val="22"/>
        </w:rPr>
      </w:pPr>
      <w:r>
        <w:rPr>
          <w:rFonts w:ascii="Times New Roman" w:hAnsi="Times New Roman" w:cs="Times New Roman" w:eastAsia="Times New Roman" w:hint="default"/>
          <w:b/>
          <w:bCs/>
          <w:spacing w:val="-1"/>
          <w:sz w:val="22"/>
          <w:szCs w:val="22"/>
        </w:rPr>
        <w:t>3.</w:t>
        <w:tab/>
      </w:r>
      <w:bookmarkStart w:name="3.合营企业及联营企业" w:id="386"/>
      <w:bookmarkEnd w:id="386"/>
      <w:r>
        <w:rPr>
          <w:rFonts w:ascii="Times New Roman" w:hAnsi="Times New Roman" w:cs="Times New Roman" w:eastAsia="Times New Roman" w:hint="default"/>
          <w:b/>
          <w:bCs/>
          <w:spacing w:val="-1"/>
          <w:sz w:val="22"/>
          <w:szCs w:val="22"/>
        </w:rPr>
      </w:r>
      <w:r>
        <w:rPr>
          <w:rFonts w:ascii="宋体" w:hAnsi="宋体" w:cs="宋体" w:eastAsia="宋体" w:hint="default"/>
          <w:b/>
          <w:bCs/>
          <w:spacing w:val="-1"/>
          <w:sz w:val="22"/>
          <w:szCs w:val="22"/>
        </w:rPr>
        <w:t>合营企业及联营企业</w:t>
      </w:r>
      <w:r>
        <w:rPr>
          <w:rFonts w:ascii="宋体" w:hAnsi="宋体" w:cs="宋体" w:eastAsia="宋体" w:hint="default"/>
          <w:b/>
          <w:bCs/>
          <w:w w:val="100"/>
          <w:sz w:val="22"/>
          <w:szCs w:val="22"/>
        </w:rPr>
        <w:t> </w:t>
      </w:r>
      <w:r>
        <w:rPr>
          <w:rFonts w:ascii="宋体" w:hAnsi="宋体" w:cs="宋体" w:eastAsia="宋体" w:hint="default"/>
          <w:spacing w:val="-4"/>
          <w:sz w:val="22"/>
          <w:szCs w:val="22"/>
        </w:rPr>
        <w:t>本公司重要的合营或联营企业详见本附注“十、2.（1）重要的合营企业或联营企业”</w:t>
      </w:r>
    </w:p>
    <w:p>
      <w:pPr>
        <w:pStyle w:val="BodyText"/>
        <w:spacing w:line="232" w:lineRule="exact" w:before="0"/>
        <w:ind w:left="241" w:right="1445"/>
        <w:jc w:val="left"/>
      </w:pPr>
      <w:r>
        <w:rPr>
          <w:spacing w:val="-4"/>
        </w:rPr>
        <w:t>相关内容。本年与本公司发生关联方交易，或前期与本公司发生关联方交易形成余额的合</w:t>
      </w:r>
    </w:p>
    <w:p>
      <w:pPr>
        <w:pStyle w:val="BodyText"/>
        <w:spacing w:line="240" w:lineRule="auto" w:before="72"/>
        <w:ind w:left="241" w:right="1445"/>
        <w:jc w:val="left"/>
      </w:pPr>
      <w:r>
        <w:rPr/>
        <w:t>营或联营企业情况如下：</w:t>
      </w:r>
    </w:p>
    <w:p>
      <w:pPr>
        <w:spacing w:line="240" w:lineRule="auto" w:before="5"/>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4070"/>
        <w:gridCol w:w="4653"/>
      </w:tblGrid>
      <w:tr>
        <w:trPr>
          <w:trHeight w:val="415" w:hRule="exact"/>
        </w:trPr>
        <w:tc>
          <w:tcPr>
            <w:tcW w:w="407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合营或联营企业名称</w:t>
            </w:r>
            <w:r>
              <w:rPr>
                <w:rFonts w:ascii="宋体" w:hAnsi="宋体" w:cs="宋体" w:eastAsia="宋体" w:hint="default"/>
                <w:sz w:val="18"/>
                <w:szCs w:val="18"/>
              </w:rPr>
            </w:r>
          </w:p>
        </w:tc>
        <w:tc>
          <w:tcPr>
            <w:tcW w:w="465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浙江电腾云光伏科技有限公司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0"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山东万恩新能源科技有限公司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联营企业</w:t>
            </w:r>
          </w:p>
        </w:tc>
      </w:tr>
    </w:tbl>
    <w:p>
      <w:pPr>
        <w:spacing w:after="0" w:line="240" w:lineRule="auto"/>
        <w:jc w:val="center"/>
        <w:rPr>
          <w:rFonts w:ascii="宋体" w:hAnsi="宋体" w:cs="宋体" w:eastAsia="宋体" w:hint="default"/>
          <w:sz w:val="18"/>
          <w:szCs w:val="18"/>
        </w:rPr>
        <w:sectPr>
          <w:pgSz w:w="11910" w:h="16840"/>
          <w:pgMar w:header="939" w:footer="883" w:top="1980" w:bottom="1080" w:left="1460" w:right="0"/>
        </w:sectPr>
      </w:pPr>
    </w:p>
    <w:p>
      <w:pPr>
        <w:spacing w:line="240" w:lineRule="auto" w:before="7"/>
        <w:rPr>
          <w:rFonts w:ascii="宋体" w:hAnsi="宋体" w:cs="宋体" w:eastAsia="宋体" w:hint="default"/>
          <w:sz w:val="9"/>
          <w:szCs w:val="9"/>
        </w:rPr>
      </w:pPr>
    </w:p>
    <w:tbl>
      <w:tblPr>
        <w:tblW w:w="0" w:type="auto"/>
        <w:jc w:val="left"/>
        <w:tblInd w:w="118" w:type="dxa"/>
        <w:tblLayout w:type="fixed"/>
        <w:tblCellMar>
          <w:top w:w="0" w:type="dxa"/>
          <w:left w:w="0" w:type="dxa"/>
          <w:bottom w:w="0" w:type="dxa"/>
          <w:right w:w="0" w:type="dxa"/>
        </w:tblCellMar>
        <w:tblLook w:val="01E0"/>
      </w:tblPr>
      <w:tblGrid>
        <w:gridCol w:w="4070"/>
        <w:gridCol w:w="4653"/>
      </w:tblGrid>
      <w:tr>
        <w:trPr>
          <w:trHeight w:val="415" w:hRule="exact"/>
        </w:trPr>
        <w:tc>
          <w:tcPr>
            <w:tcW w:w="407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合营或联营企业名称</w:t>
            </w:r>
            <w:r>
              <w:rPr>
                <w:rFonts w:ascii="宋体" w:hAnsi="宋体" w:cs="宋体" w:eastAsia="宋体" w:hint="default"/>
                <w:sz w:val="18"/>
                <w:szCs w:val="18"/>
              </w:rPr>
            </w:r>
          </w:p>
        </w:tc>
        <w:tc>
          <w:tcPr>
            <w:tcW w:w="465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r>
      <w:tr>
        <w:trPr>
          <w:trHeight w:val="414" w:hRule="exact"/>
        </w:trPr>
        <w:tc>
          <w:tcPr>
            <w:tcW w:w="407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浙江万马海立斯新能源有限公司</w:t>
            </w:r>
          </w:p>
        </w:tc>
        <w:tc>
          <w:tcPr>
            <w:tcW w:w="465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合营企业</w:t>
            </w:r>
          </w:p>
        </w:tc>
      </w:tr>
    </w:tbl>
    <w:p>
      <w:pPr>
        <w:spacing w:line="240" w:lineRule="auto" w:before="1"/>
        <w:rPr>
          <w:rFonts w:ascii="宋体" w:hAnsi="宋体" w:cs="宋体" w:eastAsia="宋体" w:hint="default"/>
          <w:sz w:val="9"/>
          <w:szCs w:val="9"/>
        </w:rPr>
      </w:pPr>
    </w:p>
    <w:p>
      <w:pPr>
        <w:pStyle w:val="Heading4"/>
        <w:tabs>
          <w:tab w:pos="1239" w:val="left" w:leader="none"/>
        </w:tabs>
        <w:spacing w:line="240" w:lineRule="auto" w:before="33"/>
        <w:ind w:left="841" w:right="1445"/>
        <w:jc w:val="left"/>
        <w:rPr>
          <w:b w:val="0"/>
          <w:bCs w:val="0"/>
        </w:rPr>
      </w:pPr>
      <w:r>
        <w:rPr>
          <w:rFonts w:ascii="Times New Roman" w:hAnsi="Times New Roman" w:cs="Times New Roman" w:eastAsia="Times New Roman" w:hint="default"/>
          <w:spacing w:val="-1"/>
        </w:rPr>
        <w:t>4.</w:t>
        <w:tab/>
      </w:r>
      <w:bookmarkStart w:name="4.其他关联方" w:id="387"/>
      <w:bookmarkEnd w:id="387"/>
      <w:r>
        <w:rPr>
          <w:rFonts w:ascii="Times New Roman" w:hAnsi="Times New Roman" w:cs="Times New Roman" w:eastAsia="Times New Roman" w:hint="default"/>
          <w:spacing w:val="-1"/>
        </w:rPr>
      </w:r>
      <w:r>
        <w:rPr>
          <w:spacing w:val="-1"/>
        </w:rPr>
        <w:t>其他关联方</w:t>
      </w:r>
      <w:r>
        <w:rPr>
          <w:b w:val="0"/>
          <w:bCs w:val="0"/>
          <w:spacing w:val="-1"/>
        </w:rPr>
      </w:r>
    </w:p>
    <w:p>
      <w:pPr>
        <w:spacing w:line="240" w:lineRule="auto" w:before="1"/>
        <w:rPr>
          <w:rFonts w:ascii="宋体" w:hAnsi="宋体" w:cs="宋体" w:eastAsia="宋体" w:hint="default"/>
          <w:b/>
          <w:bCs/>
          <w:sz w:val="11"/>
          <w:szCs w:val="11"/>
        </w:rPr>
      </w:pPr>
    </w:p>
    <w:tbl>
      <w:tblPr>
        <w:tblW w:w="0" w:type="auto"/>
        <w:jc w:val="left"/>
        <w:tblInd w:w="118" w:type="dxa"/>
        <w:tblLayout w:type="fixed"/>
        <w:tblCellMar>
          <w:top w:w="0" w:type="dxa"/>
          <w:left w:w="0" w:type="dxa"/>
          <w:bottom w:w="0" w:type="dxa"/>
          <w:right w:w="0" w:type="dxa"/>
        </w:tblCellMar>
        <w:tblLook w:val="01E0"/>
      </w:tblPr>
      <w:tblGrid>
        <w:gridCol w:w="4070"/>
        <w:gridCol w:w="4653"/>
      </w:tblGrid>
      <w:tr>
        <w:trPr>
          <w:trHeight w:val="415" w:hRule="exact"/>
        </w:trPr>
        <w:tc>
          <w:tcPr>
            <w:tcW w:w="4070"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其他关联方名称</w:t>
            </w:r>
            <w:r>
              <w:rPr>
                <w:rFonts w:ascii="宋体" w:hAnsi="宋体" w:cs="宋体" w:eastAsia="宋体" w:hint="default"/>
                <w:sz w:val="18"/>
                <w:szCs w:val="18"/>
              </w:rPr>
            </w:r>
          </w:p>
        </w:tc>
        <w:tc>
          <w:tcPr>
            <w:tcW w:w="465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万马科技股份有限公司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浙江万马海振光电科技有限公司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浙江万马泰科新材料有限公司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临安万马雨顺农业科技开发有限公司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无锡会通轻质材料股份有限公司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杭州临安万马网络技术有限公司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杭州全通轻质材料有限公司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临安万马蓝翔置业有限公司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02" w:hRule="exact"/>
        </w:trPr>
        <w:tc>
          <w:tcPr>
            <w:tcW w:w="407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广州会通轻质材料有限公司</w:t>
            </w:r>
          </w:p>
        </w:tc>
        <w:tc>
          <w:tcPr>
            <w:tcW w:w="465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left="106" w:right="0"/>
              <w:jc w:val="left"/>
              <w:rPr>
                <w:rFonts w:ascii="宋体" w:hAnsi="宋体" w:cs="宋体" w:eastAsia="宋体" w:hint="default"/>
                <w:sz w:val="18"/>
                <w:szCs w:val="18"/>
              </w:rPr>
            </w:pPr>
            <w:r>
              <w:rPr>
                <w:rFonts w:ascii="宋体" w:hAnsi="宋体" w:cs="宋体" w:eastAsia="宋体" w:hint="default"/>
                <w:sz w:val="18"/>
                <w:szCs w:val="18"/>
              </w:rPr>
              <w:t>同一控股股东及最终控制方控制的其他企业</w:t>
            </w:r>
          </w:p>
        </w:tc>
      </w:tr>
      <w:tr>
        <w:trPr>
          <w:trHeight w:val="414" w:hRule="exact"/>
        </w:trPr>
        <w:tc>
          <w:tcPr>
            <w:tcW w:w="407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浙江万马集团电气有限公司</w:t>
            </w:r>
          </w:p>
        </w:tc>
        <w:tc>
          <w:tcPr>
            <w:tcW w:w="465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其他关联方</w:t>
            </w:r>
          </w:p>
        </w:tc>
      </w:tr>
    </w:tbl>
    <w:p>
      <w:pPr>
        <w:spacing w:line="240" w:lineRule="auto" w:before="3"/>
        <w:rPr>
          <w:rFonts w:ascii="宋体" w:hAnsi="宋体" w:cs="宋体" w:eastAsia="宋体" w:hint="default"/>
          <w:b/>
          <w:bCs/>
          <w:sz w:val="9"/>
          <w:szCs w:val="9"/>
        </w:rPr>
      </w:pPr>
    </w:p>
    <w:p>
      <w:pPr>
        <w:pStyle w:val="Heading4"/>
        <w:spacing w:line="240" w:lineRule="auto" w:before="33"/>
        <w:ind w:left="661" w:right="1445"/>
        <w:jc w:val="left"/>
        <w:rPr>
          <w:b w:val="0"/>
          <w:bCs w:val="0"/>
        </w:rPr>
      </w:pPr>
      <w:r>
        <w:rPr/>
        <w:t>（二）</w:t>
      </w:r>
      <w:r>
        <w:rPr>
          <w:spacing w:val="12"/>
        </w:rPr>
        <w:t> </w:t>
      </w:r>
      <w:bookmarkStart w:name="（二） 关联交易" w:id="388"/>
      <w:bookmarkEnd w:id="388"/>
      <w:r>
        <w:rPr/>
        <w:t>关</w:t>
      </w:r>
      <w:r>
        <w:rPr/>
        <w:t>联交易</w:t>
      </w:r>
      <w:r>
        <w:rPr>
          <w:b w:val="0"/>
          <w:bCs w:val="0"/>
        </w:rPr>
      </w:r>
    </w:p>
    <w:p>
      <w:pPr>
        <w:pStyle w:val="BodyText"/>
        <w:tabs>
          <w:tab w:pos="1141" w:val="left" w:leader="none"/>
        </w:tabs>
        <w:spacing w:line="240" w:lineRule="auto" w:before="192"/>
        <w:ind w:left="728" w:right="1445"/>
        <w:jc w:val="left"/>
      </w:pPr>
      <w:r>
        <w:rPr>
          <w:rFonts w:ascii="Times New Roman" w:hAnsi="Times New Roman" w:cs="Times New Roman" w:eastAsia="Times New Roman" w:hint="default"/>
          <w:spacing w:val="-1"/>
        </w:rPr>
        <w:t>1.</w:t>
        <w:tab/>
      </w:r>
      <w:r>
        <w:rPr>
          <w:spacing w:val="-2"/>
        </w:rPr>
        <w:t>购销商品、提供和接受劳务的关联交易</w:t>
      </w:r>
    </w:p>
    <w:p>
      <w:pPr>
        <w:pStyle w:val="BodyText"/>
        <w:spacing w:line="240" w:lineRule="auto" w:before="175"/>
        <w:ind w:left="654" w:right="1445"/>
        <w:jc w:val="left"/>
      </w:pPr>
      <w:r>
        <w:rPr/>
        <w:t>（</w:t>
      </w:r>
      <w:r>
        <w:rPr>
          <w:rFonts w:ascii="Times New Roman" w:hAnsi="Times New Roman" w:cs="Times New Roman" w:eastAsia="Times New Roman" w:hint="default"/>
        </w:rPr>
        <w:t>1</w:t>
      </w:r>
      <w:r>
        <w:rPr/>
        <w:t>）</w:t>
      </w:r>
      <w:r>
        <w:rPr>
          <w:spacing w:val="21"/>
        </w:rPr>
        <w:t> </w:t>
      </w:r>
      <w:r>
        <w:rPr/>
        <w:t>采购商品/接受劳务</w:t>
      </w:r>
    </w:p>
    <w:p>
      <w:pPr>
        <w:spacing w:line="240" w:lineRule="auto" w:before="12"/>
        <w:rPr>
          <w:rFonts w:ascii="宋体" w:hAnsi="宋体" w:cs="宋体" w:eastAsia="宋体" w:hint="default"/>
          <w:sz w:val="10"/>
          <w:szCs w:val="10"/>
        </w:rPr>
      </w:pPr>
    </w:p>
    <w:tbl>
      <w:tblPr>
        <w:tblW w:w="0" w:type="auto"/>
        <w:jc w:val="left"/>
        <w:tblInd w:w="113" w:type="dxa"/>
        <w:tblLayout w:type="fixed"/>
        <w:tblCellMar>
          <w:top w:w="0" w:type="dxa"/>
          <w:left w:w="0" w:type="dxa"/>
          <w:bottom w:w="0" w:type="dxa"/>
          <w:right w:w="0" w:type="dxa"/>
        </w:tblCellMar>
        <w:tblLook w:val="01E0"/>
      </w:tblPr>
      <w:tblGrid>
        <w:gridCol w:w="2866"/>
        <w:gridCol w:w="968"/>
        <w:gridCol w:w="1390"/>
        <w:gridCol w:w="1352"/>
        <w:gridCol w:w="875"/>
        <w:gridCol w:w="1282"/>
      </w:tblGrid>
      <w:tr>
        <w:trPr>
          <w:trHeight w:val="485" w:hRule="exact"/>
        </w:trPr>
        <w:tc>
          <w:tcPr>
            <w:tcW w:w="286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88"/>
              <w:ind w:left="29"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968" w:type="dxa"/>
            <w:tcBorders>
              <w:top w:val="single" w:sz="12" w:space="0" w:color="000000"/>
              <w:left w:val="single" w:sz="2" w:space="0" w:color="000000"/>
              <w:bottom w:val="single" w:sz="2" w:space="0" w:color="000000"/>
              <w:right w:val="single" w:sz="2" w:space="0" w:color="000000"/>
            </w:tcBorders>
          </w:tcPr>
          <w:p>
            <w:pPr>
              <w:pStyle w:val="TableParagraph"/>
              <w:spacing w:line="208"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关联交易内</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容</w:t>
            </w:r>
            <w:r>
              <w:rPr>
                <w:rFonts w:ascii="宋体" w:hAnsi="宋体" w:cs="宋体" w:eastAsia="宋体" w:hint="default"/>
                <w:sz w:val="18"/>
                <w:szCs w:val="18"/>
              </w:rPr>
            </w:r>
          </w:p>
        </w:tc>
        <w:tc>
          <w:tcPr>
            <w:tcW w:w="139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88"/>
              <w:ind w:left="24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352" w:type="dxa"/>
            <w:tcBorders>
              <w:top w:val="single" w:sz="12" w:space="0" w:color="000000"/>
              <w:left w:val="single" w:sz="2" w:space="0" w:color="000000"/>
              <w:bottom w:val="single" w:sz="2" w:space="0" w:color="000000"/>
              <w:right w:val="single" w:sz="2" w:space="0" w:color="000000"/>
            </w:tcBorders>
          </w:tcPr>
          <w:p>
            <w:pPr>
              <w:pStyle w:val="TableParagraph"/>
              <w:spacing w:line="209" w:lineRule="exact"/>
              <w:ind w:right="38"/>
              <w:jc w:val="right"/>
              <w:rPr>
                <w:rFonts w:ascii="宋体" w:hAnsi="宋体" w:cs="宋体" w:eastAsia="宋体" w:hint="default"/>
                <w:sz w:val="18"/>
                <w:szCs w:val="18"/>
              </w:rPr>
            </w:pPr>
            <w:r>
              <w:rPr>
                <w:rFonts w:ascii="宋体" w:hAnsi="宋体" w:cs="宋体" w:eastAsia="宋体" w:hint="default"/>
                <w:b/>
                <w:bCs/>
                <w:w w:val="95"/>
                <w:sz w:val="18"/>
                <w:szCs w:val="18"/>
              </w:rPr>
              <w:t>获批的交易额度</w:t>
            </w:r>
            <w:r>
              <w:rPr>
                <w:rFonts w:ascii="宋体" w:hAnsi="宋体" w:cs="宋体" w:eastAsia="宋体" w:hint="default"/>
                <w:sz w:val="18"/>
                <w:szCs w:val="18"/>
              </w:rPr>
            </w:r>
          </w:p>
        </w:tc>
        <w:tc>
          <w:tcPr>
            <w:tcW w:w="875" w:type="dxa"/>
            <w:tcBorders>
              <w:top w:val="single" w:sz="12" w:space="0" w:color="000000"/>
              <w:left w:val="single" w:sz="2" w:space="0" w:color="000000"/>
              <w:bottom w:val="single" w:sz="2" w:space="0" w:color="000000"/>
              <w:right w:val="single" w:sz="2" w:space="0" w:color="000000"/>
            </w:tcBorders>
          </w:tcPr>
          <w:p>
            <w:pPr>
              <w:pStyle w:val="TableParagraph"/>
              <w:spacing w:line="208" w:lineRule="exact"/>
              <w:ind w:left="75" w:right="0"/>
              <w:jc w:val="left"/>
              <w:rPr>
                <w:rFonts w:ascii="宋体" w:hAnsi="宋体" w:cs="宋体" w:eastAsia="宋体" w:hint="default"/>
                <w:sz w:val="18"/>
                <w:szCs w:val="18"/>
              </w:rPr>
            </w:pPr>
            <w:r>
              <w:rPr>
                <w:rFonts w:ascii="宋体" w:hAnsi="宋体" w:cs="宋体" w:eastAsia="宋体" w:hint="default"/>
                <w:b/>
                <w:bCs/>
                <w:sz w:val="18"/>
                <w:szCs w:val="18"/>
              </w:rPr>
              <w:t>是否超过</w:t>
            </w:r>
            <w:r>
              <w:rPr>
                <w:rFonts w:ascii="宋体" w:hAnsi="宋体" w:cs="宋体" w:eastAsia="宋体" w:hint="default"/>
                <w:sz w:val="18"/>
                <w:szCs w:val="18"/>
              </w:rPr>
            </w:r>
          </w:p>
          <w:p>
            <w:pPr>
              <w:pStyle w:val="TableParagraph"/>
              <w:spacing w:line="234" w:lineRule="exact"/>
              <w:ind w:left="75" w:right="0"/>
              <w:jc w:val="left"/>
              <w:rPr>
                <w:rFonts w:ascii="宋体" w:hAnsi="宋体" w:cs="宋体" w:eastAsia="宋体" w:hint="default"/>
                <w:sz w:val="18"/>
                <w:szCs w:val="18"/>
              </w:rPr>
            </w:pPr>
            <w:r>
              <w:rPr>
                <w:rFonts w:ascii="宋体" w:hAnsi="宋体" w:cs="宋体" w:eastAsia="宋体" w:hint="default"/>
                <w:b/>
                <w:bCs/>
                <w:sz w:val="18"/>
                <w:szCs w:val="18"/>
              </w:rPr>
              <w:t>交易额度</w:t>
            </w:r>
            <w:r>
              <w:rPr>
                <w:rFonts w:ascii="宋体" w:hAnsi="宋体" w:cs="宋体" w:eastAsia="宋体" w:hint="default"/>
                <w:sz w:val="18"/>
                <w:szCs w:val="18"/>
              </w:rPr>
            </w:r>
          </w:p>
        </w:tc>
        <w:tc>
          <w:tcPr>
            <w:tcW w:w="128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88"/>
              <w:ind w:left="188"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29" w:right="0"/>
              <w:jc w:val="left"/>
              <w:rPr>
                <w:rFonts w:ascii="宋体" w:hAnsi="宋体" w:cs="宋体" w:eastAsia="宋体" w:hint="default"/>
                <w:sz w:val="18"/>
                <w:szCs w:val="18"/>
              </w:rPr>
            </w:pPr>
            <w:r>
              <w:rPr>
                <w:rFonts w:ascii="宋体" w:hAnsi="宋体" w:cs="宋体" w:eastAsia="宋体" w:hint="default"/>
                <w:sz w:val="18"/>
                <w:szCs w:val="18"/>
              </w:rPr>
              <w:t>浙江万马海立斯新能源有限公司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20"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4"/>
              <w:jc w:val="right"/>
              <w:rPr>
                <w:rFonts w:ascii="宋体" w:hAnsi="宋体" w:cs="宋体" w:eastAsia="宋体" w:hint="default"/>
                <w:sz w:val="18"/>
                <w:szCs w:val="18"/>
              </w:rPr>
            </w:pPr>
            <w:r>
              <w:rPr>
                <w:rFonts w:ascii="宋体"/>
                <w:spacing w:val="-1"/>
                <w:sz w:val="18"/>
              </w:rPr>
              <w:t>3,600,000.00</w:t>
            </w:r>
          </w:p>
        </w:tc>
        <w:tc>
          <w:tcPr>
            <w:tcW w:w="13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4"/>
              <w:jc w:val="right"/>
              <w:rPr>
                <w:rFonts w:ascii="宋体" w:hAnsi="宋体" w:cs="宋体" w:eastAsia="宋体" w:hint="default"/>
                <w:sz w:val="18"/>
                <w:szCs w:val="18"/>
              </w:rPr>
            </w:pPr>
            <w:r>
              <w:rPr>
                <w:rFonts w:ascii="宋体"/>
                <w:spacing w:val="-1"/>
                <w:sz w:val="18"/>
              </w:rPr>
              <w:t>6,408,000.00</w:t>
            </w:r>
          </w:p>
        </w:tc>
        <w:tc>
          <w:tcPr>
            <w:tcW w:w="8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8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pacing w:val="-1"/>
                <w:sz w:val="18"/>
              </w:rPr>
              <w:t>3,240,000.00</w:t>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29" w:right="0"/>
              <w:jc w:val="left"/>
              <w:rPr>
                <w:rFonts w:ascii="宋体" w:hAnsi="宋体" w:cs="宋体" w:eastAsia="宋体" w:hint="default"/>
                <w:sz w:val="18"/>
                <w:szCs w:val="18"/>
              </w:rPr>
            </w:pPr>
            <w:r>
              <w:rPr>
                <w:rFonts w:ascii="宋体" w:hAnsi="宋体" w:cs="宋体" w:eastAsia="宋体" w:hint="default"/>
                <w:sz w:val="18"/>
                <w:szCs w:val="18"/>
              </w:rPr>
              <w:t>万马科技股份有限公司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24"/>
              <w:jc w:val="right"/>
              <w:rPr>
                <w:rFonts w:ascii="宋体" w:hAnsi="宋体" w:cs="宋体" w:eastAsia="宋体" w:hint="default"/>
                <w:sz w:val="18"/>
                <w:szCs w:val="18"/>
              </w:rPr>
            </w:pPr>
            <w:r>
              <w:rPr>
                <w:rFonts w:ascii="宋体"/>
                <w:spacing w:val="-1"/>
                <w:sz w:val="18"/>
              </w:rPr>
              <w:t>2,352,262.19</w:t>
            </w:r>
          </w:p>
        </w:tc>
        <w:tc>
          <w:tcPr>
            <w:tcW w:w="13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24"/>
              <w:jc w:val="right"/>
              <w:rPr>
                <w:rFonts w:ascii="宋体" w:hAnsi="宋体" w:cs="宋体" w:eastAsia="宋体" w:hint="default"/>
                <w:sz w:val="18"/>
                <w:szCs w:val="18"/>
              </w:rPr>
            </w:pPr>
            <w:r>
              <w:rPr>
                <w:rFonts w:ascii="宋体"/>
                <w:spacing w:val="-1"/>
                <w:sz w:val="18"/>
              </w:rPr>
              <w:t>3,400,000.00</w:t>
            </w:r>
          </w:p>
        </w:tc>
        <w:tc>
          <w:tcPr>
            <w:tcW w:w="8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8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26"/>
              <w:jc w:val="right"/>
              <w:rPr>
                <w:rFonts w:ascii="宋体" w:hAnsi="宋体" w:cs="宋体" w:eastAsia="宋体" w:hint="default"/>
                <w:sz w:val="18"/>
                <w:szCs w:val="18"/>
              </w:rPr>
            </w:pPr>
            <w:r>
              <w:rPr>
                <w:rFonts w:ascii="宋体"/>
                <w:spacing w:val="-1"/>
                <w:sz w:val="18"/>
              </w:rPr>
              <w:t>444,739.17</w:t>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29" w:right="0"/>
              <w:jc w:val="left"/>
              <w:rPr>
                <w:rFonts w:ascii="宋体" w:hAnsi="宋体" w:cs="宋体" w:eastAsia="宋体" w:hint="default"/>
                <w:sz w:val="18"/>
                <w:szCs w:val="18"/>
              </w:rPr>
            </w:pPr>
            <w:r>
              <w:rPr>
                <w:rFonts w:ascii="宋体" w:hAnsi="宋体" w:cs="宋体" w:eastAsia="宋体" w:hint="default"/>
                <w:sz w:val="18"/>
                <w:szCs w:val="18"/>
              </w:rPr>
              <w:t>浙江电腾云光伏科技有限公司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20"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4"/>
              <w:jc w:val="right"/>
              <w:rPr>
                <w:rFonts w:ascii="宋体" w:hAnsi="宋体" w:cs="宋体" w:eastAsia="宋体" w:hint="default"/>
                <w:sz w:val="18"/>
                <w:szCs w:val="18"/>
              </w:rPr>
            </w:pPr>
            <w:r>
              <w:rPr>
                <w:rFonts w:ascii="宋体"/>
                <w:spacing w:val="-1"/>
                <w:sz w:val="18"/>
              </w:rPr>
              <w:t>1,010,377.36</w:t>
            </w:r>
          </w:p>
        </w:tc>
        <w:tc>
          <w:tcPr>
            <w:tcW w:w="1352" w:type="dxa"/>
            <w:tcBorders>
              <w:top w:val="single" w:sz="2" w:space="0" w:color="000000"/>
              <w:left w:val="single" w:sz="2" w:space="0" w:color="000000"/>
              <w:bottom w:val="single" w:sz="2" w:space="0" w:color="000000"/>
              <w:right w:val="single" w:sz="2" w:space="0" w:color="000000"/>
            </w:tcBorders>
          </w:tcPr>
          <w:p>
            <w:pPr/>
          </w:p>
        </w:tc>
        <w:tc>
          <w:tcPr>
            <w:tcW w:w="8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28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29" w:right="0"/>
              <w:jc w:val="left"/>
              <w:rPr>
                <w:rFonts w:ascii="宋体" w:hAnsi="宋体" w:cs="宋体" w:eastAsia="宋体" w:hint="default"/>
                <w:sz w:val="18"/>
                <w:szCs w:val="18"/>
              </w:rPr>
            </w:pPr>
            <w:r>
              <w:rPr>
                <w:rFonts w:ascii="宋体" w:hAnsi="宋体" w:cs="宋体" w:eastAsia="宋体" w:hint="default"/>
                <w:sz w:val="18"/>
                <w:szCs w:val="18"/>
              </w:rPr>
              <w:t>浙江万马集团电气有限公司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24"/>
              <w:jc w:val="right"/>
              <w:rPr>
                <w:rFonts w:ascii="宋体" w:hAnsi="宋体" w:cs="宋体" w:eastAsia="宋体" w:hint="default"/>
                <w:sz w:val="18"/>
                <w:szCs w:val="18"/>
              </w:rPr>
            </w:pPr>
            <w:r>
              <w:rPr>
                <w:rFonts w:ascii="宋体"/>
                <w:spacing w:val="-1"/>
                <w:sz w:val="18"/>
              </w:rPr>
              <w:t>144,742.72</w:t>
            </w:r>
          </w:p>
        </w:tc>
        <w:tc>
          <w:tcPr>
            <w:tcW w:w="13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24"/>
              <w:jc w:val="right"/>
              <w:rPr>
                <w:rFonts w:ascii="宋体" w:hAnsi="宋体" w:cs="宋体" w:eastAsia="宋体" w:hint="default"/>
                <w:sz w:val="18"/>
                <w:szCs w:val="18"/>
              </w:rPr>
            </w:pPr>
            <w:r>
              <w:rPr>
                <w:rFonts w:ascii="宋体"/>
                <w:spacing w:val="-1"/>
                <w:sz w:val="18"/>
              </w:rPr>
              <w:t>90,000.00</w:t>
            </w:r>
          </w:p>
        </w:tc>
        <w:tc>
          <w:tcPr>
            <w:tcW w:w="8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28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26"/>
              <w:jc w:val="right"/>
              <w:rPr>
                <w:rFonts w:ascii="宋体" w:hAnsi="宋体" w:cs="宋体" w:eastAsia="宋体" w:hint="default"/>
                <w:sz w:val="18"/>
                <w:szCs w:val="18"/>
              </w:rPr>
            </w:pPr>
            <w:r>
              <w:rPr>
                <w:rFonts w:ascii="宋体"/>
                <w:spacing w:val="-1"/>
                <w:sz w:val="18"/>
              </w:rPr>
              <w:t>184,438.98</w:t>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29" w:right="0"/>
              <w:jc w:val="left"/>
              <w:rPr>
                <w:rFonts w:ascii="宋体" w:hAnsi="宋体" w:cs="宋体" w:eastAsia="宋体" w:hint="default"/>
                <w:sz w:val="18"/>
                <w:szCs w:val="18"/>
              </w:rPr>
            </w:pPr>
            <w:r>
              <w:rPr>
                <w:rFonts w:ascii="宋体" w:hAnsi="宋体" w:cs="宋体" w:eastAsia="宋体" w:hint="default"/>
                <w:sz w:val="18"/>
                <w:szCs w:val="18"/>
              </w:rPr>
              <w:t>浙江万马海立斯新能源有限公司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20"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390" w:type="dxa"/>
            <w:tcBorders>
              <w:top w:val="single" w:sz="2" w:space="0" w:color="000000"/>
              <w:left w:val="single" w:sz="2" w:space="0" w:color="000000"/>
              <w:bottom w:val="single" w:sz="2" w:space="0" w:color="000000"/>
              <w:right w:val="single" w:sz="2" w:space="0" w:color="000000"/>
            </w:tcBorders>
          </w:tcPr>
          <w:p>
            <w:pPr/>
          </w:p>
        </w:tc>
        <w:tc>
          <w:tcPr>
            <w:tcW w:w="1352" w:type="dxa"/>
            <w:tcBorders>
              <w:top w:val="single" w:sz="2" w:space="0" w:color="000000"/>
              <w:left w:val="single" w:sz="2" w:space="0" w:color="000000"/>
              <w:bottom w:val="single" w:sz="2" w:space="0" w:color="000000"/>
              <w:right w:val="single" w:sz="2" w:space="0" w:color="000000"/>
            </w:tcBorders>
          </w:tcPr>
          <w:p>
            <w:pPr/>
          </w:p>
        </w:tc>
        <w:tc>
          <w:tcPr>
            <w:tcW w:w="875" w:type="dxa"/>
            <w:tcBorders>
              <w:top w:val="single" w:sz="2" w:space="0" w:color="000000"/>
              <w:left w:val="single" w:sz="2" w:space="0" w:color="000000"/>
              <w:bottom w:val="single" w:sz="2" w:space="0" w:color="000000"/>
              <w:right w:val="single" w:sz="2" w:space="0" w:color="000000"/>
            </w:tcBorders>
          </w:tcPr>
          <w:p>
            <w:pPr/>
          </w:p>
        </w:tc>
        <w:tc>
          <w:tcPr>
            <w:tcW w:w="128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pacing w:val="-1"/>
                <w:sz w:val="18"/>
              </w:rPr>
              <w:t>518,577.59</w:t>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29" w:right="0"/>
              <w:jc w:val="left"/>
              <w:rPr>
                <w:rFonts w:ascii="宋体" w:hAnsi="宋体" w:cs="宋体" w:eastAsia="宋体" w:hint="default"/>
                <w:sz w:val="18"/>
                <w:szCs w:val="18"/>
              </w:rPr>
            </w:pPr>
            <w:r>
              <w:rPr>
                <w:rFonts w:ascii="宋体" w:hAnsi="宋体" w:cs="宋体" w:eastAsia="宋体" w:hint="default"/>
                <w:sz w:val="18"/>
                <w:szCs w:val="18"/>
              </w:rPr>
              <w:t>浙江万马海振光电科技有限公司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390" w:type="dxa"/>
            <w:tcBorders>
              <w:top w:val="single" w:sz="2" w:space="0" w:color="000000"/>
              <w:left w:val="single" w:sz="2" w:space="0" w:color="000000"/>
              <w:bottom w:val="single" w:sz="2" w:space="0" w:color="000000"/>
              <w:right w:val="single" w:sz="2" w:space="0" w:color="000000"/>
            </w:tcBorders>
          </w:tcPr>
          <w:p>
            <w:pPr/>
          </w:p>
        </w:tc>
        <w:tc>
          <w:tcPr>
            <w:tcW w:w="1352" w:type="dxa"/>
            <w:tcBorders>
              <w:top w:val="single" w:sz="2" w:space="0" w:color="000000"/>
              <w:left w:val="single" w:sz="2" w:space="0" w:color="000000"/>
              <w:bottom w:val="single" w:sz="2" w:space="0" w:color="000000"/>
              <w:right w:val="single" w:sz="2" w:space="0" w:color="000000"/>
            </w:tcBorders>
          </w:tcPr>
          <w:p>
            <w:pPr/>
          </w:p>
        </w:tc>
        <w:tc>
          <w:tcPr>
            <w:tcW w:w="875" w:type="dxa"/>
            <w:tcBorders>
              <w:top w:val="single" w:sz="2" w:space="0" w:color="000000"/>
              <w:left w:val="single" w:sz="2" w:space="0" w:color="000000"/>
              <w:bottom w:val="single" w:sz="2" w:space="0" w:color="000000"/>
              <w:right w:val="single" w:sz="2" w:space="0" w:color="000000"/>
            </w:tcBorders>
          </w:tcPr>
          <w:p>
            <w:pPr/>
          </w:p>
        </w:tc>
        <w:tc>
          <w:tcPr>
            <w:tcW w:w="128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29"/>
              <w:jc w:val="right"/>
              <w:rPr>
                <w:rFonts w:ascii="宋体" w:hAnsi="宋体" w:cs="宋体" w:eastAsia="宋体" w:hint="default"/>
                <w:sz w:val="18"/>
                <w:szCs w:val="18"/>
              </w:rPr>
            </w:pPr>
            <w:r>
              <w:rPr>
                <w:rFonts w:ascii="宋体"/>
                <w:spacing w:val="-1"/>
                <w:sz w:val="18"/>
              </w:rPr>
              <w:t>84,084.62</w:t>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29" w:right="0"/>
              <w:jc w:val="left"/>
              <w:rPr>
                <w:rFonts w:ascii="宋体" w:hAnsi="宋体" w:cs="宋体" w:eastAsia="宋体" w:hint="default"/>
                <w:sz w:val="18"/>
                <w:szCs w:val="18"/>
              </w:rPr>
            </w:pPr>
            <w:r>
              <w:rPr>
                <w:rFonts w:ascii="宋体" w:hAnsi="宋体" w:cs="宋体" w:eastAsia="宋体" w:hint="default"/>
                <w:sz w:val="18"/>
                <w:szCs w:val="18"/>
              </w:rPr>
              <w:t>万马联合控股集团有限公司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20"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390" w:type="dxa"/>
            <w:tcBorders>
              <w:top w:val="single" w:sz="2" w:space="0" w:color="000000"/>
              <w:left w:val="single" w:sz="2" w:space="0" w:color="000000"/>
              <w:bottom w:val="single" w:sz="2" w:space="0" w:color="000000"/>
              <w:right w:val="single" w:sz="2" w:space="0" w:color="000000"/>
            </w:tcBorders>
          </w:tcPr>
          <w:p>
            <w:pPr/>
          </w:p>
        </w:tc>
        <w:tc>
          <w:tcPr>
            <w:tcW w:w="1352" w:type="dxa"/>
            <w:tcBorders>
              <w:top w:val="single" w:sz="2" w:space="0" w:color="000000"/>
              <w:left w:val="single" w:sz="2" w:space="0" w:color="000000"/>
              <w:bottom w:val="single" w:sz="2" w:space="0" w:color="000000"/>
              <w:right w:val="single" w:sz="2" w:space="0" w:color="000000"/>
            </w:tcBorders>
          </w:tcPr>
          <w:p>
            <w:pPr/>
          </w:p>
        </w:tc>
        <w:tc>
          <w:tcPr>
            <w:tcW w:w="875" w:type="dxa"/>
            <w:tcBorders>
              <w:top w:val="single" w:sz="2" w:space="0" w:color="000000"/>
              <w:left w:val="single" w:sz="2" w:space="0" w:color="000000"/>
              <w:bottom w:val="single" w:sz="2" w:space="0" w:color="000000"/>
              <w:right w:val="single" w:sz="2" w:space="0" w:color="000000"/>
            </w:tcBorders>
          </w:tcPr>
          <w:p>
            <w:pPr/>
          </w:p>
        </w:tc>
        <w:tc>
          <w:tcPr>
            <w:tcW w:w="128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6"/>
              <w:jc w:val="right"/>
              <w:rPr>
                <w:rFonts w:ascii="宋体" w:hAnsi="宋体" w:cs="宋体" w:eastAsia="宋体" w:hint="default"/>
                <w:sz w:val="18"/>
                <w:szCs w:val="18"/>
              </w:rPr>
            </w:pPr>
            <w:r>
              <w:rPr>
                <w:rFonts w:ascii="宋体"/>
                <w:spacing w:val="-1"/>
                <w:sz w:val="18"/>
              </w:rPr>
              <w:t>168,103.45</w:t>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29" w:right="0"/>
              <w:jc w:val="left"/>
              <w:rPr>
                <w:rFonts w:ascii="宋体" w:hAnsi="宋体" w:cs="宋体" w:eastAsia="宋体" w:hint="default"/>
                <w:sz w:val="18"/>
                <w:szCs w:val="18"/>
              </w:rPr>
            </w:pPr>
            <w:r>
              <w:rPr>
                <w:rFonts w:ascii="宋体" w:hAnsi="宋体" w:cs="宋体" w:eastAsia="宋体" w:hint="default"/>
                <w:sz w:val="18"/>
                <w:szCs w:val="18"/>
              </w:rPr>
              <w:t>浙江万马泰科新材料有限公司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26"/>
              <w:jc w:val="right"/>
              <w:rPr>
                <w:rFonts w:ascii="宋体" w:hAnsi="宋体" w:cs="宋体" w:eastAsia="宋体" w:hint="default"/>
                <w:sz w:val="18"/>
                <w:szCs w:val="18"/>
              </w:rPr>
            </w:pPr>
            <w:r>
              <w:rPr>
                <w:rFonts w:ascii="宋体"/>
                <w:spacing w:val="-1"/>
                <w:sz w:val="18"/>
              </w:rPr>
              <w:t>63,349.71</w:t>
            </w:r>
          </w:p>
        </w:tc>
        <w:tc>
          <w:tcPr>
            <w:tcW w:w="1352" w:type="dxa"/>
            <w:tcBorders>
              <w:top w:val="single" w:sz="2" w:space="0" w:color="000000"/>
              <w:left w:val="single" w:sz="2" w:space="0" w:color="000000"/>
              <w:bottom w:val="single" w:sz="2" w:space="0" w:color="000000"/>
              <w:right w:val="single" w:sz="2" w:space="0" w:color="000000"/>
            </w:tcBorders>
          </w:tcPr>
          <w:p>
            <w:pPr/>
          </w:p>
        </w:tc>
        <w:tc>
          <w:tcPr>
            <w:tcW w:w="8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282"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26"/>
              <w:jc w:val="right"/>
              <w:rPr>
                <w:rFonts w:ascii="宋体" w:hAnsi="宋体" w:cs="宋体" w:eastAsia="宋体" w:hint="default"/>
                <w:sz w:val="18"/>
                <w:szCs w:val="18"/>
              </w:rPr>
            </w:pPr>
            <w:r>
              <w:rPr>
                <w:rFonts w:ascii="宋体"/>
                <w:spacing w:val="-1"/>
                <w:sz w:val="18"/>
              </w:rPr>
              <w:t>886,801.92</w:t>
            </w:r>
          </w:p>
        </w:tc>
      </w:tr>
      <w:tr>
        <w:trPr>
          <w:trHeight w:val="402" w:hRule="exact"/>
        </w:trPr>
        <w:tc>
          <w:tcPr>
            <w:tcW w:w="286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29" w:right="0"/>
              <w:jc w:val="left"/>
              <w:rPr>
                <w:rFonts w:ascii="宋体" w:hAnsi="宋体" w:cs="宋体" w:eastAsia="宋体" w:hint="default"/>
                <w:sz w:val="18"/>
                <w:szCs w:val="18"/>
              </w:rPr>
            </w:pPr>
            <w:r>
              <w:rPr>
                <w:rFonts w:ascii="宋体" w:hAnsi="宋体" w:cs="宋体" w:eastAsia="宋体" w:hint="default"/>
                <w:sz w:val="18"/>
                <w:szCs w:val="18"/>
              </w:rPr>
              <w:t>浙江万马智能科技集团有限公司</w:t>
            </w:r>
          </w:p>
        </w:tc>
        <w:tc>
          <w:tcPr>
            <w:tcW w:w="9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20"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6"/>
              <w:jc w:val="right"/>
              <w:rPr>
                <w:rFonts w:ascii="宋体" w:hAnsi="宋体" w:cs="宋体" w:eastAsia="宋体" w:hint="default"/>
                <w:sz w:val="18"/>
                <w:szCs w:val="18"/>
              </w:rPr>
            </w:pPr>
            <w:r>
              <w:rPr>
                <w:rFonts w:ascii="宋体"/>
                <w:spacing w:val="-1"/>
                <w:sz w:val="18"/>
              </w:rPr>
              <w:t>16,613.05</w:t>
            </w:r>
          </w:p>
        </w:tc>
        <w:tc>
          <w:tcPr>
            <w:tcW w:w="1352" w:type="dxa"/>
            <w:tcBorders>
              <w:top w:val="single" w:sz="2" w:space="0" w:color="000000"/>
              <w:left w:val="single" w:sz="2" w:space="0" w:color="000000"/>
              <w:bottom w:val="single" w:sz="2" w:space="0" w:color="000000"/>
              <w:right w:val="single" w:sz="2" w:space="0" w:color="000000"/>
            </w:tcBorders>
          </w:tcPr>
          <w:p>
            <w:pPr/>
          </w:p>
        </w:tc>
        <w:tc>
          <w:tcPr>
            <w:tcW w:w="8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282"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286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29"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968" w:type="dxa"/>
            <w:tcBorders>
              <w:top w:val="single" w:sz="2" w:space="0" w:color="000000"/>
              <w:left w:val="single" w:sz="2" w:space="0" w:color="000000"/>
              <w:bottom w:val="single" w:sz="12" w:space="0" w:color="000000"/>
              <w:right w:val="single" w:sz="2" w:space="0" w:color="000000"/>
            </w:tcBorders>
          </w:tcPr>
          <w:p>
            <w:pPr/>
          </w:p>
        </w:tc>
        <w:tc>
          <w:tcPr>
            <w:tcW w:w="139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14"/>
              <w:jc w:val="right"/>
              <w:rPr>
                <w:rFonts w:ascii="宋体" w:hAnsi="宋体" w:cs="宋体" w:eastAsia="宋体" w:hint="default"/>
                <w:sz w:val="18"/>
                <w:szCs w:val="18"/>
              </w:rPr>
            </w:pPr>
            <w:r>
              <w:rPr>
                <w:rFonts w:ascii="宋体"/>
                <w:b/>
                <w:w w:val="95"/>
                <w:sz w:val="18"/>
              </w:rPr>
              <w:t>7,187,345.03</w:t>
            </w:r>
            <w:r>
              <w:rPr>
                <w:rFonts w:ascii="宋体"/>
                <w:sz w:val="18"/>
              </w:rPr>
            </w:r>
          </w:p>
        </w:tc>
        <w:tc>
          <w:tcPr>
            <w:tcW w:w="1352"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15"/>
              <w:jc w:val="right"/>
              <w:rPr>
                <w:rFonts w:ascii="宋体" w:hAnsi="宋体" w:cs="宋体" w:eastAsia="宋体" w:hint="default"/>
                <w:sz w:val="18"/>
                <w:szCs w:val="18"/>
              </w:rPr>
            </w:pPr>
            <w:r>
              <w:rPr>
                <w:rFonts w:ascii="宋体"/>
                <w:b/>
                <w:w w:val="95"/>
                <w:sz w:val="18"/>
              </w:rPr>
              <w:t>9,898,000.00</w:t>
            </w:r>
            <w:r>
              <w:rPr>
                <w:rFonts w:ascii="宋体"/>
                <w:sz w:val="18"/>
              </w:rPr>
            </w:r>
          </w:p>
        </w:tc>
        <w:tc>
          <w:tcPr>
            <w:tcW w:w="87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282"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17"/>
              <w:jc w:val="right"/>
              <w:rPr>
                <w:rFonts w:ascii="宋体" w:hAnsi="宋体" w:cs="宋体" w:eastAsia="宋体" w:hint="default"/>
                <w:sz w:val="18"/>
                <w:szCs w:val="18"/>
              </w:rPr>
            </w:pPr>
            <w:r>
              <w:rPr>
                <w:rFonts w:ascii="宋体"/>
                <w:b/>
                <w:w w:val="95"/>
                <w:sz w:val="18"/>
              </w:rPr>
              <w:t>5,526,745.73</w:t>
            </w:r>
            <w:r>
              <w:rPr>
                <w:rFonts w:ascii="宋体"/>
                <w:sz w:val="18"/>
              </w:rPr>
            </w:r>
          </w:p>
        </w:tc>
      </w:tr>
    </w:tbl>
    <w:p>
      <w:pPr>
        <w:spacing w:after="0" w:line="240" w:lineRule="auto"/>
        <w:jc w:val="right"/>
        <w:rPr>
          <w:rFonts w:ascii="宋体" w:hAnsi="宋体" w:cs="宋体" w:eastAsia="宋体" w:hint="default"/>
          <w:sz w:val="18"/>
          <w:szCs w:val="18"/>
        </w:rPr>
        <w:sectPr>
          <w:pgSz w:w="11910" w:h="16840"/>
          <w:pgMar w:header="939" w:footer="883" w:top="1980" w:bottom="1080" w:left="1460" w:right="0"/>
        </w:sectPr>
      </w:pPr>
    </w:p>
    <w:p>
      <w:pPr>
        <w:spacing w:line="240" w:lineRule="auto" w:before="7"/>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9"/>
        </w:rPr>
        <w:t> </w:t>
      </w:r>
      <w:r>
        <w:rPr/>
        <w:t>销售商品/提供劳务</w:t>
      </w:r>
    </w:p>
    <w:p>
      <w:pPr>
        <w:spacing w:line="240" w:lineRule="auto" w:before="12"/>
        <w:rPr>
          <w:rFonts w:ascii="宋体" w:hAnsi="宋体" w:cs="宋体" w:eastAsia="宋体" w:hint="default"/>
          <w:sz w:val="10"/>
          <w:szCs w:val="10"/>
        </w:rPr>
      </w:pPr>
    </w:p>
    <w:tbl>
      <w:tblPr>
        <w:tblW w:w="0" w:type="auto"/>
        <w:jc w:val="left"/>
        <w:tblInd w:w="196" w:type="dxa"/>
        <w:tblLayout w:type="fixed"/>
        <w:tblCellMar>
          <w:top w:w="0" w:type="dxa"/>
          <w:left w:w="0" w:type="dxa"/>
          <w:bottom w:w="0" w:type="dxa"/>
          <w:right w:w="0" w:type="dxa"/>
        </w:tblCellMar>
        <w:tblLook w:val="01E0"/>
      </w:tblPr>
      <w:tblGrid>
        <w:gridCol w:w="3683"/>
        <w:gridCol w:w="1651"/>
        <w:gridCol w:w="1700"/>
        <w:gridCol w:w="1533"/>
      </w:tblGrid>
      <w:tr>
        <w:trPr>
          <w:trHeight w:val="415" w:hRule="exact"/>
        </w:trPr>
        <w:tc>
          <w:tcPr>
            <w:tcW w:w="3683"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65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关联交易内容</w:t>
            </w:r>
            <w:r>
              <w:rPr>
                <w:rFonts w:ascii="宋体" w:hAnsi="宋体" w:cs="宋体" w:eastAsia="宋体" w:hint="default"/>
                <w:sz w:val="18"/>
                <w:szCs w:val="18"/>
              </w:rPr>
            </w:r>
          </w:p>
        </w:tc>
        <w:tc>
          <w:tcPr>
            <w:tcW w:w="170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396"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533"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314"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sz w:val="18"/>
                <w:szCs w:val="18"/>
              </w:rPr>
              <w:t>浙江电腾云光伏科技有限公司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提供劳务</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pacing w:val="-1"/>
                <w:sz w:val="18"/>
              </w:rPr>
              <w:t>1,200,951.59</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sz w:val="18"/>
                <w:szCs w:val="18"/>
              </w:rPr>
              <w:t>浙江万马泰科新材料有限公司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pacing w:val="-1"/>
                <w:sz w:val="18"/>
              </w:rPr>
              <w:t>954,351.59</w:t>
            </w:r>
          </w:p>
        </w:tc>
        <w:tc>
          <w:tcPr>
            <w:tcW w:w="15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7"/>
              <w:jc w:val="right"/>
              <w:rPr>
                <w:rFonts w:ascii="宋体" w:hAnsi="宋体" w:cs="宋体" w:eastAsia="宋体" w:hint="default"/>
                <w:sz w:val="18"/>
                <w:szCs w:val="18"/>
              </w:rPr>
            </w:pPr>
            <w:r>
              <w:rPr>
                <w:rFonts w:ascii="宋体"/>
                <w:spacing w:val="-1"/>
                <w:sz w:val="18"/>
              </w:rPr>
              <w:t>1,650,080.67</w:t>
            </w: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sz w:val="18"/>
                <w:szCs w:val="18"/>
              </w:rPr>
              <w:t>浙江万马泰科新材料有限公司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提供劳务</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pacing w:val="-1"/>
                <w:sz w:val="18"/>
              </w:rPr>
              <w:t>260,582.49</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sz w:val="18"/>
                <w:szCs w:val="18"/>
              </w:rPr>
              <w:t>无锡会通轻质材料股份有限公司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pacing w:val="-1"/>
                <w:sz w:val="18"/>
              </w:rPr>
              <w:t>992,530.69</w:t>
            </w:r>
          </w:p>
        </w:tc>
        <w:tc>
          <w:tcPr>
            <w:tcW w:w="15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7"/>
              <w:jc w:val="right"/>
              <w:rPr>
                <w:rFonts w:ascii="宋体" w:hAnsi="宋体" w:cs="宋体" w:eastAsia="宋体" w:hint="default"/>
                <w:sz w:val="18"/>
                <w:szCs w:val="18"/>
              </w:rPr>
            </w:pPr>
            <w:r>
              <w:rPr>
                <w:rFonts w:ascii="宋体"/>
                <w:spacing w:val="-1"/>
                <w:sz w:val="18"/>
              </w:rPr>
              <w:t>61,482.12</w:t>
            </w: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sz w:val="18"/>
                <w:szCs w:val="18"/>
              </w:rPr>
              <w:t>无锡会通轻质材料股份有限公司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提供劳务</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25"/>
              <w:jc w:val="right"/>
              <w:rPr>
                <w:rFonts w:ascii="宋体" w:hAnsi="宋体" w:cs="宋体" w:eastAsia="宋体" w:hint="default"/>
                <w:sz w:val="18"/>
                <w:szCs w:val="18"/>
              </w:rPr>
            </w:pPr>
            <w:r>
              <w:rPr>
                <w:rFonts w:ascii="宋体"/>
                <w:spacing w:val="-1"/>
                <w:sz w:val="18"/>
              </w:rPr>
              <w:t>12,291.64</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sz w:val="18"/>
                <w:szCs w:val="18"/>
              </w:rPr>
              <w:t>浙江万马海振光电科技有限公司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
        </w:tc>
        <w:tc>
          <w:tcPr>
            <w:tcW w:w="15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7"/>
              <w:jc w:val="right"/>
              <w:rPr>
                <w:rFonts w:ascii="宋体" w:hAnsi="宋体" w:cs="宋体" w:eastAsia="宋体" w:hint="default"/>
                <w:sz w:val="18"/>
                <w:szCs w:val="18"/>
              </w:rPr>
            </w:pPr>
            <w:r>
              <w:rPr>
                <w:rFonts w:ascii="宋体"/>
                <w:spacing w:val="-1"/>
                <w:sz w:val="18"/>
              </w:rPr>
              <w:t>4,513.79</w:t>
            </w: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sz w:val="18"/>
                <w:szCs w:val="18"/>
              </w:rPr>
              <w:t>浙江万马海振光电科技有限公司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提供劳务</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pacing w:val="-1"/>
                <w:sz w:val="18"/>
              </w:rPr>
              <w:t>528,301.87</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sz w:val="18"/>
                <w:szCs w:val="18"/>
              </w:rPr>
              <w:t>杭州全通轻质材料有限公司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pacing w:val="-1"/>
                <w:sz w:val="18"/>
              </w:rPr>
              <w:t>475,344.78</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sz w:val="18"/>
                <w:szCs w:val="18"/>
              </w:rPr>
              <w:t>杭州全通轻质材料有限公司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提供劳务</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25"/>
              <w:jc w:val="right"/>
              <w:rPr>
                <w:rFonts w:ascii="宋体" w:hAnsi="宋体" w:cs="宋体" w:eastAsia="宋体" w:hint="default"/>
                <w:sz w:val="18"/>
                <w:szCs w:val="18"/>
              </w:rPr>
            </w:pPr>
            <w:r>
              <w:rPr>
                <w:rFonts w:ascii="宋体"/>
                <w:spacing w:val="-1"/>
                <w:sz w:val="18"/>
              </w:rPr>
              <w:t>20,364.46</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sz w:val="18"/>
                <w:szCs w:val="18"/>
              </w:rPr>
              <w:t>浙江万马集团电气有限公司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5"/>
              <w:jc w:val="right"/>
              <w:rPr>
                <w:rFonts w:ascii="宋体" w:hAnsi="宋体" w:cs="宋体" w:eastAsia="宋体" w:hint="default"/>
                <w:sz w:val="18"/>
                <w:szCs w:val="18"/>
              </w:rPr>
            </w:pPr>
            <w:r>
              <w:rPr>
                <w:rFonts w:ascii="宋体"/>
                <w:spacing w:val="-1"/>
                <w:sz w:val="18"/>
              </w:rPr>
              <w:t>56,436.87</w:t>
            </w:r>
          </w:p>
        </w:tc>
        <w:tc>
          <w:tcPr>
            <w:tcW w:w="15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7"/>
              <w:jc w:val="right"/>
              <w:rPr>
                <w:rFonts w:ascii="宋体" w:hAnsi="宋体" w:cs="宋体" w:eastAsia="宋体" w:hint="default"/>
                <w:sz w:val="18"/>
                <w:szCs w:val="18"/>
              </w:rPr>
            </w:pPr>
            <w:r>
              <w:rPr>
                <w:rFonts w:ascii="宋体"/>
                <w:spacing w:val="-1"/>
                <w:sz w:val="18"/>
              </w:rPr>
              <w:t>15,531.73</w:t>
            </w: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sz w:val="18"/>
                <w:szCs w:val="18"/>
              </w:rPr>
              <w:t>广州会通轻质材料有限公司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25"/>
              <w:jc w:val="right"/>
              <w:rPr>
                <w:rFonts w:ascii="宋体" w:hAnsi="宋体" w:cs="宋体" w:eastAsia="宋体" w:hint="default"/>
                <w:sz w:val="18"/>
                <w:szCs w:val="18"/>
              </w:rPr>
            </w:pPr>
            <w:r>
              <w:rPr>
                <w:rFonts w:ascii="宋体"/>
                <w:spacing w:val="-1"/>
                <w:sz w:val="18"/>
              </w:rPr>
              <w:t>34,652.93</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sz w:val="18"/>
                <w:szCs w:val="18"/>
              </w:rPr>
              <w:t>临安万马蓝翔置业有限公司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25"/>
              <w:jc w:val="right"/>
              <w:rPr>
                <w:rFonts w:ascii="宋体" w:hAnsi="宋体" w:cs="宋体" w:eastAsia="宋体" w:hint="default"/>
                <w:sz w:val="18"/>
                <w:szCs w:val="18"/>
              </w:rPr>
            </w:pPr>
            <w:r>
              <w:rPr>
                <w:rFonts w:ascii="宋体"/>
                <w:spacing w:val="-1"/>
                <w:sz w:val="18"/>
              </w:rPr>
              <w:t>13,864.96</w:t>
            </w:r>
          </w:p>
        </w:tc>
        <w:tc>
          <w:tcPr>
            <w:tcW w:w="153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sz w:val="18"/>
                <w:szCs w:val="18"/>
              </w:rPr>
              <w:t>浙江万马智能科技集团有限公司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pacing w:val="-1"/>
                <w:sz w:val="18"/>
              </w:rPr>
              <w:t>1,825.57</w:t>
            </w:r>
          </w:p>
        </w:tc>
        <w:tc>
          <w:tcPr>
            <w:tcW w:w="15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27"/>
              <w:jc w:val="right"/>
              <w:rPr>
                <w:rFonts w:ascii="宋体" w:hAnsi="宋体" w:cs="宋体" w:eastAsia="宋体" w:hint="default"/>
                <w:sz w:val="18"/>
                <w:szCs w:val="18"/>
              </w:rPr>
            </w:pPr>
            <w:r>
              <w:rPr>
                <w:rFonts w:ascii="宋体"/>
                <w:spacing w:val="-1"/>
                <w:sz w:val="18"/>
              </w:rPr>
              <w:t>11,577.38</w:t>
            </w:r>
          </w:p>
        </w:tc>
      </w:tr>
      <w:tr>
        <w:trPr>
          <w:trHeight w:val="402" w:hRule="exact"/>
        </w:trPr>
        <w:tc>
          <w:tcPr>
            <w:tcW w:w="36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sz w:val="18"/>
                <w:szCs w:val="18"/>
              </w:rPr>
              <w:t>浙江万马海立斯新能源有限公司</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700" w:type="dxa"/>
            <w:tcBorders>
              <w:top w:val="single" w:sz="2" w:space="0" w:color="000000"/>
              <w:left w:val="single" w:sz="2" w:space="0" w:color="000000"/>
              <w:bottom w:val="single" w:sz="2" w:space="0" w:color="000000"/>
              <w:right w:val="single" w:sz="2" w:space="0" w:color="000000"/>
            </w:tcBorders>
          </w:tcPr>
          <w:p>
            <w:pPr/>
          </w:p>
        </w:tc>
        <w:tc>
          <w:tcPr>
            <w:tcW w:w="153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27"/>
              <w:jc w:val="right"/>
              <w:rPr>
                <w:rFonts w:ascii="宋体" w:hAnsi="宋体" w:cs="宋体" w:eastAsia="宋体" w:hint="default"/>
                <w:sz w:val="18"/>
                <w:szCs w:val="18"/>
              </w:rPr>
            </w:pPr>
            <w:r>
              <w:rPr>
                <w:rFonts w:ascii="宋体"/>
                <w:spacing w:val="-1"/>
                <w:sz w:val="18"/>
              </w:rPr>
              <w:t>948.28</w:t>
            </w:r>
          </w:p>
        </w:tc>
      </w:tr>
      <w:tr>
        <w:trPr>
          <w:trHeight w:val="414" w:hRule="exact"/>
        </w:trPr>
        <w:tc>
          <w:tcPr>
            <w:tcW w:w="368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30"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1" w:type="dxa"/>
            <w:tcBorders>
              <w:top w:val="single" w:sz="2" w:space="0" w:color="000000"/>
              <w:left w:val="single" w:sz="2" w:space="0" w:color="000000"/>
              <w:bottom w:val="single" w:sz="12" w:space="0" w:color="000000"/>
              <w:right w:val="single" w:sz="2" w:space="0" w:color="000000"/>
            </w:tcBorders>
          </w:tcPr>
          <w:p>
            <w:pPr/>
          </w:p>
        </w:tc>
        <w:tc>
          <w:tcPr>
            <w:tcW w:w="170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13"/>
              <w:jc w:val="right"/>
              <w:rPr>
                <w:rFonts w:ascii="宋体" w:hAnsi="宋体" w:cs="宋体" w:eastAsia="宋体" w:hint="default"/>
                <w:sz w:val="18"/>
                <w:szCs w:val="18"/>
              </w:rPr>
            </w:pPr>
            <w:r>
              <w:rPr>
                <w:rFonts w:ascii="宋体"/>
                <w:b/>
                <w:w w:val="95"/>
                <w:sz w:val="18"/>
              </w:rPr>
              <w:t>4,551,499.44</w:t>
            </w:r>
            <w:r>
              <w:rPr>
                <w:rFonts w:ascii="宋体"/>
                <w:sz w:val="18"/>
              </w:rPr>
            </w:r>
          </w:p>
        </w:tc>
        <w:tc>
          <w:tcPr>
            <w:tcW w:w="153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18"/>
              <w:jc w:val="right"/>
              <w:rPr>
                <w:rFonts w:ascii="宋体" w:hAnsi="宋体" w:cs="宋体" w:eastAsia="宋体" w:hint="default"/>
                <w:sz w:val="18"/>
                <w:szCs w:val="18"/>
              </w:rPr>
            </w:pPr>
            <w:r>
              <w:rPr>
                <w:rFonts w:ascii="宋体"/>
                <w:b/>
                <w:w w:val="95"/>
                <w:sz w:val="18"/>
              </w:rPr>
              <w:t>1,744,133.97</w:t>
            </w:r>
            <w:r>
              <w:rPr>
                <w:rFonts w:ascii="宋体"/>
                <w:sz w:val="18"/>
              </w:rPr>
            </w:r>
          </w:p>
        </w:tc>
      </w:tr>
    </w:tbl>
    <w:p>
      <w:pPr>
        <w:spacing w:line="240" w:lineRule="auto" w:before="1"/>
        <w:rPr>
          <w:rFonts w:ascii="宋体" w:hAnsi="宋体" w:cs="宋体" w:eastAsia="宋体" w:hint="default"/>
          <w:sz w:val="9"/>
          <w:szCs w:val="9"/>
        </w:rPr>
      </w:pPr>
    </w:p>
    <w:p>
      <w:pPr>
        <w:pStyle w:val="BodyText"/>
        <w:tabs>
          <w:tab w:pos="1141" w:val="left" w:leader="none"/>
        </w:tabs>
        <w:spacing w:line="240" w:lineRule="auto"/>
        <w:ind w:left="728" w:right="1445"/>
        <w:jc w:val="left"/>
      </w:pPr>
      <w:r>
        <w:rPr>
          <w:rFonts w:ascii="Times New Roman" w:hAnsi="Times New Roman" w:cs="Times New Roman" w:eastAsia="Times New Roman" w:hint="default"/>
          <w:spacing w:val="-1"/>
        </w:rPr>
        <w:t>2.</w:t>
        <w:tab/>
      </w:r>
      <w:r>
        <w:rPr>
          <w:spacing w:val="-2"/>
        </w:rPr>
        <w:t>关联出租情况</w:t>
      </w:r>
    </w:p>
    <w:p>
      <w:pPr>
        <w:pStyle w:val="BodyText"/>
        <w:spacing w:line="240" w:lineRule="auto" w:before="175"/>
        <w:ind w:left="666" w:right="1445"/>
        <w:jc w:val="left"/>
      </w:pPr>
      <w:r>
        <w:rPr/>
        <w:t>（</w:t>
      </w:r>
      <w:r>
        <w:rPr>
          <w:rFonts w:ascii="Times New Roman" w:hAnsi="Times New Roman" w:cs="Times New Roman" w:eastAsia="Times New Roman" w:hint="default"/>
        </w:rPr>
        <w:t>1</w:t>
      </w:r>
      <w:r>
        <w:rPr/>
        <w:t>）</w:t>
      </w:r>
      <w:r>
        <w:rPr>
          <w:spacing w:val="-90"/>
        </w:rPr>
        <w:t> </w:t>
      </w:r>
      <w:r>
        <w:rPr/>
        <w:t>出租情况</w:t>
      </w:r>
    </w:p>
    <w:p>
      <w:pPr>
        <w:spacing w:line="240" w:lineRule="auto" w:before="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2376"/>
        <w:gridCol w:w="2409"/>
        <w:gridCol w:w="1560"/>
        <w:gridCol w:w="1261"/>
        <w:gridCol w:w="1117"/>
      </w:tblGrid>
      <w:tr>
        <w:trPr>
          <w:trHeight w:val="485" w:hRule="exact"/>
        </w:trPr>
        <w:tc>
          <w:tcPr>
            <w:tcW w:w="237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89"/>
              <w:ind w:left="53" w:right="0"/>
              <w:jc w:val="left"/>
              <w:rPr>
                <w:rFonts w:ascii="宋体" w:hAnsi="宋体" w:cs="宋体" w:eastAsia="宋体" w:hint="default"/>
                <w:sz w:val="18"/>
                <w:szCs w:val="18"/>
              </w:rPr>
            </w:pPr>
            <w:r>
              <w:rPr>
                <w:rFonts w:ascii="宋体" w:hAnsi="宋体" w:cs="宋体" w:eastAsia="宋体" w:hint="default"/>
                <w:b/>
                <w:bCs/>
                <w:sz w:val="18"/>
                <w:szCs w:val="18"/>
              </w:rPr>
              <w:t>出租方名称</w:t>
            </w:r>
            <w:r>
              <w:rPr>
                <w:rFonts w:ascii="宋体" w:hAnsi="宋体" w:cs="宋体" w:eastAsia="宋体" w:hint="default"/>
                <w:sz w:val="18"/>
                <w:szCs w:val="18"/>
              </w:rPr>
            </w:r>
          </w:p>
        </w:tc>
        <w:tc>
          <w:tcPr>
            <w:tcW w:w="240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89"/>
              <w:ind w:left="751" w:right="0"/>
              <w:jc w:val="left"/>
              <w:rPr>
                <w:rFonts w:ascii="宋体" w:hAnsi="宋体" w:cs="宋体" w:eastAsia="宋体" w:hint="default"/>
                <w:sz w:val="18"/>
                <w:szCs w:val="18"/>
              </w:rPr>
            </w:pPr>
            <w:r>
              <w:rPr>
                <w:rFonts w:ascii="宋体" w:hAnsi="宋体" w:cs="宋体" w:eastAsia="宋体" w:hint="default"/>
                <w:b/>
                <w:bCs/>
                <w:sz w:val="18"/>
                <w:szCs w:val="18"/>
              </w:rPr>
              <w:t>承租方名称</w:t>
            </w:r>
            <w:r>
              <w:rPr>
                <w:rFonts w:ascii="宋体" w:hAnsi="宋体" w:cs="宋体" w:eastAsia="宋体" w:hint="default"/>
                <w:sz w:val="18"/>
                <w:szCs w:val="18"/>
              </w:rPr>
            </w:r>
          </w:p>
        </w:tc>
        <w:tc>
          <w:tcPr>
            <w:tcW w:w="1560"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b/>
                <w:bCs/>
                <w:sz w:val="18"/>
                <w:szCs w:val="18"/>
              </w:rPr>
              <w:t>租赁资产种类</w:t>
            </w:r>
            <w:r>
              <w:rPr>
                <w:rFonts w:ascii="宋体" w:hAnsi="宋体" w:cs="宋体" w:eastAsia="宋体" w:hint="default"/>
                <w:sz w:val="18"/>
                <w:szCs w:val="18"/>
              </w:rPr>
            </w:r>
          </w:p>
        </w:tc>
        <w:tc>
          <w:tcPr>
            <w:tcW w:w="1261" w:type="dxa"/>
            <w:tcBorders>
              <w:top w:val="single" w:sz="12" w:space="0" w:color="000000"/>
              <w:left w:val="single" w:sz="2" w:space="0" w:color="000000"/>
              <w:bottom w:val="single" w:sz="2" w:space="0" w:color="000000"/>
              <w:right w:val="single" w:sz="2" w:space="0" w:color="000000"/>
            </w:tcBorders>
          </w:tcPr>
          <w:p>
            <w:pPr>
              <w:pStyle w:val="TableParagraph"/>
              <w:spacing w:line="206"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本年确认的租</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sz w:val="18"/>
                <w:szCs w:val="18"/>
              </w:rPr>
              <w:t>赁收益</w:t>
            </w:r>
            <w:r>
              <w:rPr>
                <w:rFonts w:ascii="宋体" w:hAnsi="宋体" w:cs="宋体" w:eastAsia="宋体" w:hint="default"/>
                <w:sz w:val="18"/>
                <w:szCs w:val="18"/>
              </w:rPr>
            </w:r>
          </w:p>
        </w:tc>
        <w:tc>
          <w:tcPr>
            <w:tcW w:w="1117" w:type="dxa"/>
            <w:tcBorders>
              <w:top w:val="single" w:sz="12" w:space="0" w:color="000000"/>
              <w:left w:val="single" w:sz="2" w:space="0" w:color="000000"/>
              <w:bottom w:val="single" w:sz="2" w:space="0" w:color="000000"/>
              <w:right w:val="nil" w:sz="6" w:space="0" w:color="auto"/>
            </w:tcBorders>
          </w:tcPr>
          <w:p>
            <w:pPr>
              <w:pStyle w:val="TableParagraph"/>
              <w:spacing w:line="206" w:lineRule="exact"/>
              <w:ind w:left="194" w:right="0" w:hanging="89"/>
              <w:jc w:val="left"/>
              <w:rPr>
                <w:rFonts w:ascii="宋体" w:hAnsi="宋体" w:cs="宋体" w:eastAsia="宋体" w:hint="default"/>
                <w:sz w:val="18"/>
                <w:szCs w:val="18"/>
              </w:rPr>
            </w:pPr>
            <w:r>
              <w:rPr>
                <w:rFonts w:ascii="宋体" w:hAnsi="宋体" w:cs="宋体" w:eastAsia="宋体" w:hint="default"/>
                <w:b/>
                <w:bCs/>
                <w:sz w:val="18"/>
                <w:szCs w:val="18"/>
              </w:rPr>
              <w:t>上年确认的</w:t>
            </w:r>
            <w:r>
              <w:rPr>
                <w:rFonts w:ascii="宋体" w:hAnsi="宋体" w:cs="宋体" w:eastAsia="宋体" w:hint="default"/>
                <w:sz w:val="18"/>
                <w:szCs w:val="18"/>
              </w:rPr>
            </w:r>
          </w:p>
          <w:p>
            <w:pPr>
              <w:pStyle w:val="TableParagraph"/>
              <w:spacing w:line="234" w:lineRule="exact"/>
              <w:ind w:left="194" w:right="0"/>
              <w:jc w:val="left"/>
              <w:rPr>
                <w:rFonts w:ascii="宋体" w:hAnsi="宋体" w:cs="宋体" w:eastAsia="宋体" w:hint="default"/>
                <w:sz w:val="18"/>
                <w:szCs w:val="18"/>
              </w:rPr>
            </w:pPr>
            <w:r>
              <w:rPr>
                <w:rFonts w:ascii="宋体" w:hAnsi="宋体" w:cs="宋体" w:eastAsia="宋体" w:hint="default"/>
                <w:b/>
                <w:bCs/>
                <w:sz w:val="18"/>
                <w:szCs w:val="18"/>
              </w:rPr>
              <w:t>租赁收益</w:t>
            </w:r>
            <w:r>
              <w:rPr>
                <w:rFonts w:ascii="宋体" w:hAnsi="宋体" w:cs="宋体" w:eastAsia="宋体" w:hint="default"/>
                <w:sz w:val="18"/>
                <w:szCs w:val="18"/>
              </w:rPr>
            </w:r>
          </w:p>
        </w:tc>
      </w:tr>
      <w:tr>
        <w:trPr>
          <w:trHeight w:val="47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06" w:lineRule="exact"/>
              <w:ind w:left="53" w:right="0"/>
              <w:jc w:val="left"/>
              <w:rPr>
                <w:rFonts w:ascii="宋体" w:hAnsi="宋体" w:cs="宋体" w:eastAsia="宋体" w:hint="default"/>
                <w:sz w:val="18"/>
                <w:szCs w:val="18"/>
              </w:rPr>
            </w:pPr>
            <w:r>
              <w:rPr>
                <w:rFonts w:ascii="宋体" w:hAnsi="宋体" w:cs="宋体" w:eastAsia="宋体" w:hint="default"/>
                <w:spacing w:val="8"/>
                <w:sz w:val="18"/>
                <w:szCs w:val="18"/>
              </w:rPr>
              <w:t>浙江万马高分子材料集团有</w:t>
            </w:r>
          </w:p>
          <w:p>
            <w:pPr>
              <w:pStyle w:val="TableParagraph"/>
              <w:spacing w:line="234" w:lineRule="exact"/>
              <w:ind w:left="5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409"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left="51" w:right="0"/>
              <w:jc w:val="left"/>
              <w:rPr>
                <w:rFonts w:ascii="宋体" w:hAnsi="宋体" w:cs="宋体" w:eastAsia="宋体" w:hint="default"/>
                <w:sz w:val="18"/>
                <w:szCs w:val="18"/>
              </w:rPr>
            </w:pPr>
            <w:r>
              <w:rPr>
                <w:rFonts w:ascii="宋体" w:hAnsi="宋体" w:cs="宋体" w:eastAsia="宋体" w:hint="default"/>
                <w:spacing w:val="11"/>
                <w:sz w:val="18"/>
                <w:szCs w:val="18"/>
              </w:rPr>
              <w:t>浙江万马泰科新材料有限公</w:t>
            </w:r>
          </w:p>
          <w:p>
            <w:pPr>
              <w:pStyle w:val="TableParagraph"/>
              <w:spacing w:line="234" w:lineRule="exact"/>
              <w:ind w:left="51"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12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49"/>
              <w:jc w:val="right"/>
              <w:rPr>
                <w:rFonts w:ascii="宋体" w:hAnsi="宋体" w:cs="宋体" w:eastAsia="宋体" w:hint="default"/>
                <w:sz w:val="18"/>
                <w:szCs w:val="18"/>
              </w:rPr>
            </w:pPr>
            <w:r>
              <w:rPr>
                <w:rFonts w:ascii="宋体"/>
                <w:spacing w:val="-1"/>
                <w:sz w:val="18"/>
              </w:rPr>
              <w:t>485,663.26</w:t>
            </w:r>
          </w:p>
        </w:tc>
        <w:tc>
          <w:tcPr>
            <w:tcW w:w="11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7"/>
              <w:ind w:right="50"/>
              <w:jc w:val="right"/>
              <w:rPr>
                <w:rFonts w:ascii="宋体" w:hAnsi="宋体" w:cs="宋体" w:eastAsia="宋体" w:hint="default"/>
                <w:sz w:val="18"/>
                <w:szCs w:val="18"/>
              </w:rPr>
            </w:pPr>
            <w:r>
              <w:rPr>
                <w:rFonts w:ascii="宋体"/>
                <w:spacing w:val="-1"/>
                <w:sz w:val="18"/>
              </w:rPr>
              <w:t>409,909.54</w:t>
            </w:r>
          </w:p>
        </w:tc>
      </w:tr>
      <w:tr>
        <w:trPr>
          <w:trHeight w:val="472" w:hRule="exact"/>
        </w:trPr>
        <w:tc>
          <w:tcPr>
            <w:tcW w:w="2376" w:type="dxa"/>
            <w:tcBorders>
              <w:top w:val="single" w:sz="2" w:space="0" w:color="000000"/>
              <w:left w:val="nil" w:sz="6" w:space="0" w:color="auto"/>
              <w:bottom w:val="single" w:sz="2" w:space="0" w:color="000000"/>
              <w:right w:val="single" w:sz="2" w:space="0" w:color="000000"/>
            </w:tcBorders>
          </w:tcPr>
          <w:p>
            <w:pPr>
              <w:pStyle w:val="TableParagraph"/>
              <w:spacing w:line="204" w:lineRule="exact"/>
              <w:ind w:left="53" w:right="0"/>
              <w:jc w:val="left"/>
              <w:rPr>
                <w:rFonts w:ascii="宋体" w:hAnsi="宋体" w:cs="宋体" w:eastAsia="宋体" w:hint="default"/>
                <w:sz w:val="18"/>
                <w:szCs w:val="18"/>
              </w:rPr>
            </w:pPr>
            <w:r>
              <w:rPr>
                <w:rFonts w:ascii="宋体" w:hAnsi="宋体" w:cs="宋体" w:eastAsia="宋体" w:hint="default"/>
                <w:spacing w:val="8"/>
                <w:sz w:val="18"/>
                <w:szCs w:val="18"/>
              </w:rPr>
              <w:t>浙江万马高分子材料集团有</w:t>
            </w:r>
          </w:p>
          <w:p>
            <w:pPr>
              <w:pStyle w:val="TableParagraph"/>
              <w:spacing w:line="234" w:lineRule="exact"/>
              <w:ind w:left="5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409" w:type="dxa"/>
            <w:tcBorders>
              <w:top w:val="single" w:sz="2" w:space="0" w:color="000000"/>
              <w:left w:val="single" w:sz="2" w:space="0" w:color="000000"/>
              <w:bottom w:val="single" w:sz="2" w:space="0" w:color="000000"/>
              <w:right w:val="single" w:sz="2" w:space="0" w:color="000000"/>
            </w:tcBorders>
          </w:tcPr>
          <w:p>
            <w:pPr>
              <w:pStyle w:val="TableParagraph"/>
              <w:spacing w:line="204" w:lineRule="exact"/>
              <w:ind w:left="51" w:right="0"/>
              <w:jc w:val="left"/>
              <w:rPr>
                <w:rFonts w:ascii="宋体" w:hAnsi="宋体" w:cs="宋体" w:eastAsia="宋体" w:hint="default"/>
                <w:sz w:val="18"/>
                <w:szCs w:val="18"/>
              </w:rPr>
            </w:pPr>
            <w:r>
              <w:rPr>
                <w:rFonts w:ascii="宋体" w:hAnsi="宋体" w:cs="宋体" w:eastAsia="宋体" w:hint="default"/>
                <w:spacing w:val="11"/>
                <w:sz w:val="18"/>
                <w:szCs w:val="18"/>
              </w:rPr>
              <w:t>无锡会通轻质材料股份有限</w:t>
            </w:r>
          </w:p>
          <w:p>
            <w:pPr>
              <w:pStyle w:val="TableParagraph"/>
              <w:spacing w:line="234" w:lineRule="exact"/>
              <w:ind w:left="5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56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12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49"/>
              <w:jc w:val="right"/>
              <w:rPr>
                <w:rFonts w:ascii="宋体" w:hAnsi="宋体" w:cs="宋体" w:eastAsia="宋体" w:hint="default"/>
                <w:sz w:val="18"/>
                <w:szCs w:val="18"/>
              </w:rPr>
            </w:pPr>
            <w:r>
              <w:rPr>
                <w:rFonts w:ascii="宋体"/>
                <w:spacing w:val="-1"/>
                <w:sz w:val="18"/>
              </w:rPr>
              <w:t>34,407.08</w:t>
            </w:r>
          </w:p>
        </w:tc>
        <w:tc>
          <w:tcPr>
            <w:tcW w:w="1117"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7"/>
              <w:ind w:right="52"/>
              <w:jc w:val="right"/>
              <w:rPr>
                <w:rFonts w:ascii="宋体" w:hAnsi="宋体" w:cs="宋体" w:eastAsia="宋体" w:hint="default"/>
                <w:sz w:val="18"/>
                <w:szCs w:val="18"/>
              </w:rPr>
            </w:pPr>
            <w:r>
              <w:rPr>
                <w:rFonts w:ascii="宋体"/>
                <w:spacing w:val="-1"/>
                <w:sz w:val="18"/>
              </w:rPr>
              <w:t>70,200.00</w:t>
            </w:r>
          </w:p>
        </w:tc>
      </w:tr>
      <w:tr>
        <w:trPr>
          <w:trHeight w:val="484" w:hRule="exact"/>
        </w:trPr>
        <w:tc>
          <w:tcPr>
            <w:tcW w:w="2376" w:type="dxa"/>
            <w:tcBorders>
              <w:top w:val="single" w:sz="2" w:space="0" w:color="000000"/>
              <w:left w:val="nil" w:sz="6" w:space="0" w:color="auto"/>
              <w:bottom w:val="single" w:sz="12" w:space="0" w:color="000000"/>
              <w:right w:val="single" w:sz="2" w:space="0" w:color="000000"/>
            </w:tcBorders>
          </w:tcPr>
          <w:p>
            <w:pPr>
              <w:pStyle w:val="TableParagraph"/>
              <w:spacing w:line="205" w:lineRule="exact"/>
              <w:ind w:left="53" w:right="0"/>
              <w:jc w:val="left"/>
              <w:rPr>
                <w:rFonts w:ascii="宋体" w:hAnsi="宋体" w:cs="宋体" w:eastAsia="宋体" w:hint="default"/>
                <w:sz w:val="18"/>
                <w:szCs w:val="18"/>
              </w:rPr>
            </w:pPr>
            <w:r>
              <w:rPr>
                <w:rFonts w:ascii="宋体" w:hAnsi="宋体" w:cs="宋体" w:eastAsia="宋体" w:hint="default"/>
                <w:spacing w:val="8"/>
                <w:sz w:val="18"/>
                <w:szCs w:val="18"/>
              </w:rPr>
              <w:t>浙江万马高分子材料集团有</w:t>
            </w:r>
          </w:p>
          <w:p>
            <w:pPr>
              <w:pStyle w:val="TableParagraph"/>
              <w:spacing w:line="234" w:lineRule="exact"/>
              <w:ind w:left="5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40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86"/>
              <w:ind w:left="51" w:right="0"/>
              <w:jc w:val="left"/>
              <w:rPr>
                <w:rFonts w:ascii="宋体" w:hAnsi="宋体" w:cs="宋体" w:eastAsia="宋体" w:hint="default"/>
                <w:sz w:val="18"/>
                <w:szCs w:val="18"/>
              </w:rPr>
            </w:pPr>
            <w:r>
              <w:rPr>
                <w:rFonts w:ascii="宋体" w:hAnsi="宋体" w:cs="宋体" w:eastAsia="宋体" w:hint="default"/>
                <w:sz w:val="18"/>
                <w:szCs w:val="18"/>
              </w:rPr>
              <w:t>杭州全通轻质材料有限公司</w:t>
            </w:r>
          </w:p>
        </w:tc>
        <w:tc>
          <w:tcPr>
            <w:tcW w:w="1560"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126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86"/>
              <w:ind w:right="49"/>
              <w:jc w:val="right"/>
              <w:rPr>
                <w:rFonts w:ascii="宋体" w:hAnsi="宋体" w:cs="宋体" w:eastAsia="宋体" w:hint="default"/>
                <w:sz w:val="18"/>
                <w:szCs w:val="18"/>
              </w:rPr>
            </w:pPr>
            <w:r>
              <w:rPr>
                <w:rFonts w:ascii="宋体"/>
                <w:spacing w:val="-1"/>
                <w:sz w:val="18"/>
              </w:rPr>
              <w:t>4,315.60</w:t>
            </w:r>
          </w:p>
        </w:tc>
        <w:tc>
          <w:tcPr>
            <w:tcW w:w="1117" w:type="dxa"/>
            <w:tcBorders>
              <w:top w:val="single" w:sz="2" w:space="0" w:color="000000"/>
              <w:left w:val="single" w:sz="2"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9"/>
          <w:szCs w:val="9"/>
        </w:rPr>
      </w:pPr>
    </w:p>
    <w:p>
      <w:pPr>
        <w:pStyle w:val="BodyText"/>
        <w:spacing w:line="240" w:lineRule="auto"/>
        <w:ind w:left="666" w:right="1445"/>
        <w:jc w:val="left"/>
      </w:pPr>
      <w:r>
        <w:rPr/>
        <w:t>（</w:t>
      </w:r>
      <w:r>
        <w:rPr>
          <w:rFonts w:ascii="Times New Roman" w:hAnsi="Times New Roman" w:cs="Times New Roman" w:eastAsia="Times New Roman" w:hint="default"/>
        </w:rPr>
        <w:t>2</w:t>
      </w:r>
      <w:r>
        <w:rPr/>
        <w:t>）</w:t>
      </w:r>
      <w:r>
        <w:rPr>
          <w:spacing w:val="-90"/>
        </w:rPr>
        <w:t> </w:t>
      </w:r>
      <w:r>
        <w:rPr/>
        <w:t>承租情况</w:t>
      </w:r>
    </w:p>
    <w:p>
      <w:pPr>
        <w:spacing w:line="240" w:lineRule="auto" w:before="13"/>
        <w:rPr>
          <w:rFonts w:ascii="宋体" w:hAnsi="宋体" w:cs="宋体" w:eastAsia="宋体" w:hint="default"/>
          <w:sz w:val="10"/>
          <w:szCs w:val="10"/>
        </w:rPr>
      </w:pPr>
    </w:p>
    <w:tbl>
      <w:tblPr>
        <w:tblW w:w="0" w:type="auto"/>
        <w:jc w:val="left"/>
        <w:tblInd w:w="101" w:type="dxa"/>
        <w:tblLayout w:type="fixed"/>
        <w:tblCellMar>
          <w:top w:w="0" w:type="dxa"/>
          <w:left w:w="0" w:type="dxa"/>
          <w:bottom w:w="0" w:type="dxa"/>
          <w:right w:w="0" w:type="dxa"/>
        </w:tblCellMar>
        <w:tblLook w:val="01E0"/>
      </w:tblPr>
      <w:tblGrid>
        <w:gridCol w:w="2254"/>
        <w:gridCol w:w="2551"/>
        <w:gridCol w:w="1417"/>
        <w:gridCol w:w="1275"/>
        <w:gridCol w:w="1259"/>
      </w:tblGrid>
      <w:tr>
        <w:trPr>
          <w:trHeight w:val="484" w:hRule="exact"/>
        </w:trPr>
        <w:tc>
          <w:tcPr>
            <w:tcW w:w="2254"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88"/>
              <w:ind w:left="53" w:right="0"/>
              <w:jc w:val="left"/>
              <w:rPr>
                <w:rFonts w:ascii="宋体" w:hAnsi="宋体" w:cs="宋体" w:eastAsia="宋体" w:hint="default"/>
                <w:sz w:val="18"/>
                <w:szCs w:val="18"/>
              </w:rPr>
            </w:pPr>
            <w:r>
              <w:rPr>
                <w:rFonts w:ascii="宋体" w:hAnsi="宋体" w:cs="宋体" w:eastAsia="宋体" w:hint="default"/>
                <w:b/>
                <w:bCs/>
                <w:sz w:val="18"/>
                <w:szCs w:val="18"/>
              </w:rPr>
              <w:t>出租方名称</w:t>
            </w:r>
            <w:r>
              <w:rPr>
                <w:rFonts w:ascii="宋体" w:hAnsi="宋体" w:cs="宋体" w:eastAsia="宋体" w:hint="default"/>
                <w:sz w:val="18"/>
                <w:szCs w:val="18"/>
              </w:rPr>
            </w:r>
          </w:p>
        </w:tc>
        <w:tc>
          <w:tcPr>
            <w:tcW w:w="255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88"/>
              <w:ind w:left="823" w:right="0"/>
              <w:jc w:val="left"/>
              <w:rPr>
                <w:rFonts w:ascii="宋体" w:hAnsi="宋体" w:cs="宋体" w:eastAsia="宋体" w:hint="default"/>
                <w:sz w:val="18"/>
                <w:szCs w:val="18"/>
              </w:rPr>
            </w:pPr>
            <w:r>
              <w:rPr>
                <w:rFonts w:ascii="宋体" w:hAnsi="宋体" w:cs="宋体" w:eastAsia="宋体" w:hint="default"/>
                <w:b/>
                <w:bCs/>
                <w:sz w:val="18"/>
                <w:szCs w:val="18"/>
              </w:rPr>
              <w:t>承租方名称</w:t>
            </w:r>
            <w:r>
              <w:rPr>
                <w:rFonts w:ascii="宋体" w:hAnsi="宋体" w:cs="宋体" w:eastAsia="宋体" w:hint="default"/>
                <w:sz w:val="18"/>
                <w:szCs w:val="18"/>
              </w:rPr>
            </w:r>
          </w:p>
        </w:tc>
        <w:tc>
          <w:tcPr>
            <w:tcW w:w="14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88"/>
              <w:ind w:left="2" w:right="0"/>
              <w:jc w:val="center"/>
              <w:rPr>
                <w:rFonts w:ascii="宋体" w:hAnsi="宋体" w:cs="宋体" w:eastAsia="宋体" w:hint="default"/>
                <w:sz w:val="18"/>
                <w:szCs w:val="18"/>
              </w:rPr>
            </w:pPr>
            <w:r>
              <w:rPr>
                <w:rFonts w:ascii="宋体" w:hAnsi="宋体" w:cs="宋体" w:eastAsia="宋体" w:hint="default"/>
                <w:b/>
                <w:bCs/>
                <w:sz w:val="18"/>
                <w:szCs w:val="18"/>
              </w:rPr>
              <w:t>租赁资产种类</w:t>
            </w:r>
            <w:r>
              <w:rPr>
                <w:rFonts w:ascii="宋体" w:hAnsi="宋体" w:cs="宋体" w:eastAsia="宋体" w:hint="default"/>
                <w:sz w:val="18"/>
                <w:szCs w:val="18"/>
              </w:rPr>
            </w:r>
          </w:p>
        </w:tc>
        <w:tc>
          <w:tcPr>
            <w:tcW w:w="1275" w:type="dxa"/>
            <w:tcBorders>
              <w:top w:val="single" w:sz="12" w:space="0" w:color="000000"/>
              <w:left w:val="single" w:sz="2" w:space="0" w:color="000000"/>
              <w:bottom w:val="single" w:sz="2" w:space="0" w:color="000000"/>
              <w:right w:val="single" w:sz="2"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本年确认的租</w:t>
            </w:r>
            <w:r>
              <w:rPr>
                <w:rFonts w:ascii="宋体" w:hAnsi="宋体" w:cs="宋体" w:eastAsia="宋体" w:hint="default"/>
                <w:sz w:val="18"/>
                <w:szCs w:val="18"/>
              </w:rPr>
            </w:r>
          </w:p>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赁费</w:t>
            </w:r>
            <w:r>
              <w:rPr>
                <w:rFonts w:ascii="宋体" w:hAnsi="宋体" w:cs="宋体" w:eastAsia="宋体" w:hint="default"/>
                <w:sz w:val="18"/>
                <w:szCs w:val="18"/>
              </w:rPr>
            </w:r>
          </w:p>
        </w:tc>
        <w:tc>
          <w:tcPr>
            <w:tcW w:w="1259" w:type="dxa"/>
            <w:tcBorders>
              <w:top w:val="single" w:sz="12" w:space="0" w:color="000000"/>
              <w:left w:val="single" w:sz="2" w:space="0" w:color="000000"/>
              <w:bottom w:val="single" w:sz="2" w:space="0" w:color="000000"/>
              <w:right w:val="nil" w:sz="6" w:space="0" w:color="auto"/>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b/>
                <w:bCs/>
                <w:sz w:val="18"/>
                <w:szCs w:val="18"/>
              </w:rPr>
              <w:t>上年确认的租</w:t>
            </w:r>
            <w:r>
              <w:rPr>
                <w:rFonts w:ascii="宋体" w:hAnsi="宋体" w:cs="宋体" w:eastAsia="宋体" w:hint="default"/>
                <w:sz w:val="18"/>
                <w:szCs w:val="18"/>
              </w:rPr>
            </w:r>
          </w:p>
          <w:p>
            <w:pPr>
              <w:pStyle w:val="TableParagraph"/>
              <w:spacing w:line="234" w:lineRule="exact"/>
              <w:ind w:right="3"/>
              <w:jc w:val="center"/>
              <w:rPr>
                <w:rFonts w:ascii="宋体" w:hAnsi="宋体" w:cs="宋体" w:eastAsia="宋体" w:hint="default"/>
                <w:sz w:val="18"/>
                <w:szCs w:val="18"/>
              </w:rPr>
            </w:pPr>
            <w:r>
              <w:rPr>
                <w:rFonts w:ascii="宋体" w:hAnsi="宋体" w:cs="宋体" w:eastAsia="宋体" w:hint="default"/>
                <w:b/>
                <w:bCs/>
                <w:sz w:val="18"/>
                <w:szCs w:val="18"/>
              </w:rPr>
              <w:t>赁费</w:t>
            </w:r>
            <w:r>
              <w:rPr>
                <w:rFonts w:ascii="宋体" w:hAnsi="宋体" w:cs="宋体" w:eastAsia="宋体" w:hint="default"/>
                <w:sz w:val="18"/>
                <w:szCs w:val="18"/>
              </w:rPr>
            </w:r>
          </w:p>
        </w:tc>
      </w:tr>
      <w:tr>
        <w:trPr>
          <w:trHeight w:val="472" w:hRule="exact"/>
        </w:trPr>
        <w:tc>
          <w:tcPr>
            <w:tcW w:w="2254" w:type="dxa"/>
            <w:tcBorders>
              <w:top w:val="single" w:sz="2" w:space="0" w:color="000000"/>
              <w:left w:val="nil" w:sz="6" w:space="0" w:color="auto"/>
              <w:bottom w:val="single" w:sz="2" w:space="0" w:color="000000"/>
              <w:right w:val="single" w:sz="2" w:space="0" w:color="000000"/>
            </w:tcBorders>
          </w:tcPr>
          <w:p>
            <w:pPr>
              <w:pStyle w:val="TableParagraph"/>
              <w:spacing w:line="206" w:lineRule="exact"/>
              <w:ind w:left="108" w:right="0"/>
              <w:jc w:val="left"/>
              <w:rPr>
                <w:rFonts w:ascii="宋体" w:hAnsi="宋体" w:cs="宋体" w:eastAsia="宋体" w:hint="default"/>
                <w:sz w:val="18"/>
                <w:szCs w:val="18"/>
              </w:rPr>
            </w:pPr>
            <w:r>
              <w:rPr>
                <w:rFonts w:ascii="宋体" w:hAnsi="宋体" w:cs="宋体" w:eastAsia="宋体" w:hint="default"/>
                <w:spacing w:val="4"/>
                <w:sz w:val="18"/>
                <w:szCs w:val="18"/>
              </w:rPr>
              <w:t>浙江万马智能科技集团有</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551"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上海万马乾驭电动汽车服务</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41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1275" w:type="dxa"/>
            <w:tcBorders>
              <w:top w:val="single" w:sz="2" w:space="0" w:color="000000"/>
              <w:left w:val="single" w:sz="2" w:space="0" w:color="000000"/>
              <w:bottom w:val="single" w:sz="2" w:space="0" w:color="000000"/>
              <w:right w:val="single" w:sz="2" w:space="0" w:color="000000"/>
            </w:tcBorders>
          </w:tcPr>
          <w:p>
            <w:pPr/>
          </w:p>
        </w:tc>
        <w:tc>
          <w:tcPr>
            <w:tcW w:w="125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pacing w:val="-1"/>
                <w:sz w:val="18"/>
              </w:rPr>
              <w:t>100,381.82</w:t>
            </w:r>
          </w:p>
        </w:tc>
      </w:tr>
      <w:tr>
        <w:trPr>
          <w:trHeight w:val="484" w:hRule="exact"/>
        </w:trPr>
        <w:tc>
          <w:tcPr>
            <w:tcW w:w="2254" w:type="dxa"/>
            <w:tcBorders>
              <w:top w:val="single" w:sz="2" w:space="0" w:color="000000"/>
              <w:left w:val="nil" w:sz="6" w:space="0" w:color="auto"/>
              <w:bottom w:val="single" w:sz="12" w:space="0" w:color="000000"/>
              <w:right w:val="single" w:sz="2" w:space="0" w:color="000000"/>
            </w:tcBorders>
          </w:tcPr>
          <w:p>
            <w:pPr>
              <w:pStyle w:val="TableParagraph"/>
              <w:spacing w:line="206" w:lineRule="exact"/>
              <w:ind w:left="108" w:right="0"/>
              <w:jc w:val="left"/>
              <w:rPr>
                <w:rFonts w:ascii="宋体" w:hAnsi="宋体" w:cs="宋体" w:eastAsia="宋体" w:hint="default"/>
                <w:sz w:val="18"/>
                <w:szCs w:val="18"/>
              </w:rPr>
            </w:pPr>
            <w:r>
              <w:rPr>
                <w:rFonts w:ascii="宋体" w:hAnsi="宋体" w:cs="宋体" w:eastAsia="宋体" w:hint="default"/>
                <w:spacing w:val="4"/>
                <w:sz w:val="18"/>
                <w:szCs w:val="18"/>
              </w:rPr>
              <w:t>杭州临安万马网络技术有</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551" w:type="dxa"/>
            <w:tcBorders>
              <w:top w:val="single" w:sz="2" w:space="0" w:color="000000"/>
              <w:left w:val="single" w:sz="2" w:space="0" w:color="000000"/>
              <w:bottom w:val="single" w:sz="12" w:space="0" w:color="000000"/>
              <w:right w:val="single" w:sz="2"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万马奔腾新能源产业集团有</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41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127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87"/>
              <w:ind w:left="230" w:right="0"/>
              <w:jc w:val="left"/>
              <w:rPr>
                <w:rFonts w:ascii="宋体" w:hAnsi="宋体" w:cs="宋体" w:eastAsia="宋体" w:hint="default"/>
                <w:sz w:val="18"/>
                <w:szCs w:val="18"/>
              </w:rPr>
            </w:pPr>
            <w:r>
              <w:rPr>
                <w:rFonts w:ascii="宋体"/>
                <w:sz w:val="18"/>
              </w:rPr>
              <w:t>46,549.66</w:t>
            </w:r>
          </w:p>
        </w:tc>
        <w:tc>
          <w:tcPr>
            <w:tcW w:w="125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87"/>
              <w:ind w:right="176"/>
              <w:jc w:val="right"/>
              <w:rPr>
                <w:rFonts w:ascii="宋体" w:hAnsi="宋体" w:cs="宋体" w:eastAsia="宋体" w:hint="default"/>
                <w:sz w:val="18"/>
                <w:szCs w:val="18"/>
              </w:rPr>
            </w:pPr>
            <w:r>
              <w:rPr>
                <w:rFonts w:ascii="宋体"/>
                <w:spacing w:val="-1"/>
                <w:sz w:val="18"/>
              </w:rPr>
              <w:t>186,198.62</w:t>
            </w:r>
          </w:p>
        </w:tc>
      </w:tr>
    </w:tbl>
    <w:p>
      <w:pPr>
        <w:spacing w:after="0" w:line="240" w:lineRule="auto"/>
        <w:jc w:val="right"/>
        <w:rPr>
          <w:rFonts w:ascii="宋体" w:hAnsi="宋体" w:cs="宋体" w:eastAsia="宋体" w:hint="default"/>
          <w:sz w:val="18"/>
          <w:szCs w:val="18"/>
        </w:rPr>
        <w:sectPr>
          <w:pgSz w:w="11910" w:h="16840"/>
          <w:pgMar w:header="939" w:footer="883" w:top="1980" w:bottom="1080" w:left="1460" w:right="0"/>
        </w:sectPr>
      </w:pPr>
    </w:p>
    <w:p>
      <w:pPr>
        <w:spacing w:line="240" w:lineRule="auto" w:before="7"/>
        <w:rPr>
          <w:rFonts w:ascii="宋体" w:hAnsi="宋体" w:cs="宋体" w:eastAsia="宋体" w:hint="default"/>
          <w:sz w:val="9"/>
          <w:szCs w:val="9"/>
        </w:rPr>
      </w:pPr>
    </w:p>
    <w:p>
      <w:pPr>
        <w:pStyle w:val="BodyText"/>
        <w:tabs>
          <w:tab w:pos="1301" w:val="left" w:leader="none"/>
        </w:tabs>
        <w:spacing w:line="240" w:lineRule="auto"/>
        <w:ind w:left="888" w:right="0"/>
        <w:jc w:val="left"/>
      </w:pPr>
      <w:r>
        <w:rPr>
          <w:rFonts w:ascii="Times New Roman" w:hAnsi="Times New Roman" w:cs="Times New Roman" w:eastAsia="Times New Roman" w:hint="default"/>
          <w:spacing w:val="-1"/>
        </w:rPr>
        <w:t>3.</w:t>
        <w:tab/>
      </w:r>
      <w:r>
        <w:rPr>
          <w:spacing w:val="-2"/>
        </w:rPr>
        <w:t>关联担保情况（单位：万元）</w:t>
      </w:r>
    </w:p>
    <w:p>
      <w:pPr>
        <w:pStyle w:val="BodyText"/>
        <w:spacing w:line="240" w:lineRule="auto" w:before="175"/>
        <w:ind w:left="826" w:right="0"/>
        <w:jc w:val="left"/>
      </w:pPr>
      <w:r>
        <w:rPr/>
        <w:t>（1）</w:t>
      </w:r>
      <w:r>
        <w:rPr>
          <w:spacing w:val="42"/>
        </w:rPr>
        <w:t> </w:t>
      </w:r>
      <w:r>
        <w:rPr/>
        <w:t>最高额担保情况：</w:t>
      </w:r>
    </w:p>
    <w:p>
      <w:pPr>
        <w:spacing w:line="240" w:lineRule="auto" w:before="2"/>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544"/>
        <w:gridCol w:w="1701"/>
        <w:gridCol w:w="1134"/>
        <w:gridCol w:w="1164"/>
        <w:gridCol w:w="1246"/>
        <w:gridCol w:w="1234"/>
        <w:gridCol w:w="1020"/>
      </w:tblGrid>
      <w:tr>
        <w:trPr>
          <w:trHeight w:val="740" w:hRule="exact"/>
        </w:trPr>
        <w:tc>
          <w:tcPr>
            <w:tcW w:w="154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b/>
                <w:bCs/>
                <w:sz w:val="18"/>
                <w:szCs w:val="18"/>
              </w:rPr>
              <w:t>担保方名称</w:t>
            </w:r>
            <w:r>
              <w:rPr>
                <w:rFonts w:ascii="宋体" w:hAnsi="宋体" w:cs="宋体" w:eastAsia="宋体" w:hint="default"/>
                <w:sz w:val="18"/>
                <w:szCs w:val="18"/>
              </w:rPr>
            </w:r>
          </w:p>
        </w:tc>
        <w:tc>
          <w:tcPr>
            <w:tcW w:w="170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06" w:right="0"/>
              <w:jc w:val="left"/>
              <w:rPr>
                <w:rFonts w:ascii="宋体" w:hAnsi="宋体" w:cs="宋体" w:eastAsia="宋体" w:hint="default"/>
                <w:sz w:val="18"/>
                <w:szCs w:val="18"/>
              </w:rPr>
            </w:pPr>
            <w:r>
              <w:rPr>
                <w:rFonts w:ascii="宋体" w:hAnsi="宋体" w:cs="宋体" w:eastAsia="宋体" w:hint="default"/>
                <w:b/>
                <w:bCs/>
                <w:sz w:val="18"/>
                <w:szCs w:val="18"/>
              </w:rPr>
              <w:t>被担保方名称</w:t>
            </w:r>
            <w:r>
              <w:rPr>
                <w:rFonts w:ascii="宋体" w:hAnsi="宋体" w:cs="宋体" w:eastAsia="宋体" w:hint="default"/>
                <w:sz w:val="18"/>
                <w:szCs w:val="18"/>
              </w:rPr>
            </w:r>
          </w:p>
        </w:tc>
        <w:tc>
          <w:tcPr>
            <w:tcW w:w="1134"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123"/>
              <w:ind w:left="381" w:right="107" w:hanging="269"/>
              <w:jc w:val="left"/>
              <w:rPr>
                <w:rFonts w:ascii="宋体" w:hAnsi="宋体" w:cs="宋体" w:eastAsia="宋体" w:hint="default"/>
                <w:sz w:val="18"/>
                <w:szCs w:val="18"/>
              </w:rPr>
            </w:pPr>
            <w:r>
              <w:rPr>
                <w:rFonts w:ascii="宋体" w:hAnsi="宋体" w:cs="宋体" w:eastAsia="宋体" w:hint="default"/>
                <w:b/>
                <w:bCs/>
                <w:sz w:val="18"/>
                <w:szCs w:val="18"/>
              </w:rPr>
              <w:t>最高额担保</w:t>
            </w:r>
            <w:r>
              <w:rPr>
                <w:rFonts w:ascii="宋体" w:hAnsi="宋体" w:cs="宋体" w:eastAsia="宋体" w:hint="default"/>
                <w:b/>
                <w:bCs/>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1164"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6"/>
              <w:ind w:left="127" w:right="122"/>
              <w:jc w:val="center"/>
              <w:rPr>
                <w:rFonts w:ascii="宋体" w:hAnsi="宋体" w:cs="宋体" w:eastAsia="宋体" w:hint="default"/>
                <w:sz w:val="18"/>
                <w:szCs w:val="18"/>
              </w:rPr>
            </w:pPr>
            <w:r>
              <w:rPr>
                <w:rFonts w:ascii="宋体" w:hAnsi="宋体" w:cs="宋体" w:eastAsia="宋体" w:hint="default"/>
                <w:b/>
                <w:bCs/>
                <w:sz w:val="18"/>
                <w:szCs w:val="18"/>
              </w:rPr>
              <w:t>截止年末已</w:t>
            </w:r>
            <w:r>
              <w:rPr>
                <w:rFonts w:ascii="宋体" w:hAnsi="宋体" w:cs="宋体" w:eastAsia="宋体" w:hint="default"/>
                <w:b/>
                <w:bCs/>
                <w:w w:val="99"/>
                <w:sz w:val="18"/>
                <w:szCs w:val="18"/>
              </w:rPr>
              <w:t> </w:t>
            </w:r>
            <w:r>
              <w:rPr>
                <w:rFonts w:ascii="宋体" w:hAnsi="宋体" w:cs="宋体" w:eastAsia="宋体" w:hint="default"/>
                <w:b/>
                <w:bCs/>
                <w:sz w:val="18"/>
                <w:szCs w:val="18"/>
              </w:rPr>
              <w:t>使用担保额</w:t>
            </w:r>
            <w:r>
              <w:rPr>
                <w:rFonts w:ascii="宋体" w:hAnsi="宋体" w:cs="宋体" w:eastAsia="宋体" w:hint="default"/>
                <w:b/>
                <w:bCs/>
                <w:w w:val="99"/>
                <w:sz w:val="18"/>
                <w:szCs w:val="18"/>
              </w:rPr>
              <w:t> </w:t>
            </w:r>
            <w:r>
              <w:rPr>
                <w:rFonts w:ascii="宋体" w:hAnsi="宋体" w:cs="宋体" w:eastAsia="宋体" w:hint="default"/>
                <w:b/>
                <w:bCs/>
                <w:sz w:val="18"/>
                <w:szCs w:val="18"/>
              </w:rPr>
              <w:t>度</w:t>
            </w:r>
            <w:r>
              <w:rPr>
                <w:rFonts w:ascii="宋体" w:hAnsi="宋体" w:cs="宋体" w:eastAsia="宋体" w:hint="default"/>
                <w:sz w:val="18"/>
                <w:szCs w:val="18"/>
              </w:rPr>
            </w:r>
          </w:p>
        </w:tc>
        <w:tc>
          <w:tcPr>
            <w:tcW w:w="1246"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123"/>
              <w:ind w:left="348" w:right="163" w:hanging="180"/>
              <w:jc w:val="left"/>
              <w:rPr>
                <w:rFonts w:ascii="宋体" w:hAnsi="宋体" w:cs="宋体" w:eastAsia="宋体" w:hint="default"/>
                <w:sz w:val="18"/>
                <w:szCs w:val="18"/>
              </w:rPr>
            </w:pPr>
            <w:r>
              <w:rPr>
                <w:rFonts w:ascii="宋体" w:hAnsi="宋体" w:cs="宋体" w:eastAsia="宋体" w:hint="default"/>
                <w:b/>
                <w:bCs/>
                <w:sz w:val="18"/>
                <w:szCs w:val="18"/>
              </w:rPr>
              <w:t>最高额担保</w:t>
            </w:r>
            <w:r>
              <w:rPr>
                <w:rFonts w:ascii="宋体" w:hAnsi="宋体" w:cs="宋体" w:eastAsia="宋体" w:hint="default"/>
                <w:b/>
                <w:bCs/>
                <w:w w:val="99"/>
                <w:sz w:val="18"/>
                <w:szCs w:val="18"/>
              </w:rPr>
              <w:t> </w:t>
            </w:r>
            <w:r>
              <w:rPr>
                <w:rFonts w:ascii="宋体" w:hAnsi="宋体" w:cs="宋体" w:eastAsia="宋体" w:hint="default"/>
                <w:b/>
                <w:bCs/>
                <w:sz w:val="18"/>
                <w:szCs w:val="18"/>
              </w:rPr>
              <w:t>起始日</w:t>
            </w:r>
            <w:r>
              <w:rPr>
                <w:rFonts w:ascii="宋体" w:hAnsi="宋体" w:cs="宋体" w:eastAsia="宋体" w:hint="default"/>
                <w:sz w:val="18"/>
                <w:szCs w:val="18"/>
              </w:rPr>
            </w:r>
          </w:p>
        </w:tc>
        <w:tc>
          <w:tcPr>
            <w:tcW w:w="1234"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123"/>
              <w:ind w:left="341" w:right="158" w:hanging="180"/>
              <w:jc w:val="left"/>
              <w:rPr>
                <w:rFonts w:ascii="宋体" w:hAnsi="宋体" w:cs="宋体" w:eastAsia="宋体" w:hint="default"/>
                <w:sz w:val="18"/>
                <w:szCs w:val="18"/>
              </w:rPr>
            </w:pPr>
            <w:r>
              <w:rPr>
                <w:rFonts w:ascii="宋体" w:hAnsi="宋体" w:cs="宋体" w:eastAsia="宋体" w:hint="default"/>
                <w:b/>
                <w:bCs/>
                <w:sz w:val="18"/>
                <w:szCs w:val="18"/>
              </w:rPr>
              <w:t>最高额担保</w:t>
            </w:r>
            <w:r>
              <w:rPr>
                <w:rFonts w:ascii="宋体" w:hAnsi="宋体" w:cs="宋体" w:eastAsia="宋体" w:hint="default"/>
                <w:b/>
                <w:bCs/>
                <w:w w:val="99"/>
                <w:sz w:val="18"/>
                <w:szCs w:val="18"/>
              </w:rPr>
              <w:t> </w:t>
            </w:r>
            <w:r>
              <w:rPr>
                <w:rFonts w:ascii="宋体" w:hAnsi="宋体" w:cs="宋体" w:eastAsia="宋体" w:hint="default"/>
                <w:b/>
                <w:bCs/>
                <w:sz w:val="18"/>
                <w:szCs w:val="18"/>
              </w:rPr>
              <w:t>到期日</w:t>
            </w:r>
            <w:r>
              <w:rPr>
                <w:rFonts w:ascii="宋体" w:hAnsi="宋体" w:cs="宋体" w:eastAsia="宋体" w:hint="default"/>
                <w:sz w:val="18"/>
                <w:szCs w:val="18"/>
              </w:rPr>
            </w:r>
          </w:p>
        </w:tc>
        <w:tc>
          <w:tcPr>
            <w:tcW w:w="1020" w:type="dxa"/>
            <w:tcBorders>
              <w:top w:val="single" w:sz="12" w:space="0" w:color="000000"/>
              <w:left w:val="single" w:sz="4" w:space="0" w:color="000000"/>
              <w:bottom w:val="single" w:sz="4" w:space="0" w:color="000000"/>
              <w:right w:val="nil" w:sz="6" w:space="0" w:color="auto"/>
            </w:tcBorders>
          </w:tcPr>
          <w:p>
            <w:pPr>
              <w:pStyle w:val="TableParagraph"/>
              <w:spacing w:line="232" w:lineRule="exact" w:before="6"/>
              <w:ind w:left="143" w:right="146"/>
              <w:jc w:val="center"/>
              <w:rPr>
                <w:rFonts w:ascii="宋体" w:hAnsi="宋体" w:cs="宋体" w:eastAsia="宋体" w:hint="default"/>
                <w:sz w:val="18"/>
                <w:szCs w:val="18"/>
              </w:rPr>
            </w:pPr>
            <w:r>
              <w:rPr>
                <w:rFonts w:ascii="宋体" w:hAnsi="宋体" w:cs="宋体" w:eastAsia="宋体" w:hint="default"/>
                <w:b/>
                <w:bCs/>
                <w:sz w:val="18"/>
                <w:szCs w:val="18"/>
              </w:rPr>
              <w:t>担保是否</w:t>
            </w:r>
            <w:r>
              <w:rPr>
                <w:rFonts w:ascii="宋体" w:hAnsi="宋体" w:cs="宋体" w:eastAsia="宋体" w:hint="default"/>
                <w:b/>
                <w:bCs/>
                <w:w w:val="99"/>
                <w:sz w:val="18"/>
                <w:szCs w:val="18"/>
              </w:rPr>
              <w:t> </w:t>
            </w:r>
            <w:r>
              <w:rPr>
                <w:rFonts w:ascii="宋体" w:hAnsi="宋体" w:cs="宋体" w:eastAsia="宋体" w:hint="default"/>
                <w:b/>
                <w:bCs/>
                <w:sz w:val="18"/>
                <w:szCs w:val="18"/>
              </w:rPr>
              <w:t>已经履行</w:t>
            </w:r>
            <w:r>
              <w:rPr>
                <w:rFonts w:ascii="宋体" w:hAnsi="宋体" w:cs="宋体" w:eastAsia="宋体" w:hint="default"/>
                <w:b/>
                <w:bCs/>
                <w:w w:val="99"/>
                <w:sz w:val="18"/>
                <w:szCs w:val="18"/>
              </w:rPr>
              <w:t> </w:t>
            </w:r>
            <w:r>
              <w:rPr>
                <w:rFonts w:ascii="宋体" w:hAnsi="宋体" w:cs="宋体" w:eastAsia="宋体" w:hint="default"/>
                <w:b/>
                <w:bCs/>
                <w:sz w:val="18"/>
                <w:szCs w:val="18"/>
              </w:rPr>
              <w:t>完毕</w:t>
            </w:r>
            <w:r>
              <w:rPr>
                <w:rFonts w:ascii="宋体" w:hAnsi="宋体" w:cs="宋体" w:eastAsia="宋体" w:hint="default"/>
                <w:sz w:val="18"/>
                <w:szCs w:val="18"/>
              </w:rPr>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万马联合控股集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pacing w:val="-1"/>
                <w:sz w:val="18"/>
              </w:rPr>
              <w:t>27,000.00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40" w:right="0"/>
              <w:jc w:val="left"/>
              <w:rPr>
                <w:rFonts w:ascii="宋体" w:hAnsi="宋体" w:cs="宋体" w:eastAsia="宋体" w:hint="default"/>
                <w:sz w:val="18"/>
                <w:szCs w:val="18"/>
              </w:rPr>
            </w:pPr>
            <w:r>
              <w:rPr>
                <w:rFonts w:ascii="宋体"/>
                <w:sz w:val="18"/>
              </w:rPr>
              <w:t>18,700.00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9"/>
              <w:jc w:val="right"/>
              <w:rPr>
                <w:rFonts w:ascii="宋体" w:hAnsi="宋体" w:cs="宋体" w:eastAsia="宋体" w:hint="default"/>
                <w:sz w:val="18"/>
                <w:szCs w:val="18"/>
              </w:rPr>
            </w:pPr>
            <w:r>
              <w:rPr>
                <w:rFonts w:ascii="宋体"/>
                <w:spacing w:val="-1"/>
                <w:sz w:val="18"/>
              </w:rPr>
              <w:t>2019-1-1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宋体" w:hAnsi="宋体" w:cs="宋体" w:eastAsia="宋体" w:hint="default"/>
                <w:sz w:val="18"/>
                <w:szCs w:val="18"/>
              </w:rPr>
            </w:pPr>
            <w:r>
              <w:rPr>
                <w:rFonts w:ascii="宋体"/>
                <w:spacing w:val="-1"/>
                <w:sz w:val="18"/>
              </w:rPr>
              <w:t>2020-12-31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张德生、陆珍玉</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pacing w:val="-1"/>
                <w:sz w:val="18"/>
              </w:rPr>
              <w:t>27,000.00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pacing w:val="-1"/>
                <w:sz w:val="18"/>
              </w:rPr>
              <w:t>2019-1-1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pacing w:val="-1"/>
                <w:sz w:val="18"/>
              </w:rPr>
              <w:t>2020-12-31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万马联合控股集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宋体" w:hAnsi="宋体" w:cs="宋体" w:eastAsia="宋体" w:hint="default"/>
                <w:sz w:val="18"/>
                <w:szCs w:val="18"/>
              </w:rPr>
            </w:pPr>
            <w:r>
              <w:rPr>
                <w:rFonts w:ascii="宋体"/>
                <w:spacing w:val="-1"/>
                <w:sz w:val="18"/>
              </w:rPr>
              <w:t>15,000.00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宋体" w:hAnsi="宋体" w:cs="宋体" w:eastAsia="宋体" w:hint="default"/>
                <w:sz w:val="18"/>
                <w:szCs w:val="18"/>
              </w:rPr>
            </w:pPr>
            <w:r>
              <w:rPr>
                <w:rFonts w:ascii="宋体"/>
                <w:spacing w:val="-1"/>
                <w:sz w:val="18"/>
              </w:rPr>
              <w:t>4,427.29</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宋体" w:hAnsi="宋体" w:cs="宋体" w:eastAsia="宋体" w:hint="default"/>
                <w:sz w:val="18"/>
                <w:szCs w:val="18"/>
              </w:rPr>
            </w:pPr>
            <w:r>
              <w:rPr>
                <w:rFonts w:ascii="宋体"/>
                <w:spacing w:val="-1"/>
                <w:sz w:val="18"/>
              </w:rPr>
              <w:t>2019-8-31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宋体" w:hAnsi="宋体" w:cs="宋体" w:eastAsia="宋体" w:hint="default"/>
                <w:sz w:val="18"/>
                <w:szCs w:val="18"/>
              </w:rPr>
            </w:pPr>
            <w:r>
              <w:rPr>
                <w:rFonts w:ascii="宋体"/>
                <w:spacing w:val="-1"/>
                <w:sz w:val="18"/>
              </w:rPr>
              <w:t>2021-8-31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3"/>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浙江万马智能科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技集团有限公司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pacing w:val="-1"/>
                <w:sz w:val="18"/>
              </w:rPr>
              <w:t>31,000.00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pacing w:val="-1"/>
                <w:sz w:val="18"/>
              </w:rPr>
              <w:t>18,574.00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9"/>
              <w:jc w:val="right"/>
              <w:rPr>
                <w:rFonts w:ascii="宋体" w:hAnsi="宋体" w:cs="宋体" w:eastAsia="宋体" w:hint="default"/>
                <w:sz w:val="18"/>
                <w:szCs w:val="18"/>
              </w:rPr>
            </w:pPr>
            <w:r>
              <w:rPr>
                <w:rFonts w:ascii="宋体"/>
                <w:spacing w:val="-1"/>
                <w:sz w:val="18"/>
              </w:rPr>
              <w:t>2019-11-29</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宋体" w:hAnsi="宋体" w:cs="宋体" w:eastAsia="宋体" w:hint="default"/>
                <w:sz w:val="18"/>
                <w:szCs w:val="18"/>
              </w:rPr>
            </w:pPr>
            <w:r>
              <w:rPr>
                <w:rFonts w:ascii="宋体"/>
                <w:spacing w:val="-1"/>
                <w:sz w:val="18"/>
              </w:rPr>
              <w:t>2020-11-28</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浙江万马智能科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技集团有限公司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pacing w:val="-1"/>
                <w:sz w:val="18"/>
              </w:rPr>
              <w:t>17,000.00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240" w:right="0"/>
              <w:jc w:val="left"/>
              <w:rPr>
                <w:rFonts w:ascii="宋体" w:hAnsi="宋体" w:cs="宋体" w:eastAsia="宋体" w:hint="default"/>
                <w:sz w:val="18"/>
                <w:szCs w:val="18"/>
              </w:rPr>
            </w:pPr>
            <w:r>
              <w:rPr>
                <w:rFonts w:ascii="宋体"/>
                <w:sz w:val="18"/>
              </w:rPr>
              <w:t>10,357.70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2015-7-21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2020-7-21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pacing w:val="-1"/>
                <w:sz w:val="18"/>
              </w:rPr>
              <w:t>17,000.00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2"/>
              <w:jc w:val="right"/>
              <w:rPr>
                <w:rFonts w:ascii="宋体" w:hAnsi="宋体" w:cs="宋体" w:eastAsia="宋体" w:hint="default"/>
                <w:sz w:val="18"/>
                <w:szCs w:val="18"/>
              </w:rPr>
            </w:pPr>
            <w:r>
              <w:rPr>
                <w:rFonts w:ascii="宋体"/>
                <w:spacing w:val="-1"/>
                <w:sz w:val="18"/>
              </w:rPr>
              <w:t>2015-7-21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2"/>
              <w:jc w:val="right"/>
              <w:rPr>
                <w:rFonts w:ascii="宋体" w:hAnsi="宋体" w:cs="宋体" w:eastAsia="宋体" w:hint="default"/>
                <w:sz w:val="18"/>
                <w:szCs w:val="18"/>
              </w:rPr>
            </w:pPr>
            <w:r>
              <w:rPr>
                <w:rFonts w:ascii="宋体"/>
                <w:spacing w:val="-1"/>
                <w:sz w:val="18"/>
              </w:rPr>
              <w:t>2020-7-21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万马联合控股集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pacing w:val="-1"/>
                <w:sz w:val="18"/>
              </w:rPr>
              <w:t>30,000.00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240" w:right="0"/>
              <w:jc w:val="left"/>
              <w:rPr>
                <w:rFonts w:ascii="宋体" w:hAnsi="宋体" w:cs="宋体" w:eastAsia="宋体" w:hint="default"/>
                <w:sz w:val="18"/>
                <w:szCs w:val="18"/>
              </w:rPr>
            </w:pPr>
            <w:r>
              <w:rPr>
                <w:rFonts w:ascii="宋体"/>
                <w:sz w:val="18"/>
              </w:rPr>
              <w:t>25,000.00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18"/>
                <w:szCs w:val="18"/>
              </w:rPr>
            </w:pPr>
            <w:r>
              <w:rPr>
                <w:rFonts w:ascii="宋体"/>
                <w:spacing w:val="-1"/>
                <w:sz w:val="18"/>
              </w:rPr>
              <w:t>2019-8-26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18"/>
                <w:szCs w:val="18"/>
              </w:rPr>
            </w:pPr>
            <w:r>
              <w:rPr>
                <w:rFonts w:ascii="宋体"/>
                <w:spacing w:val="-1"/>
                <w:sz w:val="18"/>
              </w:rPr>
              <w:t>2020-8-25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pacing w:val="-1"/>
                <w:sz w:val="18"/>
              </w:rPr>
              <w:t>30,000.00</w:t>
            </w:r>
          </w:p>
        </w:tc>
        <w:tc>
          <w:tcPr>
            <w:tcW w:w="1164" w:type="dxa"/>
            <w:vMerge/>
            <w:tcBorders>
              <w:left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2"/>
              <w:jc w:val="right"/>
              <w:rPr>
                <w:rFonts w:ascii="宋体" w:hAnsi="宋体" w:cs="宋体" w:eastAsia="宋体" w:hint="default"/>
                <w:sz w:val="18"/>
                <w:szCs w:val="18"/>
              </w:rPr>
            </w:pPr>
            <w:r>
              <w:rPr>
                <w:rFonts w:ascii="宋体"/>
                <w:spacing w:val="-1"/>
                <w:sz w:val="18"/>
              </w:rPr>
              <w:t>2019-8-26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2"/>
              <w:jc w:val="right"/>
              <w:rPr>
                <w:rFonts w:ascii="宋体" w:hAnsi="宋体" w:cs="宋体" w:eastAsia="宋体" w:hint="default"/>
                <w:sz w:val="18"/>
                <w:szCs w:val="18"/>
              </w:rPr>
            </w:pPr>
            <w:r>
              <w:rPr>
                <w:rFonts w:ascii="宋体"/>
                <w:spacing w:val="-1"/>
                <w:sz w:val="18"/>
              </w:rPr>
              <w:t>2020-8-25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07" w:right="0"/>
              <w:jc w:val="left"/>
              <w:rPr>
                <w:rFonts w:ascii="宋体" w:hAnsi="宋体" w:cs="宋体" w:eastAsia="宋体" w:hint="default"/>
                <w:sz w:val="18"/>
                <w:szCs w:val="18"/>
              </w:rPr>
            </w:pPr>
            <w:r>
              <w:rPr>
                <w:rFonts w:ascii="宋体" w:hAnsi="宋体" w:cs="宋体" w:eastAsia="宋体" w:hint="default"/>
                <w:sz w:val="18"/>
                <w:szCs w:val="18"/>
              </w:rPr>
              <w:t>陆珍玉</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宋体" w:hAnsi="宋体" w:cs="宋体" w:eastAsia="宋体" w:hint="default"/>
                <w:sz w:val="18"/>
                <w:szCs w:val="18"/>
              </w:rPr>
            </w:pPr>
            <w:r>
              <w:rPr>
                <w:rFonts w:ascii="宋体"/>
                <w:spacing w:val="-1"/>
                <w:sz w:val="18"/>
              </w:rPr>
              <w:t>30,000.00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18"/>
                <w:szCs w:val="18"/>
              </w:rPr>
            </w:pPr>
            <w:r>
              <w:rPr>
                <w:rFonts w:ascii="宋体"/>
                <w:spacing w:val="-1"/>
                <w:sz w:val="18"/>
              </w:rPr>
              <w:t>2019-8-26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18"/>
                <w:szCs w:val="18"/>
              </w:rPr>
            </w:pPr>
            <w:r>
              <w:rPr>
                <w:rFonts w:ascii="宋体"/>
                <w:spacing w:val="-1"/>
                <w:sz w:val="18"/>
              </w:rPr>
              <w:t>2020-8-25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浙江万马智能科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技集团有限公司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宋体" w:hAnsi="宋体" w:cs="宋体" w:eastAsia="宋体" w:hint="default"/>
                <w:sz w:val="18"/>
                <w:szCs w:val="18"/>
              </w:rPr>
            </w:pPr>
            <w:r>
              <w:rPr>
                <w:rFonts w:ascii="宋体"/>
                <w:spacing w:val="-1"/>
                <w:sz w:val="18"/>
              </w:rPr>
              <w:t>27,500.00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331" w:right="0"/>
              <w:jc w:val="left"/>
              <w:rPr>
                <w:rFonts w:ascii="宋体" w:hAnsi="宋体" w:cs="宋体" w:eastAsia="宋体" w:hint="default"/>
                <w:sz w:val="18"/>
                <w:szCs w:val="18"/>
              </w:rPr>
            </w:pPr>
            <w:r>
              <w:rPr>
                <w:rFonts w:ascii="宋体"/>
                <w:sz w:val="18"/>
              </w:rPr>
              <w:t>6,010.00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宋体" w:hAnsi="宋体" w:cs="宋体" w:eastAsia="宋体" w:hint="default"/>
                <w:sz w:val="18"/>
                <w:szCs w:val="18"/>
              </w:rPr>
            </w:pPr>
            <w:r>
              <w:rPr>
                <w:rFonts w:ascii="宋体"/>
                <w:spacing w:val="-1"/>
                <w:sz w:val="18"/>
              </w:rPr>
              <w:t>2019-8-21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宋体" w:hAnsi="宋体" w:cs="宋体" w:eastAsia="宋体" w:hint="default"/>
                <w:sz w:val="18"/>
                <w:szCs w:val="18"/>
              </w:rPr>
            </w:pPr>
            <w:r>
              <w:rPr>
                <w:rFonts w:ascii="宋体"/>
                <w:spacing w:val="-1"/>
                <w:sz w:val="18"/>
              </w:rPr>
              <w:t>2020-8-21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3"/>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6"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07" w:right="0"/>
              <w:jc w:val="left"/>
              <w:rPr>
                <w:rFonts w:ascii="宋体" w:hAnsi="宋体" w:cs="宋体" w:eastAsia="宋体" w:hint="default"/>
                <w:sz w:val="18"/>
                <w:szCs w:val="18"/>
              </w:rPr>
            </w:pPr>
            <w:r>
              <w:rPr>
                <w:rFonts w:ascii="宋体" w:hAnsi="宋体" w:cs="宋体" w:eastAsia="宋体" w:hint="default"/>
                <w:sz w:val="18"/>
                <w:szCs w:val="18"/>
              </w:rPr>
              <w:t>张德生、陆珍玉</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宋体" w:hAnsi="宋体" w:cs="宋体" w:eastAsia="宋体" w:hint="default"/>
                <w:sz w:val="18"/>
                <w:szCs w:val="18"/>
              </w:rPr>
            </w:pPr>
            <w:r>
              <w:rPr>
                <w:rFonts w:ascii="宋体"/>
                <w:spacing w:val="-1"/>
                <w:sz w:val="18"/>
              </w:rPr>
              <w:t>33,000.00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18"/>
                <w:szCs w:val="18"/>
              </w:rPr>
            </w:pPr>
            <w:r>
              <w:rPr>
                <w:rFonts w:ascii="宋体"/>
                <w:spacing w:val="-1"/>
                <w:sz w:val="18"/>
              </w:rPr>
              <w:t>2019-8-21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18"/>
                <w:szCs w:val="18"/>
              </w:rPr>
            </w:pPr>
            <w:r>
              <w:rPr>
                <w:rFonts w:ascii="宋体"/>
                <w:spacing w:val="-1"/>
                <w:sz w:val="18"/>
              </w:rPr>
              <w:t>2020-8-21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12" w:lineRule="exact"/>
              <w:ind w:left="107" w:right="0"/>
              <w:jc w:val="left"/>
              <w:rPr>
                <w:rFonts w:ascii="宋体" w:hAnsi="宋体" w:cs="宋体" w:eastAsia="宋体" w:hint="default"/>
                <w:sz w:val="18"/>
                <w:szCs w:val="18"/>
              </w:rPr>
            </w:pPr>
            <w:r>
              <w:rPr>
                <w:rFonts w:ascii="宋体" w:hAnsi="宋体" w:cs="宋体" w:eastAsia="宋体" w:hint="default"/>
                <w:spacing w:val="9"/>
                <w:sz w:val="18"/>
                <w:szCs w:val="18"/>
              </w:rPr>
              <w:t>浙江万马智能科</w:t>
            </w: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技集团有限公司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pacing w:val="-1"/>
                <w:sz w:val="18"/>
              </w:rPr>
              <w:t>30,000.00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240" w:right="0"/>
              <w:jc w:val="left"/>
              <w:rPr>
                <w:rFonts w:ascii="宋体" w:hAnsi="宋体" w:cs="宋体" w:eastAsia="宋体" w:hint="default"/>
                <w:sz w:val="18"/>
                <w:szCs w:val="18"/>
              </w:rPr>
            </w:pPr>
            <w:r>
              <w:rPr>
                <w:rFonts w:ascii="宋体"/>
                <w:sz w:val="18"/>
              </w:rPr>
              <w:t>17,686.50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2019-10-31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8"/>
                <w:szCs w:val="18"/>
              </w:rPr>
            </w:pPr>
            <w:r>
              <w:rPr>
                <w:rFonts w:ascii="宋体"/>
                <w:spacing w:val="-1"/>
                <w:sz w:val="18"/>
              </w:rPr>
              <w:t>2022-10-30</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张德生、陆珍玉</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pacing w:val="-1"/>
                <w:sz w:val="18"/>
              </w:rPr>
              <w:t>30,000.00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pacing w:val="-1"/>
                <w:sz w:val="18"/>
              </w:rPr>
              <w:t>2019-10-31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pacing w:val="-1"/>
                <w:sz w:val="18"/>
              </w:rPr>
              <w:t>2022-10-30</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万马联合控股集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pacing w:val="-1"/>
                <w:sz w:val="18"/>
              </w:rPr>
              <w:t>20,000.00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331" w:right="0"/>
              <w:jc w:val="left"/>
              <w:rPr>
                <w:rFonts w:ascii="宋体" w:hAnsi="宋体" w:cs="宋体" w:eastAsia="宋体" w:hint="default"/>
                <w:sz w:val="18"/>
                <w:szCs w:val="18"/>
              </w:rPr>
            </w:pPr>
            <w:r>
              <w:rPr>
                <w:rFonts w:ascii="宋体"/>
                <w:sz w:val="18"/>
              </w:rPr>
              <w:t>9,592.23</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2020-1-6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8"/>
                <w:szCs w:val="18"/>
              </w:rPr>
            </w:pPr>
            <w:r>
              <w:rPr>
                <w:rFonts w:ascii="宋体"/>
                <w:spacing w:val="-1"/>
                <w:sz w:val="18"/>
              </w:rPr>
              <w:t>2021-1-5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张德生、陆珍玉</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pacing w:val="-1"/>
                <w:sz w:val="18"/>
              </w:rPr>
              <w:t>20,000.00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pacing w:val="-1"/>
                <w:sz w:val="18"/>
              </w:rPr>
              <w:t>2020-1-6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pacing w:val="-1"/>
                <w:sz w:val="18"/>
              </w:rPr>
              <w:t>2021-1-5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万马联合控股集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pacing w:val="-1"/>
                <w:sz w:val="18"/>
              </w:rPr>
              <w:t>10,000.00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9"/>
              <w:jc w:val="right"/>
              <w:rPr>
                <w:rFonts w:ascii="宋体" w:hAnsi="宋体" w:cs="宋体" w:eastAsia="宋体" w:hint="default"/>
                <w:sz w:val="18"/>
                <w:szCs w:val="18"/>
              </w:rPr>
            </w:pPr>
            <w:r>
              <w:rPr>
                <w:rFonts w:ascii="宋体"/>
                <w:spacing w:val="-1"/>
                <w:sz w:val="18"/>
              </w:rPr>
              <w:t>8,000.00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18"/>
                <w:szCs w:val="18"/>
              </w:rPr>
            </w:pPr>
            <w:r>
              <w:rPr>
                <w:rFonts w:ascii="宋体"/>
                <w:spacing w:val="-1"/>
                <w:sz w:val="18"/>
              </w:rPr>
              <w:t>2019-4-28</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18"/>
                <w:szCs w:val="18"/>
              </w:rPr>
            </w:pPr>
            <w:r>
              <w:rPr>
                <w:rFonts w:ascii="宋体"/>
                <w:spacing w:val="-1"/>
                <w:sz w:val="18"/>
              </w:rPr>
              <w:t>2020-4-28</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12" w:lineRule="exact"/>
              <w:ind w:left="107" w:right="0"/>
              <w:jc w:val="left"/>
              <w:rPr>
                <w:rFonts w:ascii="宋体" w:hAnsi="宋体" w:cs="宋体" w:eastAsia="宋体" w:hint="default"/>
                <w:sz w:val="18"/>
                <w:szCs w:val="18"/>
              </w:rPr>
            </w:pPr>
            <w:r>
              <w:rPr>
                <w:rFonts w:ascii="宋体" w:hAnsi="宋体" w:cs="宋体" w:eastAsia="宋体" w:hint="default"/>
                <w:spacing w:val="9"/>
                <w:sz w:val="18"/>
                <w:szCs w:val="18"/>
              </w:rPr>
              <w:t>浙江万马智能科</w:t>
            </w: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技集团有限公司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pacing w:val="-1"/>
                <w:sz w:val="18"/>
              </w:rPr>
              <w:t>20,000.00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331" w:right="0"/>
              <w:jc w:val="left"/>
              <w:rPr>
                <w:rFonts w:ascii="宋体" w:hAnsi="宋体" w:cs="宋体" w:eastAsia="宋体" w:hint="default"/>
                <w:sz w:val="18"/>
                <w:szCs w:val="18"/>
              </w:rPr>
            </w:pPr>
            <w:r>
              <w:rPr>
                <w:rFonts w:ascii="宋体"/>
                <w:sz w:val="18"/>
              </w:rPr>
              <w:t>4,119.50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2019-5-6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8"/>
                <w:szCs w:val="18"/>
              </w:rPr>
            </w:pPr>
            <w:r>
              <w:rPr>
                <w:rFonts w:ascii="宋体"/>
                <w:spacing w:val="-1"/>
                <w:sz w:val="18"/>
              </w:rPr>
              <w:t>2020-5-6</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浙江万马股份有限</w:t>
            </w:r>
          </w:p>
          <w:p>
            <w:pPr>
              <w:pStyle w:val="TableParagraph"/>
              <w:spacing w:line="234"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pacing w:val="-1"/>
                <w:sz w:val="18"/>
              </w:rPr>
              <w:t>20,000.00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pacing w:val="-1"/>
                <w:sz w:val="18"/>
              </w:rPr>
              <w:t>2019-5-6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pacing w:val="-1"/>
                <w:sz w:val="18"/>
              </w:rPr>
              <w:t>2020-5-6</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7"/>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浙江万马高分子材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料集团有限公司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pacing w:val="-1"/>
                <w:sz w:val="18"/>
              </w:rPr>
              <w:t>12,800.00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7,000.00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2018-6-1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2020-5-31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4"/>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浙江万马高分子材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料集团有限公司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pacing w:val="-1"/>
                <w:sz w:val="18"/>
              </w:rPr>
              <w:t>25,000.00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8,477.70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2019-8-22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2021-8-31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浙江万马高分子材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料集团有限公司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3,000.00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1,000.00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2019-9-26</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2020-9-25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浙江万马高分子材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料集团有限公司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宋体" w:hAnsi="宋体" w:cs="宋体" w:eastAsia="宋体" w:hint="default"/>
                <w:sz w:val="18"/>
                <w:szCs w:val="18"/>
              </w:rPr>
            </w:pPr>
            <w:r>
              <w:rPr>
                <w:rFonts w:ascii="宋体"/>
                <w:spacing w:val="-1"/>
                <w:sz w:val="18"/>
              </w:rPr>
              <w:t>8,600.00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331" w:right="0"/>
              <w:jc w:val="left"/>
              <w:rPr>
                <w:rFonts w:ascii="宋体" w:hAnsi="宋体" w:cs="宋体" w:eastAsia="宋体" w:hint="default"/>
                <w:sz w:val="18"/>
                <w:szCs w:val="18"/>
              </w:rPr>
            </w:pPr>
            <w:r>
              <w:rPr>
                <w:rFonts w:ascii="宋体"/>
                <w:sz w:val="18"/>
              </w:rPr>
              <w:t>5,120.00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宋体" w:hAnsi="宋体" w:cs="宋体" w:eastAsia="宋体" w:hint="default"/>
                <w:sz w:val="18"/>
                <w:szCs w:val="18"/>
              </w:rPr>
            </w:pPr>
            <w:r>
              <w:rPr>
                <w:rFonts w:ascii="宋体"/>
                <w:spacing w:val="-1"/>
                <w:sz w:val="18"/>
              </w:rPr>
              <w:t>2017-12-31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宋体" w:hAnsi="宋体" w:cs="宋体" w:eastAsia="宋体" w:hint="default"/>
                <w:sz w:val="18"/>
                <w:szCs w:val="18"/>
              </w:rPr>
            </w:pPr>
            <w:r>
              <w:rPr>
                <w:rFonts w:ascii="宋体"/>
                <w:spacing w:val="-1"/>
                <w:sz w:val="18"/>
              </w:rPr>
              <w:t>2020-12-31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6"/>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8"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5"/>
              <w:ind w:left="107"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浙江万马高分子材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料集团有限公司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pacing w:val="-1"/>
                <w:sz w:val="18"/>
              </w:rPr>
              <w:t>10,000.00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18"/>
                <w:szCs w:val="18"/>
              </w:rPr>
            </w:pPr>
            <w:r>
              <w:rPr>
                <w:rFonts w:ascii="宋体"/>
                <w:spacing w:val="-1"/>
                <w:sz w:val="18"/>
              </w:rPr>
              <w:t>2017-12-1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2"/>
              <w:jc w:val="right"/>
              <w:rPr>
                <w:rFonts w:ascii="宋体" w:hAnsi="宋体" w:cs="宋体" w:eastAsia="宋体" w:hint="default"/>
                <w:sz w:val="18"/>
                <w:szCs w:val="18"/>
              </w:rPr>
            </w:pPr>
            <w:r>
              <w:rPr>
                <w:rFonts w:ascii="宋体"/>
                <w:spacing w:val="-1"/>
                <w:sz w:val="18"/>
              </w:rPr>
              <w:t>2022-12-1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372"/>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939" w:footer="883" w:top="1980" w:bottom="1080" w:left="1300" w:right="0"/>
        </w:sectPr>
      </w:pPr>
    </w:p>
    <w:p>
      <w:pPr>
        <w:spacing w:line="240" w:lineRule="auto" w:before="7"/>
        <w:rPr>
          <w:rFonts w:ascii="宋体" w:hAnsi="宋体" w:cs="宋体" w:eastAsia="宋体" w:hint="default"/>
          <w:sz w:val="9"/>
          <w:szCs w:val="9"/>
        </w:rPr>
      </w:pPr>
    </w:p>
    <w:tbl>
      <w:tblPr>
        <w:tblW w:w="0" w:type="auto"/>
        <w:jc w:val="left"/>
        <w:tblInd w:w="118" w:type="dxa"/>
        <w:tblLayout w:type="fixed"/>
        <w:tblCellMar>
          <w:top w:w="0" w:type="dxa"/>
          <w:left w:w="0" w:type="dxa"/>
          <w:bottom w:w="0" w:type="dxa"/>
          <w:right w:w="0" w:type="dxa"/>
        </w:tblCellMar>
        <w:tblLook w:val="01E0"/>
      </w:tblPr>
      <w:tblGrid>
        <w:gridCol w:w="1544"/>
        <w:gridCol w:w="1701"/>
        <w:gridCol w:w="1134"/>
        <w:gridCol w:w="1164"/>
        <w:gridCol w:w="1246"/>
        <w:gridCol w:w="1234"/>
        <w:gridCol w:w="1020"/>
      </w:tblGrid>
      <w:tr>
        <w:trPr>
          <w:trHeight w:val="740" w:hRule="exact"/>
        </w:trPr>
        <w:tc>
          <w:tcPr>
            <w:tcW w:w="154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b/>
                <w:bCs/>
                <w:sz w:val="18"/>
                <w:szCs w:val="18"/>
              </w:rPr>
              <w:t>担保方名称</w:t>
            </w:r>
            <w:r>
              <w:rPr>
                <w:rFonts w:ascii="宋体" w:hAnsi="宋体" w:cs="宋体" w:eastAsia="宋体" w:hint="default"/>
                <w:sz w:val="18"/>
                <w:szCs w:val="18"/>
              </w:rPr>
            </w:r>
          </w:p>
        </w:tc>
        <w:tc>
          <w:tcPr>
            <w:tcW w:w="170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06" w:right="0"/>
              <w:jc w:val="left"/>
              <w:rPr>
                <w:rFonts w:ascii="宋体" w:hAnsi="宋体" w:cs="宋体" w:eastAsia="宋体" w:hint="default"/>
                <w:sz w:val="18"/>
                <w:szCs w:val="18"/>
              </w:rPr>
            </w:pPr>
            <w:r>
              <w:rPr>
                <w:rFonts w:ascii="宋体" w:hAnsi="宋体" w:cs="宋体" w:eastAsia="宋体" w:hint="default"/>
                <w:b/>
                <w:bCs/>
                <w:sz w:val="18"/>
                <w:szCs w:val="18"/>
              </w:rPr>
              <w:t>被担保方名称</w:t>
            </w:r>
            <w:r>
              <w:rPr>
                <w:rFonts w:ascii="宋体" w:hAnsi="宋体" w:cs="宋体" w:eastAsia="宋体" w:hint="default"/>
                <w:sz w:val="18"/>
                <w:szCs w:val="18"/>
              </w:rPr>
            </w:r>
          </w:p>
        </w:tc>
        <w:tc>
          <w:tcPr>
            <w:tcW w:w="1134"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123"/>
              <w:ind w:left="381" w:right="107" w:hanging="269"/>
              <w:jc w:val="left"/>
              <w:rPr>
                <w:rFonts w:ascii="宋体" w:hAnsi="宋体" w:cs="宋体" w:eastAsia="宋体" w:hint="default"/>
                <w:sz w:val="18"/>
                <w:szCs w:val="18"/>
              </w:rPr>
            </w:pPr>
            <w:r>
              <w:rPr>
                <w:rFonts w:ascii="宋体" w:hAnsi="宋体" w:cs="宋体" w:eastAsia="宋体" w:hint="default"/>
                <w:b/>
                <w:bCs/>
                <w:sz w:val="18"/>
                <w:szCs w:val="18"/>
              </w:rPr>
              <w:t>最高额担保</w:t>
            </w:r>
            <w:r>
              <w:rPr>
                <w:rFonts w:ascii="宋体" w:hAnsi="宋体" w:cs="宋体" w:eastAsia="宋体" w:hint="default"/>
                <w:b/>
                <w:bCs/>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1164"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6"/>
              <w:ind w:left="127" w:right="122"/>
              <w:jc w:val="center"/>
              <w:rPr>
                <w:rFonts w:ascii="宋体" w:hAnsi="宋体" w:cs="宋体" w:eastAsia="宋体" w:hint="default"/>
                <w:sz w:val="18"/>
                <w:szCs w:val="18"/>
              </w:rPr>
            </w:pPr>
            <w:r>
              <w:rPr>
                <w:rFonts w:ascii="宋体" w:hAnsi="宋体" w:cs="宋体" w:eastAsia="宋体" w:hint="default"/>
                <w:b/>
                <w:bCs/>
                <w:sz w:val="18"/>
                <w:szCs w:val="18"/>
              </w:rPr>
              <w:t>截止年末已</w:t>
            </w:r>
            <w:r>
              <w:rPr>
                <w:rFonts w:ascii="宋体" w:hAnsi="宋体" w:cs="宋体" w:eastAsia="宋体" w:hint="default"/>
                <w:b/>
                <w:bCs/>
                <w:w w:val="99"/>
                <w:sz w:val="18"/>
                <w:szCs w:val="18"/>
              </w:rPr>
              <w:t> </w:t>
            </w:r>
            <w:r>
              <w:rPr>
                <w:rFonts w:ascii="宋体" w:hAnsi="宋体" w:cs="宋体" w:eastAsia="宋体" w:hint="default"/>
                <w:b/>
                <w:bCs/>
                <w:sz w:val="18"/>
                <w:szCs w:val="18"/>
              </w:rPr>
              <w:t>使用担保额</w:t>
            </w:r>
            <w:r>
              <w:rPr>
                <w:rFonts w:ascii="宋体" w:hAnsi="宋体" w:cs="宋体" w:eastAsia="宋体" w:hint="default"/>
                <w:b/>
                <w:bCs/>
                <w:w w:val="99"/>
                <w:sz w:val="18"/>
                <w:szCs w:val="18"/>
              </w:rPr>
              <w:t> </w:t>
            </w:r>
            <w:r>
              <w:rPr>
                <w:rFonts w:ascii="宋体" w:hAnsi="宋体" w:cs="宋体" w:eastAsia="宋体" w:hint="default"/>
                <w:b/>
                <w:bCs/>
                <w:sz w:val="18"/>
                <w:szCs w:val="18"/>
              </w:rPr>
              <w:t>度</w:t>
            </w:r>
            <w:r>
              <w:rPr>
                <w:rFonts w:ascii="宋体" w:hAnsi="宋体" w:cs="宋体" w:eastAsia="宋体" w:hint="default"/>
                <w:sz w:val="18"/>
                <w:szCs w:val="18"/>
              </w:rPr>
            </w:r>
          </w:p>
        </w:tc>
        <w:tc>
          <w:tcPr>
            <w:tcW w:w="1246"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123"/>
              <w:ind w:left="348" w:right="163" w:hanging="180"/>
              <w:jc w:val="left"/>
              <w:rPr>
                <w:rFonts w:ascii="宋体" w:hAnsi="宋体" w:cs="宋体" w:eastAsia="宋体" w:hint="default"/>
                <w:sz w:val="18"/>
                <w:szCs w:val="18"/>
              </w:rPr>
            </w:pPr>
            <w:r>
              <w:rPr>
                <w:rFonts w:ascii="宋体" w:hAnsi="宋体" w:cs="宋体" w:eastAsia="宋体" w:hint="default"/>
                <w:b/>
                <w:bCs/>
                <w:sz w:val="18"/>
                <w:szCs w:val="18"/>
              </w:rPr>
              <w:t>最高额担保</w:t>
            </w:r>
            <w:r>
              <w:rPr>
                <w:rFonts w:ascii="宋体" w:hAnsi="宋体" w:cs="宋体" w:eastAsia="宋体" w:hint="default"/>
                <w:b/>
                <w:bCs/>
                <w:w w:val="99"/>
                <w:sz w:val="18"/>
                <w:szCs w:val="18"/>
              </w:rPr>
              <w:t> </w:t>
            </w:r>
            <w:r>
              <w:rPr>
                <w:rFonts w:ascii="宋体" w:hAnsi="宋体" w:cs="宋体" w:eastAsia="宋体" w:hint="default"/>
                <w:b/>
                <w:bCs/>
                <w:sz w:val="18"/>
                <w:szCs w:val="18"/>
              </w:rPr>
              <w:t>起始日</w:t>
            </w:r>
            <w:r>
              <w:rPr>
                <w:rFonts w:ascii="宋体" w:hAnsi="宋体" w:cs="宋体" w:eastAsia="宋体" w:hint="default"/>
                <w:sz w:val="18"/>
                <w:szCs w:val="18"/>
              </w:rPr>
            </w:r>
          </w:p>
        </w:tc>
        <w:tc>
          <w:tcPr>
            <w:tcW w:w="1234"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123"/>
              <w:ind w:left="341" w:right="158" w:hanging="180"/>
              <w:jc w:val="left"/>
              <w:rPr>
                <w:rFonts w:ascii="宋体" w:hAnsi="宋体" w:cs="宋体" w:eastAsia="宋体" w:hint="default"/>
                <w:sz w:val="18"/>
                <w:szCs w:val="18"/>
              </w:rPr>
            </w:pPr>
            <w:r>
              <w:rPr>
                <w:rFonts w:ascii="宋体" w:hAnsi="宋体" w:cs="宋体" w:eastAsia="宋体" w:hint="default"/>
                <w:b/>
                <w:bCs/>
                <w:sz w:val="18"/>
                <w:szCs w:val="18"/>
              </w:rPr>
              <w:t>最高额担保</w:t>
            </w:r>
            <w:r>
              <w:rPr>
                <w:rFonts w:ascii="宋体" w:hAnsi="宋体" w:cs="宋体" w:eastAsia="宋体" w:hint="default"/>
                <w:b/>
                <w:bCs/>
                <w:w w:val="99"/>
                <w:sz w:val="18"/>
                <w:szCs w:val="18"/>
              </w:rPr>
              <w:t> </w:t>
            </w:r>
            <w:r>
              <w:rPr>
                <w:rFonts w:ascii="宋体" w:hAnsi="宋体" w:cs="宋体" w:eastAsia="宋体" w:hint="default"/>
                <w:b/>
                <w:bCs/>
                <w:sz w:val="18"/>
                <w:szCs w:val="18"/>
              </w:rPr>
              <w:t>到期日</w:t>
            </w:r>
            <w:r>
              <w:rPr>
                <w:rFonts w:ascii="宋体" w:hAnsi="宋体" w:cs="宋体" w:eastAsia="宋体" w:hint="default"/>
                <w:sz w:val="18"/>
                <w:szCs w:val="18"/>
              </w:rPr>
            </w:r>
          </w:p>
        </w:tc>
        <w:tc>
          <w:tcPr>
            <w:tcW w:w="1020" w:type="dxa"/>
            <w:tcBorders>
              <w:top w:val="single" w:sz="12" w:space="0" w:color="000000"/>
              <w:left w:val="single" w:sz="4" w:space="0" w:color="000000"/>
              <w:bottom w:val="single" w:sz="4" w:space="0" w:color="000000"/>
              <w:right w:val="nil" w:sz="6" w:space="0" w:color="auto"/>
            </w:tcBorders>
          </w:tcPr>
          <w:p>
            <w:pPr>
              <w:pStyle w:val="TableParagraph"/>
              <w:spacing w:line="232" w:lineRule="exact" w:before="6"/>
              <w:ind w:left="143" w:right="146"/>
              <w:jc w:val="center"/>
              <w:rPr>
                <w:rFonts w:ascii="宋体" w:hAnsi="宋体" w:cs="宋体" w:eastAsia="宋体" w:hint="default"/>
                <w:sz w:val="18"/>
                <w:szCs w:val="18"/>
              </w:rPr>
            </w:pPr>
            <w:r>
              <w:rPr>
                <w:rFonts w:ascii="宋体" w:hAnsi="宋体" w:cs="宋体" w:eastAsia="宋体" w:hint="default"/>
                <w:b/>
                <w:bCs/>
                <w:sz w:val="18"/>
                <w:szCs w:val="18"/>
              </w:rPr>
              <w:t>担保是否</w:t>
            </w:r>
            <w:r>
              <w:rPr>
                <w:rFonts w:ascii="宋体" w:hAnsi="宋体" w:cs="宋体" w:eastAsia="宋体" w:hint="default"/>
                <w:b/>
                <w:bCs/>
                <w:w w:val="99"/>
                <w:sz w:val="18"/>
                <w:szCs w:val="18"/>
              </w:rPr>
              <w:t> </w:t>
            </w:r>
            <w:r>
              <w:rPr>
                <w:rFonts w:ascii="宋体" w:hAnsi="宋体" w:cs="宋体" w:eastAsia="宋体" w:hint="default"/>
                <w:b/>
                <w:bCs/>
                <w:sz w:val="18"/>
                <w:szCs w:val="18"/>
              </w:rPr>
              <w:t>已经履行</w:t>
            </w:r>
            <w:r>
              <w:rPr>
                <w:rFonts w:ascii="宋体" w:hAnsi="宋体" w:cs="宋体" w:eastAsia="宋体" w:hint="default"/>
                <w:b/>
                <w:bCs/>
                <w:w w:val="99"/>
                <w:sz w:val="18"/>
                <w:szCs w:val="18"/>
              </w:rPr>
              <w:t> </w:t>
            </w:r>
            <w:r>
              <w:rPr>
                <w:rFonts w:ascii="宋体" w:hAnsi="宋体" w:cs="宋体" w:eastAsia="宋体" w:hint="default"/>
                <w:b/>
                <w:bCs/>
                <w:sz w:val="18"/>
                <w:szCs w:val="18"/>
              </w:rPr>
              <w:t>完毕</w:t>
            </w:r>
            <w:r>
              <w:rPr>
                <w:rFonts w:ascii="宋体" w:hAnsi="宋体" w:cs="宋体" w:eastAsia="宋体" w:hint="default"/>
                <w:sz w:val="18"/>
                <w:szCs w:val="18"/>
              </w:rPr>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浙江万马高分子材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料集团有限公司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pacing w:val="-1"/>
                <w:sz w:val="18"/>
              </w:rPr>
              <w:t>15,000.00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9"/>
              <w:jc w:val="right"/>
              <w:rPr>
                <w:rFonts w:ascii="宋体" w:hAnsi="宋体" w:cs="宋体" w:eastAsia="宋体" w:hint="default"/>
                <w:sz w:val="18"/>
                <w:szCs w:val="18"/>
              </w:rPr>
            </w:pPr>
            <w:r>
              <w:rPr>
                <w:rFonts w:ascii="宋体"/>
                <w:spacing w:val="-1"/>
                <w:sz w:val="18"/>
              </w:rPr>
              <w:t>5,640.00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9"/>
              <w:jc w:val="right"/>
              <w:rPr>
                <w:rFonts w:ascii="宋体" w:hAnsi="宋体" w:cs="宋体" w:eastAsia="宋体" w:hint="default"/>
                <w:sz w:val="18"/>
                <w:szCs w:val="18"/>
              </w:rPr>
            </w:pPr>
            <w:r>
              <w:rPr>
                <w:rFonts w:ascii="宋体"/>
                <w:spacing w:val="-1"/>
                <w:sz w:val="18"/>
              </w:rPr>
              <w:t>2019-11-18</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宋体" w:hAnsi="宋体" w:cs="宋体" w:eastAsia="宋体" w:hint="default"/>
                <w:sz w:val="18"/>
                <w:szCs w:val="18"/>
              </w:rPr>
            </w:pPr>
            <w:r>
              <w:rPr>
                <w:rFonts w:ascii="宋体"/>
                <w:spacing w:val="-1"/>
                <w:sz w:val="18"/>
              </w:rPr>
              <w:t>2020-11-17</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2"/>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2"/>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浙江万马天屹通信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线缆有限公司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9"/>
              <w:jc w:val="right"/>
              <w:rPr>
                <w:rFonts w:ascii="宋体" w:hAnsi="宋体" w:cs="宋体" w:eastAsia="宋体" w:hint="default"/>
                <w:sz w:val="18"/>
                <w:szCs w:val="18"/>
              </w:rPr>
            </w:pPr>
            <w:r>
              <w:rPr>
                <w:rFonts w:ascii="宋体"/>
                <w:spacing w:val="-1"/>
                <w:sz w:val="18"/>
              </w:rPr>
              <w:t>3,000.00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511" w:right="0"/>
              <w:jc w:val="left"/>
              <w:rPr>
                <w:rFonts w:ascii="宋体" w:hAnsi="宋体" w:cs="宋体" w:eastAsia="宋体" w:hint="default"/>
                <w:sz w:val="18"/>
                <w:szCs w:val="18"/>
              </w:rPr>
            </w:pPr>
            <w:r>
              <w:rPr>
                <w:rFonts w:ascii="宋体"/>
                <w:sz w:val="18"/>
              </w:rPr>
              <w:t>366.07</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99"/>
              <w:jc w:val="right"/>
              <w:rPr>
                <w:rFonts w:ascii="宋体" w:hAnsi="宋体" w:cs="宋体" w:eastAsia="宋体" w:hint="default"/>
                <w:sz w:val="18"/>
                <w:szCs w:val="18"/>
              </w:rPr>
            </w:pPr>
            <w:r>
              <w:rPr>
                <w:rFonts w:ascii="宋体"/>
                <w:spacing w:val="-1"/>
                <w:sz w:val="18"/>
              </w:rPr>
              <w:t>2017-12-29</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0"/>
              <w:jc w:val="right"/>
              <w:rPr>
                <w:rFonts w:ascii="宋体" w:hAnsi="宋体" w:cs="宋体" w:eastAsia="宋体" w:hint="default"/>
                <w:sz w:val="18"/>
                <w:szCs w:val="18"/>
              </w:rPr>
            </w:pPr>
            <w:r>
              <w:rPr>
                <w:rFonts w:ascii="宋体"/>
                <w:spacing w:val="-1"/>
                <w:sz w:val="18"/>
              </w:rPr>
              <w:t>2020-12-29</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5"/>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4"/>
              <w:ind w:left="107" w:right="0"/>
              <w:jc w:val="left"/>
              <w:rPr>
                <w:rFonts w:ascii="宋体" w:hAnsi="宋体" w:cs="宋体" w:eastAsia="宋体" w:hint="default"/>
                <w:sz w:val="18"/>
                <w:szCs w:val="18"/>
              </w:rPr>
            </w:pPr>
            <w:r>
              <w:rPr>
                <w:rFonts w:ascii="宋体" w:hAnsi="宋体" w:cs="宋体" w:eastAsia="宋体" w:hint="default"/>
                <w:sz w:val="18"/>
                <w:szCs w:val="18"/>
              </w:rPr>
              <w:t>张德生</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浙江万马天屹通信</w:t>
            </w: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线缆有限公司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3,000.00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2017-12-29</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宋体" w:hAnsi="宋体" w:cs="宋体" w:eastAsia="宋体" w:hint="default"/>
                <w:sz w:val="18"/>
                <w:szCs w:val="18"/>
              </w:rPr>
            </w:pPr>
            <w:r>
              <w:rPr>
                <w:rFonts w:ascii="宋体"/>
                <w:spacing w:val="-1"/>
                <w:sz w:val="18"/>
              </w:rPr>
              <w:t>2020-12-29</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浙江万马天屹通信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线缆有限公司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3,000.00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307.88</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2019-9-25</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2021-9-25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浙江万马集团特种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电子电缆有限公司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宋体" w:hAnsi="宋体" w:cs="宋体" w:eastAsia="宋体" w:hint="default"/>
                <w:sz w:val="18"/>
                <w:szCs w:val="18"/>
              </w:rPr>
            </w:pPr>
            <w:r>
              <w:rPr>
                <w:rFonts w:ascii="宋体"/>
                <w:spacing w:val="-1"/>
                <w:sz w:val="18"/>
              </w:rPr>
              <w:t>7,500.00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宋体" w:hAnsi="宋体" w:cs="宋体" w:eastAsia="宋体" w:hint="default"/>
                <w:sz w:val="18"/>
                <w:szCs w:val="18"/>
              </w:rPr>
            </w:pPr>
            <w:r>
              <w:rPr>
                <w:rFonts w:ascii="宋体"/>
                <w:spacing w:val="-1"/>
                <w:sz w:val="18"/>
              </w:rPr>
              <w:t>3,178.56</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宋体" w:hAnsi="宋体" w:cs="宋体" w:eastAsia="宋体" w:hint="default"/>
                <w:sz w:val="18"/>
                <w:szCs w:val="18"/>
              </w:rPr>
            </w:pPr>
            <w:r>
              <w:rPr>
                <w:rFonts w:ascii="宋体"/>
                <w:spacing w:val="-1"/>
                <w:sz w:val="18"/>
              </w:rPr>
              <w:t>2018-4-19</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0"/>
              <w:jc w:val="right"/>
              <w:rPr>
                <w:rFonts w:ascii="宋体" w:hAnsi="宋体" w:cs="宋体" w:eastAsia="宋体" w:hint="default"/>
                <w:sz w:val="18"/>
                <w:szCs w:val="18"/>
              </w:rPr>
            </w:pPr>
            <w:r>
              <w:rPr>
                <w:rFonts w:ascii="宋体"/>
                <w:spacing w:val="-1"/>
                <w:sz w:val="18"/>
              </w:rPr>
              <w:t>2020-12-31</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6"/>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77"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06" w:lineRule="exact"/>
              <w:ind w:left="107" w:right="0"/>
              <w:jc w:val="left"/>
              <w:rPr>
                <w:rFonts w:ascii="宋体" w:hAnsi="宋体" w:cs="宋体" w:eastAsia="宋体" w:hint="default"/>
                <w:sz w:val="18"/>
                <w:szCs w:val="18"/>
              </w:rPr>
            </w:pPr>
            <w:r>
              <w:rPr>
                <w:rFonts w:ascii="宋体" w:hAnsi="宋体" w:cs="宋体" w:eastAsia="宋体" w:hint="default"/>
                <w:spacing w:val="9"/>
                <w:sz w:val="18"/>
                <w:szCs w:val="18"/>
              </w:rPr>
              <w:t>浙江万马股份有</w:t>
            </w: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2" w:right="0"/>
              <w:jc w:val="left"/>
              <w:rPr>
                <w:rFonts w:ascii="宋体" w:hAnsi="宋体" w:cs="宋体" w:eastAsia="宋体" w:hint="default"/>
                <w:sz w:val="18"/>
                <w:szCs w:val="18"/>
              </w:rPr>
            </w:pPr>
            <w:r>
              <w:rPr>
                <w:rFonts w:ascii="宋体" w:hAnsi="宋体" w:cs="宋体" w:eastAsia="宋体" w:hint="default"/>
                <w:spacing w:val="5"/>
                <w:sz w:val="18"/>
                <w:szCs w:val="18"/>
              </w:rPr>
              <w:t>浙江万马新能源有</w:t>
            </w: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宋体" w:hAnsi="宋体" w:cs="宋体" w:eastAsia="宋体" w:hint="default"/>
                <w:sz w:val="18"/>
                <w:szCs w:val="18"/>
              </w:rPr>
            </w:pPr>
            <w:r>
              <w:rPr>
                <w:rFonts w:ascii="宋体"/>
                <w:spacing w:val="-1"/>
                <w:sz w:val="18"/>
              </w:rPr>
              <w:t>1,400.00</w:t>
            </w:r>
          </w:p>
        </w:tc>
        <w:tc>
          <w:tcPr>
            <w:tcW w:w="11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331" w:right="0"/>
              <w:jc w:val="left"/>
              <w:rPr>
                <w:rFonts w:ascii="宋体" w:hAnsi="宋体" w:cs="宋体" w:eastAsia="宋体" w:hint="default"/>
                <w:sz w:val="18"/>
                <w:szCs w:val="18"/>
              </w:rPr>
            </w:pPr>
            <w:r>
              <w:rPr>
                <w:rFonts w:ascii="宋体"/>
                <w:sz w:val="18"/>
              </w:rPr>
              <w:t>1,017.76</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18"/>
                <w:szCs w:val="18"/>
              </w:rPr>
            </w:pPr>
            <w:r>
              <w:rPr>
                <w:rFonts w:ascii="宋体"/>
                <w:spacing w:val="-1"/>
                <w:sz w:val="18"/>
              </w:rPr>
              <w:t>2019-9-25</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2"/>
              <w:jc w:val="right"/>
              <w:rPr>
                <w:rFonts w:ascii="宋体" w:hAnsi="宋体" w:cs="宋体" w:eastAsia="宋体" w:hint="default"/>
                <w:sz w:val="18"/>
                <w:szCs w:val="18"/>
              </w:rPr>
            </w:pPr>
            <w:r>
              <w:rPr>
                <w:rFonts w:ascii="宋体"/>
                <w:spacing w:val="-1"/>
                <w:sz w:val="18"/>
              </w:rPr>
              <w:t>2021-9-25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37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9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
              <w:ind w:left="107" w:right="102"/>
              <w:jc w:val="left"/>
              <w:rPr>
                <w:rFonts w:ascii="宋体" w:hAnsi="宋体" w:cs="宋体" w:eastAsia="宋体" w:hint="default"/>
                <w:sz w:val="18"/>
                <w:szCs w:val="18"/>
              </w:rPr>
            </w:pPr>
            <w:r>
              <w:rPr>
                <w:rFonts w:ascii="宋体" w:hAnsi="宋体" w:cs="宋体" w:eastAsia="宋体" w:hint="default"/>
                <w:spacing w:val="9"/>
                <w:sz w:val="18"/>
                <w:szCs w:val="18"/>
              </w:rPr>
              <w:t>浙江万马智能科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技集团有限公司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
              <w:ind w:left="102" w:right="101"/>
              <w:jc w:val="left"/>
              <w:rPr>
                <w:rFonts w:ascii="宋体" w:hAnsi="宋体" w:cs="宋体" w:eastAsia="宋体" w:hint="default"/>
                <w:sz w:val="18"/>
                <w:szCs w:val="18"/>
              </w:rPr>
            </w:pPr>
            <w:r>
              <w:rPr>
                <w:rFonts w:ascii="宋体" w:hAnsi="宋体" w:cs="宋体" w:eastAsia="宋体" w:hint="default"/>
                <w:spacing w:val="5"/>
                <w:sz w:val="18"/>
                <w:szCs w:val="18"/>
              </w:rPr>
              <w:t>浙江万马新能源有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宋体"/>
                <w:spacing w:val="-1"/>
                <w:sz w:val="18"/>
              </w:rPr>
              <w:t>600.00</w:t>
            </w:r>
          </w:p>
        </w:tc>
        <w:tc>
          <w:tcPr>
            <w:tcW w:w="1164" w:type="dxa"/>
            <w:vMerge/>
            <w:tcBorders>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2019-9-25</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pacing w:val="-1"/>
                <w:sz w:val="18"/>
              </w:rPr>
              <w:t>2021-9-25</w:t>
            </w:r>
          </w:p>
        </w:tc>
        <w:tc>
          <w:tcPr>
            <w:tcW w:w="10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4"/>
              <w:ind w:right="372"/>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9"/>
          <w:szCs w:val="9"/>
        </w:rPr>
      </w:pPr>
    </w:p>
    <w:p>
      <w:pPr>
        <w:pStyle w:val="BodyText"/>
        <w:tabs>
          <w:tab w:pos="1301" w:val="left" w:leader="none"/>
        </w:tabs>
        <w:spacing w:line="240" w:lineRule="auto"/>
        <w:ind w:left="888" w:right="0"/>
        <w:jc w:val="left"/>
      </w:pPr>
      <w:r>
        <w:rPr>
          <w:rFonts w:ascii="Times New Roman" w:hAnsi="Times New Roman" w:cs="Times New Roman" w:eastAsia="Times New Roman" w:hint="default"/>
          <w:spacing w:val="-1"/>
        </w:rPr>
        <w:t>4.</w:t>
        <w:tab/>
      </w:r>
      <w:r>
        <w:rPr>
          <w:spacing w:val="-2"/>
        </w:rPr>
        <w:t>关联方资产转让情况</w:t>
      </w:r>
    </w:p>
    <w:p>
      <w:pPr>
        <w:spacing w:line="240" w:lineRule="auto" w:before="13"/>
        <w:rPr>
          <w:rFonts w:ascii="宋体" w:hAnsi="宋体" w:cs="宋体" w:eastAsia="宋体" w:hint="default"/>
          <w:sz w:val="10"/>
          <w:szCs w:val="10"/>
        </w:rPr>
      </w:pPr>
    </w:p>
    <w:tbl>
      <w:tblPr>
        <w:tblW w:w="0" w:type="auto"/>
        <w:jc w:val="left"/>
        <w:tblInd w:w="278" w:type="dxa"/>
        <w:tblLayout w:type="fixed"/>
        <w:tblCellMar>
          <w:top w:w="0" w:type="dxa"/>
          <w:left w:w="0" w:type="dxa"/>
          <w:bottom w:w="0" w:type="dxa"/>
          <w:right w:w="0" w:type="dxa"/>
        </w:tblCellMar>
        <w:tblLook w:val="01E0"/>
      </w:tblPr>
      <w:tblGrid>
        <w:gridCol w:w="3927"/>
        <w:gridCol w:w="1739"/>
        <w:gridCol w:w="1448"/>
        <w:gridCol w:w="1609"/>
      </w:tblGrid>
      <w:tr>
        <w:trPr>
          <w:trHeight w:val="415" w:hRule="exact"/>
        </w:trPr>
        <w:tc>
          <w:tcPr>
            <w:tcW w:w="392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关联方名称</w:t>
            </w:r>
            <w:r>
              <w:rPr>
                <w:rFonts w:ascii="宋体" w:hAnsi="宋体" w:cs="宋体" w:eastAsia="宋体" w:hint="default"/>
                <w:sz w:val="18"/>
                <w:szCs w:val="18"/>
              </w:rPr>
            </w:r>
          </w:p>
        </w:tc>
        <w:tc>
          <w:tcPr>
            <w:tcW w:w="173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right="503"/>
              <w:jc w:val="right"/>
              <w:rPr>
                <w:rFonts w:ascii="宋体" w:hAnsi="宋体" w:cs="宋体" w:eastAsia="宋体" w:hint="default"/>
                <w:sz w:val="18"/>
                <w:szCs w:val="18"/>
              </w:rPr>
            </w:pPr>
            <w:r>
              <w:rPr>
                <w:rFonts w:ascii="宋体" w:hAnsi="宋体" w:cs="宋体" w:eastAsia="宋体" w:hint="default"/>
                <w:b/>
                <w:bCs/>
                <w:w w:val="95"/>
                <w:sz w:val="18"/>
                <w:szCs w:val="18"/>
              </w:rPr>
              <w:t>交易类型</w:t>
            </w:r>
            <w:r>
              <w:rPr>
                <w:rFonts w:ascii="宋体" w:hAnsi="宋体" w:cs="宋体" w:eastAsia="宋体" w:hint="default"/>
                <w:sz w:val="18"/>
                <w:szCs w:val="18"/>
              </w:rPr>
            </w:r>
          </w:p>
        </w:tc>
        <w:tc>
          <w:tcPr>
            <w:tcW w:w="1448"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272"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1609"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350"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39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浙江万马海振光电科技有限公司</w:t>
            </w:r>
          </w:p>
        </w:tc>
        <w:tc>
          <w:tcPr>
            <w:tcW w:w="17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546"/>
              <w:jc w:val="right"/>
              <w:rPr>
                <w:rFonts w:ascii="宋体" w:hAnsi="宋体" w:cs="宋体" w:eastAsia="宋体" w:hint="default"/>
                <w:sz w:val="18"/>
                <w:szCs w:val="18"/>
              </w:rPr>
            </w:pPr>
            <w:r>
              <w:rPr>
                <w:rFonts w:ascii="宋体" w:hAnsi="宋体" w:cs="宋体" w:eastAsia="宋体" w:hint="default"/>
                <w:sz w:val="18"/>
                <w:szCs w:val="18"/>
              </w:rPr>
              <w:t>受让运输设备</w:t>
            </w:r>
          </w:p>
        </w:tc>
        <w:tc>
          <w:tcPr>
            <w:tcW w:w="1448" w:type="dxa"/>
            <w:tcBorders>
              <w:top w:val="single" w:sz="2" w:space="0" w:color="000000"/>
              <w:left w:val="single" w:sz="2" w:space="0" w:color="000000"/>
              <w:bottom w:val="single" w:sz="2" w:space="0" w:color="000000"/>
              <w:right w:val="single" w:sz="2" w:space="0" w:color="000000"/>
            </w:tcBorders>
          </w:tcPr>
          <w:p>
            <w:pP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213,675.21</w:t>
            </w:r>
          </w:p>
        </w:tc>
      </w:tr>
      <w:tr>
        <w:trPr>
          <w:trHeight w:val="402" w:hRule="exact"/>
        </w:trPr>
        <w:tc>
          <w:tcPr>
            <w:tcW w:w="39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浙江万马泰科新材料有限公司</w:t>
            </w:r>
          </w:p>
        </w:tc>
        <w:tc>
          <w:tcPr>
            <w:tcW w:w="173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546"/>
              <w:jc w:val="right"/>
              <w:rPr>
                <w:rFonts w:ascii="宋体" w:hAnsi="宋体" w:cs="宋体" w:eastAsia="宋体" w:hint="default"/>
                <w:sz w:val="18"/>
                <w:szCs w:val="18"/>
              </w:rPr>
            </w:pPr>
            <w:r>
              <w:rPr>
                <w:rFonts w:ascii="宋体" w:hAnsi="宋体" w:cs="宋体" w:eastAsia="宋体" w:hint="default"/>
                <w:sz w:val="18"/>
                <w:szCs w:val="18"/>
              </w:rPr>
              <w:t>办公设备转让</w:t>
            </w:r>
          </w:p>
        </w:tc>
        <w:tc>
          <w:tcPr>
            <w:tcW w:w="1448" w:type="dxa"/>
            <w:tcBorders>
              <w:top w:val="single" w:sz="2" w:space="0" w:color="000000"/>
              <w:left w:val="single" w:sz="2" w:space="0" w:color="000000"/>
              <w:bottom w:val="single" w:sz="2" w:space="0" w:color="000000"/>
              <w:right w:val="single" w:sz="2" w:space="0" w:color="000000"/>
            </w:tcBorders>
          </w:tcPr>
          <w:p>
            <w:pP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150,869.75</w:t>
            </w:r>
          </w:p>
        </w:tc>
      </w:tr>
      <w:tr>
        <w:trPr>
          <w:trHeight w:val="414" w:hRule="exact"/>
        </w:trPr>
        <w:tc>
          <w:tcPr>
            <w:tcW w:w="392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浙江万马智能科技集团有限公司</w:t>
            </w:r>
          </w:p>
        </w:tc>
        <w:tc>
          <w:tcPr>
            <w:tcW w:w="173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546"/>
              <w:jc w:val="right"/>
              <w:rPr>
                <w:rFonts w:ascii="宋体" w:hAnsi="宋体" w:cs="宋体" w:eastAsia="宋体" w:hint="default"/>
                <w:sz w:val="18"/>
                <w:szCs w:val="18"/>
              </w:rPr>
            </w:pPr>
            <w:r>
              <w:rPr>
                <w:rFonts w:ascii="宋体" w:hAnsi="宋体" w:cs="宋体" w:eastAsia="宋体" w:hint="default"/>
                <w:sz w:val="18"/>
                <w:szCs w:val="18"/>
              </w:rPr>
              <w:t>办公设备转让</w:t>
            </w:r>
          </w:p>
        </w:tc>
        <w:tc>
          <w:tcPr>
            <w:tcW w:w="1448" w:type="dxa"/>
            <w:tcBorders>
              <w:top w:val="single" w:sz="2" w:space="0" w:color="000000"/>
              <w:left w:val="single" w:sz="2" w:space="0" w:color="000000"/>
              <w:bottom w:val="single" w:sz="12" w:space="0" w:color="000000"/>
              <w:right w:val="single" w:sz="2" w:space="0" w:color="000000"/>
            </w:tcBorders>
          </w:tcPr>
          <w:p>
            <w:pPr/>
          </w:p>
        </w:tc>
        <w:tc>
          <w:tcPr>
            <w:tcW w:w="160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1,617.97</w:t>
            </w:r>
          </w:p>
        </w:tc>
      </w:tr>
    </w:tbl>
    <w:p>
      <w:pPr>
        <w:spacing w:line="240" w:lineRule="auto" w:before="0"/>
        <w:rPr>
          <w:rFonts w:ascii="宋体" w:hAnsi="宋体" w:cs="宋体" w:eastAsia="宋体" w:hint="default"/>
          <w:sz w:val="9"/>
          <w:szCs w:val="9"/>
        </w:rPr>
      </w:pPr>
    </w:p>
    <w:p>
      <w:pPr>
        <w:pStyle w:val="BodyText"/>
        <w:tabs>
          <w:tab w:pos="1301" w:val="left" w:leader="none"/>
        </w:tabs>
        <w:spacing w:line="240" w:lineRule="auto"/>
        <w:ind w:left="888" w:right="0"/>
        <w:jc w:val="left"/>
      </w:pPr>
      <w:r>
        <w:rPr>
          <w:rFonts w:ascii="Times New Roman" w:hAnsi="Times New Roman" w:cs="Times New Roman" w:eastAsia="Times New Roman" w:hint="default"/>
          <w:spacing w:val="-1"/>
        </w:rPr>
        <w:t>5.</w:t>
        <w:tab/>
      </w:r>
      <w:r>
        <w:rPr>
          <w:spacing w:val="-2"/>
        </w:rPr>
        <w:t>管理人薪酬</w:t>
      </w:r>
    </w:p>
    <w:p>
      <w:pPr>
        <w:spacing w:line="240" w:lineRule="auto" w:before="2"/>
        <w:rPr>
          <w:rFonts w:ascii="宋体" w:hAnsi="宋体" w:cs="宋体" w:eastAsia="宋体" w:hint="default"/>
          <w:sz w:val="11"/>
          <w:szCs w:val="11"/>
        </w:rPr>
      </w:pPr>
    </w:p>
    <w:tbl>
      <w:tblPr>
        <w:tblW w:w="0" w:type="auto"/>
        <w:jc w:val="left"/>
        <w:tblInd w:w="356" w:type="dxa"/>
        <w:tblLayout w:type="fixed"/>
        <w:tblCellMar>
          <w:top w:w="0" w:type="dxa"/>
          <w:left w:w="0" w:type="dxa"/>
          <w:bottom w:w="0" w:type="dxa"/>
          <w:right w:w="0" w:type="dxa"/>
        </w:tblCellMar>
        <w:tblLook w:val="01E0"/>
      </w:tblPr>
      <w:tblGrid>
        <w:gridCol w:w="3565"/>
        <w:gridCol w:w="2567"/>
        <w:gridCol w:w="2435"/>
      </w:tblGrid>
      <w:tr>
        <w:trPr>
          <w:trHeight w:val="415" w:hRule="exact"/>
        </w:trPr>
        <w:tc>
          <w:tcPr>
            <w:tcW w:w="356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256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831"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435"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765"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14" w:hRule="exact"/>
        </w:trPr>
        <w:tc>
          <w:tcPr>
            <w:tcW w:w="356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30" w:right="0"/>
              <w:jc w:val="left"/>
              <w:rPr>
                <w:rFonts w:ascii="宋体" w:hAnsi="宋体" w:cs="宋体" w:eastAsia="宋体" w:hint="default"/>
                <w:sz w:val="18"/>
                <w:szCs w:val="18"/>
              </w:rPr>
            </w:pPr>
            <w:r>
              <w:rPr>
                <w:rFonts w:ascii="宋体" w:hAnsi="宋体" w:cs="宋体" w:eastAsia="宋体" w:hint="default"/>
                <w:b/>
                <w:bCs/>
                <w:sz w:val="18"/>
                <w:szCs w:val="18"/>
              </w:rPr>
              <w:t>薪酬合计</w:t>
            </w:r>
            <w:r>
              <w:rPr>
                <w:rFonts w:ascii="宋体" w:hAnsi="宋体" w:cs="宋体" w:eastAsia="宋体" w:hint="default"/>
                <w:sz w:val="18"/>
                <w:szCs w:val="18"/>
              </w:rPr>
            </w:r>
          </w:p>
        </w:tc>
        <w:tc>
          <w:tcPr>
            <w:tcW w:w="256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1455" w:right="0"/>
              <w:jc w:val="left"/>
              <w:rPr>
                <w:rFonts w:ascii="宋体" w:hAnsi="宋体" w:cs="宋体" w:eastAsia="宋体" w:hint="default"/>
                <w:sz w:val="18"/>
                <w:szCs w:val="18"/>
              </w:rPr>
            </w:pPr>
            <w:r>
              <w:rPr>
                <w:rFonts w:ascii="宋体"/>
                <w:sz w:val="18"/>
              </w:rPr>
              <w:t>4,086,089.00</w:t>
            </w:r>
          </w:p>
        </w:tc>
        <w:tc>
          <w:tcPr>
            <w:tcW w:w="243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left="1321" w:right="0"/>
              <w:jc w:val="left"/>
              <w:rPr>
                <w:rFonts w:ascii="宋体" w:hAnsi="宋体" w:cs="宋体" w:eastAsia="宋体" w:hint="default"/>
                <w:sz w:val="18"/>
                <w:szCs w:val="18"/>
              </w:rPr>
            </w:pPr>
            <w:r>
              <w:rPr>
                <w:rFonts w:ascii="宋体"/>
                <w:sz w:val="18"/>
              </w:rPr>
              <w:t>3,529,800.00</w:t>
            </w:r>
          </w:p>
        </w:tc>
      </w:tr>
    </w:tbl>
    <w:p>
      <w:pPr>
        <w:spacing w:line="240" w:lineRule="auto" w:before="1"/>
        <w:rPr>
          <w:rFonts w:ascii="宋体" w:hAnsi="宋体" w:cs="宋体" w:eastAsia="宋体" w:hint="default"/>
          <w:sz w:val="9"/>
          <w:szCs w:val="9"/>
        </w:rPr>
      </w:pPr>
    </w:p>
    <w:p>
      <w:pPr>
        <w:pStyle w:val="Heading4"/>
        <w:spacing w:line="240" w:lineRule="auto" w:before="33"/>
        <w:ind w:left="821" w:right="0"/>
        <w:jc w:val="left"/>
        <w:rPr>
          <w:b w:val="0"/>
          <w:bCs w:val="0"/>
        </w:rPr>
      </w:pPr>
      <w:r>
        <w:rPr/>
        <w:t>（三）</w:t>
      </w:r>
      <w:bookmarkStart w:name="（三）关联方往来余额" w:id="389"/>
      <w:bookmarkEnd w:id="389"/>
      <w:r>
        <w:rPr/>
        <w:t>关</w:t>
      </w:r>
      <w:r>
        <w:rPr/>
        <w:t>联方往来余额</w:t>
      </w:r>
      <w:r>
        <w:rPr>
          <w:b w:val="0"/>
          <w:bCs w:val="0"/>
        </w:rPr>
      </w:r>
    </w:p>
    <w:p>
      <w:pPr>
        <w:pStyle w:val="BodyText"/>
        <w:spacing w:line="240" w:lineRule="auto" w:before="192"/>
        <w:ind w:left="900" w:right="0"/>
        <w:jc w:val="left"/>
      </w:pPr>
      <w:r>
        <w:rPr>
          <w:rFonts w:ascii="Times New Roman" w:hAnsi="Times New Roman" w:cs="Times New Roman" w:eastAsia="Times New Roman" w:hint="default"/>
        </w:rPr>
        <w:t>1. </w:t>
      </w:r>
      <w:r>
        <w:rPr>
          <w:rFonts w:ascii="Times New Roman" w:hAnsi="Times New Roman" w:cs="Times New Roman" w:eastAsia="Times New Roman" w:hint="default"/>
          <w:spacing w:val="22"/>
        </w:rPr>
        <w:t> </w:t>
      </w:r>
      <w:bookmarkStart w:name="1.应收项目" w:id="390"/>
      <w:bookmarkEnd w:id="390"/>
      <w:r>
        <w:rPr>
          <w:rFonts w:ascii="Times New Roman" w:hAnsi="Times New Roman" w:cs="Times New Roman" w:eastAsia="Times New Roman" w:hint="default"/>
          <w:spacing w:val="22"/>
        </w:rPr>
      </w:r>
      <w:r>
        <w:rPr/>
        <w:t>应收项目</w:t>
      </w:r>
    </w:p>
    <w:p>
      <w:pPr>
        <w:spacing w:line="240" w:lineRule="auto" w:before="1"/>
        <w:rPr>
          <w:rFonts w:ascii="宋体" w:hAnsi="宋体" w:cs="宋体" w:eastAsia="宋体" w:hint="default"/>
          <w:sz w:val="11"/>
          <w:szCs w:val="11"/>
        </w:rPr>
      </w:pPr>
    </w:p>
    <w:tbl>
      <w:tblPr>
        <w:tblW w:w="0" w:type="auto"/>
        <w:jc w:val="left"/>
        <w:tblInd w:w="279" w:type="dxa"/>
        <w:tblLayout w:type="fixed"/>
        <w:tblCellMar>
          <w:top w:w="0" w:type="dxa"/>
          <w:left w:w="0" w:type="dxa"/>
          <w:bottom w:w="0" w:type="dxa"/>
          <w:right w:w="0" w:type="dxa"/>
        </w:tblCellMar>
        <w:tblLook w:val="01E0"/>
      </w:tblPr>
      <w:tblGrid>
        <w:gridCol w:w="1356"/>
        <w:gridCol w:w="3201"/>
        <w:gridCol w:w="1390"/>
        <w:gridCol w:w="654"/>
        <w:gridCol w:w="1387"/>
        <w:gridCol w:w="735"/>
      </w:tblGrid>
      <w:tr>
        <w:trPr>
          <w:trHeight w:val="415" w:hRule="exact"/>
        </w:trPr>
        <w:tc>
          <w:tcPr>
            <w:tcW w:w="1356" w:type="dxa"/>
            <w:vMerge w:val="restart"/>
            <w:tcBorders>
              <w:top w:val="single" w:sz="12" w:space="0" w:color="000000"/>
              <w:left w:val="nil" w:sz="6" w:space="0" w:color="auto"/>
              <w:right w:val="single" w:sz="2"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3201" w:type="dxa"/>
            <w:vMerge w:val="restart"/>
            <w:tcBorders>
              <w:top w:val="single" w:sz="12" w:space="0" w:color="000000"/>
              <w:left w:val="single" w:sz="2" w:space="0" w:color="000000"/>
              <w:right w:val="single" w:sz="2"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8"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044"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2"/>
              <w:ind w:left="674"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122"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left="682"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72" w:hRule="exact"/>
        </w:trPr>
        <w:tc>
          <w:tcPr>
            <w:tcW w:w="1356" w:type="dxa"/>
            <w:vMerge/>
            <w:tcBorders>
              <w:left w:val="nil" w:sz="6" w:space="0" w:color="auto"/>
              <w:bottom w:val="single" w:sz="2" w:space="0" w:color="000000"/>
              <w:right w:val="single" w:sz="2" w:space="0" w:color="000000"/>
            </w:tcBorders>
          </w:tcPr>
          <w:p>
            <w:pPr/>
          </w:p>
        </w:tc>
        <w:tc>
          <w:tcPr>
            <w:tcW w:w="3201" w:type="dxa"/>
            <w:vMerge/>
            <w:tcBorders>
              <w:left w:val="single" w:sz="2" w:space="0" w:color="000000"/>
              <w:bottom w:val="single" w:sz="2" w:space="0" w:color="000000"/>
              <w:right w:val="single" w:sz="2" w:space="0" w:color="000000"/>
            </w:tcBorders>
          </w:tcPr>
          <w:p>
            <w:pP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6"/>
              <w:ind w:left="345"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654"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left="55" w:right="0"/>
              <w:jc w:val="center"/>
              <w:rPr>
                <w:rFonts w:ascii="宋体" w:hAnsi="宋体" w:cs="宋体" w:eastAsia="宋体" w:hint="default"/>
                <w:sz w:val="18"/>
                <w:szCs w:val="18"/>
              </w:rPr>
            </w:pPr>
            <w:r>
              <w:rPr>
                <w:rFonts w:ascii="宋体" w:hAnsi="宋体" w:cs="宋体" w:eastAsia="宋体" w:hint="default"/>
                <w:b/>
                <w:bCs/>
                <w:sz w:val="18"/>
                <w:szCs w:val="18"/>
              </w:rPr>
              <w:t>坏账准</w:t>
            </w:r>
            <w:r>
              <w:rPr>
                <w:rFonts w:ascii="宋体" w:hAnsi="宋体" w:cs="宋体" w:eastAsia="宋体" w:hint="default"/>
                <w:sz w:val="18"/>
                <w:szCs w:val="18"/>
              </w:rPr>
            </w:r>
          </w:p>
          <w:p>
            <w:pPr>
              <w:pStyle w:val="TableParagraph"/>
              <w:spacing w:line="234" w:lineRule="exact"/>
              <w:ind w:left="53" w:right="0"/>
              <w:jc w:val="center"/>
              <w:rPr>
                <w:rFonts w:ascii="宋体" w:hAnsi="宋体" w:cs="宋体" w:eastAsia="宋体" w:hint="default"/>
                <w:sz w:val="18"/>
                <w:szCs w:val="18"/>
              </w:rPr>
            </w:pPr>
            <w:r>
              <w:rPr>
                <w:rFonts w:ascii="宋体" w:hAnsi="宋体" w:cs="宋体" w:eastAsia="宋体" w:hint="default"/>
                <w:b/>
                <w:bCs/>
                <w:w w:val="99"/>
                <w:sz w:val="18"/>
                <w:szCs w:val="18"/>
              </w:rPr>
              <w:t>备</w:t>
            </w:r>
            <w:r>
              <w:rPr>
                <w:rFonts w:ascii="宋体" w:hAnsi="宋体" w:cs="宋体" w:eastAsia="宋体" w:hint="default"/>
                <w:sz w:val="18"/>
                <w:szCs w:val="18"/>
              </w:rPr>
            </w:r>
          </w:p>
        </w:tc>
        <w:tc>
          <w:tcPr>
            <w:tcW w:w="138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6"/>
              <w:ind w:left="358"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735" w:type="dxa"/>
            <w:tcBorders>
              <w:top w:val="single" w:sz="2" w:space="0" w:color="000000"/>
              <w:left w:val="single" w:sz="2" w:space="0" w:color="000000"/>
              <w:bottom w:val="single" w:sz="2" w:space="0" w:color="000000"/>
              <w:right w:val="nil" w:sz="6" w:space="0" w:color="auto"/>
            </w:tcBorders>
          </w:tcPr>
          <w:p>
            <w:pPr>
              <w:pStyle w:val="TableParagraph"/>
              <w:spacing w:line="206" w:lineRule="exact"/>
              <w:ind w:left="28" w:right="0"/>
              <w:jc w:val="center"/>
              <w:rPr>
                <w:rFonts w:ascii="宋体" w:hAnsi="宋体" w:cs="宋体" w:eastAsia="宋体" w:hint="default"/>
                <w:sz w:val="18"/>
                <w:szCs w:val="18"/>
              </w:rPr>
            </w:pPr>
            <w:r>
              <w:rPr>
                <w:rFonts w:ascii="宋体" w:hAnsi="宋体" w:cs="宋体" w:eastAsia="宋体" w:hint="default"/>
                <w:b/>
                <w:bCs/>
                <w:sz w:val="18"/>
                <w:szCs w:val="18"/>
              </w:rPr>
              <w:t>坏账准</w:t>
            </w:r>
            <w:r>
              <w:rPr>
                <w:rFonts w:ascii="宋体" w:hAnsi="宋体" w:cs="宋体" w:eastAsia="宋体" w:hint="default"/>
                <w:sz w:val="18"/>
                <w:szCs w:val="18"/>
              </w:rPr>
            </w:r>
          </w:p>
          <w:p>
            <w:pPr>
              <w:pStyle w:val="TableParagraph"/>
              <w:spacing w:line="234" w:lineRule="exact"/>
              <w:ind w:left="25" w:right="0"/>
              <w:jc w:val="center"/>
              <w:rPr>
                <w:rFonts w:ascii="宋体" w:hAnsi="宋体" w:cs="宋体" w:eastAsia="宋体" w:hint="default"/>
                <w:sz w:val="18"/>
                <w:szCs w:val="18"/>
              </w:rPr>
            </w:pPr>
            <w:r>
              <w:rPr>
                <w:rFonts w:ascii="宋体" w:hAnsi="宋体" w:cs="宋体" w:eastAsia="宋体" w:hint="default"/>
                <w:b/>
                <w:bCs/>
                <w:w w:val="99"/>
                <w:sz w:val="18"/>
                <w:szCs w:val="18"/>
              </w:rPr>
              <w:t>备</w:t>
            </w:r>
            <w:r>
              <w:rPr>
                <w:rFonts w:ascii="宋体" w:hAnsi="宋体" w:cs="宋体" w:eastAsia="宋体" w:hint="default"/>
                <w:sz w:val="18"/>
                <w:szCs w:val="18"/>
              </w:rPr>
            </w:r>
          </w:p>
        </w:tc>
      </w:tr>
      <w:tr>
        <w:trPr>
          <w:trHeight w:val="402" w:hRule="exact"/>
        </w:trPr>
        <w:tc>
          <w:tcPr>
            <w:tcW w:w="135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杭州全通轻质材料有限公司</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102,967.88</w:t>
            </w:r>
          </w:p>
        </w:tc>
        <w:tc>
          <w:tcPr>
            <w:tcW w:w="654" w:type="dxa"/>
            <w:tcBorders>
              <w:top w:val="single" w:sz="2" w:space="0" w:color="000000"/>
              <w:left w:val="single" w:sz="2" w:space="0" w:color="000000"/>
              <w:bottom w:val="single" w:sz="2" w:space="0" w:color="000000"/>
              <w:right w:val="single" w:sz="2" w:space="0" w:color="000000"/>
            </w:tcBorders>
          </w:tcPr>
          <w:p>
            <w:pPr/>
          </w:p>
        </w:tc>
        <w:tc>
          <w:tcPr>
            <w:tcW w:w="1387" w:type="dxa"/>
            <w:tcBorders>
              <w:top w:val="single" w:sz="2" w:space="0" w:color="000000"/>
              <w:left w:val="single" w:sz="2" w:space="0" w:color="000000"/>
              <w:bottom w:val="single" w:sz="2" w:space="0" w:color="000000"/>
              <w:right w:val="single" w:sz="2" w:space="0" w:color="000000"/>
            </w:tcBorders>
          </w:tcPr>
          <w:p>
            <w:pPr/>
          </w:p>
        </w:tc>
        <w:tc>
          <w:tcPr>
            <w:tcW w:w="735"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35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33" w:right="0"/>
              <w:jc w:val="left"/>
              <w:rPr>
                <w:rFonts w:ascii="宋体" w:hAnsi="宋体" w:cs="宋体" w:eastAsia="宋体" w:hint="default"/>
                <w:sz w:val="18"/>
                <w:szCs w:val="18"/>
              </w:rPr>
            </w:pPr>
            <w:r>
              <w:rPr>
                <w:rFonts w:ascii="宋体" w:hAnsi="宋体" w:cs="宋体" w:eastAsia="宋体" w:hint="default"/>
                <w:sz w:val="18"/>
                <w:szCs w:val="18"/>
              </w:rPr>
              <w:t>无锡会通轻质材料股份有限公司</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1,760.04</w:t>
            </w:r>
          </w:p>
        </w:tc>
        <w:tc>
          <w:tcPr>
            <w:tcW w:w="654" w:type="dxa"/>
            <w:tcBorders>
              <w:top w:val="single" w:sz="2" w:space="0" w:color="000000"/>
              <w:left w:val="single" w:sz="2" w:space="0" w:color="000000"/>
              <w:bottom w:val="single" w:sz="2" w:space="0" w:color="000000"/>
              <w:right w:val="single" w:sz="2" w:space="0" w:color="000000"/>
            </w:tcBorders>
          </w:tcPr>
          <w:p>
            <w:pPr/>
          </w:p>
        </w:tc>
        <w:tc>
          <w:tcPr>
            <w:tcW w:w="1387" w:type="dxa"/>
            <w:tcBorders>
              <w:top w:val="single" w:sz="2" w:space="0" w:color="000000"/>
              <w:left w:val="single" w:sz="2" w:space="0" w:color="000000"/>
              <w:bottom w:val="single" w:sz="2" w:space="0" w:color="000000"/>
              <w:right w:val="single" w:sz="2" w:space="0" w:color="000000"/>
            </w:tcBorders>
          </w:tcPr>
          <w:p>
            <w:pPr/>
          </w:p>
        </w:tc>
        <w:tc>
          <w:tcPr>
            <w:tcW w:w="735"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35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浙江万马泰科新材料有限公司</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315.00</w:t>
            </w:r>
          </w:p>
        </w:tc>
        <w:tc>
          <w:tcPr>
            <w:tcW w:w="654" w:type="dxa"/>
            <w:tcBorders>
              <w:top w:val="single" w:sz="2" w:space="0" w:color="000000"/>
              <w:left w:val="single" w:sz="2" w:space="0" w:color="000000"/>
              <w:bottom w:val="single" w:sz="2" w:space="0" w:color="000000"/>
              <w:right w:val="single" w:sz="2" w:space="0" w:color="000000"/>
            </w:tcBorders>
          </w:tcPr>
          <w:p>
            <w:pPr/>
          </w:p>
        </w:tc>
        <w:tc>
          <w:tcPr>
            <w:tcW w:w="1387" w:type="dxa"/>
            <w:tcBorders>
              <w:top w:val="single" w:sz="2" w:space="0" w:color="000000"/>
              <w:left w:val="single" w:sz="2" w:space="0" w:color="000000"/>
              <w:bottom w:val="single" w:sz="2" w:space="0" w:color="000000"/>
              <w:right w:val="single" w:sz="2" w:space="0" w:color="000000"/>
            </w:tcBorders>
          </w:tcPr>
          <w:p>
            <w:pPr/>
          </w:p>
        </w:tc>
        <w:tc>
          <w:tcPr>
            <w:tcW w:w="735"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35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33" w:right="0"/>
              <w:jc w:val="left"/>
              <w:rPr>
                <w:rFonts w:ascii="宋体" w:hAnsi="宋体" w:cs="宋体" w:eastAsia="宋体" w:hint="default"/>
                <w:sz w:val="18"/>
                <w:szCs w:val="18"/>
              </w:rPr>
            </w:pPr>
            <w:r>
              <w:rPr>
                <w:rFonts w:ascii="宋体" w:hAnsi="宋体" w:cs="宋体" w:eastAsia="宋体" w:hint="default"/>
                <w:sz w:val="18"/>
                <w:szCs w:val="18"/>
              </w:rPr>
              <w:t>杭州全通轻质材料有限公司</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191,943.43</w:t>
            </w:r>
          </w:p>
        </w:tc>
        <w:tc>
          <w:tcPr>
            <w:tcW w:w="654" w:type="dxa"/>
            <w:tcBorders>
              <w:top w:val="single" w:sz="2" w:space="0" w:color="000000"/>
              <w:left w:val="single" w:sz="2" w:space="0" w:color="000000"/>
              <w:bottom w:val="single" w:sz="2" w:space="0" w:color="000000"/>
              <w:right w:val="single" w:sz="2" w:space="0" w:color="000000"/>
            </w:tcBorders>
          </w:tcPr>
          <w:p>
            <w:pPr/>
          </w:p>
        </w:tc>
        <w:tc>
          <w:tcPr>
            <w:tcW w:w="1387" w:type="dxa"/>
            <w:tcBorders>
              <w:top w:val="single" w:sz="2" w:space="0" w:color="000000"/>
              <w:left w:val="single" w:sz="2" w:space="0" w:color="000000"/>
              <w:bottom w:val="single" w:sz="2" w:space="0" w:color="000000"/>
              <w:right w:val="single" w:sz="2" w:space="0" w:color="000000"/>
            </w:tcBorders>
          </w:tcPr>
          <w:p>
            <w:pPr/>
          </w:p>
        </w:tc>
        <w:tc>
          <w:tcPr>
            <w:tcW w:w="735"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35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浙江万马泰科新材料有限公司</w:t>
            </w:r>
          </w:p>
        </w:tc>
        <w:tc>
          <w:tcPr>
            <w:tcW w:w="139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98,016.59</w:t>
            </w:r>
          </w:p>
        </w:tc>
        <w:tc>
          <w:tcPr>
            <w:tcW w:w="654" w:type="dxa"/>
            <w:tcBorders>
              <w:top w:val="single" w:sz="2" w:space="0" w:color="000000"/>
              <w:left w:val="single" w:sz="2" w:space="0" w:color="000000"/>
              <w:bottom w:val="single" w:sz="2" w:space="0" w:color="000000"/>
              <w:right w:val="single" w:sz="2" w:space="0" w:color="000000"/>
            </w:tcBorders>
          </w:tcPr>
          <w:p>
            <w:pPr/>
          </w:p>
        </w:tc>
        <w:tc>
          <w:tcPr>
            <w:tcW w:w="1387" w:type="dxa"/>
            <w:tcBorders>
              <w:top w:val="single" w:sz="2" w:space="0" w:color="000000"/>
              <w:left w:val="single" w:sz="2" w:space="0" w:color="000000"/>
              <w:bottom w:val="single" w:sz="2" w:space="0" w:color="000000"/>
              <w:right w:val="single" w:sz="2" w:space="0" w:color="000000"/>
            </w:tcBorders>
          </w:tcPr>
          <w:p>
            <w:pPr/>
          </w:p>
        </w:tc>
        <w:tc>
          <w:tcPr>
            <w:tcW w:w="735"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135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33" w:right="0"/>
              <w:jc w:val="left"/>
              <w:rPr>
                <w:rFonts w:ascii="宋体" w:hAnsi="宋体" w:cs="宋体" w:eastAsia="宋体" w:hint="default"/>
                <w:sz w:val="18"/>
                <w:szCs w:val="18"/>
              </w:rPr>
            </w:pPr>
            <w:r>
              <w:rPr>
                <w:rFonts w:ascii="宋体" w:hAnsi="宋体" w:cs="宋体" w:eastAsia="宋体" w:hint="default"/>
                <w:sz w:val="18"/>
                <w:szCs w:val="18"/>
              </w:rPr>
              <w:t>无锡会通轻质材料股份有限公司</w:t>
            </w:r>
          </w:p>
        </w:tc>
        <w:tc>
          <w:tcPr>
            <w:tcW w:w="1390" w:type="dxa"/>
            <w:tcBorders>
              <w:top w:val="single" w:sz="2" w:space="0" w:color="000000"/>
              <w:left w:val="single" w:sz="2" w:space="0" w:color="000000"/>
              <w:bottom w:val="single" w:sz="12" w:space="0" w:color="000000"/>
              <w:right w:val="single" w:sz="2" w:space="0" w:color="000000"/>
            </w:tcBorders>
          </w:tcPr>
          <w:p>
            <w:pPr/>
          </w:p>
        </w:tc>
        <w:tc>
          <w:tcPr>
            <w:tcW w:w="654" w:type="dxa"/>
            <w:tcBorders>
              <w:top w:val="single" w:sz="2" w:space="0" w:color="000000"/>
              <w:left w:val="single" w:sz="2" w:space="0" w:color="000000"/>
              <w:bottom w:val="single" w:sz="12" w:space="0" w:color="000000"/>
              <w:right w:val="single" w:sz="2" w:space="0" w:color="000000"/>
            </w:tcBorders>
          </w:tcPr>
          <w:p>
            <w:pPr/>
          </w:p>
        </w:tc>
        <w:tc>
          <w:tcPr>
            <w:tcW w:w="138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375" w:right="0"/>
              <w:jc w:val="left"/>
              <w:rPr>
                <w:rFonts w:ascii="宋体" w:hAnsi="宋体" w:cs="宋体" w:eastAsia="宋体" w:hint="default"/>
                <w:sz w:val="18"/>
                <w:szCs w:val="18"/>
              </w:rPr>
            </w:pPr>
            <w:r>
              <w:rPr>
                <w:rFonts w:ascii="宋体"/>
                <w:sz w:val="18"/>
              </w:rPr>
              <w:t>146,853.29</w:t>
            </w:r>
          </w:p>
        </w:tc>
        <w:tc>
          <w:tcPr>
            <w:tcW w:w="735" w:type="dxa"/>
            <w:tcBorders>
              <w:top w:val="single" w:sz="2" w:space="0" w:color="000000"/>
              <w:left w:val="single" w:sz="2" w:space="0" w:color="000000"/>
              <w:bottom w:val="single" w:sz="12" w:space="0" w:color="000000"/>
              <w:right w:val="nil" w:sz="6" w:space="0" w:color="auto"/>
            </w:tcBorders>
          </w:tcPr>
          <w:p>
            <w:pPr/>
          </w:p>
        </w:tc>
      </w:tr>
    </w:tbl>
    <w:p>
      <w:pPr>
        <w:spacing w:after="0"/>
        <w:sectPr>
          <w:pgSz w:w="11910" w:h="16840"/>
          <w:pgMar w:header="939" w:footer="883" w:top="1980" w:bottom="1080" w:left="1300" w:right="0"/>
        </w:sectPr>
      </w:pPr>
    </w:p>
    <w:p>
      <w:pPr>
        <w:spacing w:line="240" w:lineRule="auto" w:before="7"/>
        <w:rPr>
          <w:rFonts w:ascii="宋体" w:hAnsi="宋体" w:cs="宋体" w:eastAsia="宋体" w:hint="default"/>
          <w:sz w:val="9"/>
          <w:szCs w:val="9"/>
        </w:rPr>
      </w:pPr>
    </w:p>
    <w:p>
      <w:pPr>
        <w:pStyle w:val="BodyText"/>
        <w:spacing w:line="240" w:lineRule="auto"/>
        <w:ind w:left="740" w:right="1445"/>
        <w:jc w:val="left"/>
      </w:pPr>
      <w:r>
        <w:rPr>
          <w:rFonts w:ascii="Times New Roman" w:hAnsi="Times New Roman" w:cs="Times New Roman" w:eastAsia="Times New Roman" w:hint="default"/>
        </w:rPr>
        <w:t>2. </w:t>
      </w:r>
      <w:r>
        <w:rPr>
          <w:rFonts w:ascii="Times New Roman" w:hAnsi="Times New Roman" w:cs="Times New Roman" w:eastAsia="Times New Roman" w:hint="default"/>
          <w:spacing w:val="22"/>
        </w:rPr>
        <w:t> </w:t>
      </w:r>
      <w:bookmarkStart w:name="2.应付项目" w:id="391"/>
      <w:bookmarkEnd w:id="391"/>
      <w:r>
        <w:rPr>
          <w:rFonts w:ascii="Times New Roman" w:hAnsi="Times New Roman" w:cs="Times New Roman" w:eastAsia="Times New Roman" w:hint="default"/>
          <w:spacing w:val="22"/>
        </w:rPr>
      </w:r>
      <w:r>
        <w:rPr/>
        <w:t>应付项目</w:t>
      </w:r>
    </w:p>
    <w:p>
      <w:pPr>
        <w:spacing w:line="240" w:lineRule="auto" w:before="12"/>
        <w:rPr>
          <w:rFonts w:ascii="宋体" w:hAnsi="宋体" w:cs="宋体" w:eastAsia="宋体" w:hint="default"/>
          <w:sz w:val="10"/>
          <w:szCs w:val="10"/>
        </w:rPr>
      </w:pPr>
    </w:p>
    <w:tbl>
      <w:tblPr>
        <w:tblW w:w="0" w:type="auto"/>
        <w:jc w:val="left"/>
        <w:tblInd w:w="118" w:type="dxa"/>
        <w:tblLayout w:type="fixed"/>
        <w:tblCellMar>
          <w:top w:w="0" w:type="dxa"/>
          <w:left w:w="0" w:type="dxa"/>
          <w:bottom w:w="0" w:type="dxa"/>
          <w:right w:w="0" w:type="dxa"/>
        </w:tblCellMar>
        <w:tblLook w:val="01E0"/>
      </w:tblPr>
      <w:tblGrid>
        <w:gridCol w:w="1527"/>
        <w:gridCol w:w="3826"/>
        <w:gridCol w:w="1685"/>
        <w:gridCol w:w="1685"/>
      </w:tblGrid>
      <w:tr>
        <w:trPr>
          <w:trHeight w:val="415" w:hRule="exact"/>
        </w:trPr>
        <w:tc>
          <w:tcPr>
            <w:tcW w:w="1527"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382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685"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79"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685"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479"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8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浙江万马海立斯新能源有限公司</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1,667,880.00</w:t>
            </w:r>
          </w:p>
        </w:tc>
        <w:tc>
          <w:tcPr>
            <w:tcW w:w="168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501,120.00</w:t>
            </w: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8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万马科技股份有限公司</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506,653.00</w:t>
            </w:r>
          </w:p>
        </w:tc>
        <w:tc>
          <w:tcPr>
            <w:tcW w:w="1685"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8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浙江万马集团电气有限公司</w:t>
            </w:r>
          </w:p>
        </w:tc>
        <w:tc>
          <w:tcPr>
            <w:tcW w:w="168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2,600.00</w:t>
            </w:r>
          </w:p>
        </w:tc>
        <w:tc>
          <w:tcPr>
            <w:tcW w:w="168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60,027.20</w:t>
            </w:r>
          </w:p>
        </w:tc>
      </w:tr>
      <w:tr>
        <w:trPr>
          <w:trHeight w:val="414" w:hRule="exact"/>
        </w:trPr>
        <w:tc>
          <w:tcPr>
            <w:tcW w:w="152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82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临安万马雨顺农业科技开发有限公司</w:t>
            </w:r>
          </w:p>
        </w:tc>
        <w:tc>
          <w:tcPr>
            <w:tcW w:w="1685" w:type="dxa"/>
            <w:tcBorders>
              <w:top w:val="single" w:sz="2" w:space="0" w:color="000000"/>
              <w:left w:val="single" w:sz="2" w:space="0" w:color="000000"/>
              <w:bottom w:val="single" w:sz="12" w:space="0" w:color="000000"/>
              <w:right w:val="single" w:sz="2" w:space="0" w:color="000000"/>
            </w:tcBorders>
          </w:tcPr>
          <w:p>
            <w:pPr/>
          </w:p>
        </w:tc>
        <w:tc>
          <w:tcPr>
            <w:tcW w:w="168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320.00</w:t>
            </w:r>
          </w:p>
        </w:tc>
      </w:tr>
    </w:tbl>
    <w:p>
      <w:pPr>
        <w:spacing w:line="240" w:lineRule="auto" w:before="5"/>
        <w:rPr>
          <w:rFonts w:ascii="宋体" w:hAnsi="宋体" w:cs="宋体" w:eastAsia="宋体" w:hint="default"/>
          <w:sz w:val="18"/>
          <w:szCs w:val="18"/>
        </w:rPr>
      </w:pPr>
    </w:p>
    <w:p>
      <w:pPr>
        <w:pStyle w:val="Heading4"/>
        <w:spacing w:line="240" w:lineRule="auto" w:before="33"/>
        <w:ind w:left="700" w:right="1445"/>
        <w:jc w:val="left"/>
        <w:rPr>
          <w:b w:val="0"/>
          <w:bCs w:val="0"/>
        </w:rPr>
      </w:pPr>
      <w:bookmarkStart w:name="十四、或有事项" w:id="392"/>
      <w:bookmarkEnd w:id="392"/>
      <w:r>
        <w:rPr>
          <w:b w:val="0"/>
          <w:bCs w:val="0"/>
        </w:rPr>
      </w:r>
      <w:r>
        <w:rPr/>
        <w:t>十</w:t>
      </w:r>
      <w:r>
        <w:rPr>
          <w:spacing w:val="-71"/>
        </w:rPr>
        <w:t> </w:t>
      </w:r>
      <w:r>
        <w:rPr/>
        <w:t>四</w:t>
      </w:r>
      <w:r>
        <w:rPr>
          <w:spacing w:val="-73"/>
        </w:rPr>
        <w:t> </w:t>
      </w:r>
      <w:r>
        <w:rPr/>
        <w:t>、</w:t>
      </w:r>
      <w:r>
        <w:rPr>
          <w:spacing w:val="-71"/>
        </w:rPr>
        <w:t> </w:t>
      </w:r>
      <w:r>
        <w:rPr/>
        <w:t>或</w:t>
      </w:r>
      <w:r>
        <w:rPr>
          <w:spacing w:val="-71"/>
        </w:rPr>
        <w:t> </w:t>
      </w:r>
      <w:r>
        <w:rPr/>
        <w:t>有</w:t>
      </w:r>
      <w:r>
        <w:rPr>
          <w:spacing w:val="-73"/>
        </w:rPr>
        <w:t> </w:t>
      </w:r>
      <w:r>
        <w:rPr/>
        <w:t>事</w:t>
      </w:r>
      <w:r>
        <w:rPr>
          <w:spacing w:val="-71"/>
        </w:rPr>
        <w:t> </w:t>
      </w:r>
      <w:r>
        <w:rPr/>
        <w:t>项</w:t>
      </w:r>
      <w:r>
        <w:rPr>
          <w:b w:val="0"/>
          <w:bCs w:val="0"/>
        </w:rPr>
      </w:r>
    </w:p>
    <w:p>
      <w:pPr>
        <w:pStyle w:val="BodyText"/>
        <w:spacing w:line="300" w:lineRule="auto" w:before="192"/>
        <w:ind w:left="241" w:right="1445" w:firstLine="398"/>
        <w:jc w:val="left"/>
      </w:pPr>
      <w:r>
        <w:rPr/>
        <w:t>截止</w:t>
      </w:r>
      <w:r>
        <w:rPr>
          <w:spacing w:val="-50"/>
        </w:rPr>
        <w:t> </w:t>
      </w:r>
      <w:r>
        <w:rPr/>
        <w:t>2019</w:t>
      </w:r>
      <w:r>
        <w:rPr>
          <w:spacing w:val="-44"/>
        </w:rPr>
        <w:t> </w:t>
      </w:r>
      <w:r>
        <w:rPr/>
        <w:t>年</w:t>
      </w:r>
      <w:r>
        <w:rPr>
          <w:spacing w:val="-47"/>
        </w:rPr>
        <w:t> </w:t>
      </w:r>
      <w:r>
        <w:rPr/>
        <w:t>12</w:t>
      </w:r>
      <w:r>
        <w:rPr>
          <w:spacing w:val="-44"/>
        </w:rPr>
        <w:t> </w:t>
      </w:r>
      <w:r>
        <w:rPr/>
        <w:t>月</w:t>
      </w:r>
      <w:r>
        <w:rPr>
          <w:spacing w:val="-44"/>
        </w:rPr>
        <w:t> </w:t>
      </w:r>
      <w:r>
        <w:rPr/>
        <w:t>31</w:t>
      </w:r>
      <w:r>
        <w:rPr>
          <w:spacing w:val="-47"/>
        </w:rPr>
        <w:t> </w:t>
      </w:r>
      <w:r>
        <w:rPr/>
        <w:t>日，除前述“十三、（二）关联交易”为子公司提供担保以及</w:t>
      </w:r>
      <w:r>
        <w:rPr>
          <w:w w:val="100"/>
        </w:rPr>
        <w:t> </w:t>
      </w:r>
      <w:r>
        <w:rPr/>
        <w:t>未到期已转让的银行承兑汇票外，本集团无需要披露的重要或有事项</w:t>
      </w:r>
      <w:r>
        <w:rPr>
          <w:spacing w:val="-18"/>
        </w:rPr>
        <w:t> </w:t>
      </w:r>
      <w:r>
        <w:rPr/>
        <w:t>。</w:t>
      </w:r>
    </w:p>
    <w:p>
      <w:pPr>
        <w:spacing w:line="240" w:lineRule="auto" w:before="8"/>
        <w:rPr>
          <w:rFonts w:ascii="宋体" w:hAnsi="宋体" w:cs="宋体" w:eastAsia="宋体" w:hint="default"/>
          <w:sz w:val="19"/>
          <w:szCs w:val="19"/>
        </w:rPr>
      </w:pPr>
    </w:p>
    <w:p>
      <w:pPr>
        <w:pStyle w:val="Heading4"/>
        <w:spacing w:line="240" w:lineRule="auto"/>
        <w:ind w:left="700" w:right="1445"/>
        <w:jc w:val="left"/>
        <w:rPr>
          <w:b w:val="0"/>
          <w:bCs w:val="0"/>
        </w:rPr>
      </w:pPr>
      <w:bookmarkStart w:name="十五、承诺事项" w:id="393"/>
      <w:bookmarkEnd w:id="393"/>
      <w:r>
        <w:rPr>
          <w:b w:val="0"/>
          <w:bCs w:val="0"/>
        </w:rPr>
      </w:r>
      <w:r>
        <w:rPr/>
        <w:t>十</w:t>
      </w:r>
      <w:r>
        <w:rPr>
          <w:spacing w:val="-71"/>
        </w:rPr>
        <w:t> </w:t>
      </w:r>
      <w:r>
        <w:rPr/>
        <w:t>五</w:t>
      </w:r>
      <w:r>
        <w:rPr>
          <w:spacing w:val="-73"/>
        </w:rPr>
        <w:t> </w:t>
      </w:r>
      <w:r>
        <w:rPr/>
        <w:t>、</w:t>
      </w:r>
      <w:r>
        <w:rPr>
          <w:spacing w:val="-71"/>
        </w:rPr>
        <w:t> </w:t>
      </w:r>
      <w:r>
        <w:rPr/>
        <w:t>承</w:t>
      </w:r>
      <w:r>
        <w:rPr>
          <w:spacing w:val="-71"/>
        </w:rPr>
        <w:t> </w:t>
      </w:r>
      <w:r>
        <w:rPr/>
        <w:t>诺</w:t>
      </w:r>
      <w:r>
        <w:rPr>
          <w:spacing w:val="-73"/>
        </w:rPr>
        <w:t> </w:t>
      </w:r>
      <w:r>
        <w:rPr/>
        <w:t>事</w:t>
      </w:r>
      <w:r>
        <w:rPr>
          <w:spacing w:val="-71"/>
        </w:rPr>
        <w:t> </w:t>
      </w:r>
      <w:r>
        <w:rPr/>
        <w:t>项</w:t>
      </w:r>
      <w:r>
        <w:rPr>
          <w:b w:val="0"/>
          <w:bCs w:val="0"/>
        </w:rPr>
      </w:r>
    </w:p>
    <w:p>
      <w:pPr>
        <w:pStyle w:val="BodyText"/>
        <w:spacing w:line="240" w:lineRule="auto" w:before="192"/>
        <w:ind w:left="680" w:right="1445"/>
        <w:jc w:val="left"/>
      </w:pPr>
      <w:r>
        <w:rPr/>
        <w:t>截止</w:t>
      </w:r>
      <w:r>
        <w:rPr>
          <w:spacing w:val="-60"/>
        </w:rPr>
        <w:t> </w:t>
      </w:r>
      <w:r>
        <w:rPr/>
        <w:t>2019</w:t>
      </w:r>
      <w:r>
        <w:rPr>
          <w:spacing w:val="-57"/>
        </w:rPr>
        <w:t> </w:t>
      </w:r>
      <w:r>
        <w:rPr/>
        <w:t>年</w:t>
      </w:r>
      <w:r>
        <w:rPr>
          <w:spacing w:val="-60"/>
        </w:rPr>
        <w:t> </w:t>
      </w:r>
      <w:r>
        <w:rPr/>
        <w:t>12</w:t>
      </w:r>
      <w:r>
        <w:rPr>
          <w:spacing w:val="-57"/>
        </w:rPr>
        <w:t> </w:t>
      </w:r>
      <w:r>
        <w:rPr/>
        <w:t>月</w:t>
      </w:r>
      <w:r>
        <w:rPr>
          <w:spacing w:val="-60"/>
        </w:rPr>
        <w:t> </w:t>
      </w:r>
      <w:r>
        <w:rPr/>
        <w:t>31</w:t>
      </w:r>
      <w:r>
        <w:rPr>
          <w:spacing w:val="-57"/>
        </w:rPr>
        <w:t> </w:t>
      </w:r>
      <w:r>
        <w:rPr/>
        <w:t>日，本集团已承诺出资及尚待出资情况如下：</w:t>
      </w:r>
    </w:p>
    <w:p>
      <w:pPr>
        <w:pStyle w:val="BodyText"/>
        <w:spacing w:line="240" w:lineRule="auto" w:before="192"/>
        <w:ind w:left="0" w:right="1697"/>
        <w:jc w:val="right"/>
      </w:pPr>
      <w:r>
        <w:rPr>
          <w:spacing w:val="-2"/>
        </w:rPr>
        <w:t>金额单位：万元</w:t>
      </w:r>
    </w:p>
    <w:p>
      <w:pPr>
        <w:spacing w:line="240" w:lineRule="auto" w:before="3"/>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69"/>
        <w:gridCol w:w="1136"/>
        <w:gridCol w:w="708"/>
        <w:gridCol w:w="1132"/>
        <w:gridCol w:w="1134"/>
        <w:gridCol w:w="1244"/>
      </w:tblGrid>
      <w:tr>
        <w:trPr>
          <w:trHeight w:val="487" w:hRule="exact"/>
        </w:trPr>
        <w:tc>
          <w:tcPr>
            <w:tcW w:w="336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8"/>
              <w:ind w:left="53" w:right="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c>
        <w:tc>
          <w:tcPr>
            <w:tcW w:w="113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8"/>
              <w:ind w:left="202" w:right="0"/>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c>
        <w:tc>
          <w:tcPr>
            <w:tcW w:w="708" w:type="dxa"/>
            <w:tcBorders>
              <w:top w:val="single" w:sz="12" w:space="0" w:color="000000"/>
              <w:left w:val="single" w:sz="4" w:space="0" w:color="000000"/>
              <w:bottom w:val="single" w:sz="4" w:space="0" w:color="000000"/>
              <w:right w:val="single" w:sz="4" w:space="0" w:color="000000"/>
            </w:tcBorders>
          </w:tcPr>
          <w:p>
            <w:pPr>
              <w:pStyle w:val="TableParagraph"/>
              <w:spacing w:line="207" w:lineRule="exact"/>
              <w:ind w:left="168" w:right="0"/>
              <w:jc w:val="left"/>
              <w:rPr>
                <w:rFonts w:ascii="宋体" w:hAnsi="宋体" w:cs="宋体" w:eastAsia="宋体" w:hint="default"/>
                <w:sz w:val="18"/>
                <w:szCs w:val="18"/>
              </w:rPr>
            </w:pPr>
            <w:r>
              <w:rPr>
                <w:rFonts w:ascii="宋体" w:hAnsi="宋体" w:cs="宋体" w:eastAsia="宋体" w:hint="default"/>
                <w:b/>
                <w:bCs/>
                <w:sz w:val="18"/>
                <w:szCs w:val="18"/>
              </w:rPr>
              <w:t>认缴</w:t>
            </w:r>
            <w:r>
              <w:rPr>
                <w:rFonts w:ascii="宋体" w:hAnsi="宋体" w:cs="宋体" w:eastAsia="宋体" w:hint="default"/>
                <w:sz w:val="18"/>
                <w:szCs w:val="18"/>
              </w:rPr>
            </w:r>
          </w:p>
          <w:p>
            <w:pPr>
              <w:pStyle w:val="TableParagraph"/>
              <w:spacing w:line="234" w:lineRule="exact"/>
              <w:ind w:left="168"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132" w:type="dxa"/>
            <w:tcBorders>
              <w:top w:val="single" w:sz="12" w:space="0" w:color="000000"/>
              <w:left w:val="single" w:sz="4" w:space="0" w:color="000000"/>
              <w:bottom w:val="single" w:sz="4" w:space="0" w:color="000000"/>
              <w:right w:val="single" w:sz="4"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承诺出资</w:t>
            </w:r>
            <w:r>
              <w:rPr>
                <w:rFonts w:ascii="宋体" w:hAnsi="宋体" w:cs="宋体" w:eastAsia="宋体" w:hint="default"/>
                <w:sz w:val="18"/>
                <w:szCs w:val="18"/>
              </w:rPr>
            </w:r>
          </w:p>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3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8"/>
              <w:ind w:left="202" w:right="0"/>
              <w:jc w:val="left"/>
              <w:rPr>
                <w:rFonts w:ascii="宋体" w:hAnsi="宋体" w:cs="宋体" w:eastAsia="宋体" w:hint="default"/>
                <w:sz w:val="18"/>
                <w:szCs w:val="18"/>
              </w:rPr>
            </w:pPr>
            <w:r>
              <w:rPr>
                <w:rFonts w:ascii="宋体" w:hAnsi="宋体" w:cs="宋体" w:eastAsia="宋体" w:hint="default"/>
                <w:b/>
                <w:bCs/>
                <w:sz w:val="18"/>
                <w:szCs w:val="18"/>
              </w:rPr>
              <w:t>已缴金额</w:t>
            </w:r>
            <w:r>
              <w:rPr>
                <w:rFonts w:ascii="宋体" w:hAnsi="宋体" w:cs="宋体" w:eastAsia="宋体" w:hint="default"/>
                <w:sz w:val="18"/>
                <w:szCs w:val="18"/>
              </w:rPr>
            </w:r>
          </w:p>
        </w:tc>
        <w:tc>
          <w:tcPr>
            <w:tcW w:w="1244" w:type="dxa"/>
            <w:tcBorders>
              <w:top w:val="single" w:sz="12" w:space="0" w:color="000000"/>
              <w:left w:val="single" w:sz="4" w:space="0" w:color="000000"/>
              <w:bottom w:val="single" w:sz="4" w:space="0" w:color="000000"/>
              <w:right w:val="nil" w:sz="6" w:space="0" w:color="auto"/>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b/>
                <w:bCs/>
                <w:sz w:val="18"/>
                <w:szCs w:val="18"/>
              </w:rPr>
              <w:t>尚待出资</w:t>
            </w:r>
            <w:r>
              <w:rPr>
                <w:rFonts w:ascii="宋体" w:hAnsi="宋体" w:cs="宋体" w:eastAsia="宋体" w:hint="default"/>
                <w:sz w:val="18"/>
                <w:szCs w:val="18"/>
              </w:rPr>
            </w:r>
          </w:p>
          <w:p>
            <w:pPr>
              <w:pStyle w:val="TableParagraph"/>
              <w:spacing w:line="234" w:lineRule="exact"/>
              <w:ind w:right="3"/>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浙江万马电缆有限公司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30,000.00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30,000.00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3,000.00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27,000.00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浙江万马天屹通信线缆有限公司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21,000.00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8"/>
              <w:jc w:val="right"/>
              <w:rPr>
                <w:rFonts w:ascii="宋体" w:hAnsi="宋体" w:cs="宋体" w:eastAsia="宋体" w:hint="default"/>
                <w:sz w:val="18"/>
                <w:szCs w:val="18"/>
              </w:rPr>
            </w:pPr>
            <w:r>
              <w:rPr>
                <w:rFonts w:ascii="宋体"/>
                <w:spacing w:val="-1"/>
                <w:sz w:val="18"/>
              </w:rPr>
              <w:t>21,000.00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7"/>
              <w:jc w:val="right"/>
              <w:rPr>
                <w:rFonts w:ascii="宋体" w:hAnsi="宋体" w:cs="宋体" w:eastAsia="宋体" w:hint="default"/>
                <w:sz w:val="18"/>
                <w:szCs w:val="18"/>
              </w:rPr>
            </w:pPr>
            <w:r>
              <w:rPr>
                <w:rFonts w:ascii="宋体"/>
                <w:spacing w:val="-1"/>
                <w:sz w:val="18"/>
              </w:rPr>
              <w:t>16,000.00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5,000.00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浙江万马家装有限公司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3,000.00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3,000.00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2,000.00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1,000.00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浙江万马光伏有限公司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10,000.00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10,000.00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200.96</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9,799.04</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山东万恩新能源科技有限公司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5,500.00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31%</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1,705.00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1,334.72</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370.28</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浙江万马海立斯新能源有限公司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4,000.00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50%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2,000.00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7"/>
              <w:jc w:val="right"/>
              <w:rPr>
                <w:rFonts w:ascii="宋体" w:hAnsi="宋体" w:cs="宋体" w:eastAsia="宋体" w:hint="default"/>
                <w:sz w:val="18"/>
                <w:szCs w:val="18"/>
              </w:rPr>
            </w:pPr>
            <w:r>
              <w:rPr>
                <w:rFonts w:ascii="宋体"/>
                <w:spacing w:val="-1"/>
                <w:sz w:val="18"/>
              </w:rPr>
              <w:t>1,800.00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200.00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宁波万爱新能源科技有限公司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244.50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755.50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上海万遥新能源科技有限公司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2,000.00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2,000.00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1,705.74</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294.26</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杭州万充电力工程有限公司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pacing w:val="-1"/>
                <w:sz w:val="18"/>
              </w:rPr>
              <w:t>302.00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698.00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重庆万充新能源科技有限公司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5,000.00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5,000.00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4,375.44</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624.56</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广州万充新能源科技有限公司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8,000.00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8,000.00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6,681.64</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1,318.36</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海南万充新能源科技有限公司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pacing w:val="-1"/>
                <w:sz w:val="18"/>
              </w:rPr>
              <w:t>1,321.32</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678.68</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sz w:val="18"/>
                <w:szCs w:val="18"/>
              </w:rPr>
              <w:t>佛山万爱新能源科技有限公司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pacing w:val="-1"/>
                <w:sz w:val="18"/>
              </w:rPr>
              <w:t>500.00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500.00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18"/>
                <w:szCs w:val="18"/>
              </w:rPr>
            </w:pPr>
            <w:r>
              <w:rPr>
                <w:rFonts w:ascii="宋体"/>
                <w:spacing w:val="-1"/>
                <w:sz w:val="18"/>
              </w:rPr>
              <w:t>110.30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389.70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sz w:val="18"/>
                <w:szCs w:val="18"/>
              </w:rPr>
              <w:t>浙江骏业科创科技有限公司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宋体" w:hAnsi="宋体" w:cs="宋体" w:eastAsia="宋体" w:hint="default"/>
                <w:sz w:val="18"/>
                <w:szCs w:val="18"/>
              </w:rPr>
            </w:pPr>
            <w:r>
              <w:rPr>
                <w:rFonts w:ascii="宋体"/>
                <w:spacing w:val="-1"/>
                <w:sz w:val="18"/>
              </w:rPr>
              <w:t>100.00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900.00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广州万马爱充新能源科技有限公司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100.00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18"/>
                <w:szCs w:val="18"/>
              </w:rPr>
            </w:pPr>
            <w:r>
              <w:rPr>
                <w:rFonts w:ascii="宋体"/>
                <w:sz w:val="18"/>
              </w:rPr>
              <w:t>0.10</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99.90</w:t>
            </w:r>
          </w:p>
        </w:tc>
      </w:tr>
      <w:tr>
        <w:trPr>
          <w:trHeight w:val="407"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b/>
                <w:w w:val="95"/>
                <w:sz w:val="18"/>
              </w:rPr>
              <w:t>--</w:t>
            </w:r>
            <w:r>
              <w:rPr>
                <w:rFonts w:ascii="宋体"/>
                <w:sz w:val="18"/>
              </w:rPr>
            </w:r>
          </w:p>
        </w:tc>
        <w:tc>
          <w:tcPr>
            <w:tcW w:w="708" w:type="dxa"/>
            <w:tcBorders>
              <w:top w:val="single" w:sz="4" w:space="0" w:color="000000"/>
              <w:left w:val="single" w:sz="4" w:space="0" w:color="000000"/>
              <w:bottom w:val="single" w:sz="4" w:space="0" w:color="000000"/>
              <w:right w:val="single" w:sz="4" w:space="0" w:color="000000"/>
            </w:tcBorders>
          </w:tcPr>
          <w:p>
            <w:pP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09" w:right="0"/>
              <w:jc w:val="left"/>
              <w:rPr>
                <w:rFonts w:ascii="宋体" w:hAnsi="宋体" w:cs="宋体" w:eastAsia="宋体" w:hint="default"/>
                <w:sz w:val="18"/>
                <w:szCs w:val="18"/>
              </w:rPr>
            </w:pPr>
            <w:r>
              <w:rPr>
                <w:rFonts w:ascii="宋体"/>
                <w:b/>
                <w:sz w:val="18"/>
              </w:rPr>
              <w:t>88,305.00</w:t>
            </w:r>
            <w:r>
              <w:rPr>
                <w:rFonts w:ascii="宋体"/>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2"/>
              <w:jc w:val="right"/>
              <w:rPr>
                <w:rFonts w:ascii="宋体" w:hAnsi="宋体" w:cs="宋体" w:eastAsia="宋体" w:hint="default"/>
                <w:sz w:val="18"/>
                <w:szCs w:val="18"/>
              </w:rPr>
            </w:pPr>
            <w:r>
              <w:rPr>
                <w:rFonts w:ascii="宋体"/>
                <w:b/>
                <w:sz w:val="18"/>
              </w:rPr>
              <w:t>39,176.72</w:t>
            </w:r>
            <w:r>
              <w:rPr>
                <w:rFonts w:ascii="宋体"/>
                <w:sz w:val="18"/>
              </w:rPr>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left="211" w:right="0"/>
              <w:jc w:val="left"/>
              <w:rPr>
                <w:rFonts w:ascii="宋体" w:hAnsi="宋体" w:cs="宋体" w:eastAsia="宋体" w:hint="default"/>
                <w:sz w:val="18"/>
                <w:szCs w:val="18"/>
              </w:rPr>
            </w:pPr>
            <w:r>
              <w:rPr>
                <w:rFonts w:ascii="宋体"/>
                <w:b/>
                <w:sz w:val="18"/>
              </w:rPr>
              <w:t>49,128.28</w:t>
            </w:r>
            <w:r>
              <w:rPr>
                <w:rFonts w:ascii="宋体"/>
                <w:sz w:val="18"/>
              </w:rPr>
            </w:r>
          </w:p>
        </w:tc>
      </w:tr>
      <w:tr>
        <w:trPr>
          <w:trHeight w:val="405" w:hRule="exact"/>
        </w:trPr>
        <w:tc>
          <w:tcPr>
            <w:tcW w:w="33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sz w:val="18"/>
                <w:szCs w:val="18"/>
              </w:rPr>
              <w:t>Optrum Technology</w:t>
            </w:r>
            <w:r>
              <w:rPr>
                <w:rFonts w:ascii="宋体" w:hAnsi="宋体" w:cs="宋体" w:eastAsia="宋体" w:hint="default"/>
                <w:spacing w:val="-9"/>
                <w:sz w:val="18"/>
                <w:szCs w:val="18"/>
              </w:rPr>
              <w:t> </w:t>
            </w:r>
            <w:r>
              <w:rPr>
                <w:rFonts w:ascii="宋体" w:hAnsi="宋体" w:cs="宋体" w:eastAsia="宋体" w:hint="default"/>
                <w:sz w:val="18"/>
                <w:szCs w:val="18"/>
              </w:rPr>
              <w:t>LLC(美元)</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6"/>
              <w:jc w:val="right"/>
              <w:rPr>
                <w:rFonts w:ascii="宋体" w:hAnsi="宋体" w:cs="宋体" w:eastAsia="宋体" w:hint="default"/>
                <w:sz w:val="18"/>
                <w:szCs w:val="18"/>
              </w:rPr>
            </w:pPr>
            <w:r>
              <w:rPr>
                <w:rFonts w:ascii="宋体"/>
                <w:spacing w:val="-1"/>
                <w:sz w:val="18"/>
              </w:rPr>
              <w:t>200.00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
              <w:jc w:val="right"/>
              <w:rPr>
                <w:rFonts w:ascii="宋体" w:hAnsi="宋体" w:cs="宋体" w:eastAsia="宋体" w:hint="default"/>
                <w:sz w:val="18"/>
                <w:szCs w:val="18"/>
              </w:rPr>
            </w:pPr>
            <w:r>
              <w:rPr>
                <w:rFonts w:ascii="宋体"/>
                <w:spacing w:val="-1"/>
                <w:sz w:val="18"/>
              </w:rPr>
              <w:t>119.9985</w:t>
            </w:r>
          </w:p>
        </w:tc>
        <w:tc>
          <w:tcPr>
            <w:tcW w:w="12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80.0015</w:t>
            </w:r>
          </w:p>
        </w:tc>
      </w:tr>
    </w:tbl>
    <w:p>
      <w:pPr>
        <w:spacing w:after="0" w:line="240" w:lineRule="auto"/>
        <w:jc w:val="right"/>
        <w:rPr>
          <w:rFonts w:ascii="宋体" w:hAnsi="宋体" w:cs="宋体" w:eastAsia="宋体" w:hint="default"/>
          <w:sz w:val="18"/>
          <w:szCs w:val="18"/>
        </w:rPr>
        <w:sectPr>
          <w:footerReference w:type="default" r:id="rId74"/>
          <w:pgSz w:w="11910" w:h="16840"/>
          <w:pgMar w:footer="883" w:header="939" w:top="1980" w:bottom="1080" w:left="1460" w:right="0"/>
          <w:pgNumType w:start="170"/>
        </w:sectPr>
      </w:pPr>
    </w:p>
    <w:p>
      <w:pPr>
        <w:spacing w:line="240" w:lineRule="auto" w:before="7"/>
        <w:rPr>
          <w:rFonts w:ascii="宋体" w:hAnsi="宋体" w:cs="宋体" w:eastAsia="宋体" w:hint="default"/>
          <w:sz w:val="9"/>
          <w:szCs w:val="9"/>
        </w:rPr>
      </w:pPr>
    </w:p>
    <w:tbl>
      <w:tblPr>
        <w:tblW w:w="0" w:type="auto"/>
        <w:jc w:val="left"/>
        <w:tblInd w:w="118" w:type="dxa"/>
        <w:tblLayout w:type="fixed"/>
        <w:tblCellMar>
          <w:top w:w="0" w:type="dxa"/>
          <w:left w:w="0" w:type="dxa"/>
          <w:bottom w:w="0" w:type="dxa"/>
          <w:right w:w="0" w:type="dxa"/>
        </w:tblCellMar>
        <w:tblLook w:val="01E0"/>
      </w:tblPr>
      <w:tblGrid>
        <w:gridCol w:w="3369"/>
        <w:gridCol w:w="1136"/>
        <w:gridCol w:w="708"/>
        <w:gridCol w:w="1132"/>
        <w:gridCol w:w="1134"/>
        <w:gridCol w:w="1244"/>
      </w:tblGrid>
      <w:tr>
        <w:trPr>
          <w:trHeight w:val="487" w:hRule="exact"/>
        </w:trPr>
        <w:tc>
          <w:tcPr>
            <w:tcW w:w="336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9"/>
              <w:ind w:left="53" w:right="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c>
        <w:tc>
          <w:tcPr>
            <w:tcW w:w="113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9"/>
              <w:ind w:left="202" w:right="0"/>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c>
        <w:tc>
          <w:tcPr>
            <w:tcW w:w="708" w:type="dxa"/>
            <w:tcBorders>
              <w:top w:val="single" w:sz="12" w:space="0" w:color="000000"/>
              <w:left w:val="single" w:sz="4" w:space="0" w:color="000000"/>
              <w:bottom w:val="single" w:sz="4" w:space="0" w:color="000000"/>
              <w:right w:val="single" w:sz="4" w:space="0" w:color="000000"/>
            </w:tcBorders>
          </w:tcPr>
          <w:p>
            <w:pPr>
              <w:pStyle w:val="TableParagraph"/>
              <w:spacing w:line="207" w:lineRule="exact"/>
              <w:ind w:left="168" w:right="0"/>
              <w:jc w:val="left"/>
              <w:rPr>
                <w:rFonts w:ascii="宋体" w:hAnsi="宋体" w:cs="宋体" w:eastAsia="宋体" w:hint="default"/>
                <w:sz w:val="18"/>
                <w:szCs w:val="18"/>
              </w:rPr>
            </w:pPr>
            <w:r>
              <w:rPr>
                <w:rFonts w:ascii="宋体" w:hAnsi="宋体" w:cs="宋体" w:eastAsia="宋体" w:hint="default"/>
                <w:b/>
                <w:bCs/>
                <w:sz w:val="18"/>
                <w:szCs w:val="18"/>
              </w:rPr>
              <w:t>认缴</w:t>
            </w:r>
            <w:r>
              <w:rPr>
                <w:rFonts w:ascii="宋体" w:hAnsi="宋体" w:cs="宋体" w:eastAsia="宋体" w:hint="default"/>
                <w:sz w:val="18"/>
                <w:szCs w:val="18"/>
              </w:rPr>
            </w: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132" w:type="dxa"/>
            <w:tcBorders>
              <w:top w:val="single" w:sz="12" w:space="0" w:color="000000"/>
              <w:left w:val="single" w:sz="4" w:space="0" w:color="000000"/>
              <w:bottom w:val="single" w:sz="4" w:space="0" w:color="000000"/>
              <w:right w:val="single" w:sz="4"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承诺出资</w:t>
            </w:r>
            <w:r>
              <w:rPr>
                <w:rFonts w:ascii="宋体" w:hAnsi="宋体" w:cs="宋体" w:eastAsia="宋体" w:hint="default"/>
                <w:sz w:val="18"/>
                <w:szCs w:val="18"/>
              </w:rPr>
            </w: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3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9"/>
              <w:ind w:left="202" w:right="0"/>
              <w:jc w:val="left"/>
              <w:rPr>
                <w:rFonts w:ascii="宋体" w:hAnsi="宋体" w:cs="宋体" w:eastAsia="宋体" w:hint="default"/>
                <w:sz w:val="18"/>
                <w:szCs w:val="18"/>
              </w:rPr>
            </w:pPr>
            <w:r>
              <w:rPr>
                <w:rFonts w:ascii="宋体" w:hAnsi="宋体" w:cs="宋体" w:eastAsia="宋体" w:hint="default"/>
                <w:b/>
                <w:bCs/>
                <w:sz w:val="18"/>
                <w:szCs w:val="18"/>
              </w:rPr>
              <w:t>已缴金额</w:t>
            </w:r>
            <w:r>
              <w:rPr>
                <w:rFonts w:ascii="宋体" w:hAnsi="宋体" w:cs="宋体" w:eastAsia="宋体" w:hint="default"/>
                <w:sz w:val="18"/>
                <w:szCs w:val="18"/>
              </w:rPr>
            </w:r>
          </w:p>
        </w:tc>
        <w:tc>
          <w:tcPr>
            <w:tcW w:w="1244" w:type="dxa"/>
            <w:tcBorders>
              <w:top w:val="single" w:sz="12" w:space="0" w:color="000000"/>
              <w:left w:val="single" w:sz="4" w:space="0" w:color="000000"/>
              <w:bottom w:val="single" w:sz="4" w:space="0" w:color="000000"/>
              <w:right w:val="nil" w:sz="6" w:space="0" w:color="auto"/>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b/>
                <w:bCs/>
                <w:sz w:val="18"/>
                <w:szCs w:val="18"/>
              </w:rPr>
              <w:t>尚待出资</w:t>
            </w:r>
            <w:r>
              <w:rPr>
                <w:rFonts w:ascii="宋体" w:hAnsi="宋体" w:cs="宋体" w:eastAsia="宋体" w:hint="default"/>
                <w:sz w:val="18"/>
                <w:szCs w:val="18"/>
              </w:rPr>
            </w: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r>
      <w:tr>
        <w:trPr>
          <w:trHeight w:val="487" w:hRule="exact"/>
        </w:trPr>
        <w:tc>
          <w:tcPr>
            <w:tcW w:w="3369" w:type="dxa"/>
            <w:tcBorders>
              <w:top w:val="single" w:sz="4" w:space="0" w:color="000000"/>
              <w:left w:val="nil" w:sz="6" w:space="0" w:color="auto"/>
              <w:bottom w:val="single" w:sz="12" w:space="0" w:color="000000"/>
              <w:right w:val="single" w:sz="4" w:space="0" w:color="000000"/>
            </w:tcBorders>
          </w:tcPr>
          <w:p>
            <w:pPr>
              <w:pStyle w:val="TableParagraph"/>
              <w:spacing w:line="206" w:lineRule="exact"/>
              <w:ind w:left="53" w:right="0"/>
              <w:jc w:val="left"/>
              <w:rPr>
                <w:rFonts w:ascii="宋体" w:hAnsi="宋体" w:cs="宋体" w:eastAsia="宋体" w:hint="default"/>
                <w:sz w:val="18"/>
                <w:szCs w:val="18"/>
              </w:rPr>
            </w:pPr>
            <w:r>
              <w:rPr>
                <w:rFonts w:ascii="宋体" w:hAnsi="宋体" w:cs="宋体" w:eastAsia="宋体" w:hint="default"/>
                <w:sz w:val="18"/>
                <w:szCs w:val="18"/>
              </w:rPr>
              <w:t>SteednetworkstechnologiesCo.,LTD（美</w:t>
            </w:r>
          </w:p>
          <w:p>
            <w:pPr>
              <w:pStyle w:val="TableParagraph"/>
              <w:spacing w:line="234" w:lineRule="exact"/>
              <w:ind w:left="5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1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6"/>
              <w:ind w:left="627" w:right="0"/>
              <w:jc w:val="left"/>
              <w:rPr>
                <w:rFonts w:ascii="宋体" w:hAnsi="宋体" w:cs="宋体" w:eastAsia="宋体" w:hint="default"/>
                <w:sz w:val="18"/>
                <w:szCs w:val="18"/>
              </w:rPr>
            </w:pPr>
            <w:r>
              <w:rPr>
                <w:rFonts w:ascii="宋体"/>
                <w:sz w:val="18"/>
              </w:rPr>
              <w:t>12.00</w:t>
            </w:r>
          </w:p>
        </w:tc>
        <w:tc>
          <w:tcPr>
            <w:tcW w:w="7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6"/>
              <w:ind w:left="288" w:right="0"/>
              <w:jc w:val="left"/>
              <w:rPr>
                <w:rFonts w:ascii="宋体" w:hAnsi="宋体" w:cs="宋体" w:eastAsia="宋体" w:hint="default"/>
                <w:sz w:val="18"/>
                <w:szCs w:val="18"/>
              </w:rPr>
            </w:pPr>
            <w:r>
              <w:rPr>
                <w:rFonts w:ascii="宋体"/>
                <w:sz w:val="18"/>
              </w:rPr>
              <w:t>100%</w:t>
            </w:r>
          </w:p>
        </w:tc>
        <w:tc>
          <w:tcPr>
            <w:tcW w:w="11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6"/>
              <w:ind w:left="621" w:right="0"/>
              <w:jc w:val="left"/>
              <w:rPr>
                <w:rFonts w:ascii="宋体" w:hAnsi="宋体" w:cs="宋体" w:eastAsia="宋体" w:hint="default"/>
                <w:sz w:val="18"/>
                <w:szCs w:val="18"/>
              </w:rPr>
            </w:pPr>
            <w:r>
              <w:rPr>
                <w:rFonts w:ascii="宋体"/>
                <w:sz w:val="18"/>
              </w:rPr>
              <w:t>12.00</w:t>
            </w:r>
          </w:p>
        </w:tc>
        <w:tc>
          <w:tcPr>
            <w:tcW w:w="11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6"/>
              <w:ind w:left="533" w:right="0"/>
              <w:jc w:val="left"/>
              <w:rPr>
                <w:rFonts w:ascii="宋体" w:hAnsi="宋体" w:cs="宋体" w:eastAsia="宋体" w:hint="default"/>
                <w:sz w:val="18"/>
                <w:szCs w:val="18"/>
              </w:rPr>
            </w:pPr>
            <w:r>
              <w:rPr>
                <w:rFonts w:ascii="宋体"/>
                <w:sz w:val="18"/>
              </w:rPr>
              <w:t>4.1645</w:t>
            </w:r>
          </w:p>
        </w:tc>
        <w:tc>
          <w:tcPr>
            <w:tcW w:w="124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6"/>
              <w:ind w:left="645" w:right="0"/>
              <w:jc w:val="left"/>
              <w:rPr>
                <w:rFonts w:ascii="宋体" w:hAnsi="宋体" w:cs="宋体" w:eastAsia="宋体" w:hint="default"/>
                <w:sz w:val="18"/>
                <w:szCs w:val="18"/>
              </w:rPr>
            </w:pPr>
            <w:r>
              <w:rPr>
                <w:rFonts w:ascii="宋体"/>
                <w:sz w:val="18"/>
              </w:rPr>
              <w:t>7.8355</w:t>
            </w:r>
          </w:p>
        </w:tc>
      </w:tr>
    </w:tbl>
    <w:p>
      <w:pPr>
        <w:spacing w:line="240" w:lineRule="auto" w:before="0"/>
        <w:rPr>
          <w:rFonts w:ascii="宋体" w:hAnsi="宋体" w:cs="宋体" w:eastAsia="宋体" w:hint="default"/>
          <w:sz w:val="9"/>
          <w:szCs w:val="9"/>
        </w:rPr>
      </w:pPr>
    </w:p>
    <w:p>
      <w:pPr>
        <w:pStyle w:val="BodyText"/>
        <w:spacing w:line="240" w:lineRule="auto"/>
        <w:ind w:left="640" w:right="1445"/>
        <w:jc w:val="left"/>
      </w:pPr>
      <w:r>
        <w:rPr/>
        <w:t>除上述事项外，本集团无需要披露的重要承诺事项。</w:t>
      </w:r>
    </w:p>
    <w:p>
      <w:pPr>
        <w:spacing w:line="240" w:lineRule="auto" w:before="11"/>
        <w:rPr>
          <w:rFonts w:ascii="宋体" w:hAnsi="宋体" w:cs="宋体" w:eastAsia="宋体" w:hint="default"/>
          <w:sz w:val="23"/>
          <w:szCs w:val="23"/>
        </w:rPr>
      </w:pPr>
    </w:p>
    <w:p>
      <w:pPr>
        <w:pStyle w:val="Heading4"/>
        <w:spacing w:line="240" w:lineRule="auto"/>
        <w:ind w:left="700" w:right="1445"/>
        <w:jc w:val="left"/>
        <w:rPr>
          <w:b w:val="0"/>
          <w:bCs w:val="0"/>
        </w:rPr>
      </w:pPr>
      <w:bookmarkStart w:name="十六、资产负债表日后事项" w:id="394"/>
      <w:bookmarkEnd w:id="394"/>
      <w:r>
        <w:rPr>
          <w:b w:val="0"/>
          <w:bCs w:val="0"/>
        </w:rPr>
      </w:r>
      <w:r>
        <w:rPr/>
        <w:t>十</w:t>
      </w:r>
      <w:r>
        <w:rPr>
          <w:spacing w:val="-71"/>
        </w:rPr>
        <w:t> </w:t>
      </w:r>
      <w:r>
        <w:rPr/>
        <w:t>六</w:t>
      </w:r>
      <w:r>
        <w:rPr>
          <w:spacing w:val="-73"/>
        </w:rPr>
        <w:t> </w:t>
      </w:r>
      <w:r>
        <w:rPr/>
        <w:t>、</w:t>
      </w:r>
      <w:r>
        <w:rPr>
          <w:spacing w:val="-71"/>
        </w:rPr>
        <w:t> </w:t>
      </w:r>
      <w:r>
        <w:rPr/>
        <w:t>资</w:t>
      </w:r>
      <w:r>
        <w:rPr>
          <w:spacing w:val="-71"/>
        </w:rPr>
        <w:t> </w:t>
      </w:r>
      <w:r>
        <w:rPr/>
        <w:t>产</w:t>
      </w:r>
      <w:r>
        <w:rPr>
          <w:spacing w:val="-73"/>
        </w:rPr>
        <w:t> </w:t>
      </w:r>
      <w:r>
        <w:rPr/>
        <w:t>负</w:t>
      </w:r>
      <w:r>
        <w:rPr>
          <w:spacing w:val="-71"/>
        </w:rPr>
        <w:t> </w:t>
      </w:r>
      <w:r>
        <w:rPr/>
        <w:t>债</w:t>
      </w:r>
      <w:r>
        <w:rPr>
          <w:spacing w:val="-71"/>
        </w:rPr>
        <w:t> </w:t>
      </w:r>
      <w:r>
        <w:rPr/>
        <w:t>表</w:t>
      </w:r>
      <w:r>
        <w:rPr>
          <w:spacing w:val="-71"/>
        </w:rPr>
        <w:t> </w:t>
      </w:r>
      <w:r>
        <w:rPr/>
        <w:t>日</w:t>
      </w:r>
      <w:r>
        <w:rPr>
          <w:spacing w:val="-73"/>
        </w:rPr>
        <w:t> </w:t>
      </w:r>
      <w:r>
        <w:rPr/>
        <w:t>后</w:t>
      </w:r>
      <w:r>
        <w:rPr>
          <w:spacing w:val="-71"/>
        </w:rPr>
        <w:t> </w:t>
      </w:r>
      <w:r>
        <w:rPr/>
        <w:t>事</w:t>
      </w:r>
      <w:r>
        <w:rPr>
          <w:spacing w:val="-71"/>
        </w:rPr>
        <w:t> </w:t>
      </w:r>
      <w:r>
        <w:rPr/>
        <w:t>项</w:t>
      </w:r>
      <w:r>
        <w:rPr>
          <w:b w:val="0"/>
          <w:bCs w:val="0"/>
        </w:rPr>
      </w:r>
    </w:p>
    <w:p>
      <w:pPr>
        <w:pStyle w:val="BodyText"/>
        <w:spacing w:line="240" w:lineRule="auto" w:before="192"/>
        <w:ind w:left="740" w:right="1445"/>
        <w:jc w:val="left"/>
      </w:pPr>
      <w:r>
        <w:rPr>
          <w:rFonts w:ascii="Times New Roman" w:hAnsi="Times New Roman" w:cs="Times New Roman" w:eastAsia="Times New Roman" w:hint="default"/>
          <w:spacing w:val="6"/>
        </w:rPr>
        <w:t>1.  </w:t>
      </w:r>
      <w:bookmarkStart w:name="1.利润分配情况" w:id="395"/>
      <w:bookmarkEnd w:id="395"/>
      <w:r>
        <w:rPr>
          <w:rFonts w:ascii="Times New Roman" w:hAnsi="Times New Roman" w:cs="Times New Roman" w:eastAsia="Times New Roman" w:hint="default"/>
          <w:spacing w:val="6"/>
        </w:rPr>
      </w:r>
      <w:r>
        <w:rPr/>
        <w:t>利</w:t>
      </w:r>
      <w:r>
        <w:rPr>
          <w:spacing w:val="-71"/>
        </w:rPr>
        <w:t> </w:t>
      </w:r>
      <w:r>
        <w:rPr/>
        <w:t>润</w:t>
      </w:r>
      <w:r>
        <w:rPr>
          <w:spacing w:val="-69"/>
        </w:rPr>
        <w:t> </w:t>
      </w:r>
      <w:r>
        <w:rPr/>
        <w:t>分</w:t>
      </w:r>
      <w:r>
        <w:rPr>
          <w:spacing w:val="-71"/>
        </w:rPr>
        <w:t> </w:t>
      </w:r>
      <w:r>
        <w:rPr/>
        <w:t>配</w:t>
      </w:r>
      <w:r>
        <w:rPr>
          <w:spacing w:val="-71"/>
        </w:rPr>
        <w:t> </w:t>
      </w:r>
      <w:r>
        <w:rPr/>
        <w:t>情</w:t>
      </w:r>
      <w:r>
        <w:rPr>
          <w:spacing w:val="-69"/>
        </w:rPr>
        <w:t> </w:t>
      </w:r>
      <w:r>
        <w:rPr/>
        <w:t>况</w:t>
      </w:r>
    </w:p>
    <w:p>
      <w:pPr>
        <w:spacing w:line="240" w:lineRule="auto" w:before="2"/>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3651"/>
        <w:gridCol w:w="5072"/>
      </w:tblGrid>
      <w:tr>
        <w:trPr>
          <w:trHeight w:val="417" w:hRule="exact"/>
        </w:trPr>
        <w:tc>
          <w:tcPr>
            <w:tcW w:w="36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07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内容</w:t>
            </w:r>
            <w:r>
              <w:rPr>
                <w:rFonts w:ascii="宋体" w:hAnsi="宋体" w:cs="宋体" w:eastAsia="宋体" w:hint="default"/>
                <w:sz w:val="18"/>
                <w:szCs w:val="18"/>
              </w:rPr>
            </w:r>
          </w:p>
        </w:tc>
      </w:tr>
      <w:tr>
        <w:trPr>
          <w:trHeight w:val="944" w:hRule="exact"/>
        </w:trPr>
        <w:tc>
          <w:tcPr>
            <w:tcW w:w="36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5072" w:type="dxa"/>
            <w:tcBorders>
              <w:top w:val="single" w:sz="4" w:space="0" w:color="000000"/>
              <w:left w:val="single" w:sz="4" w:space="0" w:color="000000"/>
              <w:bottom w:val="single" w:sz="4" w:space="0" w:color="000000"/>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本公司</w:t>
            </w:r>
            <w:r>
              <w:rPr>
                <w:rFonts w:ascii="宋体" w:hAnsi="宋体" w:cs="宋体" w:eastAsia="宋体" w:hint="default"/>
                <w:spacing w:val="-42"/>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pacing w:val="-3"/>
                <w:sz w:val="18"/>
                <w:szCs w:val="18"/>
              </w:rPr>
              <w:t>年度利润分配预案为：按本公司本年净利润的</w:t>
            </w:r>
            <w:r>
              <w:rPr>
                <w:rFonts w:ascii="宋体" w:hAnsi="宋体" w:cs="宋体" w:eastAsia="宋体" w:hint="default"/>
                <w:spacing w:val="-42"/>
                <w:sz w:val="18"/>
                <w:szCs w:val="18"/>
              </w:rPr>
              <w:t> </w:t>
            </w:r>
            <w:r>
              <w:rPr>
                <w:rFonts w:ascii="宋体" w:hAnsi="宋体" w:cs="宋体" w:eastAsia="宋体" w:hint="default"/>
                <w:sz w:val="18"/>
                <w:szCs w:val="18"/>
              </w:rPr>
              <w:t>10%</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pacing w:val="11"/>
                <w:sz w:val="18"/>
                <w:szCs w:val="18"/>
              </w:rPr>
              <w:t>提取法定盈余公积；按本公司</w:t>
            </w:r>
            <w:r>
              <w:rPr>
                <w:rFonts w:ascii="宋体" w:hAnsi="宋体" w:cs="宋体" w:eastAsia="宋体" w:hint="default"/>
                <w:spacing w:val="-32"/>
                <w:sz w:val="18"/>
                <w:szCs w:val="18"/>
              </w:rPr>
              <w:t> </w:t>
            </w:r>
            <w:r>
              <w:rPr>
                <w:rFonts w:ascii="宋体" w:hAnsi="宋体" w:cs="宋体" w:eastAsia="宋体" w:hint="default"/>
                <w:sz w:val="18"/>
                <w:szCs w:val="18"/>
              </w:rPr>
              <w:t>2019</w:t>
            </w:r>
            <w:r>
              <w:rPr>
                <w:rFonts w:ascii="宋体" w:hAnsi="宋体" w:cs="宋体" w:eastAsia="宋体" w:hint="default"/>
                <w:spacing w:val="-33"/>
                <w:sz w:val="18"/>
                <w:szCs w:val="18"/>
              </w:rPr>
              <w:t> </w:t>
            </w:r>
            <w:r>
              <w:rPr>
                <w:rFonts w:ascii="宋体" w:hAnsi="宋体" w:cs="宋体" w:eastAsia="宋体" w:hint="default"/>
                <w:sz w:val="18"/>
                <w:szCs w:val="18"/>
              </w:rPr>
              <w:t>年</w:t>
            </w:r>
            <w:r>
              <w:rPr>
                <w:rFonts w:ascii="宋体" w:hAnsi="宋体" w:cs="宋体" w:eastAsia="宋体" w:hint="default"/>
                <w:spacing w:val="-32"/>
                <w:sz w:val="18"/>
                <w:szCs w:val="18"/>
              </w:rPr>
              <w:t> </w:t>
            </w:r>
            <w:r>
              <w:rPr>
                <w:rFonts w:ascii="宋体" w:hAnsi="宋体" w:cs="宋体" w:eastAsia="宋体" w:hint="default"/>
                <w:sz w:val="18"/>
                <w:szCs w:val="18"/>
              </w:rPr>
              <w:t>12</w:t>
            </w:r>
            <w:r>
              <w:rPr>
                <w:rFonts w:ascii="宋体" w:hAnsi="宋体" w:cs="宋体" w:eastAsia="宋体" w:hint="default"/>
                <w:spacing w:val="-36"/>
                <w:sz w:val="18"/>
                <w:szCs w:val="18"/>
              </w:rPr>
              <w:t> </w:t>
            </w:r>
            <w:r>
              <w:rPr>
                <w:rFonts w:ascii="宋体" w:hAnsi="宋体" w:cs="宋体" w:eastAsia="宋体" w:hint="default"/>
                <w:sz w:val="18"/>
                <w:szCs w:val="18"/>
              </w:rPr>
              <w:t>月</w:t>
            </w:r>
            <w:r>
              <w:rPr>
                <w:rFonts w:ascii="宋体" w:hAnsi="宋体" w:cs="宋体" w:eastAsia="宋体" w:hint="default"/>
                <w:spacing w:val="-32"/>
                <w:sz w:val="18"/>
                <w:szCs w:val="18"/>
              </w:rPr>
              <w:t> </w:t>
            </w:r>
            <w:r>
              <w:rPr>
                <w:rFonts w:ascii="宋体" w:hAnsi="宋体" w:cs="宋体" w:eastAsia="宋体" w:hint="default"/>
                <w:sz w:val="18"/>
                <w:szCs w:val="18"/>
              </w:rPr>
              <w:t>31</w:t>
            </w:r>
            <w:r>
              <w:rPr>
                <w:rFonts w:ascii="宋体" w:hAnsi="宋体" w:cs="宋体" w:eastAsia="宋体" w:hint="default"/>
                <w:spacing w:val="-33"/>
                <w:sz w:val="18"/>
                <w:szCs w:val="18"/>
              </w:rPr>
              <w:t> </w:t>
            </w:r>
            <w:r>
              <w:rPr>
                <w:rFonts w:ascii="宋体" w:hAnsi="宋体" w:cs="宋体" w:eastAsia="宋体" w:hint="default"/>
                <w:spacing w:val="9"/>
                <w:sz w:val="18"/>
                <w:szCs w:val="18"/>
              </w:rPr>
              <w:t>日的总股本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103,548.9098</w:t>
            </w:r>
            <w:r>
              <w:rPr>
                <w:rFonts w:ascii="宋体" w:hAnsi="宋体" w:cs="宋体" w:eastAsia="宋体" w:hint="default"/>
                <w:spacing w:val="-40"/>
                <w:sz w:val="18"/>
                <w:szCs w:val="18"/>
              </w:rPr>
              <w:t> </w:t>
            </w:r>
            <w:r>
              <w:rPr>
                <w:rFonts w:ascii="宋体" w:hAnsi="宋体" w:cs="宋体" w:eastAsia="宋体" w:hint="default"/>
                <w:sz w:val="18"/>
                <w:szCs w:val="18"/>
              </w:rPr>
              <w:t>万股为基数,</w:t>
            </w:r>
            <w:r>
              <w:rPr>
                <w:rFonts w:ascii="宋体" w:hAnsi="宋体" w:cs="宋体" w:eastAsia="宋体" w:hint="default"/>
                <w:spacing w:val="11"/>
                <w:sz w:val="18"/>
                <w:szCs w:val="18"/>
              </w:rPr>
              <w:t> </w:t>
            </w:r>
            <w:r>
              <w:rPr>
                <w:rFonts w:ascii="宋体" w:hAnsi="宋体" w:cs="宋体" w:eastAsia="宋体" w:hint="default"/>
                <w:sz w:val="18"/>
                <w:szCs w:val="18"/>
              </w:rPr>
              <w:t>向全体股东每</w:t>
            </w:r>
            <w:r>
              <w:rPr>
                <w:rFonts w:ascii="宋体" w:hAnsi="宋体" w:cs="宋体" w:eastAsia="宋体" w:hint="default"/>
                <w:spacing w:val="-41"/>
                <w:sz w:val="18"/>
                <w:szCs w:val="18"/>
              </w:rPr>
              <w:t> </w:t>
            </w:r>
            <w:r>
              <w:rPr>
                <w:rFonts w:ascii="宋体" w:hAnsi="宋体" w:cs="宋体" w:eastAsia="宋体" w:hint="default"/>
                <w:sz w:val="18"/>
                <w:szCs w:val="18"/>
              </w:rPr>
              <w:t>10</w:t>
            </w:r>
            <w:r>
              <w:rPr>
                <w:rFonts w:ascii="宋体" w:hAnsi="宋体" w:cs="宋体" w:eastAsia="宋体" w:hint="default"/>
                <w:spacing w:val="-40"/>
                <w:sz w:val="18"/>
                <w:szCs w:val="18"/>
              </w:rPr>
              <w:t> </w:t>
            </w:r>
            <w:r>
              <w:rPr>
                <w:rFonts w:ascii="宋体" w:hAnsi="宋体" w:cs="宋体" w:eastAsia="宋体" w:hint="default"/>
                <w:sz w:val="18"/>
                <w:szCs w:val="18"/>
              </w:rPr>
              <w:t>股派发现金股利</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人民币</w:t>
            </w:r>
            <w:r>
              <w:rPr>
                <w:rFonts w:ascii="宋体" w:hAnsi="宋体" w:cs="宋体" w:eastAsia="宋体" w:hint="default"/>
                <w:spacing w:val="-46"/>
                <w:sz w:val="18"/>
                <w:szCs w:val="18"/>
              </w:rPr>
              <w:t> </w:t>
            </w:r>
            <w:r>
              <w:rPr>
                <w:rFonts w:ascii="宋体" w:hAnsi="宋体" w:cs="宋体" w:eastAsia="宋体" w:hint="default"/>
                <w:sz w:val="18"/>
                <w:szCs w:val="18"/>
              </w:rPr>
              <w:t>0.35</w:t>
            </w:r>
            <w:r>
              <w:rPr>
                <w:rFonts w:ascii="宋体" w:hAnsi="宋体" w:cs="宋体" w:eastAsia="宋体" w:hint="default"/>
                <w:spacing w:val="-49"/>
                <w:sz w:val="18"/>
                <w:szCs w:val="18"/>
              </w:rPr>
              <w:t> </w:t>
            </w:r>
            <w:r>
              <w:rPr>
                <w:rFonts w:ascii="宋体" w:hAnsi="宋体" w:cs="宋体" w:eastAsia="宋体" w:hint="default"/>
                <w:sz w:val="18"/>
                <w:szCs w:val="18"/>
              </w:rPr>
              <w:t>元(含税)。</w:t>
            </w:r>
          </w:p>
        </w:tc>
      </w:tr>
      <w:tr>
        <w:trPr>
          <w:trHeight w:val="486" w:hRule="exact"/>
        </w:trPr>
        <w:tc>
          <w:tcPr>
            <w:tcW w:w="365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8"/>
              <w:ind w:left="108"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5072" w:type="dxa"/>
            <w:tcBorders>
              <w:top w:val="single" w:sz="4" w:space="0" w:color="000000"/>
              <w:left w:val="single" w:sz="4" w:space="0" w:color="000000"/>
              <w:bottom w:val="single" w:sz="12" w:space="0" w:color="000000"/>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上述利润分配方案业经本公司</w:t>
            </w:r>
            <w:r>
              <w:rPr>
                <w:rFonts w:ascii="宋体" w:hAnsi="宋体" w:cs="宋体" w:eastAsia="宋体" w:hint="default"/>
                <w:spacing w:val="-43"/>
                <w:sz w:val="18"/>
                <w:szCs w:val="18"/>
              </w:rPr>
              <w:t> </w:t>
            </w:r>
            <w:r>
              <w:rPr>
                <w:rFonts w:ascii="宋体" w:hAnsi="宋体" w:cs="宋体" w:eastAsia="宋体" w:hint="default"/>
                <w:sz w:val="18"/>
                <w:szCs w:val="18"/>
              </w:rPr>
              <w:t>2020</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8"/>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11"/>
                <w:sz w:val="18"/>
                <w:szCs w:val="18"/>
              </w:rPr>
              <w:t> </w:t>
            </w:r>
            <w:r>
              <w:rPr>
                <w:rFonts w:ascii="宋体" w:hAnsi="宋体" w:cs="宋体" w:eastAsia="宋体" w:hint="default"/>
                <w:sz w:val="18"/>
                <w:szCs w:val="18"/>
              </w:rPr>
              <w:t>24</w:t>
            </w:r>
            <w:r>
              <w:rPr>
                <w:rFonts w:ascii="宋体" w:hAnsi="宋体" w:cs="宋体" w:eastAsia="宋体" w:hint="default"/>
                <w:spacing w:val="5"/>
                <w:sz w:val="18"/>
                <w:szCs w:val="18"/>
              </w:rPr>
              <w:t> </w:t>
            </w:r>
            <w:r>
              <w:rPr>
                <w:rFonts w:ascii="宋体" w:hAnsi="宋体" w:cs="宋体" w:eastAsia="宋体" w:hint="default"/>
                <w:sz w:val="18"/>
                <w:szCs w:val="18"/>
              </w:rPr>
              <w:t>日董事会决议</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通过，尚需经年度股东大会批准实施。</w:t>
            </w:r>
          </w:p>
        </w:tc>
      </w:tr>
    </w:tbl>
    <w:p>
      <w:pPr>
        <w:spacing w:line="240" w:lineRule="auto" w:before="3"/>
        <w:rPr>
          <w:rFonts w:ascii="宋体" w:hAnsi="宋体" w:cs="宋体" w:eastAsia="宋体" w:hint="default"/>
          <w:sz w:val="9"/>
          <w:szCs w:val="9"/>
        </w:rPr>
      </w:pPr>
    </w:p>
    <w:p>
      <w:pPr>
        <w:pStyle w:val="BodyText"/>
        <w:spacing w:line="295" w:lineRule="auto"/>
        <w:ind w:left="241" w:right="1697" w:firstLine="499"/>
        <w:jc w:val="both"/>
      </w:pPr>
      <w:r>
        <w:rPr>
          <w:rFonts w:ascii="Times New Roman" w:hAnsi="Times New Roman" w:cs="Times New Roman" w:eastAsia="Times New Roman" w:hint="default"/>
        </w:rPr>
        <w:t>2.</w:t>
      </w:r>
      <w:r>
        <w:rPr>
          <w:rFonts w:ascii="Times New Roman" w:hAnsi="Times New Roman" w:cs="Times New Roman" w:eastAsia="Times New Roman" w:hint="default"/>
          <w:spacing w:val="36"/>
        </w:rPr>
        <w:t> </w:t>
      </w:r>
      <w:bookmarkStart w:name="2.2020年2月10日，本公司之子公司万马奔腾新能源产业集团有限公司与浙江万马" w:id="396"/>
      <w:bookmarkEnd w:id="396"/>
      <w:r>
        <w:rPr>
          <w:rFonts w:ascii="Times New Roman" w:hAnsi="Times New Roman" w:cs="Times New Roman" w:eastAsia="Times New Roman" w:hint="default"/>
          <w:spacing w:val="36"/>
        </w:rPr>
      </w:r>
      <w:r>
        <w:rPr/>
        <w:t>2020</w:t>
      </w:r>
      <w:r>
        <w:rPr>
          <w:spacing w:val="-50"/>
        </w:rPr>
        <w:t> </w:t>
      </w:r>
      <w:r>
        <w:rPr/>
        <w:t>年</w:t>
      </w:r>
      <w:r>
        <w:rPr>
          <w:spacing w:val="-50"/>
        </w:rPr>
        <w:t> </w:t>
      </w:r>
      <w:r>
        <w:rPr/>
        <w:t>2</w:t>
      </w:r>
      <w:r>
        <w:rPr>
          <w:spacing w:val="-48"/>
        </w:rPr>
        <w:t> </w:t>
      </w:r>
      <w:r>
        <w:rPr/>
        <w:t>月</w:t>
      </w:r>
      <w:r>
        <w:rPr>
          <w:spacing w:val="-50"/>
        </w:rPr>
        <w:t> </w:t>
      </w:r>
      <w:r>
        <w:rPr/>
        <w:t>10</w:t>
      </w:r>
      <w:r>
        <w:rPr>
          <w:spacing w:val="-48"/>
        </w:rPr>
        <w:t> </w:t>
      </w:r>
      <w:r>
        <w:rPr/>
        <w:t>日，本公司之子公司万马奔腾新能源产业集团有限公司与浙江万</w:t>
      </w:r>
      <w:r>
        <w:rPr>
          <w:w w:val="100"/>
        </w:rPr>
        <w:t> </w:t>
      </w:r>
      <w:r>
        <w:rPr>
          <w:spacing w:val="-4"/>
        </w:rPr>
        <w:t>马智能科技集团有限公司签署《股权转让协议书》，万马奔腾新能源产业集团有限公司以</w:t>
      </w:r>
      <w:r>
        <w:rPr>
          <w:spacing w:val="-51"/>
        </w:rPr>
        <w:t> </w:t>
      </w:r>
      <w:r>
        <w:rPr>
          <w:spacing w:val="-51"/>
        </w:rPr>
      </w:r>
      <w:r>
        <w:rPr/>
        <w:t>现金购买浙江万马智能科技集团有限公司所持有的浙江万马新能源有限公司</w:t>
      </w:r>
      <w:r>
        <w:rPr>
          <w:spacing w:val="-64"/>
        </w:rPr>
        <w:t> </w:t>
      </w:r>
      <w:r>
        <w:rPr>
          <w:spacing w:val="-4"/>
        </w:rPr>
        <w:t>30%股权，作</w:t>
      </w:r>
      <w:r>
        <w:rPr>
          <w:w w:val="100"/>
        </w:rPr>
        <w:t> </w:t>
      </w:r>
      <w:r>
        <w:rPr/>
        <w:t>价基础为浙江万马新能源有限公司</w:t>
      </w:r>
      <w:r>
        <w:rPr>
          <w:spacing w:val="-53"/>
        </w:rPr>
        <w:t> </w:t>
      </w:r>
      <w:r>
        <w:rPr/>
        <w:t>2019</w:t>
      </w:r>
      <w:r>
        <w:rPr>
          <w:spacing w:val="-53"/>
        </w:rPr>
        <w:t> </w:t>
      </w:r>
      <w:r>
        <w:rPr/>
        <w:t>年</w:t>
      </w:r>
      <w:r>
        <w:rPr>
          <w:spacing w:val="-53"/>
        </w:rPr>
        <w:t> </w:t>
      </w:r>
      <w:r>
        <w:rPr/>
        <w:t>12</w:t>
      </w:r>
      <w:r>
        <w:rPr>
          <w:spacing w:val="-53"/>
        </w:rPr>
        <w:t> </w:t>
      </w:r>
      <w:r>
        <w:rPr/>
        <w:t>月</w:t>
      </w:r>
      <w:r>
        <w:rPr>
          <w:spacing w:val="-53"/>
        </w:rPr>
        <w:t> </w:t>
      </w:r>
      <w:r>
        <w:rPr/>
        <w:t>31</w:t>
      </w:r>
      <w:r>
        <w:rPr>
          <w:spacing w:val="-53"/>
        </w:rPr>
        <w:t> </w:t>
      </w:r>
      <w:r>
        <w:rPr/>
        <w:t>日账面净资产价值。浙江万马新能源</w:t>
      </w:r>
    </w:p>
    <w:p>
      <w:pPr>
        <w:pStyle w:val="BodyText"/>
        <w:spacing w:line="300" w:lineRule="auto" w:before="21"/>
        <w:ind w:left="241" w:right="1445"/>
        <w:jc w:val="left"/>
      </w:pPr>
      <w:r>
        <w:rPr/>
        <w:t>有限公司已于</w:t>
      </w:r>
      <w:r>
        <w:rPr>
          <w:spacing w:val="-49"/>
        </w:rPr>
        <w:t> </w:t>
      </w:r>
      <w:r>
        <w:rPr/>
        <w:t>2020</w:t>
      </w:r>
      <w:r>
        <w:rPr>
          <w:spacing w:val="-52"/>
        </w:rPr>
        <w:t> </w:t>
      </w:r>
      <w:r>
        <w:rPr/>
        <w:t>年</w:t>
      </w:r>
      <w:r>
        <w:rPr>
          <w:spacing w:val="-52"/>
        </w:rPr>
        <w:t> </w:t>
      </w:r>
      <w:r>
        <w:rPr/>
        <w:t>3</w:t>
      </w:r>
      <w:r>
        <w:rPr>
          <w:spacing w:val="-49"/>
        </w:rPr>
        <w:t> </w:t>
      </w:r>
      <w:r>
        <w:rPr/>
        <w:t>月</w:t>
      </w:r>
      <w:r>
        <w:rPr>
          <w:spacing w:val="-49"/>
        </w:rPr>
        <w:t> </w:t>
      </w:r>
      <w:r>
        <w:rPr/>
        <w:t>30</w:t>
      </w:r>
      <w:r>
        <w:rPr>
          <w:spacing w:val="-52"/>
        </w:rPr>
        <w:t> </w:t>
      </w:r>
      <w:r>
        <w:rPr>
          <w:spacing w:val="-5"/>
        </w:rPr>
        <w:t>日完成股权变更及备案。本次股权转让完成后，浙江万马新</w:t>
      </w:r>
      <w:r>
        <w:rPr>
          <w:spacing w:val="-107"/>
        </w:rPr>
        <w:t> </w:t>
      </w:r>
      <w:r>
        <w:rPr>
          <w:spacing w:val="-107"/>
        </w:rPr>
      </w:r>
      <w:r>
        <w:rPr/>
        <w:t>能源有限公司为万马奔腾新能源产业集团有限公司全资子公司。</w:t>
      </w:r>
    </w:p>
    <w:p>
      <w:pPr>
        <w:pStyle w:val="BodyText"/>
        <w:spacing w:line="283" w:lineRule="auto" w:before="137"/>
        <w:ind w:left="241" w:right="1738" w:firstLine="499"/>
        <w:jc w:val="both"/>
      </w:pPr>
      <w:r>
        <w:rPr>
          <w:rFonts w:ascii="Times New Roman" w:hAnsi="Times New Roman" w:cs="Times New Roman" w:eastAsia="Times New Roman" w:hint="default"/>
          <w:spacing w:val="6"/>
        </w:rPr>
        <w:t>3. </w:t>
      </w:r>
      <w:bookmarkStart w:name="3.除存在上述资产负债表日后事项披露事项外，本集团无其他需要披露的重大资产负债表" w:id="397"/>
      <w:bookmarkEnd w:id="397"/>
      <w:r>
        <w:rPr>
          <w:rFonts w:ascii="Times New Roman" w:hAnsi="Times New Roman" w:cs="Times New Roman" w:eastAsia="Times New Roman" w:hint="default"/>
          <w:spacing w:val="6"/>
        </w:rPr>
      </w:r>
      <w:r>
        <w:rPr/>
        <w:t>除</w:t>
      </w:r>
      <w:r>
        <w:rPr>
          <w:spacing w:val="-71"/>
        </w:rPr>
        <w:t> </w:t>
      </w:r>
      <w:r>
        <w:rPr/>
        <w:t>存</w:t>
      </w:r>
      <w:r>
        <w:rPr>
          <w:spacing w:val="-69"/>
        </w:rPr>
        <w:t> </w:t>
      </w:r>
      <w:r>
        <w:rPr/>
        <w:t>在</w:t>
      </w:r>
      <w:r>
        <w:rPr>
          <w:spacing w:val="-71"/>
        </w:rPr>
        <w:t> </w:t>
      </w:r>
      <w:r>
        <w:rPr/>
        <w:t>上</w:t>
      </w:r>
      <w:r>
        <w:rPr>
          <w:spacing w:val="-71"/>
        </w:rPr>
        <w:t> </w:t>
      </w:r>
      <w:r>
        <w:rPr/>
        <w:t>述</w:t>
      </w:r>
      <w:r>
        <w:rPr>
          <w:spacing w:val="-69"/>
        </w:rPr>
        <w:t> </w:t>
      </w:r>
      <w:r>
        <w:rPr/>
        <w:t>资</w:t>
      </w:r>
      <w:r>
        <w:rPr>
          <w:spacing w:val="-71"/>
        </w:rPr>
        <w:t> </w:t>
      </w:r>
      <w:r>
        <w:rPr/>
        <w:t>产</w:t>
      </w:r>
      <w:r>
        <w:rPr>
          <w:spacing w:val="-71"/>
        </w:rPr>
        <w:t> </w:t>
      </w:r>
      <w:r>
        <w:rPr/>
        <w:t>负</w:t>
      </w:r>
      <w:r>
        <w:rPr>
          <w:spacing w:val="-69"/>
        </w:rPr>
        <w:t> </w:t>
      </w:r>
      <w:r>
        <w:rPr/>
        <w:t>债</w:t>
      </w:r>
      <w:r>
        <w:rPr>
          <w:spacing w:val="-71"/>
        </w:rPr>
        <w:t> </w:t>
      </w:r>
      <w:r>
        <w:rPr/>
        <w:t>表</w:t>
      </w:r>
      <w:r>
        <w:rPr>
          <w:spacing w:val="-71"/>
        </w:rPr>
        <w:t> </w:t>
      </w:r>
      <w:r>
        <w:rPr/>
        <w:t>日</w:t>
      </w:r>
      <w:r>
        <w:rPr>
          <w:spacing w:val="-69"/>
        </w:rPr>
        <w:t> </w:t>
      </w:r>
      <w:r>
        <w:rPr/>
        <w:t>后</w:t>
      </w:r>
      <w:r>
        <w:rPr>
          <w:spacing w:val="-71"/>
        </w:rPr>
        <w:t> </w:t>
      </w:r>
      <w:r>
        <w:rPr/>
        <w:t>事</w:t>
      </w:r>
      <w:r>
        <w:rPr>
          <w:spacing w:val="-71"/>
        </w:rPr>
        <w:t> </w:t>
      </w:r>
      <w:r>
        <w:rPr/>
        <w:t>项</w:t>
      </w:r>
      <w:r>
        <w:rPr>
          <w:spacing w:val="-69"/>
        </w:rPr>
        <w:t> </w:t>
      </w:r>
      <w:r>
        <w:rPr/>
        <w:t>披</w:t>
      </w:r>
      <w:r>
        <w:rPr>
          <w:spacing w:val="-71"/>
        </w:rPr>
        <w:t> </w:t>
      </w:r>
      <w:r>
        <w:rPr/>
        <w:t>露</w:t>
      </w:r>
      <w:r>
        <w:rPr>
          <w:spacing w:val="-71"/>
        </w:rPr>
        <w:t> </w:t>
      </w:r>
      <w:r>
        <w:rPr/>
        <w:t>事</w:t>
      </w:r>
      <w:r>
        <w:rPr>
          <w:spacing w:val="-69"/>
        </w:rPr>
        <w:t> </w:t>
      </w:r>
      <w:r>
        <w:rPr/>
        <w:t>项</w:t>
      </w:r>
      <w:r>
        <w:rPr>
          <w:spacing w:val="-71"/>
        </w:rPr>
        <w:t> </w:t>
      </w:r>
      <w:r>
        <w:rPr/>
        <w:t>外</w:t>
      </w:r>
      <w:r>
        <w:rPr>
          <w:spacing w:val="-71"/>
        </w:rPr>
        <w:t> </w:t>
      </w:r>
      <w:r>
        <w:rPr>
          <w:spacing w:val="-27"/>
        </w:rPr>
        <w:t>，本</w:t>
      </w:r>
      <w:r>
        <w:rPr>
          <w:spacing w:val="-71"/>
        </w:rPr>
        <w:t> </w:t>
      </w:r>
      <w:r>
        <w:rPr/>
        <w:t>集</w:t>
      </w:r>
      <w:r>
        <w:rPr>
          <w:spacing w:val="-69"/>
        </w:rPr>
        <w:t> </w:t>
      </w:r>
      <w:r>
        <w:rPr/>
        <w:t>团</w:t>
      </w:r>
      <w:r>
        <w:rPr>
          <w:spacing w:val="-71"/>
        </w:rPr>
        <w:t> </w:t>
      </w:r>
      <w:r>
        <w:rPr/>
        <w:t>无</w:t>
      </w:r>
      <w:r>
        <w:rPr>
          <w:spacing w:val="-71"/>
        </w:rPr>
        <w:t> </w:t>
      </w:r>
      <w:r>
        <w:rPr/>
        <w:t>其</w:t>
      </w:r>
      <w:r>
        <w:rPr>
          <w:spacing w:val="-69"/>
        </w:rPr>
        <w:t> </w:t>
      </w:r>
      <w:r>
        <w:rPr/>
        <w:t>他</w:t>
      </w:r>
      <w:r>
        <w:rPr>
          <w:spacing w:val="-71"/>
        </w:rPr>
        <w:t> </w:t>
      </w:r>
      <w:r>
        <w:rPr/>
        <w:t>需</w:t>
      </w:r>
      <w:r>
        <w:rPr>
          <w:spacing w:val="-71"/>
        </w:rPr>
        <w:t> </w:t>
      </w:r>
      <w:r>
        <w:rPr/>
        <w:t>要</w:t>
      </w:r>
      <w:r>
        <w:rPr>
          <w:spacing w:val="-69"/>
        </w:rPr>
        <w:t> </w:t>
      </w:r>
      <w:r>
        <w:rPr/>
        <w:t>披</w:t>
      </w:r>
      <w:r>
        <w:rPr>
          <w:spacing w:val="-71"/>
        </w:rPr>
        <w:t> </w:t>
      </w:r>
      <w:r>
        <w:rPr/>
        <w:t>露</w:t>
      </w:r>
      <w:r>
        <w:rPr>
          <w:w w:val="100"/>
        </w:rPr>
        <w:t> </w:t>
      </w:r>
      <w:r>
        <w:rPr/>
        <w:t>的</w:t>
      </w:r>
      <w:r>
        <w:rPr>
          <w:spacing w:val="-71"/>
        </w:rPr>
        <w:t> </w:t>
      </w:r>
      <w:r>
        <w:rPr/>
        <w:t>重</w:t>
      </w:r>
      <w:r>
        <w:rPr>
          <w:spacing w:val="-69"/>
        </w:rPr>
        <w:t> </w:t>
      </w:r>
      <w:r>
        <w:rPr/>
        <w:t>大</w:t>
      </w:r>
      <w:r>
        <w:rPr>
          <w:spacing w:val="-71"/>
        </w:rPr>
        <w:t> </w:t>
      </w:r>
      <w:r>
        <w:rPr/>
        <w:t>资</w:t>
      </w:r>
      <w:r>
        <w:rPr>
          <w:spacing w:val="-71"/>
        </w:rPr>
        <w:t> </w:t>
      </w:r>
      <w:r>
        <w:rPr/>
        <w:t>产</w:t>
      </w:r>
      <w:r>
        <w:rPr>
          <w:spacing w:val="-69"/>
        </w:rPr>
        <w:t> </w:t>
      </w:r>
      <w:r>
        <w:rPr/>
        <w:t>负</w:t>
      </w:r>
      <w:r>
        <w:rPr>
          <w:spacing w:val="-71"/>
        </w:rPr>
        <w:t> </w:t>
      </w:r>
      <w:r>
        <w:rPr/>
        <w:t>债</w:t>
      </w:r>
      <w:r>
        <w:rPr>
          <w:spacing w:val="-71"/>
        </w:rPr>
        <w:t> </w:t>
      </w:r>
      <w:r>
        <w:rPr/>
        <w:t>表</w:t>
      </w:r>
      <w:r>
        <w:rPr>
          <w:spacing w:val="-69"/>
        </w:rPr>
        <w:t> </w:t>
      </w:r>
      <w:r>
        <w:rPr/>
        <w:t>日</w:t>
      </w:r>
      <w:r>
        <w:rPr>
          <w:spacing w:val="-71"/>
        </w:rPr>
        <w:t> </w:t>
      </w:r>
      <w:r>
        <w:rPr/>
        <w:t>后</w:t>
      </w:r>
      <w:r>
        <w:rPr>
          <w:spacing w:val="-71"/>
        </w:rPr>
        <w:t> </w:t>
      </w:r>
      <w:r>
        <w:rPr/>
        <w:t>事</w:t>
      </w:r>
      <w:r>
        <w:rPr>
          <w:spacing w:val="-69"/>
        </w:rPr>
        <w:t> </w:t>
      </w:r>
      <w:r>
        <w:rPr/>
        <w:t>项</w:t>
      </w:r>
      <w:r>
        <w:rPr>
          <w:spacing w:val="-71"/>
        </w:rPr>
        <w:t> </w:t>
      </w:r>
      <w:r>
        <w:rPr/>
        <w:t>。</w:t>
      </w:r>
    </w:p>
    <w:p>
      <w:pPr>
        <w:spacing w:line="240" w:lineRule="auto" w:before="11"/>
        <w:rPr>
          <w:rFonts w:ascii="宋体" w:hAnsi="宋体" w:cs="宋体" w:eastAsia="宋体" w:hint="default"/>
          <w:sz w:val="20"/>
          <w:szCs w:val="20"/>
        </w:rPr>
      </w:pPr>
    </w:p>
    <w:p>
      <w:pPr>
        <w:pStyle w:val="Heading4"/>
        <w:spacing w:line="400" w:lineRule="auto"/>
        <w:ind w:left="760" w:right="8208" w:hanging="60"/>
        <w:jc w:val="left"/>
        <w:rPr>
          <w:rFonts w:ascii="宋体" w:hAnsi="宋体" w:cs="宋体" w:eastAsia="宋体" w:hint="default"/>
          <w:b w:val="0"/>
          <w:bCs w:val="0"/>
        </w:rPr>
      </w:pPr>
      <w:bookmarkStart w:name="其他重要事项" w:id="398"/>
      <w:bookmarkEnd w:id="398"/>
      <w:r>
        <w:rPr>
          <w:b w:val="0"/>
          <w:bCs w:val="0"/>
        </w:rPr>
      </w:r>
      <w:r>
        <w:rPr/>
        <w:t>其</w:t>
      </w:r>
      <w:r>
        <w:rPr>
          <w:spacing w:val="-71"/>
        </w:rPr>
        <w:t> </w:t>
      </w:r>
      <w:r>
        <w:rPr/>
        <w:t>他</w:t>
      </w:r>
      <w:r>
        <w:rPr>
          <w:spacing w:val="-73"/>
        </w:rPr>
        <w:t> </w:t>
      </w:r>
      <w:r>
        <w:rPr/>
        <w:t>重</w:t>
      </w:r>
      <w:r>
        <w:rPr>
          <w:spacing w:val="-71"/>
        </w:rPr>
        <w:t> </w:t>
      </w:r>
      <w:r>
        <w:rPr/>
        <w:t>要</w:t>
      </w:r>
      <w:r>
        <w:rPr>
          <w:spacing w:val="-71"/>
        </w:rPr>
        <w:t> </w:t>
      </w:r>
      <w:r>
        <w:rPr/>
        <w:t>事</w:t>
      </w:r>
      <w:r>
        <w:rPr>
          <w:spacing w:val="-73"/>
        </w:rPr>
        <w:t> </w:t>
      </w:r>
      <w:r>
        <w:rPr/>
        <w:t>项</w:t>
      </w:r>
      <w:r>
        <w:rPr>
          <w:w w:val="100"/>
        </w:rPr>
        <w:t> </w:t>
      </w:r>
      <w:r>
        <w:rPr>
          <w:rFonts w:ascii="宋体" w:hAnsi="宋体" w:cs="宋体" w:eastAsia="宋体" w:hint="default"/>
          <w:b w:val="0"/>
          <w:bCs w:val="0"/>
        </w:rPr>
        <w:t>无</w:t>
      </w:r>
    </w:p>
    <w:p>
      <w:pPr>
        <w:pStyle w:val="Heading4"/>
        <w:spacing w:line="444" w:lineRule="auto" w:before="164"/>
        <w:ind w:left="666" w:right="5608" w:firstLine="33"/>
        <w:jc w:val="left"/>
        <w:rPr>
          <w:rFonts w:ascii="宋体" w:hAnsi="宋体" w:cs="宋体" w:eastAsia="宋体" w:hint="default"/>
          <w:b w:val="0"/>
          <w:bCs w:val="0"/>
        </w:rPr>
      </w:pPr>
      <w:bookmarkStart w:name="十七、母公司财务报表主要项目注释" w:id="399"/>
      <w:bookmarkEnd w:id="399"/>
      <w:r>
        <w:rPr>
          <w:b w:val="0"/>
          <w:bCs w:val="0"/>
        </w:rPr>
      </w:r>
      <w:r>
        <w:rPr/>
        <w:t>十</w:t>
      </w:r>
      <w:r>
        <w:rPr>
          <w:spacing w:val="-71"/>
        </w:rPr>
        <w:t> </w:t>
      </w:r>
      <w:r>
        <w:rPr/>
        <w:t>七</w:t>
      </w:r>
      <w:r>
        <w:rPr>
          <w:spacing w:val="-73"/>
        </w:rPr>
        <w:t> </w:t>
      </w:r>
      <w:r>
        <w:rPr/>
        <w:t>、</w:t>
      </w:r>
      <w:r>
        <w:rPr>
          <w:spacing w:val="-71"/>
        </w:rPr>
        <w:t> </w:t>
      </w:r>
      <w:r>
        <w:rPr/>
        <w:t>母</w:t>
      </w:r>
      <w:r>
        <w:rPr>
          <w:spacing w:val="-71"/>
        </w:rPr>
        <w:t> </w:t>
      </w:r>
      <w:r>
        <w:rPr/>
        <w:t>公</w:t>
      </w:r>
      <w:r>
        <w:rPr>
          <w:spacing w:val="-73"/>
        </w:rPr>
        <w:t> </w:t>
      </w:r>
      <w:r>
        <w:rPr/>
        <w:t>司</w:t>
      </w:r>
      <w:r>
        <w:rPr>
          <w:spacing w:val="-71"/>
        </w:rPr>
        <w:t> </w:t>
      </w:r>
      <w:r>
        <w:rPr/>
        <w:t>财</w:t>
      </w:r>
      <w:r>
        <w:rPr>
          <w:spacing w:val="-71"/>
        </w:rPr>
        <w:t> </w:t>
      </w:r>
      <w:r>
        <w:rPr/>
        <w:t>务</w:t>
      </w:r>
      <w:r>
        <w:rPr>
          <w:spacing w:val="-71"/>
        </w:rPr>
        <w:t> </w:t>
      </w:r>
      <w:r>
        <w:rPr/>
        <w:t>报</w:t>
      </w:r>
      <w:r>
        <w:rPr>
          <w:spacing w:val="-73"/>
        </w:rPr>
        <w:t> </w:t>
      </w:r>
      <w:r>
        <w:rPr/>
        <w:t>表</w:t>
      </w:r>
      <w:r>
        <w:rPr>
          <w:spacing w:val="-71"/>
        </w:rPr>
        <w:t> </w:t>
      </w:r>
      <w:r>
        <w:rPr/>
        <w:t>主</w:t>
      </w:r>
      <w:r>
        <w:rPr>
          <w:spacing w:val="-71"/>
        </w:rPr>
        <w:t> </w:t>
      </w:r>
      <w:r>
        <w:rPr/>
        <w:t>要</w:t>
      </w:r>
      <w:r>
        <w:rPr>
          <w:spacing w:val="-73"/>
        </w:rPr>
        <w:t> </w:t>
      </w:r>
      <w:r>
        <w:rPr/>
        <w:t>项</w:t>
      </w:r>
      <w:r>
        <w:rPr>
          <w:spacing w:val="-71"/>
        </w:rPr>
        <w:t> </w:t>
      </w:r>
      <w:r>
        <w:rPr/>
        <w:t>目</w:t>
      </w:r>
      <w:r>
        <w:rPr>
          <w:spacing w:val="-71"/>
        </w:rPr>
        <w:t> </w:t>
      </w:r>
      <w:r>
        <w:rPr/>
        <w:t>注</w:t>
      </w:r>
      <w:r>
        <w:rPr>
          <w:spacing w:val="-73"/>
        </w:rPr>
        <w:t> </w:t>
      </w:r>
      <w:r>
        <w:rPr/>
        <w:t>释</w:t>
      </w:r>
      <w:r>
        <w:rPr>
          <w:w w:val="100"/>
        </w:rPr>
        <w:t> </w:t>
      </w:r>
      <w:r>
        <w:rPr>
          <w:rFonts w:ascii="宋体" w:hAnsi="宋体" w:cs="宋体" w:eastAsia="宋体" w:hint="default"/>
          <w:b w:val="0"/>
          <w:bCs w:val="0"/>
        </w:rPr>
        <w:t>1.</w:t>
      </w:r>
      <w:r>
        <w:rPr>
          <w:rFonts w:ascii="宋体" w:hAnsi="宋体" w:cs="宋体" w:eastAsia="宋体" w:hint="default"/>
          <w:b w:val="0"/>
          <w:bCs w:val="0"/>
          <w:spacing w:val="42"/>
        </w:rPr>
        <w:t> </w:t>
      </w:r>
      <w:bookmarkStart w:name="1.应收账款" w:id="400"/>
      <w:bookmarkEnd w:id="400"/>
      <w:r>
        <w:rPr>
          <w:rFonts w:ascii="宋体" w:hAnsi="宋体" w:cs="宋体" w:eastAsia="宋体" w:hint="default"/>
          <w:b w:val="0"/>
          <w:bCs w:val="0"/>
        </w:rPr>
        <w:t>应</w:t>
      </w:r>
      <w:r>
        <w:rPr>
          <w:rFonts w:ascii="宋体" w:hAnsi="宋体" w:cs="宋体" w:eastAsia="宋体" w:hint="default"/>
          <w:b w:val="0"/>
          <w:bCs w:val="0"/>
        </w:rPr>
        <w:t>收账款</w:t>
      </w:r>
    </w:p>
    <w:p>
      <w:pPr>
        <w:pStyle w:val="BodyText"/>
        <w:spacing w:line="240" w:lineRule="auto" w:before="192"/>
        <w:ind w:left="666" w:right="1445"/>
        <w:jc w:val="left"/>
      </w:pPr>
      <w:r>
        <w:rPr>
          <w:spacing w:val="-1"/>
        </w:rPr>
        <w:t>（1）</w:t>
      </w:r>
      <w:r>
        <w:rPr>
          <w:spacing w:val="-65"/>
        </w:rPr>
        <w:t> </w:t>
      </w:r>
      <w:bookmarkStart w:name="（1）应收账款按坏账计提方法分类列示" w:id="401"/>
      <w:bookmarkEnd w:id="401"/>
      <w:r>
        <w:rPr>
          <w:spacing w:val="-2"/>
        </w:rPr>
        <w:t>应</w:t>
      </w:r>
      <w:r>
        <w:rPr>
          <w:spacing w:val="-2"/>
        </w:rPr>
        <w:t>收账款按坏账计提方法分类列示</w:t>
      </w:r>
    </w:p>
    <w:p>
      <w:pPr>
        <w:spacing w:line="240" w:lineRule="auto" w:before="7"/>
        <w:rPr>
          <w:rFonts w:ascii="宋体" w:hAnsi="宋体" w:cs="宋体" w:eastAsia="宋体" w:hint="default"/>
          <w:sz w:val="16"/>
          <w:szCs w:val="16"/>
        </w:rPr>
      </w:pPr>
    </w:p>
    <w:tbl>
      <w:tblPr>
        <w:tblW w:w="0" w:type="auto"/>
        <w:jc w:val="left"/>
        <w:tblInd w:w="111" w:type="dxa"/>
        <w:tblLayout w:type="fixed"/>
        <w:tblCellMar>
          <w:top w:w="0" w:type="dxa"/>
          <w:left w:w="0" w:type="dxa"/>
          <w:bottom w:w="0" w:type="dxa"/>
          <w:right w:w="0" w:type="dxa"/>
        </w:tblCellMar>
        <w:tblLook w:val="01E0"/>
      </w:tblPr>
      <w:tblGrid>
        <w:gridCol w:w="1950"/>
        <w:gridCol w:w="1844"/>
        <w:gridCol w:w="708"/>
        <w:gridCol w:w="1560"/>
        <w:gridCol w:w="850"/>
        <w:gridCol w:w="1811"/>
      </w:tblGrid>
      <w:tr>
        <w:trPr>
          <w:trHeight w:val="425" w:hRule="exact"/>
        </w:trPr>
        <w:tc>
          <w:tcPr>
            <w:tcW w:w="1950"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773"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407" w:hRule="exact"/>
        </w:trPr>
        <w:tc>
          <w:tcPr>
            <w:tcW w:w="1950" w:type="dxa"/>
            <w:vMerge/>
            <w:tcBorders>
              <w:left w:val="nil" w:sz="6" w:space="0" w:color="auto"/>
              <w:right w:val="single" w:sz="4" w:space="0" w:color="000000"/>
            </w:tcBorders>
          </w:tcPr>
          <w:p>
            <w:pP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811" w:type="dxa"/>
            <w:vMerge w:val="restart"/>
            <w:tcBorders>
              <w:top w:val="single" w:sz="4" w:space="0" w:color="000000"/>
              <w:left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77" w:hRule="exact"/>
        </w:trPr>
        <w:tc>
          <w:tcPr>
            <w:tcW w:w="1950" w:type="dxa"/>
            <w:vMerge/>
            <w:tcBorders>
              <w:left w:val="nil" w:sz="6" w:space="0" w:color="auto"/>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214" w:right="0"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pStyle w:val="TableParagraph"/>
              <w:spacing w:line="234" w:lineRule="exact"/>
              <w:ind w:left="214" w:right="0"/>
              <w:jc w:val="left"/>
              <w:rPr>
                <w:rFonts w:ascii="宋体" w:hAnsi="宋体" w:cs="宋体" w:eastAsia="宋体" w:hint="default"/>
                <w:sz w:val="18"/>
                <w:szCs w:val="18"/>
              </w:rPr>
            </w:pPr>
            <w:r>
              <w:rPr>
                <w:rFonts w:ascii="宋体"/>
                <w:b/>
                <w:sz w:val="18"/>
              </w:rPr>
              <w:t>(%)</w:t>
            </w:r>
            <w:r>
              <w:rPr>
                <w:rFonts w:ascii="宋体"/>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95" w:right="0" w:hanging="46"/>
              <w:jc w:val="left"/>
              <w:rPr>
                <w:rFonts w:ascii="宋体" w:hAnsi="宋体" w:cs="宋体" w:eastAsia="宋体" w:hint="default"/>
                <w:sz w:val="18"/>
                <w:szCs w:val="18"/>
              </w:rPr>
            </w:pPr>
            <w:r>
              <w:rPr>
                <w:rFonts w:ascii="宋体" w:hAnsi="宋体" w:cs="宋体" w:eastAsia="宋体" w:hint="default"/>
                <w:b/>
                <w:bCs/>
                <w:sz w:val="18"/>
                <w:szCs w:val="18"/>
              </w:rPr>
              <w:t>计提比</w:t>
            </w:r>
            <w:r>
              <w:rPr>
                <w:rFonts w:ascii="宋体" w:hAnsi="宋体" w:cs="宋体" w:eastAsia="宋体" w:hint="default"/>
                <w:sz w:val="18"/>
                <w:szCs w:val="18"/>
              </w:rPr>
            </w:r>
          </w:p>
          <w:p>
            <w:pPr>
              <w:pStyle w:val="TableParagraph"/>
              <w:spacing w:line="234" w:lineRule="exact"/>
              <w:ind w:left="195" w:right="0"/>
              <w:jc w:val="left"/>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tc>
        <w:tc>
          <w:tcPr>
            <w:tcW w:w="1811" w:type="dxa"/>
            <w:vMerge/>
            <w:tcBorders>
              <w:left w:val="single" w:sz="4" w:space="0" w:color="000000"/>
              <w:bottom w:val="single" w:sz="4" w:space="0" w:color="000000"/>
              <w:right w:val="nil" w:sz="6" w:space="0" w:color="auto"/>
            </w:tcBorders>
          </w:tcPr>
          <w:p>
            <w:pPr/>
          </w:p>
        </w:tc>
      </w:tr>
      <w:tr>
        <w:trPr>
          <w:trHeight w:val="407" w:hRule="exact"/>
        </w:trPr>
        <w:tc>
          <w:tcPr>
            <w:tcW w:w="19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72"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24,690,247.75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z w:val="18"/>
              </w:rPr>
              <w:t>1.26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14,814,148.65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60.00</w:t>
            </w:r>
          </w:p>
        </w:tc>
        <w:tc>
          <w:tcPr>
            <w:tcW w:w="1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9,876,099.10</w:t>
            </w:r>
          </w:p>
        </w:tc>
      </w:tr>
      <w:tr>
        <w:trPr>
          <w:trHeight w:val="407" w:hRule="exact"/>
        </w:trPr>
        <w:tc>
          <w:tcPr>
            <w:tcW w:w="19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72"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1,931,152,651.46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98.74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109,251,693.85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z w:val="18"/>
              </w:rPr>
              <w:t>5.66</w:t>
            </w:r>
          </w:p>
        </w:tc>
        <w:tc>
          <w:tcPr>
            <w:tcW w:w="1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1,821,900,957.61</w:t>
            </w:r>
          </w:p>
        </w:tc>
      </w:tr>
      <w:tr>
        <w:trPr>
          <w:trHeight w:val="405" w:hRule="exact"/>
        </w:trPr>
        <w:tc>
          <w:tcPr>
            <w:tcW w:w="19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72" w:right="0"/>
              <w:jc w:val="left"/>
              <w:rPr>
                <w:rFonts w:ascii="宋体" w:hAnsi="宋体" w:cs="宋体" w:eastAsia="宋体" w:hint="default"/>
                <w:sz w:val="18"/>
                <w:szCs w:val="18"/>
              </w:rPr>
            </w:pPr>
            <w:r>
              <w:rPr>
                <w:rFonts w:ascii="宋体" w:hAnsi="宋体" w:cs="宋体" w:eastAsia="宋体" w:hint="default"/>
                <w:sz w:val="18"/>
                <w:szCs w:val="18"/>
              </w:rPr>
              <w:t>其中：账龄组合</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1,858,294,090.76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95.01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109,251,693.85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z w:val="18"/>
              </w:rPr>
              <w:t>5.88</w:t>
            </w:r>
          </w:p>
        </w:tc>
        <w:tc>
          <w:tcPr>
            <w:tcW w:w="1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1,749,042,396.91</w:t>
            </w:r>
          </w:p>
        </w:tc>
      </w:tr>
    </w:tbl>
    <w:p>
      <w:pPr>
        <w:spacing w:after="0" w:line="240" w:lineRule="auto"/>
        <w:jc w:val="right"/>
        <w:rPr>
          <w:rFonts w:ascii="宋体" w:hAnsi="宋体" w:cs="宋体" w:eastAsia="宋体" w:hint="default"/>
          <w:sz w:val="18"/>
          <w:szCs w:val="18"/>
        </w:rPr>
        <w:sectPr>
          <w:pgSz w:w="11910" w:h="16840"/>
          <w:pgMar w:header="939" w:footer="883" w:top="1980" w:bottom="1080" w:left="1460" w:right="0"/>
        </w:sectPr>
      </w:pPr>
    </w:p>
    <w:p>
      <w:pPr>
        <w:spacing w:line="240" w:lineRule="auto" w:before="7"/>
        <w:rPr>
          <w:rFonts w:ascii="宋体" w:hAnsi="宋体" w:cs="宋体" w:eastAsia="宋体" w:hint="default"/>
          <w:sz w:val="9"/>
          <w:szCs w:val="9"/>
        </w:rPr>
      </w:pPr>
    </w:p>
    <w:tbl>
      <w:tblPr>
        <w:tblW w:w="0" w:type="auto"/>
        <w:jc w:val="left"/>
        <w:tblInd w:w="191" w:type="dxa"/>
        <w:tblLayout w:type="fixed"/>
        <w:tblCellMar>
          <w:top w:w="0" w:type="dxa"/>
          <w:left w:w="0" w:type="dxa"/>
          <w:bottom w:w="0" w:type="dxa"/>
          <w:right w:w="0" w:type="dxa"/>
        </w:tblCellMar>
        <w:tblLook w:val="01E0"/>
      </w:tblPr>
      <w:tblGrid>
        <w:gridCol w:w="1950"/>
        <w:gridCol w:w="1844"/>
        <w:gridCol w:w="708"/>
        <w:gridCol w:w="1560"/>
        <w:gridCol w:w="850"/>
        <w:gridCol w:w="1811"/>
      </w:tblGrid>
      <w:tr>
        <w:trPr>
          <w:trHeight w:val="425" w:hRule="exact"/>
        </w:trPr>
        <w:tc>
          <w:tcPr>
            <w:tcW w:w="1950"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773"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407" w:hRule="exact"/>
        </w:trPr>
        <w:tc>
          <w:tcPr>
            <w:tcW w:w="1950" w:type="dxa"/>
            <w:vMerge/>
            <w:tcBorders>
              <w:left w:val="nil" w:sz="6" w:space="0" w:color="auto"/>
              <w:right w:val="single" w:sz="4" w:space="0" w:color="000000"/>
            </w:tcBorders>
          </w:tcPr>
          <w:p>
            <w:pP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811" w:type="dxa"/>
            <w:vMerge w:val="restart"/>
            <w:tcBorders>
              <w:top w:val="single" w:sz="4" w:space="0" w:color="000000"/>
              <w:left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77" w:hRule="exact"/>
        </w:trPr>
        <w:tc>
          <w:tcPr>
            <w:tcW w:w="1950" w:type="dxa"/>
            <w:vMerge/>
            <w:tcBorders>
              <w:left w:val="nil" w:sz="6" w:space="0" w:color="auto"/>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214" w:right="0"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pStyle w:val="TableParagraph"/>
              <w:spacing w:line="234" w:lineRule="exact"/>
              <w:ind w:left="214" w:right="0"/>
              <w:jc w:val="left"/>
              <w:rPr>
                <w:rFonts w:ascii="宋体" w:hAnsi="宋体" w:cs="宋体" w:eastAsia="宋体" w:hint="default"/>
                <w:sz w:val="18"/>
                <w:szCs w:val="18"/>
              </w:rPr>
            </w:pPr>
            <w:r>
              <w:rPr>
                <w:rFonts w:ascii="宋体"/>
                <w:b/>
                <w:sz w:val="18"/>
              </w:rPr>
              <w:t>(%)</w:t>
            </w:r>
            <w:r>
              <w:rPr>
                <w:rFonts w:ascii="宋体"/>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95" w:right="0" w:hanging="46"/>
              <w:jc w:val="left"/>
              <w:rPr>
                <w:rFonts w:ascii="宋体" w:hAnsi="宋体" w:cs="宋体" w:eastAsia="宋体" w:hint="default"/>
                <w:sz w:val="18"/>
                <w:szCs w:val="18"/>
              </w:rPr>
            </w:pPr>
            <w:r>
              <w:rPr>
                <w:rFonts w:ascii="宋体" w:hAnsi="宋体" w:cs="宋体" w:eastAsia="宋体" w:hint="default"/>
                <w:b/>
                <w:bCs/>
                <w:sz w:val="18"/>
                <w:szCs w:val="18"/>
              </w:rPr>
              <w:t>计提比</w:t>
            </w:r>
            <w:r>
              <w:rPr>
                <w:rFonts w:ascii="宋体" w:hAnsi="宋体" w:cs="宋体" w:eastAsia="宋体" w:hint="default"/>
                <w:sz w:val="18"/>
                <w:szCs w:val="18"/>
              </w:rPr>
            </w:r>
          </w:p>
          <w:p>
            <w:pPr>
              <w:pStyle w:val="TableParagraph"/>
              <w:spacing w:line="234" w:lineRule="exact"/>
              <w:ind w:left="195" w:right="0"/>
              <w:jc w:val="left"/>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tc>
        <w:tc>
          <w:tcPr>
            <w:tcW w:w="1811" w:type="dxa"/>
            <w:vMerge/>
            <w:tcBorders>
              <w:left w:val="single" w:sz="4" w:space="0" w:color="000000"/>
              <w:bottom w:val="single" w:sz="4" w:space="0" w:color="000000"/>
              <w:right w:val="nil" w:sz="6" w:space="0" w:color="auto"/>
            </w:tcBorders>
          </w:tcPr>
          <w:p>
            <w:pPr/>
          </w:p>
        </w:tc>
      </w:tr>
      <w:tr>
        <w:trPr>
          <w:trHeight w:val="407" w:hRule="exact"/>
        </w:trPr>
        <w:tc>
          <w:tcPr>
            <w:tcW w:w="19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612"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72,858,560.70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z w:val="18"/>
              </w:rPr>
              <w:t>3.73</w:t>
            </w:r>
          </w:p>
        </w:tc>
        <w:tc>
          <w:tcPr>
            <w:tcW w:w="156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72,858,560.70</w:t>
            </w:r>
          </w:p>
        </w:tc>
      </w:tr>
      <w:tr>
        <w:trPr>
          <w:trHeight w:val="424" w:hRule="exact"/>
        </w:trPr>
        <w:tc>
          <w:tcPr>
            <w:tcW w:w="1950"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44"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right="34"/>
              <w:jc w:val="right"/>
              <w:rPr>
                <w:rFonts w:ascii="宋体" w:hAnsi="宋体" w:cs="宋体" w:eastAsia="宋体" w:hint="default"/>
                <w:sz w:val="18"/>
                <w:szCs w:val="18"/>
              </w:rPr>
            </w:pPr>
            <w:r>
              <w:rPr>
                <w:rFonts w:ascii="宋体"/>
                <w:b/>
                <w:w w:val="95"/>
                <w:sz w:val="18"/>
              </w:rPr>
              <w:t>1,955,842,899.21</w:t>
            </w:r>
            <w:r>
              <w:rPr>
                <w:rFonts w:ascii="宋体"/>
                <w:sz w:val="18"/>
              </w:rPr>
            </w:r>
          </w:p>
        </w:tc>
        <w:tc>
          <w:tcPr>
            <w:tcW w:w="708"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right="41"/>
              <w:jc w:val="right"/>
              <w:rPr>
                <w:rFonts w:ascii="宋体" w:hAnsi="宋体" w:cs="宋体" w:eastAsia="宋体" w:hint="default"/>
                <w:sz w:val="18"/>
                <w:szCs w:val="18"/>
              </w:rPr>
            </w:pPr>
            <w:r>
              <w:rPr>
                <w:rFonts w:ascii="宋体"/>
                <w:b/>
                <w:sz w:val="18"/>
              </w:rPr>
              <w:t>100.00</w:t>
            </w:r>
            <w:r>
              <w:rPr>
                <w:rFonts w:ascii="宋体"/>
                <w:sz w:val="18"/>
              </w:rPr>
            </w:r>
          </w:p>
        </w:tc>
        <w:tc>
          <w:tcPr>
            <w:tcW w:w="156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left="241" w:right="0"/>
              <w:jc w:val="left"/>
              <w:rPr>
                <w:rFonts w:ascii="宋体" w:hAnsi="宋体" w:cs="宋体" w:eastAsia="宋体" w:hint="default"/>
                <w:sz w:val="18"/>
                <w:szCs w:val="18"/>
              </w:rPr>
            </w:pPr>
            <w:r>
              <w:rPr>
                <w:rFonts w:ascii="宋体"/>
                <w:b/>
                <w:sz w:val="18"/>
              </w:rPr>
              <w:t>124,065,842.50</w:t>
            </w:r>
            <w:r>
              <w:rPr>
                <w:rFonts w:ascii="宋体"/>
                <w:sz w:val="18"/>
              </w:rPr>
            </w:r>
          </w:p>
        </w:tc>
        <w:tc>
          <w:tcPr>
            <w:tcW w:w="850"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3"/>
              <w:ind w:left="430" w:right="0"/>
              <w:jc w:val="left"/>
              <w:rPr>
                <w:rFonts w:ascii="宋体" w:hAnsi="宋体" w:cs="宋体" w:eastAsia="宋体" w:hint="default"/>
                <w:sz w:val="18"/>
                <w:szCs w:val="18"/>
              </w:rPr>
            </w:pPr>
            <w:r>
              <w:rPr>
                <w:rFonts w:ascii="宋体"/>
                <w:b/>
                <w:sz w:val="18"/>
              </w:rPr>
              <w:t>6.34</w:t>
            </w:r>
            <w:r>
              <w:rPr>
                <w:rFonts w:ascii="宋体"/>
                <w:sz w:val="18"/>
              </w:rPr>
            </w:r>
          </w:p>
        </w:tc>
        <w:tc>
          <w:tcPr>
            <w:tcW w:w="1811"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3"/>
              <w:ind w:right="38"/>
              <w:jc w:val="right"/>
              <w:rPr>
                <w:rFonts w:ascii="宋体" w:hAnsi="宋体" w:cs="宋体" w:eastAsia="宋体" w:hint="default"/>
                <w:sz w:val="18"/>
                <w:szCs w:val="18"/>
              </w:rPr>
            </w:pPr>
            <w:r>
              <w:rPr>
                <w:rFonts w:ascii="宋体"/>
                <w:b/>
                <w:w w:val="95"/>
                <w:sz w:val="18"/>
              </w:rPr>
              <w:t>1,831,777,056.71</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760" w:right="508"/>
        <w:jc w:val="left"/>
      </w:pPr>
      <w:r>
        <w:rPr/>
        <w:t>(续表)</w:t>
      </w:r>
    </w:p>
    <w:p>
      <w:pPr>
        <w:spacing w:line="240" w:lineRule="auto" w:before="3"/>
        <w:rPr>
          <w:rFonts w:ascii="宋体" w:hAnsi="宋体" w:cs="宋体" w:eastAsia="宋体" w:hint="default"/>
          <w:sz w:val="12"/>
          <w:szCs w:val="12"/>
        </w:rPr>
      </w:pPr>
    </w:p>
    <w:tbl>
      <w:tblPr>
        <w:tblW w:w="0" w:type="auto"/>
        <w:jc w:val="left"/>
        <w:tblInd w:w="103" w:type="dxa"/>
        <w:tblLayout w:type="fixed"/>
        <w:tblCellMar>
          <w:top w:w="0" w:type="dxa"/>
          <w:left w:w="0" w:type="dxa"/>
          <w:bottom w:w="0" w:type="dxa"/>
          <w:right w:w="0" w:type="dxa"/>
        </w:tblCellMar>
        <w:tblLook w:val="01E0"/>
      </w:tblPr>
      <w:tblGrid>
        <w:gridCol w:w="2411"/>
        <w:gridCol w:w="1749"/>
        <w:gridCol w:w="742"/>
        <w:gridCol w:w="1547"/>
        <w:gridCol w:w="701"/>
        <w:gridCol w:w="1749"/>
      </w:tblGrid>
      <w:tr>
        <w:trPr>
          <w:trHeight w:val="425" w:hRule="exact"/>
        </w:trPr>
        <w:tc>
          <w:tcPr>
            <w:tcW w:w="2411"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107"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6488" w:type="dxa"/>
            <w:gridSpan w:val="5"/>
            <w:tcBorders>
              <w:top w:val="single" w:sz="17" w:space="0" w:color="000000"/>
              <w:left w:val="single" w:sz="4" w:space="0" w:color="000000"/>
              <w:bottom w:val="single" w:sz="4" w:space="0" w:color="000000"/>
              <w:right w:val="nil" w:sz="6" w:space="0" w:color="auto"/>
            </w:tcBorders>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407" w:hRule="exact"/>
        </w:trPr>
        <w:tc>
          <w:tcPr>
            <w:tcW w:w="2411" w:type="dxa"/>
            <w:vMerge/>
            <w:tcBorders>
              <w:left w:val="nil" w:sz="6" w:space="0" w:color="auto"/>
              <w:right w:val="single" w:sz="4" w:space="0" w:color="000000"/>
            </w:tcBorders>
          </w:tcPr>
          <w:p>
            <w:pPr/>
          </w:p>
        </w:tc>
        <w:tc>
          <w:tcPr>
            <w:tcW w:w="24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2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749"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508"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710" w:hRule="exact"/>
        </w:trPr>
        <w:tc>
          <w:tcPr>
            <w:tcW w:w="2411" w:type="dxa"/>
            <w:vMerge/>
            <w:tcBorders>
              <w:left w:val="nil" w:sz="6" w:space="0" w:color="auto"/>
              <w:bottom w:val="single" w:sz="4" w:space="0" w:color="000000"/>
              <w:right w:val="single" w:sz="4" w:space="0" w:color="000000"/>
            </w:tcBorders>
          </w:tcPr>
          <w:p>
            <w:pPr/>
          </w:p>
        </w:tc>
        <w:tc>
          <w:tcPr>
            <w:tcW w:w="1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1"/>
              <w:ind w:left="231" w:right="184"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65" w:right="0"/>
              <w:jc w:val="left"/>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p>
            <w:pPr>
              <w:pStyle w:val="TableParagraph"/>
              <w:spacing w:line="232" w:lineRule="exact" w:before="23"/>
              <w:ind w:left="210" w:right="164" w:hanging="46"/>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1749" w:type="dxa"/>
            <w:vMerge/>
            <w:tcBorders>
              <w:left w:val="single" w:sz="4" w:space="0" w:color="000000"/>
              <w:bottom w:val="single" w:sz="4" w:space="0" w:color="000000"/>
              <w:right w:val="nil" w:sz="6" w:space="0" w:color="auto"/>
            </w:tcBorders>
          </w:tcPr>
          <w:p>
            <w:pPr/>
          </w:p>
        </w:tc>
      </w:tr>
      <w:tr>
        <w:trPr>
          <w:trHeight w:val="407" w:hRule="exact"/>
        </w:trPr>
        <w:tc>
          <w:tcPr>
            <w:tcW w:w="2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71"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p>
        </w:tc>
        <w:tc>
          <w:tcPr>
            <w:tcW w:w="1749"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749" w:type="dxa"/>
            <w:tcBorders>
              <w:top w:val="single" w:sz="4" w:space="0" w:color="000000"/>
              <w:left w:val="single" w:sz="4" w:space="0" w:color="000000"/>
              <w:bottom w:val="single" w:sz="4" w:space="0" w:color="000000"/>
              <w:right w:val="nil" w:sz="6" w:space="0" w:color="auto"/>
            </w:tcBorders>
          </w:tcPr>
          <w:p>
            <w:pPr/>
          </w:p>
        </w:tc>
      </w:tr>
      <w:tr>
        <w:trPr>
          <w:trHeight w:val="407" w:hRule="exact"/>
        </w:trPr>
        <w:tc>
          <w:tcPr>
            <w:tcW w:w="2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71"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p>
        </w:tc>
        <w:tc>
          <w:tcPr>
            <w:tcW w:w="1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65"/>
              <w:jc w:val="right"/>
              <w:rPr>
                <w:rFonts w:ascii="宋体" w:hAnsi="宋体" w:cs="宋体" w:eastAsia="宋体" w:hint="default"/>
                <w:sz w:val="18"/>
                <w:szCs w:val="18"/>
              </w:rPr>
            </w:pPr>
            <w:r>
              <w:rPr>
                <w:rFonts w:ascii="宋体"/>
                <w:spacing w:val="-1"/>
                <w:sz w:val="18"/>
              </w:rPr>
              <w:t>1,989,877,892.27</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61" w:right="0"/>
              <w:jc w:val="center"/>
              <w:rPr>
                <w:rFonts w:ascii="宋体" w:hAnsi="宋体" w:cs="宋体" w:eastAsia="宋体" w:hint="default"/>
                <w:sz w:val="18"/>
                <w:szCs w:val="18"/>
              </w:rPr>
            </w:pPr>
            <w:r>
              <w:rPr>
                <w:rFonts w:ascii="宋体"/>
                <w:sz w:val="18"/>
              </w:rPr>
              <w:t>100.00</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64"/>
              <w:jc w:val="right"/>
              <w:rPr>
                <w:rFonts w:ascii="宋体" w:hAnsi="宋体" w:cs="宋体" w:eastAsia="宋体" w:hint="default"/>
                <w:sz w:val="18"/>
                <w:szCs w:val="18"/>
              </w:rPr>
            </w:pPr>
            <w:r>
              <w:rPr>
                <w:rFonts w:ascii="宋体"/>
                <w:spacing w:val="-1"/>
                <w:sz w:val="18"/>
              </w:rPr>
              <w:t>103,789,900.74</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64"/>
              <w:jc w:val="right"/>
              <w:rPr>
                <w:rFonts w:ascii="宋体" w:hAnsi="宋体" w:cs="宋体" w:eastAsia="宋体" w:hint="default"/>
                <w:sz w:val="18"/>
                <w:szCs w:val="18"/>
              </w:rPr>
            </w:pPr>
            <w:r>
              <w:rPr>
                <w:rFonts w:ascii="宋体"/>
                <w:sz w:val="18"/>
              </w:rPr>
              <w:t>5.22</w:t>
            </w:r>
          </w:p>
        </w:tc>
        <w:tc>
          <w:tcPr>
            <w:tcW w:w="17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8"/>
              <w:jc w:val="right"/>
              <w:rPr>
                <w:rFonts w:ascii="宋体" w:hAnsi="宋体" w:cs="宋体" w:eastAsia="宋体" w:hint="default"/>
                <w:sz w:val="18"/>
                <w:szCs w:val="18"/>
              </w:rPr>
            </w:pPr>
            <w:r>
              <w:rPr>
                <w:rFonts w:ascii="宋体"/>
                <w:spacing w:val="-1"/>
                <w:sz w:val="18"/>
              </w:rPr>
              <w:t>1,886,087,991.53</w:t>
            </w:r>
          </w:p>
        </w:tc>
      </w:tr>
      <w:tr>
        <w:trPr>
          <w:trHeight w:val="407" w:hRule="exact"/>
        </w:trPr>
        <w:tc>
          <w:tcPr>
            <w:tcW w:w="2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71" w:right="0"/>
              <w:jc w:val="left"/>
              <w:rPr>
                <w:rFonts w:ascii="宋体" w:hAnsi="宋体" w:cs="宋体" w:eastAsia="宋体" w:hint="default"/>
                <w:sz w:val="18"/>
                <w:szCs w:val="18"/>
              </w:rPr>
            </w:pPr>
            <w:r>
              <w:rPr>
                <w:rFonts w:ascii="宋体" w:hAnsi="宋体" w:cs="宋体" w:eastAsia="宋体" w:hint="default"/>
                <w:sz w:val="18"/>
                <w:szCs w:val="18"/>
              </w:rPr>
              <w:t>其中：账龄组合</w:t>
            </w:r>
          </w:p>
        </w:tc>
        <w:tc>
          <w:tcPr>
            <w:tcW w:w="1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65"/>
              <w:jc w:val="right"/>
              <w:rPr>
                <w:rFonts w:ascii="宋体" w:hAnsi="宋体" w:cs="宋体" w:eastAsia="宋体" w:hint="default"/>
                <w:sz w:val="18"/>
                <w:szCs w:val="18"/>
              </w:rPr>
            </w:pPr>
            <w:r>
              <w:rPr>
                <w:rFonts w:ascii="宋体"/>
                <w:spacing w:val="-1"/>
                <w:sz w:val="18"/>
              </w:rPr>
              <w:t>1,774,109,316.91</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47" w:right="0"/>
              <w:jc w:val="center"/>
              <w:rPr>
                <w:rFonts w:ascii="宋体" w:hAnsi="宋体" w:cs="宋体" w:eastAsia="宋体" w:hint="default"/>
                <w:sz w:val="18"/>
                <w:szCs w:val="18"/>
              </w:rPr>
            </w:pPr>
            <w:r>
              <w:rPr>
                <w:rFonts w:ascii="宋体"/>
                <w:sz w:val="18"/>
              </w:rPr>
              <w:t>89.16</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64"/>
              <w:jc w:val="right"/>
              <w:rPr>
                <w:rFonts w:ascii="宋体" w:hAnsi="宋体" w:cs="宋体" w:eastAsia="宋体" w:hint="default"/>
                <w:sz w:val="18"/>
                <w:szCs w:val="18"/>
              </w:rPr>
            </w:pPr>
            <w:r>
              <w:rPr>
                <w:rFonts w:ascii="宋体"/>
                <w:spacing w:val="-1"/>
                <w:sz w:val="18"/>
              </w:rPr>
              <w:t>103,789,900.74</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64"/>
              <w:jc w:val="right"/>
              <w:rPr>
                <w:rFonts w:ascii="宋体" w:hAnsi="宋体" w:cs="宋体" w:eastAsia="宋体" w:hint="default"/>
                <w:sz w:val="18"/>
                <w:szCs w:val="18"/>
              </w:rPr>
            </w:pPr>
            <w:r>
              <w:rPr>
                <w:rFonts w:ascii="宋体"/>
                <w:sz w:val="18"/>
              </w:rPr>
              <w:t>5.85</w:t>
            </w:r>
          </w:p>
        </w:tc>
        <w:tc>
          <w:tcPr>
            <w:tcW w:w="17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68"/>
              <w:jc w:val="right"/>
              <w:rPr>
                <w:rFonts w:ascii="宋体" w:hAnsi="宋体" w:cs="宋体" w:eastAsia="宋体" w:hint="default"/>
                <w:sz w:val="18"/>
                <w:szCs w:val="18"/>
              </w:rPr>
            </w:pPr>
            <w:r>
              <w:rPr>
                <w:rFonts w:ascii="宋体"/>
                <w:spacing w:val="-1"/>
                <w:sz w:val="18"/>
              </w:rPr>
              <w:t>1,670,319,416.17</w:t>
            </w:r>
          </w:p>
        </w:tc>
      </w:tr>
      <w:tr>
        <w:trPr>
          <w:trHeight w:val="407" w:hRule="exact"/>
        </w:trPr>
        <w:tc>
          <w:tcPr>
            <w:tcW w:w="2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4"/>
              <w:ind w:left="611"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1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65"/>
              <w:jc w:val="right"/>
              <w:rPr>
                <w:rFonts w:ascii="宋体" w:hAnsi="宋体" w:cs="宋体" w:eastAsia="宋体" w:hint="default"/>
                <w:sz w:val="18"/>
                <w:szCs w:val="18"/>
              </w:rPr>
            </w:pPr>
            <w:r>
              <w:rPr>
                <w:rFonts w:ascii="宋体"/>
                <w:spacing w:val="-1"/>
                <w:sz w:val="18"/>
              </w:rPr>
              <w:t>215,768,575.36</w:t>
            </w:r>
          </w:p>
        </w:tc>
        <w:tc>
          <w:tcPr>
            <w:tcW w:w="742" w:type="dxa"/>
            <w:tcBorders>
              <w:top w:val="single" w:sz="4" w:space="0" w:color="000000"/>
              <w:left w:val="single" w:sz="4" w:space="0" w:color="000000"/>
              <w:bottom w:val="single" w:sz="4" w:space="0" w:color="000000"/>
              <w:right w:val="single" w:sz="4" w:space="0" w:color="000000"/>
            </w:tcBorders>
          </w:tcPr>
          <w:p>
            <w:pPr/>
          </w:p>
        </w:tc>
        <w:tc>
          <w:tcPr>
            <w:tcW w:w="1547"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17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68"/>
              <w:jc w:val="right"/>
              <w:rPr>
                <w:rFonts w:ascii="宋体" w:hAnsi="宋体" w:cs="宋体" w:eastAsia="宋体" w:hint="default"/>
                <w:sz w:val="18"/>
                <w:szCs w:val="18"/>
              </w:rPr>
            </w:pPr>
            <w:r>
              <w:rPr>
                <w:rFonts w:ascii="宋体"/>
                <w:spacing w:val="-1"/>
                <w:sz w:val="18"/>
              </w:rPr>
              <w:t>215,768,575.36</w:t>
            </w:r>
          </w:p>
        </w:tc>
      </w:tr>
      <w:tr>
        <w:trPr>
          <w:trHeight w:val="424" w:hRule="exact"/>
        </w:trPr>
        <w:tc>
          <w:tcPr>
            <w:tcW w:w="2411" w:type="dxa"/>
            <w:tcBorders>
              <w:top w:val="single" w:sz="4" w:space="0" w:color="000000"/>
              <w:left w:val="nil" w:sz="6" w:space="0" w:color="auto"/>
              <w:bottom w:val="single" w:sz="17" w:space="0" w:color="000000"/>
              <w:right w:val="single" w:sz="4" w:space="0" w:color="000000"/>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49"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right="53"/>
              <w:jc w:val="right"/>
              <w:rPr>
                <w:rFonts w:ascii="宋体" w:hAnsi="宋体" w:cs="宋体" w:eastAsia="宋体" w:hint="default"/>
                <w:sz w:val="18"/>
                <w:szCs w:val="18"/>
              </w:rPr>
            </w:pPr>
            <w:r>
              <w:rPr>
                <w:rFonts w:ascii="宋体"/>
                <w:b/>
                <w:w w:val="95"/>
                <w:sz w:val="18"/>
              </w:rPr>
              <w:t>1,989,877,892.27</w:t>
            </w:r>
            <w:r>
              <w:rPr>
                <w:rFonts w:ascii="宋体"/>
                <w:sz w:val="18"/>
              </w:rPr>
            </w:r>
          </w:p>
        </w:tc>
        <w:tc>
          <w:tcPr>
            <w:tcW w:w="742"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left="65" w:right="0"/>
              <w:jc w:val="center"/>
              <w:rPr>
                <w:rFonts w:ascii="宋体" w:hAnsi="宋体" w:cs="宋体" w:eastAsia="宋体" w:hint="default"/>
                <w:sz w:val="18"/>
                <w:szCs w:val="18"/>
              </w:rPr>
            </w:pPr>
            <w:r>
              <w:rPr>
                <w:rFonts w:ascii="宋体"/>
                <w:b/>
                <w:sz w:val="18"/>
              </w:rPr>
              <w:t>100.00</w:t>
            </w:r>
            <w:r>
              <w:rPr>
                <w:rFonts w:ascii="宋体"/>
                <w:sz w:val="18"/>
              </w:rPr>
            </w:r>
          </w:p>
        </w:tc>
        <w:tc>
          <w:tcPr>
            <w:tcW w:w="1547"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right="52"/>
              <w:jc w:val="right"/>
              <w:rPr>
                <w:rFonts w:ascii="宋体" w:hAnsi="宋体" w:cs="宋体" w:eastAsia="宋体" w:hint="default"/>
                <w:sz w:val="18"/>
                <w:szCs w:val="18"/>
              </w:rPr>
            </w:pPr>
            <w:r>
              <w:rPr>
                <w:rFonts w:ascii="宋体"/>
                <w:b/>
                <w:sz w:val="18"/>
              </w:rPr>
              <w:t>103,789,900.74</w:t>
            </w:r>
            <w:r>
              <w:rPr>
                <w:rFonts w:ascii="宋体"/>
                <w:sz w:val="18"/>
              </w:rPr>
            </w:r>
          </w:p>
        </w:tc>
        <w:tc>
          <w:tcPr>
            <w:tcW w:w="701" w:type="dxa"/>
            <w:tcBorders>
              <w:top w:val="single" w:sz="4" w:space="0" w:color="000000"/>
              <w:left w:val="single" w:sz="4" w:space="0" w:color="000000"/>
              <w:bottom w:val="single" w:sz="17" w:space="0" w:color="000000"/>
              <w:right w:val="single" w:sz="4" w:space="0" w:color="000000"/>
            </w:tcBorders>
          </w:tcPr>
          <w:p>
            <w:pPr>
              <w:pStyle w:val="TableParagraph"/>
              <w:spacing w:line="240" w:lineRule="auto" w:before="52"/>
              <w:ind w:right="62"/>
              <w:jc w:val="right"/>
              <w:rPr>
                <w:rFonts w:ascii="宋体" w:hAnsi="宋体" w:cs="宋体" w:eastAsia="宋体" w:hint="default"/>
                <w:sz w:val="18"/>
                <w:szCs w:val="18"/>
              </w:rPr>
            </w:pPr>
            <w:r>
              <w:rPr>
                <w:rFonts w:ascii="宋体"/>
                <w:b/>
                <w:sz w:val="18"/>
              </w:rPr>
              <w:t>5.22</w:t>
            </w:r>
            <w:r>
              <w:rPr>
                <w:rFonts w:ascii="宋体"/>
                <w:sz w:val="18"/>
              </w:rPr>
            </w:r>
          </w:p>
        </w:tc>
        <w:tc>
          <w:tcPr>
            <w:tcW w:w="1749" w:type="dxa"/>
            <w:tcBorders>
              <w:top w:val="single" w:sz="4" w:space="0" w:color="000000"/>
              <w:left w:val="single" w:sz="4" w:space="0" w:color="000000"/>
              <w:bottom w:val="single" w:sz="17" w:space="0" w:color="000000"/>
              <w:right w:val="nil" w:sz="6" w:space="0" w:color="auto"/>
            </w:tcBorders>
          </w:tcPr>
          <w:p>
            <w:pPr>
              <w:pStyle w:val="TableParagraph"/>
              <w:spacing w:line="240" w:lineRule="auto" w:before="52"/>
              <w:ind w:right="56"/>
              <w:jc w:val="right"/>
              <w:rPr>
                <w:rFonts w:ascii="宋体" w:hAnsi="宋体" w:cs="宋体" w:eastAsia="宋体" w:hint="default"/>
                <w:sz w:val="18"/>
                <w:szCs w:val="18"/>
              </w:rPr>
            </w:pPr>
            <w:r>
              <w:rPr>
                <w:rFonts w:ascii="宋体"/>
                <w:b/>
                <w:w w:val="95"/>
                <w:sz w:val="18"/>
              </w:rPr>
              <w:t>1,886,087,991.53</w:t>
            </w:r>
            <w:r>
              <w:rPr>
                <w:rFonts w:ascii="宋体"/>
                <w:sz w:val="18"/>
              </w:rPr>
            </w:r>
          </w:p>
        </w:tc>
      </w:tr>
    </w:tbl>
    <w:p>
      <w:pPr>
        <w:spacing w:line="240" w:lineRule="auto" w:before="2"/>
        <w:rPr>
          <w:rFonts w:ascii="宋体" w:hAnsi="宋体" w:cs="宋体" w:eastAsia="宋体" w:hint="default"/>
          <w:sz w:val="9"/>
          <w:szCs w:val="9"/>
        </w:rPr>
      </w:pPr>
    </w:p>
    <w:p>
      <w:pPr>
        <w:pStyle w:val="BodyText"/>
        <w:spacing w:line="240" w:lineRule="auto"/>
        <w:ind w:left="741" w:right="508"/>
        <w:jc w:val="left"/>
      </w:pPr>
      <w:r>
        <w:rPr>
          <w:rFonts w:ascii="Times New Roman" w:hAnsi="Times New Roman" w:cs="Times New Roman" w:eastAsia="Times New Roman" w:hint="default"/>
        </w:rPr>
        <w:t>1</w:t>
      </w:r>
      <w:r>
        <w:rPr/>
        <w:t>）</w:t>
      </w:r>
      <w:r>
        <w:rPr>
          <w:spacing w:val="-29"/>
        </w:rPr>
        <w:t> </w:t>
      </w:r>
      <w:r>
        <w:rPr/>
        <w:t>按单项计提应收账款坏账准备</w:t>
      </w:r>
    </w:p>
    <w:p>
      <w:pPr>
        <w:spacing w:line="240" w:lineRule="auto" w:before="0"/>
        <w:rPr>
          <w:rFonts w:ascii="宋体" w:hAnsi="宋体" w:cs="宋体" w:eastAsia="宋体" w:hint="default"/>
          <w:sz w:val="11"/>
          <w:szCs w:val="11"/>
        </w:rPr>
      </w:pPr>
    </w:p>
    <w:tbl>
      <w:tblPr>
        <w:tblW w:w="0" w:type="auto"/>
        <w:jc w:val="left"/>
        <w:tblInd w:w="198" w:type="dxa"/>
        <w:tblLayout w:type="fixed"/>
        <w:tblCellMar>
          <w:top w:w="0" w:type="dxa"/>
          <w:left w:w="0" w:type="dxa"/>
          <w:bottom w:w="0" w:type="dxa"/>
          <w:right w:w="0" w:type="dxa"/>
        </w:tblCellMar>
        <w:tblLook w:val="01E0"/>
      </w:tblPr>
      <w:tblGrid>
        <w:gridCol w:w="1608"/>
        <w:gridCol w:w="2029"/>
        <w:gridCol w:w="2029"/>
        <w:gridCol w:w="1448"/>
        <w:gridCol w:w="1609"/>
      </w:tblGrid>
      <w:tr>
        <w:trPr>
          <w:trHeight w:val="378" w:hRule="exact"/>
        </w:trPr>
        <w:tc>
          <w:tcPr>
            <w:tcW w:w="1608" w:type="dxa"/>
            <w:vMerge w:val="restart"/>
            <w:tcBorders>
              <w:top w:val="single" w:sz="12" w:space="0" w:color="000000"/>
              <w:left w:val="nil" w:sz="6" w:space="0" w:color="auto"/>
              <w:right w:val="single" w:sz="2"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c>
        <w:tc>
          <w:tcPr>
            <w:tcW w:w="7115" w:type="dxa"/>
            <w:gridSpan w:val="4"/>
            <w:tcBorders>
              <w:top w:val="single" w:sz="12" w:space="0" w:color="000000"/>
              <w:left w:val="single" w:sz="2" w:space="0" w:color="000000"/>
              <w:bottom w:val="single" w:sz="2" w:space="0" w:color="000000"/>
              <w:right w:val="nil" w:sz="6" w:space="0" w:color="auto"/>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65" w:hRule="exact"/>
        </w:trPr>
        <w:tc>
          <w:tcPr>
            <w:tcW w:w="1608" w:type="dxa"/>
            <w:vMerge/>
            <w:tcBorders>
              <w:left w:val="nil" w:sz="6" w:space="0" w:color="auto"/>
              <w:bottom w:val="single" w:sz="2" w:space="0" w:color="000000"/>
              <w:right w:val="single" w:sz="2" w:space="0" w:color="000000"/>
            </w:tcBorders>
          </w:tcPr>
          <w:p>
            <w:pP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9"/>
              <w:ind w:left="65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9"/>
              <w:ind w:left="65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9"/>
              <w:ind w:left="135"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b/>
                <w:bCs/>
                <w:sz w:val="18"/>
                <w:szCs w:val="18"/>
              </w:rPr>
              <w:t>计提理由</w:t>
            </w:r>
            <w:r>
              <w:rPr>
                <w:rFonts w:ascii="宋体" w:hAnsi="宋体" w:cs="宋体" w:eastAsia="宋体" w:hint="default"/>
                <w:sz w:val="18"/>
                <w:szCs w:val="18"/>
              </w:rPr>
            </w:r>
          </w:p>
        </w:tc>
      </w:tr>
      <w:tr>
        <w:trPr>
          <w:trHeight w:val="345"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50"/>
              <w:jc w:val="right"/>
              <w:rPr>
                <w:rFonts w:ascii="宋体" w:hAnsi="宋体" w:cs="宋体" w:eastAsia="宋体" w:hint="default"/>
                <w:sz w:val="18"/>
                <w:szCs w:val="18"/>
              </w:rPr>
            </w:pPr>
            <w:r>
              <w:rPr>
                <w:rFonts w:ascii="宋体"/>
                <w:spacing w:val="-1"/>
                <w:sz w:val="18"/>
              </w:rPr>
              <w:t>15,703,603.65</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48"/>
              <w:jc w:val="right"/>
              <w:rPr>
                <w:rFonts w:ascii="宋体" w:hAnsi="宋体" w:cs="宋体" w:eastAsia="宋体" w:hint="default"/>
                <w:sz w:val="18"/>
                <w:szCs w:val="18"/>
              </w:rPr>
            </w:pPr>
            <w:r>
              <w:rPr>
                <w:rFonts w:ascii="宋体"/>
                <w:spacing w:val="-1"/>
                <w:sz w:val="18"/>
              </w:rPr>
              <w:t>9,422,162.19</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49"/>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345"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C</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47"/>
              <w:jc w:val="right"/>
              <w:rPr>
                <w:rFonts w:ascii="宋体" w:hAnsi="宋体" w:cs="宋体" w:eastAsia="宋体" w:hint="default"/>
                <w:sz w:val="18"/>
                <w:szCs w:val="18"/>
              </w:rPr>
            </w:pPr>
            <w:r>
              <w:rPr>
                <w:rFonts w:ascii="宋体"/>
                <w:spacing w:val="-1"/>
                <w:sz w:val="18"/>
              </w:rPr>
              <w:t>4,335,468.37</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48"/>
              <w:jc w:val="right"/>
              <w:rPr>
                <w:rFonts w:ascii="宋体" w:hAnsi="宋体" w:cs="宋体" w:eastAsia="宋体" w:hint="default"/>
                <w:sz w:val="18"/>
                <w:szCs w:val="18"/>
              </w:rPr>
            </w:pPr>
            <w:r>
              <w:rPr>
                <w:rFonts w:ascii="宋体"/>
                <w:spacing w:val="-1"/>
                <w:sz w:val="18"/>
              </w:rPr>
              <w:t>2,601,281.02</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49"/>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345"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D</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47"/>
              <w:jc w:val="right"/>
              <w:rPr>
                <w:rFonts w:ascii="宋体" w:hAnsi="宋体" w:cs="宋体" w:eastAsia="宋体" w:hint="default"/>
                <w:sz w:val="18"/>
                <w:szCs w:val="18"/>
              </w:rPr>
            </w:pPr>
            <w:r>
              <w:rPr>
                <w:rFonts w:ascii="宋体"/>
                <w:spacing w:val="-1"/>
                <w:sz w:val="18"/>
              </w:rPr>
              <w:t>4,222,205.60</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48"/>
              <w:jc w:val="right"/>
              <w:rPr>
                <w:rFonts w:ascii="宋体" w:hAnsi="宋体" w:cs="宋体" w:eastAsia="宋体" w:hint="default"/>
                <w:sz w:val="18"/>
                <w:szCs w:val="18"/>
              </w:rPr>
            </w:pPr>
            <w:r>
              <w:rPr>
                <w:rFonts w:ascii="宋体"/>
                <w:spacing w:val="-1"/>
                <w:sz w:val="18"/>
              </w:rPr>
              <w:t>2,533,323.36</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49"/>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345" w:hRule="exact"/>
        </w:trPr>
        <w:tc>
          <w:tcPr>
            <w:tcW w:w="1608"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G</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47"/>
              <w:jc w:val="right"/>
              <w:rPr>
                <w:rFonts w:ascii="宋体" w:hAnsi="宋体" w:cs="宋体" w:eastAsia="宋体" w:hint="default"/>
                <w:sz w:val="18"/>
                <w:szCs w:val="18"/>
              </w:rPr>
            </w:pPr>
            <w:r>
              <w:rPr>
                <w:rFonts w:ascii="宋体"/>
                <w:spacing w:val="-1"/>
                <w:sz w:val="18"/>
              </w:rPr>
              <w:t>428,970.13</w:t>
            </w:r>
          </w:p>
        </w:tc>
        <w:tc>
          <w:tcPr>
            <w:tcW w:w="20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48"/>
              <w:jc w:val="right"/>
              <w:rPr>
                <w:rFonts w:ascii="宋体" w:hAnsi="宋体" w:cs="宋体" w:eastAsia="宋体" w:hint="default"/>
                <w:sz w:val="18"/>
                <w:szCs w:val="18"/>
              </w:rPr>
            </w:pPr>
            <w:r>
              <w:rPr>
                <w:rFonts w:ascii="宋体"/>
                <w:spacing w:val="-1"/>
                <w:sz w:val="18"/>
              </w:rPr>
              <w:t>257,382.08</w:t>
            </w:r>
          </w:p>
        </w:tc>
        <w:tc>
          <w:tcPr>
            <w:tcW w:w="14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5"/>
              <w:ind w:right="49"/>
              <w:jc w:val="right"/>
              <w:rPr>
                <w:rFonts w:ascii="宋体" w:hAnsi="宋体" w:cs="宋体" w:eastAsia="宋体" w:hint="default"/>
                <w:sz w:val="18"/>
                <w:szCs w:val="18"/>
              </w:rPr>
            </w:pPr>
            <w:r>
              <w:rPr>
                <w:rFonts w:ascii="宋体"/>
                <w:spacing w:val="-1"/>
                <w:sz w:val="18"/>
              </w:rPr>
              <w:t>60.00</w:t>
            </w:r>
          </w:p>
        </w:tc>
        <w:tc>
          <w:tcPr>
            <w:tcW w:w="160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sz w:val="18"/>
                <w:szCs w:val="18"/>
              </w:rPr>
              <w:t>未决诉讼</w:t>
            </w:r>
          </w:p>
        </w:tc>
      </w:tr>
      <w:tr>
        <w:trPr>
          <w:trHeight w:val="377" w:hRule="exact"/>
        </w:trPr>
        <w:tc>
          <w:tcPr>
            <w:tcW w:w="1608"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79"/>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36"/>
              <w:ind w:right="90"/>
              <w:jc w:val="right"/>
              <w:rPr>
                <w:rFonts w:ascii="宋体" w:hAnsi="宋体" w:cs="宋体" w:eastAsia="宋体" w:hint="default"/>
                <w:sz w:val="18"/>
                <w:szCs w:val="18"/>
              </w:rPr>
            </w:pPr>
            <w:r>
              <w:rPr>
                <w:rFonts w:ascii="宋体"/>
                <w:b/>
                <w:w w:val="95"/>
                <w:sz w:val="18"/>
              </w:rPr>
              <w:t>24,690,247.75</w:t>
            </w:r>
            <w:r>
              <w:rPr>
                <w:rFonts w:ascii="宋体"/>
                <w:sz w:val="18"/>
              </w:rPr>
            </w:r>
          </w:p>
        </w:tc>
        <w:tc>
          <w:tcPr>
            <w:tcW w:w="20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36"/>
              <w:ind w:right="91"/>
              <w:jc w:val="right"/>
              <w:rPr>
                <w:rFonts w:ascii="宋体" w:hAnsi="宋体" w:cs="宋体" w:eastAsia="宋体" w:hint="default"/>
                <w:sz w:val="18"/>
                <w:szCs w:val="18"/>
              </w:rPr>
            </w:pPr>
            <w:r>
              <w:rPr>
                <w:rFonts w:ascii="宋体"/>
                <w:b/>
                <w:w w:val="95"/>
                <w:sz w:val="18"/>
              </w:rPr>
              <w:t>14,814,148.65</w:t>
            </w:r>
            <w:r>
              <w:rPr>
                <w:rFonts w:ascii="宋体"/>
                <w:sz w:val="18"/>
              </w:rPr>
            </w:r>
          </w:p>
        </w:tc>
        <w:tc>
          <w:tcPr>
            <w:tcW w:w="144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79"/>
              <w:ind w:right="103"/>
              <w:jc w:val="right"/>
              <w:rPr>
                <w:rFonts w:ascii="宋体" w:hAnsi="宋体" w:cs="宋体" w:eastAsia="宋体" w:hint="default"/>
                <w:sz w:val="18"/>
                <w:szCs w:val="18"/>
              </w:rPr>
            </w:pPr>
            <w:r>
              <w:rPr>
                <w:rFonts w:ascii="宋体" w:hAnsi="宋体" w:cs="宋体" w:eastAsia="宋体" w:hint="default"/>
                <w:sz w:val="18"/>
                <w:szCs w:val="18"/>
              </w:rPr>
              <w:t>—</w:t>
            </w:r>
          </w:p>
        </w:tc>
        <w:tc>
          <w:tcPr>
            <w:tcW w:w="160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79"/>
              <w:ind w:right="3"/>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2"/>
        <w:rPr>
          <w:rFonts w:ascii="宋体" w:hAnsi="宋体" w:cs="宋体" w:eastAsia="宋体" w:hint="default"/>
          <w:sz w:val="9"/>
          <w:szCs w:val="9"/>
        </w:rPr>
      </w:pPr>
    </w:p>
    <w:p>
      <w:pPr>
        <w:pStyle w:val="BodyText"/>
        <w:spacing w:line="240" w:lineRule="auto"/>
        <w:ind w:left="741" w:right="508"/>
        <w:jc w:val="left"/>
      </w:pPr>
      <w:r>
        <w:rPr>
          <w:rFonts w:ascii="Times New Roman" w:hAnsi="Times New Roman" w:cs="Times New Roman" w:eastAsia="Times New Roman" w:hint="default"/>
        </w:rPr>
        <w:t>2</w:t>
      </w:r>
      <w:r>
        <w:rPr/>
        <w:t>）</w:t>
      </w:r>
      <w:r>
        <w:rPr>
          <w:spacing w:val="-31"/>
        </w:rPr>
        <w:t> </w:t>
      </w:r>
      <w:r>
        <w:rPr/>
        <w:t>按账龄组合计提坏账准备的应收账款</w:t>
      </w:r>
    </w:p>
    <w:p>
      <w:pPr>
        <w:spacing w:line="240" w:lineRule="auto" w:before="0"/>
        <w:rPr>
          <w:rFonts w:ascii="宋体" w:hAnsi="宋体" w:cs="宋体" w:eastAsia="宋体" w:hint="default"/>
          <w:sz w:val="11"/>
          <w:szCs w:val="11"/>
        </w:rPr>
      </w:pPr>
    </w:p>
    <w:tbl>
      <w:tblPr>
        <w:tblW w:w="0" w:type="auto"/>
        <w:jc w:val="left"/>
        <w:tblInd w:w="198" w:type="dxa"/>
        <w:tblLayout w:type="fixed"/>
        <w:tblCellMar>
          <w:top w:w="0" w:type="dxa"/>
          <w:left w:w="0" w:type="dxa"/>
          <w:bottom w:w="0" w:type="dxa"/>
          <w:right w:w="0" w:type="dxa"/>
        </w:tblCellMar>
        <w:tblLook w:val="01E0"/>
      </w:tblPr>
      <w:tblGrid>
        <w:gridCol w:w="2380"/>
        <w:gridCol w:w="2264"/>
        <w:gridCol w:w="2123"/>
        <w:gridCol w:w="1956"/>
      </w:tblGrid>
      <w:tr>
        <w:trPr>
          <w:trHeight w:val="417" w:hRule="exact"/>
        </w:trPr>
        <w:tc>
          <w:tcPr>
            <w:tcW w:w="2380"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6343"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7" w:hRule="exact"/>
        </w:trPr>
        <w:tc>
          <w:tcPr>
            <w:tcW w:w="2380" w:type="dxa"/>
            <w:vMerge/>
            <w:tcBorders>
              <w:left w:val="nil" w:sz="6" w:space="0" w:color="auto"/>
              <w:bottom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696"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left="479"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1,626,938,781.02</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16,269,387.80</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z w:val="18"/>
              </w:rPr>
              <w:t>1.00</w:t>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123,209,461.97</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8"/>
              <w:jc w:val="right"/>
              <w:rPr>
                <w:rFonts w:ascii="宋体" w:hAnsi="宋体" w:cs="宋体" w:eastAsia="宋体" w:hint="default"/>
                <w:sz w:val="18"/>
                <w:szCs w:val="18"/>
              </w:rPr>
            </w:pPr>
            <w:r>
              <w:rPr>
                <w:rFonts w:ascii="宋体"/>
                <w:spacing w:val="-1"/>
                <w:sz w:val="18"/>
              </w:rPr>
              <w:t>12,320,946.20</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52"/>
              <w:jc w:val="right"/>
              <w:rPr>
                <w:rFonts w:ascii="宋体" w:hAnsi="宋体" w:cs="宋体" w:eastAsia="宋体" w:hint="default"/>
                <w:sz w:val="18"/>
                <w:szCs w:val="18"/>
              </w:rPr>
            </w:pPr>
            <w:r>
              <w:rPr>
                <w:rFonts w:ascii="宋体"/>
                <w:spacing w:val="-1"/>
                <w:sz w:val="18"/>
              </w:rPr>
              <w:t>10.00</w:t>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6"/>
              <w:jc w:val="right"/>
              <w:rPr>
                <w:rFonts w:ascii="宋体" w:hAnsi="宋体" w:cs="宋体" w:eastAsia="宋体" w:hint="default"/>
                <w:sz w:val="18"/>
                <w:szCs w:val="18"/>
              </w:rPr>
            </w:pPr>
            <w:r>
              <w:rPr>
                <w:rFonts w:ascii="宋体"/>
                <w:spacing w:val="-1"/>
                <w:sz w:val="18"/>
              </w:rPr>
              <w:t>39,263,554.18</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8"/>
              <w:jc w:val="right"/>
              <w:rPr>
                <w:rFonts w:ascii="宋体" w:hAnsi="宋体" w:cs="宋体" w:eastAsia="宋体" w:hint="default"/>
                <w:sz w:val="18"/>
                <w:szCs w:val="18"/>
              </w:rPr>
            </w:pPr>
            <w:r>
              <w:rPr>
                <w:rFonts w:ascii="宋体"/>
                <w:spacing w:val="-1"/>
                <w:sz w:val="18"/>
              </w:rPr>
              <w:t>11,779,066.26</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2"/>
              <w:jc w:val="right"/>
              <w:rPr>
                <w:rFonts w:ascii="宋体" w:hAnsi="宋体" w:cs="宋体" w:eastAsia="宋体" w:hint="default"/>
                <w:sz w:val="18"/>
                <w:szCs w:val="18"/>
              </w:rPr>
            </w:pPr>
            <w:r>
              <w:rPr>
                <w:rFonts w:ascii="宋体"/>
                <w:spacing w:val="-1"/>
                <w:sz w:val="18"/>
              </w:rPr>
              <w:t>30.00</w:t>
            </w:r>
          </w:p>
        </w:tc>
      </w:tr>
      <w:tr>
        <w:trPr>
          <w:trHeight w:val="407" w:hRule="exact"/>
        </w:trPr>
        <w:tc>
          <w:tcPr>
            <w:tcW w:w="238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6"/>
              <w:jc w:val="right"/>
              <w:rPr>
                <w:rFonts w:ascii="宋体" w:hAnsi="宋体" w:cs="宋体" w:eastAsia="宋体" w:hint="default"/>
                <w:sz w:val="18"/>
                <w:szCs w:val="18"/>
              </w:rPr>
            </w:pPr>
            <w:r>
              <w:rPr>
                <w:rFonts w:ascii="宋体"/>
                <w:spacing w:val="-1"/>
                <w:sz w:val="18"/>
              </w:rPr>
              <w:t>68,882,293.59</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8"/>
              <w:jc w:val="right"/>
              <w:rPr>
                <w:rFonts w:ascii="宋体" w:hAnsi="宋体" w:cs="宋体" w:eastAsia="宋体" w:hint="default"/>
                <w:sz w:val="18"/>
                <w:szCs w:val="18"/>
              </w:rPr>
            </w:pPr>
            <w:r>
              <w:rPr>
                <w:rFonts w:ascii="宋体"/>
                <w:spacing w:val="-1"/>
                <w:sz w:val="18"/>
              </w:rPr>
              <w:t>68,882,293.59</w:t>
            </w:r>
          </w:p>
        </w:tc>
        <w:tc>
          <w:tcPr>
            <w:tcW w:w="195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50"/>
              <w:jc w:val="right"/>
              <w:rPr>
                <w:rFonts w:ascii="宋体" w:hAnsi="宋体" w:cs="宋体" w:eastAsia="宋体" w:hint="default"/>
                <w:sz w:val="18"/>
                <w:szCs w:val="18"/>
              </w:rPr>
            </w:pPr>
            <w:r>
              <w:rPr>
                <w:rFonts w:ascii="宋体"/>
                <w:spacing w:val="-1"/>
                <w:sz w:val="18"/>
              </w:rPr>
              <w:t>100.00</w:t>
            </w:r>
          </w:p>
        </w:tc>
      </w:tr>
      <w:tr>
        <w:trPr>
          <w:trHeight w:val="417" w:hRule="exact"/>
        </w:trPr>
        <w:tc>
          <w:tcPr>
            <w:tcW w:w="238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4"/>
              <w:ind w:right="87"/>
              <w:jc w:val="right"/>
              <w:rPr>
                <w:rFonts w:ascii="宋体" w:hAnsi="宋体" w:cs="宋体" w:eastAsia="宋体" w:hint="default"/>
                <w:sz w:val="18"/>
                <w:szCs w:val="18"/>
              </w:rPr>
            </w:pPr>
            <w:r>
              <w:rPr>
                <w:rFonts w:ascii="宋体"/>
                <w:b/>
                <w:w w:val="95"/>
                <w:sz w:val="18"/>
              </w:rPr>
              <w:t>1,858,294,090.76</w:t>
            </w:r>
            <w:r>
              <w:rPr>
                <w:rFonts w:ascii="宋体"/>
                <w:sz w:val="18"/>
              </w:rPr>
            </w:r>
          </w:p>
        </w:tc>
        <w:tc>
          <w:tcPr>
            <w:tcW w:w="21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4"/>
              <w:ind w:right="88"/>
              <w:jc w:val="right"/>
              <w:rPr>
                <w:rFonts w:ascii="宋体" w:hAnsi="宋体" w:cs="宋体" w:eastAsia="宋体" w:hint="default"/>
                <w:sz w:val="18"/>
                <w:szCs w:val="18"/>
              </w:rPr>
            </w:pPr>
            <w:r>
              <w:rPr>
                <w:rFonts w:ascii="宋体"/>
                <w:b/>
                <w:sz w:val="18"/>
              </w:rPr>
              <w:t>109,251,693.85</w:t>
            </w:r>
            <w:r>
              <w:rPr>
                <w:rFonts w:ascii="宋体"/>
                <w:sz w:val="18"/>
              </w:rPr>
            </w:r>
          </w:p>
        </w:tc>
        <w:tc>
          <w:tcPr>
            <w:tcW w:w="195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4"/>
              <w:ind w:right="105"/>
              <w:jc w:val="right"/>
              <w:rPr>
                <w:rFonts w:ascii="宋体" w:hAnsi="宋体" w:cs="宋体" w:eastAsia="宋体" w:hint="default"/>
                <w:sz w:val="18"/>
                <w:szCs w:val="18"/>
              </w:rPr>
            </w:pPr>
            <w:r>
              <w:rPr>
                <w:rFonts w:ascii="宋体"/>
                <w:b/>
                <w:w w:val="95"/>
                <w:sz w:val="18"/>
              </w:rPr>
              <w:t>--</w:t>
            </w:r>
            <w:r>
              <w:rPr>
                <w:rFonts w:ascii="宋体"/>
                <w:sz w:val="18"/>
              </w:rPr>
            </w:r>
          </w:p>
        </w:tc>
      </w:tr>
    </w:tbl>
    <w:p>
      <w:pPr>
        <w:spacing w:after="0" w:line="240" w:lineRule="auto"/>
        <w:jc w:val="right"/>
        <w:rPr>
          <w:rFonts w:ascii="宋体" w:hAnsi="宋体" w:cs="宋体" w:eastAsia="宋体" w:hint="default"/>
          <w:sz w:val="18"/>
          <w:szCs w:val="18"/>
        </w:rPr>
        <w:sectPr>
          <w:pgSz w:w="11910" w:h="16840"/>
          <w:pgMar w:header="939" w:footer="883" w:top="1980" w:bottom="1080" w:left="1380" w:right="0"/>
        </w:sectPr>
      </w:pPr>
    </w:p>
    <w:p>
      <w:pPr>
        <w:pStyle w:val="BodyText"/>
        <w:spacing w:line="240" w:lineRule="auto" w:before="90"/>
        <w:ind w:left="666" w:right="1445"/>
        <w:jc w:val="left"/>
      </w:pPr>
      <w:r>
        <w:rPr>
          <w:spacing w:val="-1"/>
        </w:rPr>
        <w:t>（2）</w:t>
      </w:r>
      <w:r>
        <w:rPr>
          <w:spacing w:val="-73"/>
        </w:rPr>
        <w:t> </w:t>
      </w:r>
      <w:bookmarkStart w:name="（2）应收账款按账龄列示" w:id="402"/>
      <w:bookmarkEnd w:id="402"/>
      <w:r>
        <w:rPr>
          <w:spacing w:val="-2"/>
        </w:rPr>
        <w:t>应</w:t>
      </w:r>
      <w:r>
        <w:rPr>
          <w:spacing w:val="-2"/>
        </w:rPr>
        <w:t>收账款按账龄列示</w:t>
      </w:r>
    </w:p>
    <w:p>
      <w:pPr>
        <w:spacing w:line="240" w:lineRule="auto" w:before="5"/>
        <w:rPr>
          <w:rFonts w:ascii="宋体" w:hAnsi="宋体" w:cs="宋体" w:eastAsia="宋体" w:hint="default"/>
          <w:sz w:val="16"/>
          <w:szCs w:val="16"/>
        </w:rPr>
      </w:pPr>
    </w:p>
    <w:tbl>
      <w:tblPr>
        <w:tblW w:w="0" w:type="auto"/>
        <w:jc w:val="left"/>
        <w:tblInd w:w="118" w:type="dxa"/>
        <w:tblLayout w:type="fixed"/>
        <w:tblCellMar>
          <w:top w:w="0" w:type="dxa"/>
          <w:left w:w="0" w:type="dxa"/>
          <w:bottom w:w="0" w:type="dxa"/>
          <w:right w:w="0" w:type="dxa"/>
        </w:tblCellMar>
        <w:tblLook w:val="01E0"/>
      </w:tblPr>
      <w:tblGrid>
        <w:gridCol w:w="3911"/>
        <w:gridCol w:w="4812"/>
      </w:tblGrid>
      <w:tr>
        <w:trPr>
          <w:trHeight w:val="417" w:hRule="exact"/>
        </w:trPr>
        <w:tc>
          <w:tcPr>
            <w:tcW w:w="391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481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407"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1,699,797,341.72</w:t>
            </w:r>
          </w:p>
        </w:tc>
      </w:tr>
      <w:tr>
        <w:trPr>
          <w:trHeight w:val="407"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123,530,207.85</w:t>
            </w:r>
          </w:p>
        </w:tc>
      </w:tr>
      <w:tr>
        <w:trPr>
          <w:trHeight w:val="407"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52"/>
              <w:jc w:val="right"/>
              <w:rPr>
                <w:rFonts w:ascii="宋体" w:hAnsi="宋体" w:cs="宋体" w:eastAsia="宋体" w:hint="default"/>
                <w:sz w:val="18"/>
                <w:szCs w:val="18"/>
              </w:rPr>
            </w:pPr>
            <w:r>
              <w:rPr>
                <w:rFonts w:ascii="宋体"/>
                <w:spacing w:val="-1"/>
                <w:sz w:val="18"/>
              </w:rPr>
              <w:t>61,879,780.15</w:t>
            </w:r>
          </w:p>
        </w:tc>
      </w:tr>
      <w:tr>
        <w:trPr>
          <w:trHeight w:val="407" w:hRule="exact"/>
        </w:trPr>
        <w:tc>
          <w:tcPr>
            <w:tcW w:w="39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48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70,635,569.49</w:t>
            </w:r>
          </w:p>
        </w:tc>
      </w:tr>
      <w:tr>
        <w:trPr>
          <w:trHeight w:val="417" w:hRule="exact"/>
        </w:trPr>
        <w:tc>
          <w:tcPr>
            <w:tcW w:w="39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481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1,955,842,899.21</w:t>
            </w:r>
            <w:r>
              <w:rPr>
                <w:rFonts w:ascii="宋体"/>
                <w:sz w:val="18"/>
              </w:rPr>
            </w:r>
          </w:p>
        </w:tc>
      </w:tr>
    </w:tbl>
    <w:p>
      <w:pPr>
        <w:spacing w:line="240" w:lineRule="auto" w:before="3"/>
        <w:rPr>
          <w:rFonts w:ascii="宋体" w:hAnsi="宋体" w:cs="宋体" w:eastAsia="宋体" w:hint="default"/>
          <w:sz w:val="13"/>
          <w:szCs w:val="13"/>
        </w:rPr>
      </w:pPr>
    </w:p>
    <w:p>
      <w:pPr>
        <w:pStyle w:val="BodyText"/>
        <w:spacing w:line="240" w:lineRule="auto"/>
        <w:ind w:left="666" w:right="1445"/>
        <w:jc w:val="left"/>
      </w:pPr>
      <w:r>
        <w:rPr>
          <w:spacing w:val="-1"/>
        </w:rPr>
        <w:t>（3）</w:t>
      </w:r>
      <w:r>
        <w:rPr>
          <w:spacing w:val="-69"/>
        </w:rPr>
        <w:t> </w:t>
      </w:r>
      <w:bookmarkStart w:name="（3）本年应收账款坏账准备情况" w:id="403"/>
      <w:bookmarkEnd w:id="403"/>
      <w:r>
        <w:rPr>
          <w:spacing w:val="-2"/>
        </w:rPr>
        <w:t>本</w:t>
      </w:r>
      <w:r>
        <w:rPr>
          <w:spacing w:val="-2"/>
        </w:rPr>
        <w:t>年应收账款坏账准备情况</w:t>
      </w:r>
    </w:p>
    <w:p>
      <w:pPr>
        <w:spacing w:line="240" w:lineRule="auto" w:before="6"/>
        <w:rPr>
          <w:rFonts w:ascii="宋体" w:hAnsi="宋体" w:cs="宋体" w:eastAsia="宋体" w:hint="default"/>
          <w:sz w:val="16"/>
          <w:szCs w:val="16"/>
        </w:rPr>
      </w:pPr>
    </w:p>
    <w:tbl>
      <w:tblPr>
        <w:tblW w:w="0" w:type="auto"/>
        <w:jc w:val="left"/>
        <w:tblInd w:w="118" w:type="dxa"/>
        <w:tblLayout w:type="fixed"/>
        <w:tblCellMar>
          <w:top w:w="0" w:type="dxa"/>
          <w:left w:w="0" w:type="dxa"/>
          <w:bottom w:w="0" w:type="dxa"/>
          <w:right w:w="0" w:type="dxa"/>
        </w:tblCellMar>
        <w:tblLook w:val="01E0"/>
      </w:tblPr>
      <w:tblGrid>
        <w:gridCol w:w="1226"/>
        <w:gridCol w:w="1769"/>
        <w:gridCol w:w="1658"/>
        <w:gridCol w:w="975"/>
        <w:gridCol w:w="1326"/>
        <w:gridCol w:w="1769"/>
      </w:tblGrid>
      <w:tr>
        <w:trPr>
          <w:trHeight w:val="378" w:hRule="exact"/>
        </w:trPr>
        <w:tc>
          <w:tcPr>
            <w:tcW w:w="1226" w:type="dxa"/>
            <w:vMerge w:val="restart"/>
            <w:tcBorders>
              <w:top w:val="single" w:sz="12" w:space="0" w:color="000000"/>
              <w:left w:val="nil" w:sz="6" w:space="0" w:color="auto"/>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769" w:type="dxa"/>
            <w:vMerge w:val="restart"/>
            <w:tcBorders>
              <w:top w:val="single" w:sz="12" w:space="0" w:color="000000"/>
              <w:left w:val="single" w:sz="2" w:space="0" w:color="000000"/>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3959" w:type="dxa"/>
            <w:gridSpan w:val="3"/>
            <w:tcBorders>
              <w:top w:val="single" w:sz="12" w:space="0" w:color="000000"/>
              <w:left w:val="single" w:sz="2" w:space="0" w:color="000000"/>
              <w:bottom w:val="single" w:sz="2" w:space="0" w:color="000000"/>
              <w:right w:val="single" w:sz="2"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b/>
                <w:bCs/>
                <w:sz w:val="18"/>
                <w:szCs w:val="18"/>
              </w:rPr>
              <w:t>本年变动金额</w:t>
            </w:r>
            <w:r>
              <w:rPr>
                <w:rFonts w:ascii="宋体" w:hAnsi="宋体" w:cs="宋体" w:eastAsia="宋体" w:hint="default"/>
                <w:sz w:val="18"/>
                <w:szCs w:val="18"/>
              </w:rPr>
            </w:r>
          </w:p>
        </w:tc>
        <w:tc>
          <w:tcPr>
            <w:tcW w:w="1769" w:type="dxa"/>
            <w:vMerge w:val="restart"/>
            <w:tcBorders>
              <w:top w:val="single" w:sz="12" w:space="0" w:color="000000"/>
              <w:left w:val="single" w:sz="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725" w:hRule="exact"/>
        </w:trPr>
        <w:tc>
          <w:tcPr>
            <w:tcW w:w="1226" w:type="dxa"/>
            <w:vMerge/>
            <w:tcBorders>
              <w:left w:val="nil" w:sz="6" w:space="0" w:color="auto"/>
              <w:bottom w:val="single" w:sz="2" w:space="0" w:color="000000"/>
              <w:right w:val="single" w:sz="2" w:space="0" w:color="000000"/>
            </w:tcBorders>
          </w:tcPr>
          <w:p>
            <w:pPr/>
          </w:p>
        </w:tc>
        <w:tc>
          <w:tcPr>
            <w:tcW w:w="1769" w:type="dxa"/>
            <w:vMerge/>
            <w:tcBorders>
              <w:left w:val="single" w:sz="2" w:space="0" w:color="000000"/>
              <w:bottom w:val="single" w:sz="2" w:space="0" w:color="000000"/>
              <w:right w:val="single" w:sz="2" w:space="0" w:color="000000"/>
            </w:tcBorders>
          </w:tcPr>
          <w:p>
            <w:pPr/>
          </w:p>
        </w:tc>
        <w:tc>
          <w:tcPr>
            <w:tcW w:w="16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975" w:type="dxa"/>
            <w:tcBorders>
              <w:top w:val="single" w:sz="2" w:space="0" w:color="000000"/>
              <w:left w:val="single" w:sz="2" w:space="0" w:color="000000"/>
              <w:bottom w:val="single" w:sz="2" w:space="0" w:color="000000"/>
              <w:right w:val="single" w:sz="2" w:space="0" w:color="000000"/>
            </w:tcBorders>
          </w:tcPr>
          <w:p>
            <w:pPr>
              <w:pStyle w:val="TableParagraph"/>
              <w:spacing w:line="360" w:lineRule="exact"/>
              <w:ind w:left="394" w:right="122" w:hanging="272"/>
              <w:jc w:val="left"/>
              <w:rPr>
                <w:rFonts w:ascii="宋体" w:hAnsi="宋体" w:cs="宋体" w:eastAsia="宋体" w:hint="default"/>
                <w:sz w:val="18"/>
                <w:szCs w:val="18"/>
              </w:rPr>
            </w:pPr>
            <w:r>
              <w:rPr>
                <w:rFonts w:ascii="宋体" w:hAnsi="宋体" w:cs="宋体" w:eastAsia="宋体" w:hint="default"/>
                <w:b/>
                <w:bCs/>
                <w:sz w:val="18"/>
                <w:szCs w:val="18"/>
              </w:rPr>
              <w:t>收回或转</w:t>
            </w:r>
            <w:r>
              <w:rPr>
                <w:rFonts w:ascii="宋体" w:hAnsi="宋体" w:cs="宋体" w:eastAsia="宋体" w:hint="default"/>
                <w:b/>
                <w:bCs/>
                <w:w w:val="99"/>
                <w:sz w:val="18"/>
                <w:szCs w:val="18"/>
              </w:rPr>
              <w:t> </w:t>
            </w:r>
            <w:r>
              <w:rPr>
                <w:rFonts w:ascii="宋体" w:hAnsi="宋体" w:cs="宋体" w:eastAsia="宋体" w:hint="default"/>
                <w:b/>
                <w:bCs/>
                <w:sz w:val="18"/>
                <w:szCs w:val="18"/>
              </w:rPr>
              <w:t>回</w:t>
            </w:r>
            <w:r>
              <w:rPr>
                <w:rFonts w:ascii="宋体" w:hAnsi="宋体" w:cs="宋体" w:eastAsia="宋体" w:hint="default"/>
                <w:sz w:val="18"/>
                <w:szCs w:val="18"/>
              </w:rPr>
            </w: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09" w:right="0"/>
              <w:jc w:val="left"/>
              <w:rPr>
                <w:rFonts w:ascii="宋体" w:hAnsi="宋体" w:cs="宋体" w:eastAsia="宋体" w:hint="default"/>
                <w:sz w:val="18"/>
                <w:szCs w:val="18"/>
              </w:rPr>
            </w:pPr>
            <w:r>
              <w:rPr>
                <w:rFonts w:ascii="宋体" w:hAnsi="宋体" w:cs="宋体" w:eastAsia="宋体" w:hint="default"/>
                <w:b/>
                <w:bCs/>
                <w:sz w:val="18"/>
                <w:szCs w:val="18"/>
              </w:rPr>
              <w:t>转销或核销</w:t>
            </w:r>
            <w:r>
              <w:rPr>
                <w:rFonts w:ascii="宋体" w:hAnsi="宋体" w:cs="宋体" w:eastAsia="宋体" w:hint="default"/>
                <w:sz w:val="18"/>
                <w:szCs w:val="18"/>
              </w:rPr>
            </w:r>
          </w:p>
        </w:tc>
        <w:tc>
          <w:tcPr>
            <w:tcW w:w="1769" w:type="dxa"/>
            <w:vMerge/>
            <w:tcBorders>
              <w:left w:val="single" w:sz="2" w:space="0" w:color="000000"/>
              <w:bottom w:val="single" w:sz="2" w:space="0" w:color="000000"/>
              <w:right w:val="nil" w:sz="6" w:space="0" w:color="auto"/>
            </w:tcBorders>
          </w:tcPr>
          <w:p>
            <w:pPr/>
          </w:p>
        </w:tc>
      </w:tr>
      <w:tr>
        <w:trPr>
          <w:trHeight w:val="402" w:hRule="exact"/>
        </w:trPr>
        <w:tc>
          <w:tcPr>
            <w:tcW w:w="1226"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单项计提</w:t>
            </w:r>
          </w:p>
        </w:tc>
        <w:tc>
          <w:tcPr>
            <w:tcW w:w="1769" w:type="dxa"/>
            <w:tcBorders>
              <w:top w:val="single" w:sz="2" w:space="0" w:color="000000"/>
              <w:left w:val="single" w:sz="2" w:space="0" w:color="000000"/>
              <w:bottom w:val="single" w:sz="2" w:space="0" w:color="000000"/>
              <w:right w:val="single" w:sz="2" w:space="0" w:color="000000"/>
            </w:tcBorders>
          </w:tcPr>
          <w:p>
            <w:pPr/>
          </w:p>
        </w:tc>
        <w:tc>
          <w:tcPr>
            <w:tcW w:w="16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50"/>
              <w:jc w:val="right"/>
              <w:rPr>
                <w:rFonts w:ascii="宋体" w:hAnsi="宋体" w:cs="宋体" w:eastAsia="宋体" w:hint="default"/>
                <w:sz w:val="18"/>
                <w:szCs w:val="18"/>
              </w:rPr>
            </w:pPr>
            <w:r>
              <w:rPr>
                <w:rFonts w:ascii="宋体"/>
                <w:spacing w:val="-1"/>
                <w:sz w:val="18"/>
              </w:rPr>
              <w:t>14,814,148.65</w:t>
            </w:r>
          </w:p>
        </w:tc>
        <w:tc>
          <w:tcPr>
            <w:tcW w:w="975"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
        </w:tc>
        <w:tc>
          <w:tcPr>
            <w:tcW w:w="176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14,814,148.65</w:t>
            </w:r>
          </w:p>
        </w:tc>
      </w:tr>
      <w:tr>
        <w:trPr>
          <w:trHeight w:val="472" w:hRule="exact"/>
        </w:trPr>
        <w:tc>
          <w:tcPr>
            <w:tcW w:w="1226" w:type="dxa"/>
            <w:tcBorders>
              <w:top w:val="single" w:sz="2" w:space="0" w:color="000000"/>
              <w:left w:val="nil" w:sz="6" w:space="0" w:color="auto"/>
              <w:bottom w:val="single" w:sz="2" w:space="0" w:color="000000"/>
              <w:right w:val="single" w:sz="2" w:space="0" w:color="000000"/>
            </w:tcBorders>
          </w:tcPr>
          <w:p>
            <w:pPr>
              <w:pStyle w:val="TableParagraph"/>
              <w:spacing w:line="205" w:lineRule="exact"/>
              <w:ind w:left="108" w:right="0"/>
              <w:jc w:val="left"/>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64"/>
                <w:sz w:val="18"/>
                <w:szCs w:val="18"/>
              </w:rPr>
              <w:t> </w:t>
            </w:r>
            <w:r>
              <w:rPr>
                <w:rFonts w:ascii="宋体" w:hAnsi="宋体" w:cs="宋体" w:eastAsia="宋体" w:hint="default"/>
                <w:sz w:val="18"/>
                <w:szCs w:val="18"/>
              </w:rPr>
              <w:t>龄</w:t>
            </w:r>
            <w:r>
              <w:rPr>
                <w:rFonts w:ascii="宋体" w:hAnsi="宋体" w:cs="宋体" w:eastAsia="宋体" w:hint="default"/>
                <w:spacing w:val="-62"/>
                <w:sz w:val="18"/>
                <w:szCs w:val="18"/>
              </w:rPr>
              <w:t> </w:t>
            </w:r>
            <w:r>
              <w:rPr>
                <w:rFonts w:ascii="宋体" w:hAnsi="宋体" w:cs="宋体" w:eastAsia="宋体" w:hint="default"/>
                <w:sz w:val="18"/>
                <w:szCs w:val="18"/>
              </w:rPr>
              <w:t>组</w:t>
            </w:r>
            <w:r>
              <w:rPr>
                <w:rFonts w:ascii="宋体" w:hAnsi="宋体" w:cs="宋体" w:eastAsia="宋体" w:hint="default"/>
                <w:spacing w:val="-64"/>
                <w:sz w:val="18"/>
                <w:szCs w:val="18"/>
              </w:rPr>
              <w:t> </w:t>
            </w:r>
            <w:r>
              <w:rPr>
                <w:rFonts w:ascii="宋体" w:hAnsi="宋体" w:cs="宋体" w:eastAsia="宋体" w:hint="default"/>
                <w:sz w:val="18"/>
                <w:szCs w:val="18"/>
              </w:rPr>
              <w:t>合</w:t>
            </w:r>
            <w:r>
              <w:rPr>
                <w:rFonts w:ascii="宋体" w:hAnsi="宋体" w:cs="宋体" w:eastAsia="宋体" w:hint="default"/>
                <w:spacing w:val="-62"/>
                <w:sz w:val="18"/>
                <w:szCs w:val="18"/>
              </w:rPr>
              <w:t> </w:t>
            </w:r>
            <w:r>
              <w:rPr>
                <w:rFonts w:ascii="宋体" w:hAnsi="宋体" w:cs="宋体" w:eastAsia="宋体" w:hint="default"/>
                <w:sz w:val="18"/>
                <w:szCs w:val="18"/>
              </w:rPr>
              <w:t>计</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76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6"/>
              <w:ind w:right="48"/>
              <w:jc w:val="right"/>
              <w:rPr>
                <w:rFonts w:ascii="宋体" w:hAnsi="宋体" w:cs="宋体" w:eastAsia="宋体" w:hint="default"/>
                <w:sz w:val="18"/>
                <w:szCs w:val="18"/>
              </w:rPr>
            </w:pPr>
            <w:r>
              <w:rPr>
                <w:rFonts w:ascii="宋体"/>
                <w:spacing w:val="-1"/>
                <w:sz w:val="18"/>
              </w:rPr>
              <w:t>103,789,900.74</w:t>
            </w:r>
          </w:p>
        </w:tc>
        <w:tc>
          <w:tcPr>
            <w:tcW w:w="16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6"/>
              <w:ind w:right="48"/>
              <w:jc w:val="right"/>
              <w:rPr>
                <w:rFonts w:ascii="宋体" w:hAnsi="宋体" w:cs="宋体" w:eastAsia="宋体" w:hint="default"/>
                <w:sz w:val="18"/>
                <w:szCs w:val="18"/>
              </w:rPr>
            </w:pPr>
            <w:r>
              <w:rPr>
                <w:rFonts w:ascii="宋体"/>
                <w:spacing w:val="-1"/>
                <w:sz w:val="18"/>
              </w:rPr>
              <w:t>5,572,449.45</w:t>
            </w:r>
          </w:p>
        </w:tc>
        <w:tc>
          <w:tcPr>
            <w:tcW w:w="975" w:type="dxa"/>
            <w:tcBorders>
              <w:top w:val="single" w:sz="2" w:space="0" w:color="000000"/>
              <w:left w:val="single" w:sz="2" w:space="0" w:color="000000"/>
              <w:bottom w:val="single" w:sz="2" w:space="0" w:color="000000"/>
              <w:right w:val="single" w:sz="2" w:space="0" w:color="000000"/>
            </w:tcBorders>
          </w:tcPr>
          <w:p>
            <w:pPr/>
          </w:p>
        </w:tc>
        <w:tc>
          <w:tcPr>
            <w:tcW w:w="132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6"/>
              <w:ind w:right="47"/>
              <w:jc w:val="right"/>
              <w:rPr>
                <w:rFonts w:ascii="宋体" w:hAnsi="宋体" w:cs="宋体" w:eastAsia="宋体" w:hint="default"/>
                <w:sz w:val="18"/>
                <w:szCs w:val="18"/>
              </w:rPr>
            </w:pPr>
            <w:r>
              <w:rPr>
                <w:rFonts w:ascii="宋体"/>
                <w:spacing w:val="-1"/>
                <w:sz w:val="18"/>
              </w:rPr>
              <w:t>110,656.34</w:t>
            </w:r>
          </w:p>
        </w:tc>
        <w:tc>
          <w:tcPr>
            <w:tcW w:w="176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6"/>
              <w:ind w:right="50"/>
              <w:jc w:val="right"/>
              <w:rPr>
                <w:rFonts w:ascii="宋体" w:hAnsi="宋体" w:cs="宋体" w:eastAsia="宋体" w:hint="default"/>
                <w:sz w:val="18"/>
                <w:szCs w:val="18"/>
              </w:rPr>
            </w:pPr>
            <w:r>
              <w:rPr>
                <w:rFonts w:ascii="宋体"/>
                <w:spacing w:val="-1"/>
                <w:sz w:val="18"/>
              </w:rPr>
              <w:t>109,251,693.85</w:t>
            </w:r>
          </w:p>
        </w:tc>
      </w:tr>
      <w:tr>
        <w:trPr>
          <w:trHeight w:val="414" w:hRule="exact"/>
        </w:trPr>
        <w:tc>
          <w:tcPr>
            <w:tcW w:w="122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6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92"/>
              <w:jc w:val="right"/>
              <w:rPr>
                <w:rFonts w:ascii="宋体" w:hAnsi="宋体" w:cs="宋体" w:eastAsia="宋体" w:hint="default"/>
                <w:sz w:val="18"/>
                <w:szCs w:val="18"/>
              </w:rPr>
            </w:pPr>
            <w:r>
              <w:rPr>
                <w:rFonts w:ascii="宋体"/>
                <w:b/>
                <w:w w:val="95"/>
                <w:sz w:val="18"/>
              </w:rPr>
              <w:t>103,789,900.74</w:t>
            </w:r>
            <w:r>
              <w:rPr>
                <w:rFonts w:ascii="宋体"/>
                <w:sz w:val="18"/>
              </w:rPr>
            </w:r>
          </w:p>
        </w:tc>
        <w:tc>
          <w:tcPr>
            <w:tcW w:w="16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91"/>
              <w:jc w:val="right"/>
              <w:rPr>
                <w:rFonts w:ascii="宋体" w:hAnsi="宋体" w:cs="宋体" w:eastAsia="宋体" w:hint="default"/>
                <w:sz w:val="18"/>
                <w:szCs w:val="18"/>
              </w:rPr>
            </w:pPr>
            <w:r>
              <w:rPr>
                <w:rFonts w:ascii="宋体"/>
                <w:b/>
                <w:w w:val="95"/>
                <w:sz w:val="18"/>
              </w:rPr>
              <w:t>20,386,598.10</w:t>
            </w:r>
            <w:r>
              <w:rPr>
                <w:rFonts w:ascii="宋体"/>
                <w:sz w:val="18"/>
              </w:rPr>
            </w:r>
          </w:p>
        </w:tc>
        <w:tc>
          <w:tcPr>
            <w:tcW w:w="975" w:type="dxa"/>
            <w:tcBorders>
              <w:top w:val="single" w:sz="2" w:space="0" w:color="000000"/>
              <w:left w:val="single" w:sz="2" w:space="0" w:color="000000"/>
              <w:bottom w:val="single" w:sz="12" w:space="0" w:color="000000"/>
              <w:right w:val="single" w:sz="2" w:space="0" w:color="000000"/>
            </w:tcBorders>
          </w:tcPr>
          <w:p>
            <w:pPr/>
          </w:p>
        </w:tc>
        <w:tc>
          <w:tcPr>
            <w:tcW w:w="132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0"/>
              <w:ind w:right="93"/>
              <w:jc w:val="right"/>
              <w:rPr>
                <w:rFonts w:ascii="宋体" w:hAnsi="宋体" w:cs="宋体" w:eastAsia="宋体" w:hint="default"/>
                <w:sz w:val="18"/>
                <w:szCs w:val="18"/>
              </w:rPr>
            </w:pPr>
            <w:r>
              <w:rPr>
                <w:rFonts w:ascii="宋体"/>
                <w:b/>
                <w:sz w:val="18"/>
              </w:rPr>
              <w:t>110,656.34</w:t>
            </w:r>
            <w:r>
              <w:rPr>
                <w:rFonts w:ascii="宋体"/>
                <w:sz w:val="18"/>
              </w:rPr>
            </w:r>
          </w:p>
        </w:tc>
        <w:tc>
          <w:tcPr>
            <w:tcW w:w="1769"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0"/>
              <w:ind w:right="93"/>
              <w:jc w:val="right"/>
              <w:rPr>
                <w:rFonts w:ascii="宋体" w:hAnsi="宋体" w:cs="宋体" w:eastAsia="宋体" w:hint="default"/>
                <w:sz w:val="18"/>
                <w:szCs w:val="18"/>
              </w:rPr>
            </w:pPr>
            <w:r>
              <w:rPr>
                <w:rFonts w:ascii="宋体"/>
                <w:b/>
                <w:sz w:val="18"/>
              </w:rPr>
              <w:t>124,065,842.50</w:t>
            </w:r>
            <w:r>
              <w:rPr>
                <w:rFonts w:ascii="宋体"/>
                <w:sz w:val="18"/>
              </w:rPr>
            </w:r>
          </w:p>
        </w:tc>
      </w:tr>
    </w:tbl>
    <w:p>
      <w:pPr>
        <w:spacing w:line="240" w:lineRule="auto" w:before="1"/>
        <w:rPr>
          <w:rFonts w:ascii="宋体" w:hAnsi="宋体" w:cs="宋体" w:eastAsia="宋体" w:hint="default"/>
          <w:sz w:val="13"/>
          <w:szCs w:val="13"/>
        </w:rPr>
      </w:pPr>
    </w:p>
    <w:p>
      <w:pPr>
        <w:pStyle w:val="BodyText"/>
        <w:spacing w:line="240" w:lineRule="auto"/>
        <w:ind w:left="666" w:right="1445"/>
        <w:jc w:val="left"/>
      </w:pPr>
      <w:r>
        <w:rPr>
          <w:spacing w:val="-1"/>
        </w:rPr>
        <w:t>（4）</w:t>
      </w:r>
      <w:r>
        <w:rPr>
          <w:spacing w:val="-69"/>
        </w:rPr>
        <w:t> </w:t>
      </w:r>
      <w:bookmarkStart w:name="（4）本年度实际核销的应收账款" w:id="404"/>
      <w:bookmarkEnd w:id="404"/>
      <w:r>
        <w:rPr>
          <w:spacing w:val="-2"/>
        </w:rPr>
        <w:t>本</w:t>
      </w:r>
      <w:r>
        <w:rPr>
          <w:spacing w:val="-2"/>
        </w:rPr>
        <w:t>年度实际核销的应收账款</w:t>
      </w:r>
    </w:p>
    <w:p>
      <w:pPr>
        <w:spacing w:line="240" w:lineRule="auto" w:before="8"/>
        <w:rPr>
          <w:rFonts w:ascii="宋体" w:hAnsi="宋体" w:cs="宋体" w:eastAsia="宋体" w:hint="default"/>
          <w:sz w:val="16"/>
          <w:szCs w:val="16"/>
        </w:rPr>
      </w:pPr>
    </w:p>
    <w:tbl>
      <w:tblPr>
        <w:tblW w:w="0" w:type="auto"/>
        <w:jc w:val="left"/>
        <w:tblInd w:w="118" w:type="dxa"/>
        <w:tblLayout w:type="fixed"/>
        <w:tblCellMar>
          <w:top w:w="0" w:type="dxa"/>
          <w:left w:w="0" w:type="dxa"/>
          <w:bottom w:w="0" w:type="dxa"/>
          <w:right w:w="0" w:type="dxa"/>
        </w:tblCellMar>
        <w:tblLook w:val="01E0"/>
      </w:tblPr>
      <w:tblGrid>
        <w:gridCol w:w="4536"/>
        <w:gridCol w:w="4187"/>
      </w:tblGrid>
      <w:tr>
        <w:trPr>
          <w:trHeight w:val="415" w:hRule="exact"/>
        </w:trPr>
        <w:tc>
          <w:tcPr>
            <w:tcW w:w="453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18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核销金额</w:t>
            </w:r>
            <w:r>
              <w:rPr>
                <w:rFonts w:ascii="宋体" w:hAnsi="宋体" w:cs="宋体" w:eastAsia="宋体" w:hint="default"/>
                <w:sz w:val="18"/>
                <w:szCs w:val="18"/>
              </w:rPr>
            </w:r>
          </w:p>
        </w:tc>
      </w:tr>
      <w:tr>
        <w:trPr>
          <w:trHeight w:val="414" w:hRule="exact"/>
        </w:trPr>
        <w:tc>
          <w:tcPr>
            <w:tcW w:w="453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18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110,656.34</w:t>
            </w:r>
          </w:p>
        </w:tc>
      </w:tr>
    </w:tbl>
    <w:p>
      <w:pPr>
        <w:spacing w:line="240" w:lineRule="auto" w:before="2"/>
        <w:rPr>
          <w:rFonts w:ascii="宋体" w:hAnsi="宋体" w:cs="宋体" w:eastAsia="宋体" w:hint="default"/>
          <w:sz w:val="13"/>
          <w:szCs w:val="13"/>
        </w:rPr>
      </w:pPr>
    </w:p>
    <w:p>
      <w:pPr>
        <w:pStyle w:val="BodyText"/>
        <w:spacing w:line="240" w:lineRule="auto"/>
        <w:ind w:left="666" w:right="1445"/>
        <w:jc w:val="left"/>
      </w:pPr>
      <w:r>
        <w:rPr>
          <w:spacing w:val="-1"/>
        </w:rPr>
        <w:t>（5）</w:t>
      </w:r>
      <w:r>
        <w:rPr>
          <w:spacing w:val="-57"/>
        </w:rPr>
        <w:t> </w:t>
      </w:r>
      <w:bookmarkStart w:name="（5）按欠款方归集的年末余额前五名的应收账款情况" w:id="405"/>
      <w:bookmarkEnd w:id="405"/>
      <w:r>
        <w:rPr>
          <w:spacing w:val="-2"/>
        </w:rPr>
        <w:t>按</w:t>
      </w:r>
      <w:r>
        <w:rPr>
          <w:spacing w:val="-2"/>
        </w:rPr>
        <w:t>欠款方归集的年末余额前五名的应收账款情况</w:t>
      </w:r>
    </w:p>
    <w:p>
      <w:pPr>
        <w:spacing w:line="240" w:lineRule="auto" w:before="7"/>
        <w:rPr>
          <w:rFonts w:ascii="宋体" w:hAnsi="宋体" w:cs="宋体" w:eastAsia="宋体" w:hint="default"/>
          <w:sz w:val="16"/>
          <w:szCs w:val="16"/>
        </w:rPr>
      </w:pPr>
    </w:p>
    <w:tbl>
      <w:tblPr>
        <w:tblW w:w="0" w:type="auto"/>
        <w:jc w:val="left"/>
        <w:tblInd w:w="118" w:type="dxa"/>
        <w:tblLayout w:type="fixed"/>
        <w:tblCellMar>
          <w:top w:w="0" w:type="dxa"/>
          <w:left w:w="0" w:type="dxa"/>
          <w:bottom w:w="0" w:type="dxa"/>
          <w:right w:w="0" w:type="dxa"/>
        </w:tblCellMar>
        <w:tblLook w:val="01E0"/>
      </w:tblPr>
      <w:tblGrid>
        <w:gridCol w:w="1240"/>
        <w:gridCol w:w="2128"/>
        <w:gridCol w:w="1675"/>
        <w:gridCol w:w="1586"/>
        <w:gridCol w:w="2094"/>
      </w:tblGrid>
      <w:tr>
        <w:trPr>
          <w:trHeight w:val="248" w:hRule="exact"/>
        </w:trPr>
        <w:tc>
          <w:tcPr>
            <w:tcW w:w="1240" w:type="dxa"/>
            <w:tcBorders>
              <w:top w:val="single" w:sz="12" w:space="0" w:color="000000"/>
              <w:left w:val="nil" w:sz="6" w:space="0" w:color="auto"/>
              <w:bottom w:val="nil" w:sz="6" w:space="0" w:color="auto"/>
              <w:right w:val="single" w:sz="2" w:space="0" w:color="000000"/>
            </w:tcBorders>
          </w:tcPr>
          <w:p>
            <w:pPr/>
          </w:p>
        </w:tc>
        <w:tc>
          <w:tcPr>
            <w:tcW w:w="2128" w:type="dxa"/>
            <w:tcBorders>
              <w:top w:val="single" w:sz="12" w:space="0" w:color="000000"/>
              <w:left w:val="single" w:sz="2" w:space="0" w:color="000000"/>
              <w:bottom w:val="nil" w:sz="6" w:space="0" w:color="auto"/>
              <w:right w:val="single" w:sz="2" w:space="0" w:color="000000"/>
            </w:tcBorders>
          </w:tcPr>
          <w:p>
            <w:pPr/>
          </w:p>
        </w:tc>
        <w:tc>
          <w:tcPr>
            <w:tcW w:w="1675" w:type="dxa"/>
            <w:tcBorders>
              <w:top w:val="single" w:sz="12" w:space="0" w:color="000000"/>
              <w:left w:val="single" w:sz="2" w:space="0" w:color="000000"/>
              <w:bottom w:val="nil" w:sz="6" w:space="0" w:color="auto"/>
              <w:right w:val="single" w:sz="2" w:space="0" w:color="000000"/>
            </w:tcBorders>
          </w:tcPr>
          <w:p>
            <w:pPr/>
          </w:p>
        </w:tc>
        <w:tc>
          <w:tcPr>
            <w:tcW w:w="1586" w:type="dxa"/>
            <w:tcBorders>
              <w:top w:val="single" w:sz="12" w:space="0" w:color="000000"/>
              <w:left w:val="single" w:sz="2" w:space="0" w:color="000000"/>
              <w:bottom w:val="nil" w:sz="6" w:space="0" w:color="auto"/>
              <w:right w:val="single" w:sz="2" w:space="0" w:color="000000"/>
            </w:tcBorders>
          </w:tcPr>
          <w:p>
            <w:pPr>
              <w:pStyle w:val="TableParagraph"/>
              <w:spacing w:line="207" w:lineRule="exact"/>
              <w:ind w:right="153"/>
              <w:jc w:val="right"/>
              <w:rPr>
                <w:rFonts w:ascii="宋体" w:hAnsi="宋体" w:cs="宋体" w:eastAsia="宋体" w:hint="default"/>
                <w:sz w:val="18"/>
                <w:szCs w:val="18"/>
              </w:rPr>
            </w:pPr>
            <w:r>
              <w:rPr>
                <w:rFonts w:ascii="宋体" w:hAnsi="宋体" w:cs="宋体" w:eastAsia="宋体" w:hint="default"/>
                <w:b/>
                <w:bCs/>
                <w:w w:val="95"/>
                <w:sz w:val="18"/>
                <w:szCs w:val="18"/>
              </w:rPr>
              <w:t>占应收账款年末</w:t>
            </w:r>
            <w:r>
              <w:rPr>
                <w:rFonts w:ascii="宋体" w:hAnsi="宋体" w:cs="宋体" w:eastAsia="宋体" w:hint="default"/>
                <w:sz w:val="18"/>
                <w:szCs w:val="18"/>
              </w:rPr>
            </w:r>
          </w:p>
        </w:tc>
        <w:tc>
          <w:tcPr>
            <w:tcW w:w="2094" w:type="dxa"/>
            <w:tcBorders>
              <w:top w:val="single" w:sz="12" w:space="0" w:color="000000"/>
              <w:left w:val="single" w:sz="2" w:space="0" w:color="000000"/>
              <w:bottom w:val="nil" w:sz="6" w:space="0" w:color="auto"/>
              <w:right w:val="nil" w:sz="6" w:space="0" w:color="auto"/>
            </w:tcBorders>
          </w:tcPr>
          <w:p>
            <w:pPr/>
          </w:p>
        </w:tc>
      </w:tr>
      <w:tr>
        <w:trPr>
          <w:trHeight w:val="233" w:hRule="exact"/>
        </w:trPr>
        <w:tc>
          <w:tcPr>
            <w:tcW w:w="1240" w:type="dxa"/>
            <w:tcBorders>
              <w:top w:val="nil" w:sz="6" w:space="0" w:color="auto"/>
              <w:left w:val="nil" w:sz="6" w:space="0" w:color="auto"/>
              <w:bottom w:val="nil" w:sz="6" w:space="0" w:color="auto"/>
              <w:right w:val="single" w:sz="2" w:space="0" w:color="000000"/>
            </w:tcBorders>
          </w:tcPr>
          <w:p>
            <w:pPr>
              <w:pStyle w:val="TableParagraph"/>
              <w:spacing w:line="206"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2128" w:type="dxa"/>
            <w:tcBorders>
              <w:top w:val="nil" w:sz="6" w:space="0" w:color="auto"/>
              <w:left w:val="single" w:sz="2" w:space="0" w:color="000000"/>
              <w:bottom w:val="nil" w:sz="6" w:space="0" w:color="auto"/>
              <w:right w:val="single" w:sz="2" w:space="0" w:color="000000"/>
            </w:tcBorders>
          </w:tcPr>
          <w:p>
            <w:pPr>
              <w:pStyle w:val="TableParagraph"/>
              <w:spacing w:line="206" w:lineRule="exact"/>
              <w:ind w:left="70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675" w:type="dxa"/>
            <w:tcBorders>
              <w:top w:val="nil" w:sz="6" w:space="0" w:color="auto"/>
              <w:left w:val="single" w:sz="2" w:space="0" w:color="000000"/>
              <w:bottom w:val="nil" w:sz="6" w:space="0" w:color="auto"/>
              <w:right w:val="single" w:sz="2"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1586" w:type="dxa"/>
            <w:tcBorders>
              <w:top w:val="nil" w:sz="6" w:space="0" w:color="auto"/>
              <w:left w:val="single" w:sz="2" w:space="0" w:color="000000"/>
              <w:bottom w:val="nil" w:sz="6" w:space="0" w:color="auto"/>
              <w:right w:val="single" w:sz="2" w:space="0" w:color="000000"/>
            </w:tcBorders>
          </w:tcPr>
          <w:p>
            <w:pPr>
              <w:pStyle w:val="TableParagraph"/>
              <w:spacing w:line="206" w:lineRule="exact"/>
              <w:ind w:right="153"/>
              <w:jc w:val="right"/>
              <w:rPr>
                <w:rFonts w:ascii="宋体" w:hAnsi="宋体" w:cs="宋体" w:eastAsia="宋体" w:hint="default"/>
                <w:sz w:val="18"/>
                <w:szCs w:val="18"/>
              </w:rPr>
            </w:pPr>
            <w:r>
              <w:rPr>
                <w:rFonts w:ascii="宋体" w:hAnsi="宋体" w:cs="宋体" w:eastAsia="宋体" w:hint="default"/>
                <w:b/>
                <w:bCs/>
                <w:w w:val="95"/>
                <w:sz w:val="18"/>
                <w:szCs w:val="18"/>
              </w:rPr>
              <w:t>余额合计数的比</w:t>
            </w:r>
            <w:r>
              <w:rPr>
                <w:rFonts w:ascii="宋体" w:hAnsi="宋体" w:cs="宋体" w:eastAsia="宋体" w:hint="default"/>
                <w:sz w:val="18"/>
                <w:szCs w:val="18"/>
              </w:rPr>
            </w:r>
          </w:p>
        </w:tc>
        <w:tc>
          <w:tcPr>
            <w:tcW w:w="2094" w:type="dxa"/>
            <w:tcBorders>
              <w:top w:val="nil" w:sz="6" w:space="0" w:color="auto"/>
              <w:left w:val="single" w:sz="2" w:space="0" w:color="000000"/>
              <w:bottom w:val="nil" w:sz="6" w:space="0" w:color="auto"/>
              <w:right w:val="nil" w:sz="6" w:space="0" w:color="auto"/>
            </w:tcBorders>
          </w:tcPr>
          <w:p>
            <w:pPr>
              <w:pStyle w:val="TableParagraph"/>
              <w:spacing w:line="206" w:lineRule="exact"/>
              <w:ind w:left="324" w:right="0"/>
              <w:jc w:val="left"/>
              <w:rPr>
                <w:rFonts w:ascii="宋体" w:hAnsi="宋体" w:cs="宋体" w:eastAsia="宋体" w:hint="default"/>
                <w:sz w:val="18"/>
                <w:szCs w:val="18"/>
              </w:rPr>
            </w:pPr>
            <w:r>
              <w:rPr>
                <w:rFonts w:ascii="宋体" w:hAnsi="宋体" w:cs="宋体" w:eastAsia="宋体" w:hint="default"/>
                <w:b/>
                <w:bCs/>
                <w:sz w:val="18"/>
                <w:szCs w:val="18"/>
              </w:rPr>
              <w:t>坏账准备年末余额</w:t>
            </w:r>
            <w:r>
              <w:rPr>
                <w:rFonts w:ascii="宋体" w:hAnsi="宋体" w:cs="宋体" w:eastAsia="宋体" w:hint="default"/>
                <w:sz w:val="18"/>
                <w:szCs w:val="18"/>
              </w:rPr>
            </w:r>
          </w:p>
        </w:tc>
      </w:tr>
      <w:tr>
        <w:trPr>
          <w:trHeight w:val="237" w:hRule="exact"/>
        </w:trPr>
        <w:tc>
          <w:tcPr>
            <w:tcW w:w="1240" w:type="dxa"/>
            <w:tcBorders>
              <w:top w:val="nil" w:sz="6" w:space="0" w:color="auto"/>
              <w:left w:val="nil" w:sz="6" w:space="0" w:color="auto"/>
              <w:bottom w:val="single" w:sz="2" w:space="0" w:color="000000"/>
              <w:right w:val="single" w:sz="2" w:space="0" w:color="000000"/>
            </w:tcBorders>
          </w:tcPr>
          <w:p>
            <w:pPr/>
          </w:p>
        </w:tc>
        <w:tc>
          <w:tcPr>
            <w:tcW w:w="2128" w:type="dxa"/>
            <w:tcBorders>
              <w:top w:val="nil" w:sz="6" w:space="0" w:color="auto"/>
              <w:left w:val="single" w:sz="2" w:space="0" w:color="000000"/>
              <w:bottom w:val="single" w:sz="2" w:space="0" w:color="000000"/>
              <w:right w:val="single" w:sz="2" w:space="0" w:color="000000"/>
            </w:tcBorders>
          </w:tcPr>
          <w:p>
            <w:pPr/>
          </w:p>
        </w:tc>
        <w:tc>
          <w:tcPr>
            <w:tcW w:w="1675" w:type="dxa"/>
            <w:tcBorders>
              <w:top w:val="nil" w:sz="6" w:space="0" w:color="auto"/>
              <w:left w:val="single" w:sz="2" w:space="0" w:color="000000"/>
              <w:bottom w:val="single" w:sz="2" w:space="0" w:color="000000"/>
              <w:right w:val="single" w:sz="2" w:space="0" w:color="000000"/>
            </w:tcBorders>
          </w:tcPr>
          <w:p>
            <w:pPr/>
          </w:p>
        </w:tc>
        <w:tc>
          <w:tcPr>
            <w:tcW w:w="1586" w:type="dxa"/>
            <w:tcBorders>
              <w:top w:val="nil" w:sz="6" w:space="0" w:color="auto"/>
              <w:left w:val="single" w:sz="2" w:space="0" w:color="000000"/>
              <w:bottom w:val="single" w:sz="2" w:space="0" w:color="000000"/>
              <w:right w:val="single" w:sz="2" w:space="0" w:color="000000"/>
            </w:tcBorders>
          </w:tcPr>
          <w:p>
            <w:pPr>
              <w:pStyle w:val="TableParagraph"/>
              <w:spacing w:line="206"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tc>
        <w:tc>
          <w:tcPr>
            <w:tcW w:w="2094" w:type="dxa"/>
            <w:tcBorders>
              <w:top w:val="nil" w:sz="6" w:space="0" w:color="auto"/>
              <w:left w:val="single" w:sz="2" w:space="0" w:color="000000"/>
              <w:bottom w:val="single" w:sz="2" w:space="0" w:color="000000"/>
              <w:right w:val="nil" w:sz="6" w:space="0" w:color="auto"/>
            </w:tcBorders>
          </w:tcPr>
          <w:p>
            <w:pP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71,653,027.63</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3.66</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716,530.28</w:t>
            </w: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B</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59,112,805.99</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3.02</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591,128.06</w:t>
            </w: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C</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54,355,658.95</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2.78</w:t>
            </w:r>
          </w:p>
        </w:tc>
        <w:tc>
          <w:tcPr>
            <w:tcW w:w="2094"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D</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48,504,582.24</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2.48</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485,045.82</w:t>
            </w:r>
          </w:p>
        </w:tc>
      </w:tr>
      <w:tr>
        <w:trPr>
          <w:trHeight w:val="402" w:hRule="exact"/>
        </w:trPr>
        <w:tc>
          <w:tcPr>
            <w:tcW w:w="1240"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E</w:t>
            </w:r>
            <w:r>
              <w:rPr>
                <w:rFonts w:ascii="宋体" w:hAnsi="宋体" w:cs="宋体" w:eastAsia="宋体" w:hint="default"/>
                <w:spacing w:val="-46"/>
                <w:sz w:val="18"/>
                <w:szCs w:val="18"/>
              </w:rPr>
              <w:t> </w:t>
            </w:r>
            <w:r>
              <w:rPr>
                <w:rFonts w:ascii="宋体" w:hAnsi="宋体" w:cs="宋体" w:eastAsia="宋体" w:hint="default"/>
                <w:sz w:val="18"/>
                <w:szCs w:val="18"/>
              </w:rPr>
              <w:t>公司</w:t>
            </w:r>
          </w:p>
        </w:tc>
        <w:tc>
          <w:tcPr>
            <w:tcW w:w="212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44,811,668.58</w:t>
            </w:r>
          </w:p>
        </w:tc>
        <w:tc>
          <w:tcPr>
            <w:tcW w:w="167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tc>
        <w:tc>
          <w:tcPr>
            <w:tcW w:w="158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2.29</w:t>
            </w:r>
          </w:p>
        </w:tc>
        <w:tc>
          <w:tcPr>
            <w:tcW w:w="20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448,116.69</w:t>
            </w:r>
          </w:p>
        </w:tc>
      </w:tr>
      <w:tr>
        <w:trPr>
          <w:trHeight w:val="414" w:hRule="exact"/>
        </w:trPr>
        <w:tc>
          <w:tcPr>
            <w:tcW w:w="1240"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2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0"/>
              <w:jc w:val="right"/>
              <w:rPr>
                <w:rFonts w:ascii="宋体" w:hAnsi="宋体" w:cs="宋体" w:eastAsia="宋体" w:hint="default"/>
                <w:sz w:val="18"/>
                <w:szCs w:val="18"/>
              </w:rPr>
            </w:pPr>
            <w:r>
              <w:rPr>
                <w:rFonts w:ascii="宋体"/>
                <w:b/>
                <w:sz w:val="18"/>
              </w:rPr>
              <w:t>278,437,743.39</w:t>
            </w:r>
            <w:r>
              <w:rPr>
                <w:rFonts w:ascii="宋体"/>
                <w:sz w:val="18"/>
              </w:rPr>
            </w:r>
          </w:p>
        </w:tc>
        <w:tc>
          <w:tcPr>
            <w:tcW w:w="167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b/>
                <w:sz w:val="18"/>
              </w:rPr>
              <w:t>--</w:t>
            </w:r>
            <w:r>
              <w:rPr>
                <w:rFonts w:ascii="宋体"/>
                <w:sz w:val="18"/>
              </w:rPr>
            </w:r>
          </w:p>
        </w:tc>
        <w:tc>
          <w:tcPr>
            <w:tcW w:w="158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9"/>
              <w:jc w:val="right"/>
              <w:rPr>
                <w:rFonts w:ascii="宋体" w:hAnsi="宋体" w:cs="宋体" w:eastAsia="宋体" w:hint="default"/>
                <w:sz w:val="18"/>
                <w:szCs w:val="18"/>
              </w:rPr>
            </w:pPr>
            <w:r>
              <w:rPr>
                <w:rFonts w:ascii="宋体"/>
                <w:b/>
                <w:sz w:val="18"/>
              </w:rPr>
              <w:t>14.23</w:t>
            </w:r>
            <w:r>
              <w:rPr>
                <w:rFonts w:ascii="宋体"/>
                <w:sz w:val="18"/>
              </w:rPr>
            </w:r>
          </w:p>
        </w:tc>
        <w:tc>
          <w:tcPr>
            <w:tcW w:w="2094"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6"/>
              <w:jc w:val="right"/>
              <w:rPr>
                <w:rFonts w:ascii="宋体" w:hAnsi="宋体" w:cs="宋体" w:eastAsia="宋体" w:hint="default"/>
                <w:sz w:val="18"/>
                <w:szCs w:val="18"/>
              </w:rPr>
            </w:pPr>
            <w:r>
              <w:rPr>
                <w:rFonts w:ascii="宋体"/>
                <w:b/>
                <w:w w:val="95"/>
                <w:sz w:val="18"/>
              </w:rPr>
              <w:t>2,240,820.85</w:t>
            </w:r>
            <w:r>
              <w:rPr>
                <w:rFonts w:ascii="宋体"/>
                <w:sz w:val="18"/>
              </w:rPr>
            </w:r>
          </w:p>
        </w:tc>
      </w:tr>
    </w:tbl>
    <w:p>
      <w:pPr>
        <w:spacing w:line="240" w:lineRule="auto" w:before="2"/>
        <w:rPr>
          <w:rFonts w:ascii="宋体" w:hAnsi="宋体" w:cs="宋体" w:eastAsia="宋体" w:hint="default"/>
          <w:sz w:val="9"/>
          <w:szCs w:val="9"/>
        </w:rPr>
      </w:pPr>
    </w:p>
    <w:p>
      <w:pPr>
        <w:pStyle w:val="BodyText"/>
        <w:tabs>
          <w:tab w:pos="1460" w:val="left" w:leader="none"/>
        </w:tabs>
        <w:spacing w:line="240" w:lineRule="auto"/>
        <w:ind w:left="841" w:right="1445"/>
        <w:jc w:val="left"/>
      </w:pPr>
      <w:r>
        <w:rPr>
          <w:spacing w:val="-1"/>
        </w:rPr>
        <w:t>2.</w:t>
        <w:tab/>
      </w:r>
      <w:bookmarkStart w:name="2.其他应收款" w:id="406"/>
      <w:bookmarkEnd w:id="406"/>
      <w:r>
        <w:rPr>
          <w:spacing w:val="-2"/>
        </w:rPr>
        <w:t>其</w:t>
      </w:r>
      <w:r>
        <w:rPr>
          <w:spacing w:val="-2"/>
        </w:rPr>
        <w:t>他应收款</w:t>
      </w:r>
    </w:p>
    <w:p>
      <w:pPr>
        <w:spacing w:line="240" w:lineRule="auto" w:before="4"/>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511"/>
        <w:gridCol w:w="2606"/>
        <w:gridCol w:w="2606"/>
      </w:tblGrid>
      <w:tr>
        <w:trPr>
          <w:trHeight w:val="415" w:hRule="exact"/>
        </w:trPr>
        <w:tc>
          <w:tcPr>
            <w:tcW w:w="351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0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0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0" w:hRule="exact"/>
        </w:trPr>
        <w:tc>
          <w:tcPr>
            <w:tcW w:w="35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606" w:type="dxa"/>
            <w:tcBorders>
              <w:top w:val="single" w:sz="2" w:space="0" w:color="000000"/>
              <w:left w:val="single" w:sz="2" w:space="0" w:color="000000"/>
              <w:bottom w:val="single" w:sz="2" w:space="0" w:color="000000"/>
              <w:right w:val="single" w:sz="2" w:space="0" w:color="000000"/>
            </w:tcBorders>
          </w:tcPr>
          <w:p>
            <w:pPr/>
          </w:p>
        </w:tc>
        <w:tc>
          <w:tcPr>
            <w:tcW w:w="2606" w:type="dxa"/>
            <w:tcBorders>
              <w:top w:val="single" w:sz="2" w:space="0" w:color="000000"/>
              <w:left w:val="single" w:sz="2" w:space="0" w:color="000000"/>
              <w:bottom w:val="single" w:sz="2" w:space="0" w:color="000000"/>
              <w:right w:val="nil" w:sz="6" w:space="0" w:color="auto"/>
            </w:tcBorders>
          </w:tcPr>
          <w:p>
            <w:pPr/>
          </w:p>
        </w:tc>
      </w:tr>
    </w:tbl>
    <w:p>
      <w:pPr>
        <w:spacing w:after="0"/>
        <w:sectPr>
          <w:pgSz w:w="11910" w:h="16840"/>
          <w:pgMar w:header="939" w:footer="883" w:top="1980" w:bottom="1080" w:left="1460" w:right="0"/>
        </w:sectPr>
      </w:pPr>
    </w:p>
    <w:p>
      <w:pPr>
        <w:spacing w:line="240" w:lineRule="auto" w:before="7"/>
        <w:rPr>
          <w:rFonts w:ascii="宋体" w:hAnsi="宋体" w:cs="宋体" w:eastAsia="宋体" w:hint="default"/>
          <w:sz w:val="9"/>
          <w:szCs w:val="9"/>
        </w:rPr>
      </w:pPr>
    </w:p>
    <w:tbl>
      <w:tblPr>
        <w:tblW w:w="0" w:type="auto"/>
        <w:jc w:val="left"/>
        <w:tblInd w:w="198" w:type="dxa"/>
        <w:tblLayout w:type="fixed"/>
        <w:tblCellMar>
          <w:top w:w="0" w:type="dxa"/>
          <w:left w:w="0" w:type="dxa"/>
          <w:bottom w:w="0" w:type="dxa"/>
          <w:right w:w="0" w:type="dxa"/>
        </w:tblCellMar>
        <w:tblLook w:val="01E0"/>
      </w:tblPr>
      <w:tblGrid>
        <w:gridCol w:w="3511"/>
        <w:gridCol w:w="2606"/>
        <w:gridCol w:w="2606"/>
      </w:tblGrid>
      <w:tr>
        <w:trPr>
          <w:trHeight w:val="415" w:hRule="exact"/>
        </w:trPr>
        <w:tc>
          <w:tcPr>
            <w:tcW w:w="351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06"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2606"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35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606" w:type="dxa"/>
            <w:tcBorders>
              <w:top w:val="single" w:sz="2" w:space="0" w:color="000000"/>
              <w:left w:val="single" w:sz="2" w:space="0" w:color="000000"/>
              <w:bottom w:val="single" w:sz="2" w:space="0" w:color="000000"/>
              <w:right w:val="single" w:sz="2" w:space="0" w:color="000000"/>
            </w:tcBorders>
          </w:tcPr>
          <w:p>
            <w:pPr/>
          </w:p>
        </w:tc>
        <w:tc>
          <w:tcPr>
            <w:tcW w:w="2606"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51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60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761,186,828.62</w:t>
            </w:r>
          </w:p>
        </w:tc>
        <w:tc>
          <w:tcPr>
            <w:tcW w:w="2606"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369,944,279.90</w:t>
            </w:r>
          </w:p>
        </w:tc>
      </w:tr>
      <w:tr>
        <w:trPr>
          <w:trHeight w:val="414" w:hRule="exact"/>
        </w:trPr>
        <w:tc>
          <w:tcPr>
            <w:tcW w:w="351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0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sz w:val="18"/>
              </w:rPr>
              <w:t>761,186,828.62</w:t>
            </w:r>
            <w:r>
              <w:rPr>
                <w:rFonts w:ascii="宋体"/>
                <w:sz w:val="18"/>
              </w:rPr>
            </w:r>
          </w:p>
        </w:tc>
        <w:tc>
          <w:tcPr>
            <w:tcW w:w="2606"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3"/>
              <w:ind w:right="93"/>
              <w:jc w:val="right"/>
              <w:rPr>
                <w:rFonts w:ascii="宋体" w:hAnsi="宋体" w:cs="宋体" w:eastAsia="宋体" w:hint="default"/>
                <w:sz w:val="18"/>
                <w:szCs w:val="18"/>
              </w:rPr>
            </w:pPr>
            <w:r>
              <w:rPr>
                <w:rFonts w:ascii="宋体"/>
                <w:b/>
                <w:sz w:val="18"/>
              </w:rPr>
              <w:t>369,944,279.90</w:t>
            </w:r>
            <w:r>
              <w:rPr>
                <w:rFonts w:ascii="宋体"/>
                <w:sz w:val="18"/>
              </w:rPr>
            </w:r>
          </w:p>
        </w:tc>
      </w:tr>
    </w:tbl>
    <w:p>
      <w:pPr>
        <w:spacing w:line="240" w:lineRule="auto" w:before="1"/>
        <w:rPr>
          <w:rFonts w:ascii="宋体" w:hAnsi="宋体" w:cs="宋体" w:eastAsia="宋体" w:hint="default"/>
          <w:sz w:val="9"/>
          <w:szCs w:val="9"/>
        </w:rPr>
      </w:pPr>
    </w:p>
    <w:p>
      <w:pPr>
        <w:pStyle w:val="BodyText"/>
        <w:spacing w:line="240" w:lineRule="auto"/>
        <w:ind w:left="760" w:right="508"/>
        <w:jc w:val="left"/>
      </w:pPr>
      <w:bookmarkStart w:name="2.1其他应收款" w:id="407"/>
      <w:bookmarkEnd w:id="407"/>
      <w:r>
        <w:rPr/>
      </w:r>
      <w:r>
        <w:rPr/>
        <w:t>2.1</w:t>
      </w:r>
      <w:r>
        <w:rPr>
          <w:spacing w:val="-60"/>
        </w:rPr>
        <w:t> </w:t>
      </w:r>
      <w:r>
        <w:rPr/>
        <w:t>其他应收款</w:t>
      </w:r>
    </w:p>
    <w:p>
      <w:pPr>
        <w:spacing w:line="240" w:lineRule="auto" w:before="12"/>
        <w:rPr>
          <w:rFonts w:ascii="宋体" w:hAnsi="宋体" w:cs="宋体" w:eastAsia="宋体" w:hint="default"/>
          <w:sz w:val="18"/>
          <w:szCs w:val="18"/>
        </w:rPr>
      </w:pPr>
    </w:p>
    <w:p>
      <w:pPr>
        <w:pStyle w:val="BodyText"/>
        <w:spacing w:line="240" w:lineRule="auto" w:before="0"/>
        <w:ind w:left="888" w:right="508"/>
        <w:jc w:val="left"/>
      </w:pPr>
      <w:r>
        <w:rPr/>
        <w:t>（</w:t>
      </w:r>
      <w:r>
        <w:rPr>
          <w:rFonts w:ascii="Times New Roman" w:hAnsi="Times New Roman" w:cs="Times New Roman" w:eastAsia="Times New Roman" w:hint="default"/>
        </w:rPr>
        <w:t>1</w:t>
      </w:r>
      <w:r>
        <w:rPr/>
        <w:t>）</w:t>
      </w:r>
      <w:r>
        <w:rPr>
          <w:spacing w:val="3"/>
        </w:rPr>
        <w:t> </w:t>
      </w:r>
      <w:bookmarkStart w:name="（1）其他应收款按款项性质分类      " w:id="408"/>
      <w:bookmarkEnd w:id="408"/>
      <w:r>
        <w:rPr/>
        <w:t>其</w:t>
      </w:r>
      <w:r>
        <w:rPr/>
        <w:t>他应收款按款项性质分类</w:t>
      </w:r>
    </w:p>
    <w:p>
      <w:pPr>
        <w:spacing w:line="240" w:lineRule="auto" w:before="1"/>
        <w:rPr>
          <w:rFonts w:ascii="宋体" w:hAnsi="宋体" w:cs="宋体" w:eastAsia="宋体" w:hint="default"/>
          <w:sz w:val="15"/>
          <w:szCs w:val="15"/>
        </w:rPr>
      </w:pPr>
    </w:p>
    <w:tbl>
      <w:tblPr>
        <w:tblW w:w="0" w:type="auto"/>
        <w:jc w:val="left"/>
        <w:tblInd w:w="198" w:type="dxa"/>
        <w:tblLayout w:type="fixed"/>
        <w:tblCellMar>
          <w:top w:w="0" w:type="dxa"/>
          <w:left w:w="0" w:type="dxa"/>
          <w:bottom w:w="0" w:type="dxa"/>
          <w:right w:w="0" w:type="dxa"/>
        </w:tblCellMar>
        <w:tblLook w:val="01E0"/>
      </w:tblPr>
      <w:tblGrid>
        <w:gridCol w:w="3651"/>
        <w:gridCol w:w="2537"/>
        <w:gridCol w:w="2535"/>
      </w:tblGrid>
      <w:tr>
        <w:trPr>
          <w:trHeight w:val="415" w:hRule="exact"/>
        </w:trPr>
        <w:tc>
          <w:tcPr>
            <w:tcW w:w="3651"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253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724" w:right="0"/>
              <w:jc w:val="left"/>
              <w:rPr>
                <w:rFonts w:ascii="宋体" w:hAnsi="宋体" w:cs="宋体" w:eastAsia="宋体" w:hint="default"/>
                <w:sz w:val="18"/>
                <w:szCs w:val="18"/>
              </w:rPr>
            </w:pPr>
            <w:r>
              <w:rPr>
                <w:rFonts w:ascii="宋体" w:hAnsi="宋体" w:cs="宋体" w:eastAsia="宋体" w:hint="default"/>
                <w:b/>
                <w:bCs/>
                <w:sz w:val="18"/>
                <w:szCs w:val="18"/>
              </w:rPr>
              <w:t>年末账面余额</w:t>
            </w:r>
            <w:r>
              <w:rPr>
                <w:rFonts w:ascii="宋体" w:hAnsi="宋体" w:cs="宋体" w:eastAsia="宋体" w:hint="default"/>
                <w:sz w:val="18"/>
                <w:szCs w:val="18"/>
              </w:rPr>
            </w:r>
          </w:p>
        </w:tc>
        <w:tc>
          <w:tcPr>
            <w:tcW w:w="2535"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724" w:right="0"/>
              <w:jc w:val="left"/>
              <w:rPr>
                <w:rFonts w:ascii="宋体" w:hAnsi="宋体" w:cs="宋体" w:eastAsia="宋体" w:hint="default"/>
                <w:sz w:val="18"/>
                <w:szCs w:val="18"/>
              </w:rPr>
            </w:pPr>
            <w:r>
              <w:rPr>
                <w:rFonts w:ascii="宋体" w:hAnsi="宋体" w:cs="宋体" w:eastAsia="宋体" w:hint="default"/>
                <w:b/>
                <w:bCs/>
                <w:sz w:val="18"/>
                <w:szCs w:val="18"/>
              </w:rPr>
              <w:t>年初账面余额</w:t>
            </w:r>
            <w:r>
              <w:rPr>
                <w:rFonts w:ascii="宋体" w:hAnsi="宋体" w:cs="宋体" w:eastAsia="宋体" w:hint="default"/>
                <w:sz w:val="18"/>
                <w:szCs w:val="18"/>
              </w:rPr>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合并范围内子公司往来</w:t>
            </w:r>
          </w:p>
        </w:tc>
        <w:tc>
          <w:tcPr>
            <w:tcW w:w="253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687,122,571.33</w:t>
            </w:r>
          </w:p>
        </w:tc>
        <w:tc>
          <w:tcPr>
            <w:tcW w:w="25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282,287,678.01</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单位往来</w:t>
            </w:r>
          </w:p>
        </w:tc>
        <w:tc>
          <w:tcPr>
            <w:tcW w:w="253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17,272,747.96</w:t>
            </w:r>
          </w:p>
        </w:tc>
        <w:tc>
          <w:tcPr>
            <w:tcW w:w="25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13,980,368.11</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53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32,732,588.02</w:t>
            </w:r>
          </w:p>
        </w:tc>
        <w:tc>
          <w:tcPr>
            <w:tcW w:w="25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47,417,694.66</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253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34,238,157.82</w:t>
            </w:r>
          </w:p>
        </w:tc>
        <w:tc>
          <w:tcPr>
            <w:tcW w:w="25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37,351,044.79</w:t>
            </w:r>
          </w:p>
        </w:tc>
      </w:tr>
      <w:tr>
        <w:trPr>
          <w:trHeight w:val="402" w:hRule="exact"/>
        </w:trPr>
        <w:tc>
          <w:tcPr>
            <w:tcW w:w="365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3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546,692.91</w:t>
            </w:r>
          </w:p>
        </w:tc>
        <w:tc>
          <w:tcPr>
            <w:tcW w:w="2535"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5"/>
              <w:jc w:val="right"/>
              <w:rPr>
                <w:rFonts w:ascii="宋体" w:hAnsi="宋体" w:cs="宋体" w:eastAsia="宋体" w:hint="default"/>
                <w:sz w:val="18"/>
                <w:szCs w:val="18"/>
              </w:rPr>
            </w:pPr>
            <w:r>
              <w:rPr>
                <w:rFonts w:ascii="宋体"/>
                <w:spacing w:val="-1"/>
                <w:sz w:val="18"/>
              </w:rPr>
              <w:t>581,641.79</w:t>
            </w:r>
          </w:p>
        </w:tc>
      </w:tr>
      <w:tr>
        <w:trPr>
          <w:trHeight w:val="414" w:hRule="exact"/>
        </w:trPr>
        <w:tc>
          <w:tcPr>
            <w:tcW w:w="365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3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5"/>
              <w:jc w:val="right"/>
              <w:rPr>
                <w:rFonts w:ascii="宋体" w:hAnsi="宋体" w:cs="宋体" w:eastAsia="宋体" w:hint="default"/>
                <w:sz w:val="18"/>
                <w:szCs w:val="18"/>
              </w:rPr>
            </w:pPr>
            <w:r>
              <w:rPr>
                <w:rFonts w:ascii="宋体"/>
                <w:b/>
                <w:w w:val="95"/>
                <w:sz w:val="18"/>
              </w:rPr>
              <w:t>771,912,758.04</w:t>
            </w:r>
            <w:r>
              <w:rPr>
                <w:rFonts w:ascii="宋体"/>
                <w:sz w:val="18"/>
              </w:rPr>
            </w:r>
          </w:p>
        </w:tc>
        <w:tc>
          <w:tcPr>
            <w:tcW w:w="2535"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7"/>
              <w:jc w:val="right"/>
              <w:rPr>
                <w:rFonts w:ascii="宋体" w:hAnsi="宋体" w:cs="宋体" w:eastAsia="宋体" w:hint="default"/>
                <w:sz w:val="18"/>
                <w:szCs w:val="18"/>
              </w:rPr>
            </w:pPr>
            <w:r>
              <w:rPr>
                <w:rFonts w:ascii="宋体"/>
                <w:b/>
                <w:w w:val="95"/>
                <w:sz w:val="18"/>
              </w:rPr>
              <w:t>381,618,427.36</w:t>
            </w:r>
            <w:r>
              <w:rPr>
                <w:rFonts w:ascii="宋体"/>
                <w:sz w:val="18"/>
              </w:rPr>
            </w:r>
          </w:p>
        </w:tc>
      </w:tr>
    </w:tbl>
    <w:p>
      <w:pPr>
        <w:spacing w:line="240" w:lineRule="auto" w:before="3"/>
        <w:rPr>
          <w:rFonts w:ascii="宋体" w:hAnsi="宋体" w:cs="宋体" w:eastAsia="宋体" w:hint="default"/>
          <w:sz w:val="13"/>
          <w:szCs w:val="13"/>
        </w:rPr>
      </w:pPr>
    </w:p>
    <w:p>
      <w:pPr>
        <w:pStyle w:val="BodyText"/>
        <w:spacing w:line="240" w:lineRule="auto"/>
        <w:ind w:left="888" w:right="508"/>
        <w:jc w:val="left"/>
      </w:pPr>
      <w:r>
        <w:rPr/>
        <w:t>（</w:t>
      </w:r>
      <w:r>
        <w:rPr>
          <w:rFonts w:ascii="Times New Roman" w:hAnsi="Times New Roman" w:cs="Times New Roman" w:eastAsia="Times New Roman" w:hint="default"/>
        </w:rPr>
        <w:t>2</w:t>
      </w:r>
      <w:r>
        <w:rPr/>
        <w:t>）</w:t>
      </w:r>
      <w:r>
        <w:rPr>
          <w:spacing w:val="3"/>
        </w:rPr>
        <w:t> </w:t>
      </w:r>
      <w:bookmarkStart w:name="（2）其他应收款坏账准备计提情况" w:id="409"/>
      <w:bookmarkEnd w:id="409"/>
      <w:r>
        <w:rPr/>
        <w:t>其</w:t>
      </w:r>
      <w:r>
        <w:rPr/>
        <w:t>他应收款坏账准备计提情况</w:t>
      </w:r>
    </w:p>
    <w:p>
      <w:pPr>
        <w:spacing w:line="240" w:lineRule="auto" w:before="2"/>
        <w:rPr>
          <w:rFonts w:ascii="宋体" w:hAnsi="宋体" w:cs="宋体" w:eastAsia="宋体" w:hint="default"/>
          <w:sz w:val="15"/>
          <w:szCs w:val="15"/>
        </w:rPr>
      </w:pPr>
    </w:p>
    <w:tbl>
      <w:tblPr>
        <w:tblW w:w="0" w:type="auto"/>
        <w:jc w:val="left"/>
        <w:tblInd w:w="111" w:type="dxa"/>
        <w:tblLayout w:type="fixed"/>
        <w:tblCellMar>
          <w:top w:w="0" w:type="dxa"/>
          <w:left w:w="0" w:type="dxa"/>
          <w:bottom w:w="0" w:type="dxa"/>
          <w:right w:w="0" w:type="dxa"/>
        </w:tblCellMar>
        <w:tblLook w:val="01E0"/>
      </w:tblPr>
      <w:tblGrid>
        <w:gridCol w:w="2135"/>
        <w:gridCol w:w="1517"/>
        <w:gridCol w:w="1701"/>
        <w:gridCol w:w="1701"/>
        <w:gridCol w:w="1843"/>
      </w:tblGrid>
      <w:tr>
        <w:trPr>
          <w:trHeight w:val="378" w:hRule="exact"/>
        </w:trPr>
        <w:tc>
          <w:tcPr>
            <w:tcW w:w="2135" w:type="dxa"/>
            <w:vMerge w:val="restart"/>
            <w:tcBorders>
              <w:top w:val="single" w:sz="12" w:space="0" w:color="000000"/>
              <w:left w:val="nil" w:sz="6" w:space="0" w:color="auto"/>
              <w:right w:val="single" w:sz="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106"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1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79"/>
              <w:ind w:left="1" w:right="0"/>
              <w:jc w:val="center"/>
              <w:rPr>
                <w:rFonts w:ascii="宋体" w:hAnsi="宋体" w:cs="宋体" w:eastAsia="宋体" w:hint="default"/>
                <w:sz w:val="18"/>
                <w:szCs w:val="18"/>
              </w:rPr>
            </w:pPr>
            <w:r>
              <w:rPr>
                <w:rFonts w:ascii="宋体" w:hAnsi="宋体" w:cs="宋体" w:eastAsia="宋体" w:hint="default"/>
                <w:b/>
                <w:bCs/>
                <w:sz w:val="18"/>
                <w:szCs w:val="18"/>
              </w:rPr>
              <w:t>第一阶段</w:t>
            </w:r>
            <w:r>
              <w:rPr>
                <w:rFonts w:ascii="宋体" w:hAnsi="宋体" w:cs="宋体" w:eastAsia="宋体" w:hint="default"/>
                <w:sz w:val="18"/>
                <w:szCs w:val="18"/>
              </w:rPr>
            </w:r>
          </w:p>
        </w:tc>
        <w:tc>
          <w:tcPr>
            <w:tcW w:w="17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79"/>
              <w:ind w:left="486" w:right="0"/>
              <w:jc w:val="left"/>
              <w:rPr>
                <w:rFonts w:ascii="宋体" w:hAnsi="宋体" w:cs="宋体" w:eastAsia="宋体" w:hint="default"/>
                <w:sz w:val="18"/>
                <w:szCs w:val="18"/>
              </w:rPr>
            </w:pPr>
            <w:r>
              <w:rPr>
                <w:rFonts w:ascii="宋体" w:hAnsi="宋体" w:cs="宋体" w:eastAsia="宋体" w:hint="default"/>
                <w:b/>
                <w:bCs/>
                <w:sz w:val="18"/>
                <w:szCs w:val="18"/>
              </w:rPr>
              <w:t>第二阶段</w:t>
            </w:r>
            <w:r>
              <w:rPr>
                <w:rFonts w:ascii="宋体" w:hAnsi="宋体" w:cs="宋体" w:eastAsia="宋体" w:hint="default"/>
                <w:sz w:val="18"/>
                <w:szCs w:val="18"/>
              </w:rPr>
            </w:r>
          </w:p>
        </w:tc>
        <w:tc>
          <w:tcPr>
            <w:tcW w:w="170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b/>
                <w:bCs/>
                <w:sz w:val="18"/>
                <w:szCs w:val="18"/>
              </w:rPr>
              <w:t>第三阶段</w:t>
            </w:r>
            <w:r>
              <w:rPr>
                <w:rFonts w:ascii="宋体" w:hAnsi="宋体" w:cs="宋体" w:eastAsia="宋体" w:hint="default"/>
                <w:sz w:val="18"/>
                <w:szCs w:val="18"/>
              </w:rPr>
            </w:r>
          </w:p>
        </w:tc>
        <w:tc>
          <w:tcPr>
            <w:tcW w:w="1843" w:type="dxa"/>
            <w:vMerge w:val="restart"/>
            <w:tcBorders>
              <w:top w:val="single" w:sz="12" w:space="0" w:color="000000"/>
              <w:left w:val="single" w:sz="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3"/>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16" w:hRule="exact"/>
        </w:trPr>
        <w:tc>
          <w:tcPr>
            <w:tcW w:w="2135" w:type="dxa"/>
            <w:vMerge/>
            <w:tcBorders>
              <w:left w:val="nil" w:sz="6" w:space="0" w:color="auto"/>
              <w:right w:val="single" w:sz="2" w:space="0" w:color="000000"/>
            </w:tcBorders>
          </w:tcPr>
          <w:p>
            <w:pPr/>
          </w:p>
        </w:tc>
        <w:tc>
          <w:tcPr>
            <w:tcW w:w="1517" w:type="dxa"/>
            <w:tcBorders>
              <w:top w:val="single" w:sz="2" w:space="0" w:color="000000"/>
              <w:left w:val="single" w:sz="2" w:space="0" w:color="000000"/>
              <w:bottom w:val="nil" w:sz="6" w:space="0" w:color="auto"/>
              <w:right w:val="single" w:sz="2" w:space="0" w:color="000000"/>
            </w:tcBorders>
          </w:tcPr>
          <w:p>
            <w:pPr/>
          </w:p>
        </w:tc>
        <w:tc>
          <w:tcPr>
            <w:tcW w:w="1701" w:type="dxa"/>
            <w:tcBorders>
              <w:top w:val="single" w:sz="2" w:space="0" w:color="000000"/>
              <w:left w:val="single" w:sz="2" w:space="0" w:color="000000"/>
              <w:bottom w:val="nil" w:sz="6" w:space="0" w:color="auto"/>
              <w:right w:val="single" w:sz="2" w:space="0" w:color="000000"/>
            </w:tcBorders>
          </w:tcPr>
          <w:p>
            <w:pPr>
              <w:pStyle w:val="TableParagraph"/>
              <w:spacing w:line="240" w:lineRule="auto" w:before="77"/>
              <w:ind w:left="126" w:right="0"/>
              <w:jc w:val="left"/>
              <w:rPr>
                <w:rFonts w:ascii="宋体" w:hAnsi="宋体" w:cs="宋体" w:eastAsia="宋体" w:hint="default"/>
                <w:sz w:val="18"/>
                <w:szCs w:val="18"/>
              </w:rPr>
            </w:pPr>
            <w:r>
              <w:rPr>
                <w:rFonts w:ascii="宋体" w:hAnsi="宋体" w:cs="宋体" w:eastAsia="宋体" w:hint="default"/>
                <w:b/>
                <w:bCs/>
                <w:sz w:val="18"/>
                <w:szCs w:val="18"/>
              </w:rPr>
              <w:t>整个存续期预期信</w:t>
            </w:r>
            <w:r>
              <w:rPr>
                <w:rFonts w:ascii="宋体" w:hAnsi="宋体" w:cs="宋体" w:eastAsia="宋体" w:hint="default"/>
                <w:sz w:val="18"/>
                <w:szCs w:val="18"/>
              </w:rPr>
            </w:r>
          </w:p>
        </w:tc>
        <w:tc>
          <w:tcPr>
            <w:tcW w:w="1701" w:type="dxa"/>
            <w:tcBorders>
              <w:top w:val="single" w:sz="2" w:space="0" w:color="000000"/>
              <w:left w:val="single" w:sz="2" w:space="0" w:color="000000"/>
              <w:bottom w:val="nil" w:sz="6" w:space="0" w:color="auto"/>
              <w:right w:val="single" w:sz="2" w:space="0" w:color="000000"/>
            </w:tcBorders>
          </w:tcPr>
          <w:p>
            <w:pPr>
              <w:pStyle w:val="TableParagraph"/>
              <w:spacing w:line="240" w:lineRule="auto" w:before="77"/>
              <w:ind w:left="3" w:right="0"/>
              <w:jc w:val="center"/>
              <w:rPr>
                <w:rFonts w:ascii="宋体" w:hAnsi="宋体" w:cs="宋体" w:eastAsia="宋体" w:hint="default"/>
                <w:sz w:val="18"/>
                <w:szCs w:val="18"/>
              </w:rPr>
            </w:pPr>
            <w:r>
              <w:rPr>
                <w:rFonts w:ascii="宋体" w:hAnsi="宋体" w:cs="宋体" w:eastAsia="宋体" w:hint="default"/>
                <w:b/>
                <w:bCs/>
                <w:sz w:val="18"/>
                <w:szCs w:val="18"/>
              </w:rPr>
              <w:t>整个存续期预期信</w:t>
            </w:r>
            <w:r>
              <w:rPr>
                <w:rFonts w:ascii="宋体" w:hAnsi="宋体" w:cs="宋体" w:eastAsia="宋体" w:hint="default"/>
                <w:sz w:val="18"/>
                <w:szCs w:val="18"/>
              </w:rPr>
            </w:r>
          </w:p>
        </w:tc>
        <w:tc>
          <w:tcPr>
            <w:tcW w:w="1843" w:type="dxa"/>
            <w:vMerge/>
            <w:tcBorders>
              <w:left w:val="single" w:sz="2" w:space="0" w:color="000000"/>
              <w:right w:val="nil" w:sz="6" w:space="0" w:color="auto"/>
            </w:tcBorders>
          </w:tcPr>
          <w:p>
            <w:pPr/>
          </w:p>
        </w:tc>
      </w:tr>
      <w:tr>
        <w:trPr>
          <w:trHeight w:val="180" w:hRule="exact"/>
        </w:trPr>
        <w:tc>
          <w:tcPr>
            <w:tcW w:w="2135" w:type="dxa"/>
            <w:vMerge/>
            <w:tcBorders>
              <w:left w:val="nil" w:sz="6" w:space="0" w:color="auto"/>
              <w:right w:val="single" w:sz="2" w:space="0" w:color="000000"/>
            </w:tcBorders>
          </w:tcPr>
          <w:p>
            <w:pPr/>
          </w:p>
        </w:tc>
        <w:tc>
          <w:tcPr>
            <w:tcW w:w="1517" w:type="dxa"/>
            <w:tcBorders>
              <w:top w:val="nil" w:sz="6" w:space="0" w:color="auto"/>
              <w:left w:val="single" w:sz="2" w:space="0" w:color="000000"/>
              <w:bottom w:val="nil" w:sz="6" w:space="0" w:color="auto"/>
              <w:right w:val="single" w:sz="2" w:space="0" w:color="000000"/>
            </w:tcBorders>
          </w:tcPr>
          <w:p>
            <w:pPr>
              <w:pStyle w:val="TableParagraph"/>
              <w:spacing w:line="180"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未来</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个月预</w:t>
            </w:r>
            <w:r>
              <w:rPr>
                <w:rFonts w:ascii="宋体" w:hAnsi="宋体" w:cs="宋体" w:eastAsia="宋体" w:hint="default"/>
                <w:sz w:val="18"/>
                <w:szCs w:val="18"/>
              </w:rPr>
            </w:r>
          </w:p>
        </w:tc>
        <w:tc>
          <w:tcPr>
            <w:tcW w:w="1701" w:type="dxa"/>
            <w:tcBorders>
              <w:top w:val="nil" w:sz="6" w:space="0" w:color="auto"/>
              <w:left w:val="single" w:sz="2" w:space="0" w:color="000000"/>
              <w:bottom w:val="nil" w:sz="6" w:space="0" w:color="auto"/>
              <w:right w:val="single" w:sz="2" w:space="0" w:color="000000"/>
            </w:tcBorders>
          </w:tcPr>
          <w:p>
            <w:pPr/>
          </w:p>
        </w:tc>
        <w:tc>
          <w:tcPr>
            <w:tcW w:w="1701" w:type="dxa"/>
            <w:tcBorders>
              <w:top w:val="nil" w:sz="6" w:space="0" w:color="auto"/>
              <w:left w:val="single" w:sz="2" w:space="0" w:color="000000"/>
              <w:bottom w:val="nil" w:sz="6" w:space="0" w:color="auto"/>
              <w:right w:val="single" w:sz="2" w:space="0" w:color="000000"/>
            </w:tcBorders>
          </w:tcPr>
          <w:p>
            <w:pPr/>
          </w:p>
        </w:tc>
        <w:tc>
          <w:tcPr>
            <w:tcW w:w="1843" w:type="dxa"/>
            <w:vMerge/>
            <w:tcBorders>
              <w:left w:val="single" w:sz="2" w:space="0" w:color="000000"/>
              <w:right w:val="nil" w:sz="6" w:space="0" w:color="auto"/>
            </w:tcBorders>
          </w:tcPr>
          <w:p>
            <w:pPr/>
          </w:p>
        </w:tc>
      </w:tr>
      <w:tr>
        <w:trPr>
          <w:trHeight w:val="180" w:hRule="exact"/>
        </w:trPr>
        <w:tc>
          <w:tcPr>
            <w:tcW w:w="2135" w:type="dxa"/>
            <w:vMerge/>
            <w:tcBorders>
              <w:left w:val="nil" w:sz="6" w:space="0" w:color="auto"/>
              <w:right w:val="single" w:sz="2" w:space="0" w:color="000000"/>
            </w:tcBorders>
          </w:tcPr>
          <w:p>
            <w:pPr/>
          </w:p>
        </w:tc>
        <w:tc>
          <w:tcPr>
            <w:tcW w:w="1517" w:type="dxa"/>
            <w:tcBorders>
              <w:top w:val="nil" w:sz="6" w:space="0" w:color="auto"/>
              <w:left w:val="single" w:sz="2" w:space="0" w:color="000000"/>
              <w:bottom w:val="nil" w:sz="6" w:space="0" w:color="auto"/>
              <w:right w:val="single" w:sz="2" w:space="0" w:color="000000"/>
            </w:tcBorders>
          </w:tcPr>
          <w:p>
            <w:pPr/>
          </w:p>
        </w:tc>
        <w:tc>
          <w:tcPr>
            <w:tcW w:w="1701" w:type="dxa"/>
            <w:tcBorders>
              <w:top w:val="nil" w:sz="6" w:space="0" w:color="auto"/>
              <w:left w:val="single" w:sz="2" w:space="0" w:color="000000"/>
              <w:bottom w:val="nil" w:sz="6" w:space="0" w:color="auto"/>
              <w:right w:val="single" w:sz="2" w:space="0" w:color="000000"/>
            </w:tcBorders>
          </w:tcPr>
          <w:p>
            <w:pPr>
              <w:pStyle w:val="TableParagraph"/>
              <w:spacing w:line="180" w:lineRule="exact"/>
              <w:ind w:left="172" w:right="0"/>
              <w:jc w:val="left"/>
              <w:rPr>
                <w:rFonts w:ascii="宋体" w:hAnsi="宋体" w:cs="宋体" w:eastAsia="宋体" w:hint="default"/>
                <w:sz w:val="18"/>
                <w:szCs w:val="18"/>
              </w:rPr>
            </w:pPr>
            <w:r>
              <w:rPr>
                <w:rFonts w:ascii="宋体" w:hAnsi="宋体" w:cs="宋体" w:eastAsia="宋体" w:hint="default"/>
                <w:b/>
                <w:bCs/>
                <w:sz w:val="18"/>
                <w:szCs w:val="18"/>
              </w:rPr>
              <w:t>用损失(未发生信</w:t>
            </w:r>
            <w:r>
              <w:rPr>
                <w:rFonts w:ascii="宋体" w:hAnsi="宋体" w:cs="宋体" w:eastAsia="宋体" w:hint="default"/>
                <w:sz w:val="18"/>
                <w:szCs w:val="18"/>
              </w:rPr>
            </w:r>
          </w:p>
        </w:tc>
        <w:tc>
          <w:tcPr>
            <w:tcW w:w="1701" w:type="dxa"/>
            <w:tcBorders>
              <w:top w:val="nil" w:sz="6" w:space="0" w:color="auto"/>
              <w:left w:val="single" w:sz="2" w:space="0" w:color="000000"/>
              <w:bottom w:val="nil" w:sz="6" w:space="0" w:color="auto"/>
              <w:right w:val="single" w:sz="2" w:space="0" w:color="000000"/>
            </w:tcBorders>
          </w:tcPr>
          <w:p>
            <w:pPr>
              <w:pStyle w:val="TableParagraph"/>
              <w:spacing w:line="180"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用损失(已发生信</w:t>
            </w:r>
            <w:r>
              <w:rPr>
                <w:rFonts w:ascii="宋体" w:hAnsi="宋体" w:cs="宋体" w:eastAsia="宋体" w:hint="default"/>
                <w:sz w:val="18"/>
                <w:szCs w:val="18"/>
              </w:rPr>
            </w:r>
          </w:p>
        </w:tc>
        <w:tc>
          <w:tcPr>
            <w:tcW w:w="1843" w:type="dxa"/>
            <w:vMerge/>
            <w:tcBorders>
              <w:left w:val="single" w:sz="2" w:space="0" w:color="000000"/>
              <w:right w:val="nil" w:sz="6" w:space="0" w:color="auto"/>
            </w:tcBorders>
          </w:tcPr>
          <w:p>
            <w:pPr/>
          </w:p>
        </w:tc>
      </w:tr>
      <w:tr>
        <w:trPr>
          <w:trHeight w:val="180" w:hRule="exact"/>
        </w:trPr>
        <w:tc>
          <w:tcPr>
            <w:tcW w:w="2135" w:type="dxa"/>
            <w:vMerge/>
            <w:tcBorders>
              <w:left w:val="nil" w:sz="6" w:space="0" w:color="auto"/>
              <w:right w:val="single" w:sz="2" w:space="0" w:color="000000"/>
            </w:tcBorders>
          </w:tcPr>
          <w:p>
            <w:pPr/>
          </w:p>
        </w:tc>
        <w:tc>
          <w:tcPr>
            <w:tcW w:w="1517" w:type="dxa"/>
            <w:tcBorders>
              <w:top w:val="nil" w:sz="6" w:space="0" w:color="auto"/>
              <w:left w:val="single" w:sz="2" w:space="0" w:color="000000"/>
              <w:bottom w:val="nil" w:sz="6" w:space="0" w:color="auto"/>
              <w:right w:val="single" w:sz="2"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sz w:val="18"/>
                <w:szCs w:val="18"/>
              </w:rPr>
              <w:t>期信用损失</w:t>
            </w:r>
            <w:r>
              <w:rPr>
                <w:rFonts w:ascii="宋体" w:hAnsi="宋体" w:cs="宋体" w:eastAsia="宋体" w:hint="default"/>
                <w:sz w:val="18"/>
                <w:szCs w:val="18"/>
              </w:rPr>
            </w:r>
          </w:p>
        </w:tc>
        <w:tc>
          <w:tcPr>
            <w:tcW w:w="1701" w:type="dxa"/>
            <w:tcBorders>
              <w:top w:val="nil" w:sz="6" w:space="0" w:color="auto"/>
              <w:left w:val="single" w:sz="2" w:space="0" w:color="000000"/>
              <w:bottom w:val="nil" w:sz="6" w:space="0" w:color="auto"/>
              <w:right w:val="single" w:sz="2" w:space="0" w:color="000000"/>
            </w:tcBorders>
          </w:tcPr>
          <w:p>
            <w:pPr/>
          </w:p>
        </w:tc>
        <w:tc>
          <w:tcPr>
            <w:tcW w:w="1701" w:type="dxa"/>
            <w:tcBorders>
              <w:top w:val="nil" w:sz="6" w:space="0" w:color="auto"/>
              <w:left w:val="single" w:sz="2" w:space="0" w:color="000000"/>
              <w:bottom w:val="nil" w:sz="6" w:space="0" w:color="auto"/>
              <w:right w:val="single" w:sz="2" w:space="0" w:color="000000"/>
            </w:tcBorders>
          </w:tcPr>
          <w:p>
            <w:pPr/>
          </w:p>
        </w:tc>
        <w:tc>
          <w:tcPr>
            <w:tcW w:w="1843" w:type="dxa"/>
            <w:vMerge/>
            <w:tcBorders>
              <w:left w:val="single" w:sz="2" w:space="0" w:color="000000"/>
              <w:right w:val="nil" w:sz="6" w:space="0" w:color="auto"/>
            </w:tcBorders>
          </w:tcPr>
          <w:p>
            <w:pPr/>
          </w:p>
        </w:tc>
      </w:tr>
      <w:tr>
        <w:trPr>
          <w:trHeight w:val="229" w:hRule="exact"/>
        </w:trPr>
        <w:tc>
          <w:tcPr>
            <w:tcW w:w="2135" w:type="dxa"/>
            <w:vMerge/>
            <w:tcBorders>
              <w:left w:val="nil" w:sz="6" w:space="0" w:color="auto"/>
              <w:bottom w:val="single" w:sz="2" w:space="0" w:color="000000"/>
              <w:right w:val="single" w:sz="2" w:space="0" w:color="000000"/>
            </w:tcBorders>
          </w:tcPr>
          <w:p>
            <w:pPr/>
          </w:p>
        </w:tc>
        <w:tc>
          <w:tcPr>
            <w:tcW w:w="1517" w:type="dxa"/>
            <w:tcBorders>
              <w:top w:val="nil" w:sz="6" w:space="0" w:color="auto"/>
              <w:left w:val="single" w:sz="2" w:space="0" w:color="000000"/>
              <w:bottom w:val="single" w:sz="2" w:space="0" w:color="000000"/>
              <w:right w:val="single" w:sz="2" w:space="0" w:color="000000"/>
            </w:tcBorders>
          </w:tcPr>
          <w:p>
            <w:pPr/>
          </w:p>
        </w:tc>
        <w:tc>
          <w:tcPr>
            <w:tcW w:w="1701" w:type="dxa"/>
            <w:tcBorders>
              <w:top w:val="nil" w:sz="6" w:space="0" w:color="auto"/>
              <w:left w:val="single" w:sz="2" w:space="0" w:color="000000"/>
              <w:bottom w:val="single" w:sz="2" w:space="0" w:color="000000"/>
              <w:right w:val="single" w:sz="2" w:space="0" w:color="000000"/>
            </w:tcBorders>
          </w:tcPr>
          <w:p>
            <w:pPr>
              <w:pStyle w:val="TableParagraph"/>
              <w:spacing w:line="180" w:lineRule="exact"/>
              <w:ind w:left="532" w:right="0"/>
              <w:jc w:val="left"/>
              <w:rPr>
                <w:rFonts w:ascii="宋体" w:hAnsi="宋体" w:cs="宋体" w:eastAsia="宋体" w:hint="default"/>
                <w:sz w:val="18"/>
                <w:szCs w:val="18"/>
              </w:rPr>
            </w:pPr>
            <w:r>
              <w:rPr>
                <w:rFonts w:ascii="宋体" w:hAnsi="宋体" w:cs="宋体" w:eastAsia="宋体" w:hint="default"/>
                <w:b/>
                <w:bCs/>
                <w:sz w:val="18"/>
                <w:szCs w:val="18"/>
              </w:rPr>
              <w:t>用减值)</w:t>
            </w:r>
            <w:r>
              <w:rPr>
                <w:rFonts w:ascii="宋体" w:hAnsi="宋体" w:cs="宋体" w:eastAsia="宋体" w:hint="default"/>
                <w:sz w:val="18"/>
                <w:szCs w:val="18"/>
              </w:rPr>
            </w:r>
          </w:p>
        </w:tc>
        <w:tc>
          <w:tcPr>
            <w:tcW w:w="1701" w:type="dxa"/>
            <w:tcBorders>
              <w:top w:val="nil" w:sz="6" w:space="0" w:color="auto"/>
              <w:left w:val="single" w:sz="2" w:space="0" w:color="000000"/>
              <w:bottom w:val="single" w:sz="2" w:space="0" w:color="000000"/>
              <w:right w:val="single" w:sz="2" w:space="0" w:color="000000"/>
            </w:tcBorders>
          </w:tcPr>
          <w:p>
            <w:pPr>
              <w:pStyle w:val="TableParagraph"/>
              <w:spacing w:line="180"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用减值)</w:t>
            </w:r>
            <w:r>
              <w:rPr>
                <w:rFonts w:ascii="宋体" w:hAnsi="宋体" w:cs="宋体" w:eastAsia="宋体" w:hint="default"/>
                <w:sz w:val="18"/>
                <w:szCs w:val="18"/>
              </w:rPr>
            </w:r>
          </w:p>
        </w:tc>
        <w:tc>
          <w:tcPr>
            <w:tcW w:w="1843" w:type="dxa"/>
            <w:vMerge/>
            <w:tcBorders>
              <w:left w:val="single" w:sz="2" w:space="0" w:color="000000"/>
              <w:bottom w:val="single" w:sz="2" w:space="0" w:color="000000"/>
              <w:right w:val="nil" w:sz="6" w:space="0" w:color="auto"/>
            </w:tcBorders>
          </w:tcPr>
          <w:p>
            <w:pPr/>
          </w:p>
        </w:tc>
      </w:tr>
      <w:tr>
        <w:trPr>
          <w:trHeight w:val="345" w:hRule="exact"/>
        </w:trPr>
        <w:tc>
          <w:tcPr>
            <w:tcW w:w="2135" w:type="dxa"/>
            <w:tcBorders>
              <w:top w:val="single" w:sz="2" w:space="0" w:color="000000"/>
              <w:left w:val="nil" w:sz="6" w:space="0" w:color="auto"/>
              <w:bottom w:val="single" w:sz="2" w:space="0" w:color="000000"/>
              <w:right w:val="single" w:sz="2" w:space="0" w:color="000000"/>
            </w:tcBorders>
          </w:tcPr>
          <w:p>
            <w:pPr>
              <w:pStyle w:val="TableParagraph"/>
              <w:spacing w:line="208" w:lineRule="exact"/>
              <w:ind w:left="106"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日余额</w:t>
            </w:r>
          </w:p>
        </w:tc>
        <w:tc>
          <w:tcPr>
            <w:tcW w:w="1517"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24"/>
              <w:ind w:right="49"/>
              <w:jc w:val="right"/>
              <w:rPr>
                <w:rFonts w:ascii="宋体" w:hAnsi="宋体" w:cs="宋体" w:eastAsia="宋体" w:hint="default"/>
                <w:sz w:val="18"/>
                <w:szCs w:val="18"/>
              </w:rPr>
            </w:pPr>
            <w:r>
              <w:rPr>
                <w:rFonts w:ascii="宋体"/>
                <w:spacing w:val="-1"/>
                <w:sz w:val="18"/>
              </w:rPr>
              <w:t>11,674,147.46</w:t>
            </w: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51"/>
              <w:jc w:val="right"/>
              <w:rPr>
                <w:rFonts w:ascii="宋体" w:hAnsi="宋体" w:cs="宋体" w:eastAsia="宋体" w:hint="default"/>
                <w:sz w:val="18"/>
                <w:szCs w:val="18"/>
              </w:rPr>
            </w:pPr>
            <w:r>
              <w:rPr>
                <w:rFonts w:ascii="宋体"/>
                <w:spacing w:val="-1"/>
                <w:sz w:val="18"/>
              </w:rPr>
              <w:t>11,674,147.46</w:t>
            </w:r>
          </w:p>
        </w:tc>
      </w:tr>
      <w:tr>
        <w:trPr>
          <w:trHeight w:val="472" w:hRule="exact"/>
        </w:trPr>
        <w:tc>
          <w:tcPr>
            <w:tcW w:w="2135" w:type="dxa"/>
            <w:tcBorders>
              <w:top w:val="single" w:sz="2" w:space="0" w:color="000000"/>
              <w:left w:val="nil" w:sz="6" w:space="0" w:color="auto"/>
              <w:bottom w:val="single" w:sz="2" w:space="0" w:color="000000"/>
              <w:right w:val="single" w:sz="2" w:space="0" w:color="000000"/>
            </w:tcBorders>
          </w:tcPr>
          <w:p>
            <w:pPr>
              <w:pStyle w:val="TableParagraph"/>
              <w:spacing w:line="204" w:lineRule="exact"/>
              <w:ind w:left="106"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36"/>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1</w:t>
            </w:r>
            <w:r>
              <w:rPr>
                <w:rFonts w:ascii="宋体" w:hAnsi="宋体" w:cs="宋体" w:eastAsia="宋体" w:hint="default"/>
                <w:spacing w:val="-36"/>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宋体" w:hAnsi="宋体" w:cs="宋体" w:eastAsia="宋体" w:hint="default"/>
                <w:sz w:val="18"/>
                <w:szCs w:val="18"/>
              </w:rPr>
              <w:t>1</w:t>
            </w:r>
            <w:r>
              <w:rPr>
                <w:rFonts w:ascii="宋体" w:hAnsi="宋体" w:cs="宋体" w:eastAsia="宋体" w:hint="default"/>
                <w:spacing w:val="-36"/>
                <w:sz w:val="18"/>
                <w:szCs w:val="18"/>
              </w:rPr>
              <w:t> </w:t>
            </w:r>
            <w:r>
              <w:rPr>
                <w:rFonts w:ascii="宋体" w:hAnsi="宋体" w:cs="宋体" w:eastAsia="宋体" w:hint="default"/>
                <w:spacing w:val="6"/>
                <w:sz w:val="18"/>
                <w:szCs w:val="18"/>
              </w:rPr>
              <w:t>日其他应</w:t>
            </w:r>
          </w:p>
          <w:p>
            <w:pPr>
              <w:pStyle w:val="TableParagraph"/>
              <w:spacing w:line="234" w:lineRule="exact"/>
              <w:ind w:left="106" w:right="0"/>
              <w:jc w:val="left"/>
              <w:rPr>
                <w:rFonts w:ascii="宋体" w:hAnsi="宋体" w:cs="宋体" w:eastAsia="宋体" w:hint="default"/>
                <w:sz w:val="18"/>
                <w:szCs w:val="18"/>
              </w:rPr>
            </w:pPr>
            <w:r>
              <w:rPr>
                <w:rFonts w:ascii="宋体" w:hAnsi="宋体" w:cs="宋体" w:eastAsia="宋体" w:hint="default"/>
                <w:sz w:val="18"/>
                <w:szCs w:val="18"/>
              </w:rPr>
              <w:t>收款账面余额在本年</w:t>
            </w:r>
          </w:p>
        </w:tc>
        <w:tc>
          <w:tcPr>
            <w:tcW w:w="1517"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21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1517"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49"/>
              <w:jc w:val="right"/>
              <w:rPr>
                <w:rFonts w:ascii="宋体" w:hAnsi="宋体" w:cs="宋体" w:eastAsia="宋体" w:hint="default"/>
                <w:sz w:val="18"/>
                <w:szCs w:val="18"/>
              </w:rPr>
            </w:pPr>
            <w:r>
              <w:rPr>
                <w:rFonts w:ascii="宋体"/>
                <w:spacing w:val="-1"/>
                <w:sz w:val="18"/>
              </w:rPr>
              <w:t>703,460.98</w:t>
            </w: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95"/>
              <w:ind w:right="103"/>
              <w:jc w:val="right"/>
              <w:rPr>
                <w:rFonts w:ascii="宋体" w:hAnsi="宋体" w:cs="宋体" w:eastAsia="宋体" w:hint="default"/>
                <w:sz w:val="18"/>
                <w:szCs w:val="18"/>
              </w:rPr>
            </w:pPr>
            <w:r>
              <w:rPr>
                <w:rFonts w:ascii="宋体"/>
                <w:spacing w:val="-1"/>
                <w:sz w:val="18"/>
              </w:rPr>
              <w:t>703,460.98</w:t>
            </w:r>
          </w:p>
        </w:tc>
      </w:tr>
      <w:tr>
        <w:trPr>
          <w:trHeight w:val="402" w:hRule="exact"/>
        </w:trPr>
        <w:tc>
          <w:tcPr>
            <w:tcW w:w="21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6" w:right="0"/>
              <w:jc w:val="left"/>
              <w:rPr>
                <w:rFonts w:ascii="宋体" w:hAnsi="宋体" w:cs="宋体" w:eastAsia="宋体" w:hint="default"/>
                <w:sz w:val="18"/>
                <w:szCs w:val="18"/>
              </w:rPr>
            </w:pPr>
            <w:r>
              <w:rPr>
                <w:rFonts w:ascii="宋体" w:hAnsi="宋体" w:cs="宋体" w:eastAsia="宋体" w:hint="default"/>
                <w:sz w:val="18"/>
                <w:szCs w:val="18"/>
              </w:rPr>
              <w:t>本年转回</w:t>
            </w:r>
          </w:p>
        </w:tc>
        <w:tc>
          <w:tcPr>
            <w:tcW w:w="1517"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1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本年转销</w:t>
            </w:r>
          </w:p>
        </w:tc>
        <w:tc>
          <w:tcPr>
            <w:tcW w:w="1517"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21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6" w:right="0"/>
              <w:jc w:val="left"/>
              <w:rPr>
                <w:rFonts w:ascii="宋体" w:hAnsi="宋体" w:cs="宋体" w:eastAsia="宋体" w:hint="default"/>
                <w:sz w:val="18"/>
                <w:szCs w:val="18"/>
              </w:rPr>
            </w:pPr>
            <w:r>
              <w:rPr>
                <w:rFonts w:ascii="宋体" w:hAnsi="宋体" w:cs="宋体" w:eastAsia="宋体" w:hint="default"/>
                <w:sz w:val="18"/>
                <w:szCs w:val="18"/>
              </w:rPr>
              <w:t>本年核销</w:t>
            </w:r>
          </w:p>
        </w:tc>
        <w:tc>
          <w:tcPr>
            <w:tcW w:w="1517"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1,651,679.02</w:t>
            </w: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1"/>
              <w:jc w:val="right"/>
              <w:rPr>
                <w:rFonts w:ascii="宋体" w:hAnsi="宋体" w:cs="宋体" w:eastAsia="宋体" w:hint="default"/>
                <w:sz w:val="18"/>
                <w:szCs w:val="18"/>
              </w:rPr>
            </w:pPr>
            <w:r>
              <w:rPr>
                <w:rFonts w:ascii="宋体"/>
                <w:spacing w:val="-1"/>
                <w:sz w:val="18"/>
              </w:rPr>
              <w:t>1,651,679.02</w:t>
            </w:r>
          </w:p>
        </w:tc>
      </w:tr>
      <w:tr>
        <w:trPr>
          <w:trHeight w:val="402" w:hRule="exact"/>
        </w:trPr>
        <w:tc>
          <w:tcPr>
            <w:tcW w:w="21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6"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517"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
        </w:tc>
        <w:tc>
          <w:tcPr>
            <w:tcW w:w="1701" w:type="dxa"/>
            <w:tcBorders>
              <w:top w:val="single" w:sz="2" w:space="0" w:color="000000"/>
              <w:left w:val="single" w:sz="2" w:space="0" w:color="000000"/>
              <w:bottom w:val="single" w:sz="2" w:space="0" w:color="000000"/>
              <w:right w:val="single" w:sz="2" w:space="0" w:color="000000"/>
            </w:tcBorders>
          </w:tcPr>
          <w:p>
            <w:pPr/>
          </w:p>
        </w:tc>
        <w:tc>
          <w:tcPr>
            <w:tcW w:w="1843" w:type="dxa"/>
            <w:tcBorders>
              <w:top w:val="single" w:sz="2" w:space="0" w:color="000000"/>
              <w:left w:val="single" w:sz="2" w:space="0" w:color="000000"/>
              <w:bottom w:val="single" w:sz="2" w:space="0" w:color="000000"/>
              <w:right w:val="nil" w:sz="6" w:space="0" w:color="auto"/>
            </w:tcBorders>
          </w:tcPr>
          <w:p>
            <w:pPr/>
          </w:p>
        </w:tc>
      </w:tr>
      <w:tr>
        <w:trPr>
          <w:trHeight w:val="357" w:hRule="exact"/>
        </w:trPr>
        <w:tc>
          <w:tcPr>
            <w:tcW w:w="2135" w:type="dxa"/>
            <w:tcBorders>
              <w:top w:val="single" w:sz="2" w:space="0" w:color="000000"/>
              <w:left w:val="nil" w:sz="6" w:space="0" w:color="auto"/>
              <w:bottom w:val="single" w:sz="12" w:space="0" w:color="000000"/>
              <w:right w:val="single" w:sz="2" w:space="0" w:color="000000"/>
            </w:tcBorders>
          </w:tcPr>
          <w:p>
            <w:pPr>
              <w:pStyle w:val="TableParagraph"/>
              <w:spacing w:line="205" w:lineRule="exact"/>
              <w:ind w:left="106"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日余额</w:t>
            </w:r>
          </w:p>
        </w:tc>
        <w:tc>
          <w:tcPr>
            <w:tcW w:w="1517" w:type="dxa"/>
            <w:tcBorders>
              <w:top w:val="single" w:sz="2" w:space="0" w:color="000000"/>
              <w:left w:val="single" w:sz="2" w:space="0" w:color="000000"/>
              <w:bottom w:val="single" w:sz="12" w:space="0" w:color="000000"/>
              <w:right w:val="single" w:sz="2" w:space="0" w:color="000000"/>
            </w:tcBorders>
          </w:tcPr>
          <w:p>
            <w:pPr/>
          </w:p>
        </w:tc>
        <w:tc>
          <w:tcPr>
            <w:tcW w:w="170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25"/>
              <w:ind w:right="49"/>
              <w:jc w:val="right"/>
              <w:rPr>
                <w:rFonts w:ascii="宋体" w:hAnsi="宋体" w:cs="宋体" w:eastAsia="宋体" w:hint="default"/>
                <w:sz w:val="18"/>
                <w:szCs w:val="18"/>
              </w:rPr>
            </w:pPr>
            <w:r>
              <w:rPr>
                <w:rFonts w:ascii="宋体"/>
                <w:spacing w:val="-1"/>
                <w:sz w:val="18"/>
              </w:rPr>
              <w:t>10,725,929.42</w:t>
            </w:r>
          </w:p>
        </w:tc>
        <w:tc>
          <w:tcPr>
            <w:tcW w:w="1701" w:type="dxa"/>
            <w:tcBorders>
              <w:top w:val="single" w:sz="2" w:space="0" w:color="000000"/>
              <w:left w:val="single" w:sz="2" w:space="0" w:color="000000"/>
              <w:bottom w:val="single" w:sz="12" w:space="0" w:color="000000"/>
              <w:right w:val="single" w:sz="2" w:space="0" w:color="000000"/>
            </w:tcBorders>
          </w:tcPr>
          <w:p>
            <w:pPr/>
          </w:p>
        </w:tc>
        <w:tc>
          <w:tcPr>
            <w:tcW w:w="1843"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25"/>
              <w:ind w:right="51"/>
              <w:jc w:val="right"/>
              <w:rPr>
                <w:rFonts w:ascii="宋体" w:hAnsi="宋体" w:cs="宋体" w:eastAsia="宋体" w:hint="default"/>
                <w:sz w:val="18"/>
                <w:szCs w:val="18"/>
              </w:rPr>
            </w:pPr>
            <w:r>
              <w:rPr>
                <w:rFonts w:ascii="宋体"/>
                <w:spacing w:val="-1"/>
                <w:sz w:val="18"/>
              </w:rPr>
              <w:t>10,725,929.42</w:t>
            </w:r>
          </w:p>
        </w:tc>
      </w:tr>
    </w:tbl>
    <w:p>
      <w:pPr>
        <w:spacing w:line="240" w:lineRule="auto" w:before="1"/>
        <w:rPr>
          <w:rFonts w:ascii="宋体" w:hAnsi="宋体" w:cs="宋体" w:eastAsia="宋体" w:hint="default"/>
          <w:sz w:val="13"/>
          <w:szCs w:val="13"/>
        </w:rPr>
      </w:pPr>
    </w:p>
    <w:p>
      <w:pPr>
        <w:pStyle w:val="BodyText"/>
        <w:spacing w:line="240" w:lineRule="auto"/>
        <w:ind w:left="888" w:right="508"/>
        <w:jc w:val="left"/>
      </w:pPr>
      <w:r>
        <w:rPr/>
        <w:t>（</w:t>
      </w:r>
      <w:r>
        <w:rPr>
          <w:rFonts w:ascii="Times New Roman" w:hAnsi="Times New Roman" w:cs="Times New Roman" w:eastAsia="Times New Roman" w:hint="default"/>
        </w:rPr>
        <w:t>3</w:t>
      </w:r>
      <w:r>
        <w:rPr/>
        <w:t>）</w:t>
      </w:r>
      <w:r>
        <w:rPr>
          <w:spacing w:val="5"/>
        </w:rPr>
        <w:t> </w:t>
      </w:r>
      <w:bookmarkStart w:name="（3）其他应收款按账龄列示" w:id="410"/>
      <w:bookmarkEnd w:id="410"/>
      <w:r>
        <w:rPr/>
        <w:t>其</w:t>
      </w:r>
      <w:r>
        <w:rPr/>
        <w:t>他应收款按账龄列示</w:t>
      </w:r>
    </w:p>
    <w:p>
      <w:pPr>
        <w:spacing w:line="240" w:lineRule="auto" w:before="4"/>
        <w:rPr>
          <w:rFonts w:ascii="宋体" w:hAnsi="宋体" w:cs="宋体" w:eastAsia="宋体" w:hint="default"/>
          <w:sz w:val="15"/>
          <w:szCs w:val="15"/>
        </w:rPr>
      </w:pPr>
    </w:p>
    <w:tbl>
      <w:tblPr>
        <w:tblW w:w="0" w:type="auto"/>
        <w:jc w:val="left"/>
        <w:tblInd w:w="229" w:type="dxa"/>
        <w:tblLayout w:type="fixed"/>
        <w:tblCellMar>
          <w:top w:w="0" w:type="dxa"/>
          <w:left w:w="0" w:type="dxa"/>
          <w:bottom w:w="0" w:type="dxa"/>
          <w:right w:w="0" w:type="dxa"/>
        </w:tblCellMar>
        <w:tblLook w:val="01E0"/>
      </w:tblPr>
      <w:tblGrid>
        <w:gridCol w:w="3883"/>
        <w:gridCol w:w="4777"/>
      </w:tblGrid>
      <w:tr>
        <w:trPr>
          <w:trHeight w:val="369" w:hRule="exact"/>
        </w:trPr>
        <w:tc>
          <w:tcPr>
            <w:tcW w:w="388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9"/>
              <w:ind w:left="108"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477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42" w:hRule="exact"/>
        </w:trPr>
        <w:tc>
          <w:tcPr>
            <w:tcW w:w="3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
              <w:ind w:left="108"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
              <w:ind w:right="104"/>
              <w:jc w:val="right"/>
              <w:rPr>
                <w:rFonts w:ascii="宋体" w:hAnsi="宋体" w:cs="宋体" w:eastAsia="宋体" w:hint="default"/>
                <w:sz w:val="18"/>
                <w:szCs w:val="18"/>
              </w:rPr>
            </w:pPr>
            <w:r>
              <w:rPr>
                <w:rFonts w:ascii="宋体"/>
                <w:spacing w:val="-1"/>
                <w:sz w:val="18"/>
              </w:rPr>
              <w:t>707,153,801.48</w:t>
            </w:r>
          </w:p>
        </w:tc>
      </w:tr>
      <w:tr>
        <w:trPr>
          <w:trHeight w:val="342" w:hRule="exact"/>
        </w:trPr>
        <w:tc>
          <w:tcPr>
            <w:tcW w:w="3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1"/>
              <w:ind w:right="107"/>
              <w:jc w:val="right"/>
              <w:rPr>
                <w:rFonts w:ascii="宋体" w:hAnsi="宋体" w:cs="宋体" w:eastAsia="宋体" w:hint="default"/>
                <w:sz w:val="18"/>
                <w:szCs w:val="18"/>
              </w:rPr>
            </w:pPr>
            <w:r>
              <w:rPr>
                <w:rFonts w:ascii="宋体"/>
                <w:spacing w:val="-1"/>
                <w:sz w:val="18"/>
              </w:rPr>
              <w:t>55,110,286.98</w:t>
            </w:r>
          </w:p>
        </w:tc>
      </w:tr>
      <w:tr>
        <w:trPr>
          <w:trHeight w:val="340" w:hRule="exact"/>
        </w:trPr>
        <w:tc>
          <w:tcPr>
            <w:tcW w:w="3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
              <w:ind w:left="108"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7"/>
                <w:sz w:val="18"/>
                <w:szCs w:val="18"/>
              </w:rPr>
              <w:t> </w:t>
            </w:r>
            <w:r>
              <w:rPr>
                <w:rFonts w:ascii="宋体" w:hAnsi="宋体" w:cs="宋体" w:eastAsia="宋体" w:hint="default"/>
                <w:sz w:val="18"/>
                <w:szCs w:val="18"/>
              </w:rPr>
              <w:t>年</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
              <w:ind w:right="104"/>
              <w:jc w:val="right"/>
              <w:rPr>
                <w:rFonts w:ascii="宋体" w:hAnsi="宋体" w:cs="宋体" w:eastAsia="宋体" w:hint="default"/>
                <w:sz w:val="18"/>
                <w:szCs w:val="18"/>
              </w:rPr>
            </w:pPr>
            <w:r>
              <w:rPr>
                <w:rFonts w:ascii="宋体"/>
                <w:spacing w:val="-1"/>
                <w:sz w:val="18"/>
              </w:rPr>
              <w:t>6,816,510.92</w:t>
            </w:r>
          </w:p>
        </w:tc>
      </w:tr>
    </w:tbl>
    <w:p>
      <w:pPr>
        <w:spacing w:after="0" w:line="240" w:lineRule="auto"/>
        <w:jc w:val="right"/>
        <w:rPr>
          <w:rFonts w:ascii="宋体" w:hAnsi="宋体" w:cs="宋体" w:eastAsia="宋体" w:hint="default"/>
          <w:sz w:val="18"/>
          <w:szCs w:val="18"/>
        </w:rPr>
        <w:sectPr>
          <w:pgSz w:w="11910" w:h="16840"/>
          <w:pgMar w:header="939" w:footer="883" w:top="1980" w:bottom="1080" w:left="1380" w:right="0"/>
        </w:sectPr>
      </w:pPr>
    </w:p>
    <w:p>
      <w:pPr>
        <w:spacing w:line="240" w:lineRule="auto" w:before="7"/>
        <w:rPr>
          <w:rFonts w:ascii="宋体" w:hAnsi="宋体" w:cs="宋体" w:eastAsia="宋体" w:hint="default"/>
          <w:sz w:val="9"/>
          <w:szCs w:val="9"/>
        </w:rPr>
      </w:pPr>
    </w:p>
    <w:tbl>
      <w:tblPr>
        <w:tblW w:w="0" w:type="auto"/>
        <w:jc w:val="left"/>
        <w:tblInd w:w="389" w:type="dxa"/>
        <w:tblLayout w:type="fixed"/>
        <w:tblCellMar>
          <w:top w:w="0" w:type="dxa"/>
          <w:left w:w="0" w:type="dxa"/>
          <w:bottom w:w="0" w:type="dxa"/>
          <w:right w:w="0" w:type="dxa"/>
        </w:tblCellMar>
        <w:tblLook w:val="01E0"/>
      </w:tblPr>
      <w:tblGrid>
        <w:gridCol w:w="3883"/>
        <w:gridCol w:w="4777"/>
      </w:tblGrid>
      <w:tr>
        <w:trPr>
          <w:trHeight w:val="342" w:hRule="exact"/>
        </w:trPr>
        <w:tc>
          <w:tcPr>
            <w:tcW w:w="3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4"/>
              <w:jc w:val="right"/>
              <w:rPr>
                <w:rFonts w:ascii="宋体" w:hAnsi="宋体" w:cs="宋体" w:eastAsia="宋体" w:hint="default"/>
                <w:sz w:val="18"/>
                <w:szCs w:val="18"/>
              </w:rPr>
            </w:pPr>
            <w:r>
              <w:rPr>
                <w:rFonts w:ascii="宋体"/>
                <w:spacing w:val="-1"/>
                <w:sz w:val="18"/>
              </w:rPr>
              <w:t>2,832,158.66</w:t>
            </w:r>
          </w:p>
        </w:tc>
      </w:tr>
      <w:tr>
        <w:trPr>
          <w:trHeight w:val="377" w:hRule="exact"/>
        </w:trPr>
        <w:tc>
          <w:tcPr>
            <w:tcW w:w="388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3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477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33"/>
              <w:ind w:right="97"/>
              <w:jc w:val="right"/>
              <w:rPr>
                <w:rFonts w:ascii="宋体" w:hAnsi="宋体" w:cs="宋体" w:eastAsia="宋体" w:hint="default"/>
                <w:sz w:val="18"/>
                <w:szCs w:val="18"/>
              </w:rPr>
            </w:pPr>
            <w:r>
              <w:rPr>
                <w:rFonts w:ascii="宋体"/>
                <w:b/>
                <w:w w:val="95"/>
                <w:sz w:val="18"/>
              </w:rPr>
              <w:t>771,912,758.04</w:t>
            </w:r>
            <w:r>
              <w:rPr>
                <w:rFonts w:ascii="宋体"/>
                <w:sz w:val="18"/>
              </w:rPr>
            </w:r>
          </w:p>
        </w:tc>
      </w:tr>
    </w:tbl>
    <w:p>
      <w:pPr>
        <w:spacing w:line="240" w:lineRule="auto" w:before="4"/>
        <w:rPr>
          <w:rFonts w:ascii="宋体" w:hAnsi="宋体" w:cs="宋体" w:eastAsia="宋体" w:hint="default"/>
          <w:sz w:val="13"/>
          <w:szCs w:val="13"/>
        </w:rPr>
      </w:pPr>
    </w:p>
    <w:p>
      <w:pPr>
        <w:pStyle w:val="BodyText"/>
        <w:spacing w:line="240" w:lineRule="auto"/>
        <w:ind w:left="1048" w:right="0"/>
        <w:jc w:val="left"/>
      </w:pPr>
      <w:r>
        <w:rPr/>
        <w:t>（</w:t>
      </w:r>
      <w:r>
        <w:rPr>
          <w:rFonts w:ascii="Times New Roman" w:hAnsi="Times New Roman" w:cs="Times New Roman" w:eastAsia="Times New Roman" w:hint="default"/>
        </w:rPr>
        <w:t>4</w:t>
      </w:r>
      <w:r>
        <w:rPr/>
        <w:t>）</w:t>
      </w:r>
      <w:r>
        <w:rPr>
          <w:spacing w:val="3"/>
        </w:rPr>
        <w:t> </w:t>
      </w:r>
      <w:bookmarkStart w:name="（4）本年其他应收款坏账准备情况" w:id="411"/>
      <w:bookmarkEnd w:id="411"/>
      <w:r>
        <w:rPr/>
        <w:t>本</w:t>
      </w:r>
      <w:r>
        <w:rPr/>
        <w:t>年其他应收款坏账准备情况</w:t>
      </w:r>
    </w:p>
    <w:p>
      <w:pPr>
        <w:spacing w:line="240" w:lineRule="auto" w:before="1"/>
        <w:rPr>
          <w:rFonts w:ascii="宋体" w:hAnsi="宋体" w:cs="宋体" w:eastAsia="宋体" w:hint="default"/>
          <w:sz w:val="15"/>
          <w:szCs w:val="15"/>
        </w:rPr>
      </w:pPr>
    </w:p>
    <w:tbl>
      <w:tblPr>
        <w:tblW w:w="0" w:type="auto"/>
        <w:jc w:val="left"/>
        <w:tblInd w:w="358" w:type="dxa"/>
        <w:tblLayout w:type="fixed"/>
        <w:tblCellMar>
          <w:top w:w="0" w:type="dxa"/>
          <w:left w:w="0" w:type="dxa"/>
          <w:bottom w:w="0" w:type="dxa"/>
          <w:right w:w="0" w:type="dxa"/>
        </w:tblCellMar>
        <w:tblLook w:val="01E0"/>
      </w:tblPr>
      <w:tblGrid>
        <w:gridCol w:w="1357"/>
        <w:gridCol w:w="1651"/>
        <w:gridCol w:w="1357"/>
        <w:gridCol w:w="1280"/>
        <w:gridCol w:w="1427"/>
        <w:gridCol w:w="1651"/>
      </w:tblGrid>
      <w:tr>
        <w:trPr>
          <w:trHeight w:val="378" w:hRule="exact"/>
        </w:trPr>
        <w:tc>
          <w:tcPr>
            <w:tcW w:w="1357" w:type="dxa"/>
            <w:vMerge w:val="restart"/>
            <w:tcBorders>
              <w:top w:val="single" w:sz="12" w:space="0" w:color="000000"/>
              <w:left w:val="nil" w:sz="6" w:space="0" w:color="auto"/>
              <w:right w:val="single" w:sz="2"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651" w:type="dxa"/>
            <w:vMerge w:val="restart"/>
            <w:tcBorders>
              <w:top w:val="single" w:sz="12" w:space="0" w:color="000000"/>
              <w:left w:val="single" w:sz="2" w:space="0" w:color="000000"/>
              <w:right w:val="single" w:sz="2"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462"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4064" w:type="dxa"/>
            <w:gridSpan w:val="3"/>
            <w:tcBorders>
              <w:top w:val="single" w:sz="12" w:space="0" w:color="000000"/>
              <w:left w:val="single" w:sz="2" w:space="0" w:color="000000"/>
              <w:bottom w:val="single" w:sz="2" w:space="0" w:color="000000"/>
              <w:right w:val="single" w:sz="2" w:space="0" w:color="000000"/>
            </w:tcBorders>
          </w:tcPr>
          <w:p>
            <w:pPr>
              <w:pStyle w:val="TableParagraph"/>
              <w:spacing w:line="240" w:lineRule="auto" w:before="80"/>
              <w:ind w:left="3" w:right="0"/>
              <w:jc w:val="center"/>
              <w:rPr>
                <w:rFonts w:ascii="宋体" w:hAnsi="宋体" w:cs="宋体" w:eastAsia="宋体" w:hint="default"/>
                <w:sz w:val="18"/>
                <w:szCs w:val="18"/>
              </w:rPr>
            </w:pPr>
            <w:r>
              <w:rPr>
                <w:rFonts w:ascii="宋体" w:hAnsi="宋体" w:cs="宋体" w:eastAsia="宋体" w:hint="default"/>
                <w:b/>
                <w:bCs/>
                <w:sz w:val="18"/>
                <w:szCs w:val="18"/>
              </w:rPr>
              <w:t>本年变动金额</w:t>
            </w:r>
            <w:r>
              <w:rPr>
                <w:rFonts w:ascii="宋体" w:hAnsi="宋体" w:cs="宋体" w:eastAsia="宋体" w:hint="default"/>
                <w:sz w:val="18"/>
                <w:szCs w:val="18"/>
              </w:rPr>
            </w:r>
          </w:p>
        </w:tc>
        <w:tc>
          <w:tcPr>
            <w:tcW w:w="1651" w:type="dxa"/>
            <w:vMerge w:val="restart"/>
            <w:tcBorders>
              <w:top w:val="single" w:sz="12" w:space="0" w:color="000000"/>
              <w:left w:val="single" w:sz="2"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462"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r>
      <w:tr>
        <w:trPr>
          <w:trHeight w:val="365" w:hRule="exact"/>
        </w:trPr>
        <w:tc>
          <w:tcPr>
            <w:tcW w:w="1357" w:type="dxa"/>
            <w:vMerge/>
            <w:tcBorders>
              <w:left w:val="nil" w:sz="6" w:space="0" w:color="auto"/>
              <w:bottom w:val="single" w:sz="2" w:space="0" w:color="000000"/>
              <w:right w:val="single" w:sz="2" w:space="0" w:color="000000"/>
            </w:tcBorders>
          </w:tcPr>
          <w:p>
            <w:pPr/>
          </w:p>
        </w:tc>
        <w:tc>
          <w:tcPr>
            <w:tcW w:w="1651" w:type="dxa"/>
            <w:vMerge/>
            <w:tcBorders>
              <w:left w:val="single" w:sz="2" w:space="0" w:color="000000"/>
              <w:bottom w:val="single" w:sz="2" w:space="0" w:color="000000"/>
              <w:right w:val="single" w:sz="2" w:space="0" w:color="000000"/>
            </w:tcBorders>
          </w:tcPr>
          <w:p>
            <w:pPr/>
          </w:p>
        </w:tc>
        <w:tc>
          <w:tcPr>
            <w:tcW w:w="135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8"/>
              <w:ind w:left="1" w:right="0"/>
              <w:jc w:val="center"/>
              <w:rPr>
                <w:rFonts w:ascii="宋体" w:hAnsi="宋体" w:cs="宋体" w:eastAsia="宋体" w:hint="default"/>
                <w:sz w:val="18"/>
                <w:szCs w:val="18"/>
              </w:rPr>
            </w:pPr>
            <w:r>
              <w:rPr>
                <w:rFonts w:ascii="宋体" w:hAnsi="宋体" w:cs="宋体" w:eastAsia="宋体" w:hint="default"/>
                <w:b/>
                <w:bCs/>
                <w:sz w:val="18"/>
                <w:szCs w:val="18"/>
              </w:rPr>
              <w:t>计提</w:t>
            </w:r>
            <w:r>
              <w:rPr>
                <w:rFonts w:ascii="宋体" w:hAnsi="宋体" w:cs="宋体" w:eastAsia="宋体" w:hint="default"/>
                <w:sz w:val="18"/>
                <w:szCs w:val="18"/>
              </w:rPr>
            </w:r>
          </w:p>
        </w:tc>
        <w:tc>
          <w:tcPr>
            <w:tcW w:w="128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8"/>
              <w:ind w:left="188" w:right="0"/>
              <w:jc w:val="left"/>
              <w:rPr>
                <w:rFonts w:ascii="宋体" w:hAnsi="宋体" w:cs="宋体" w:eastAsia="宋体" w:hint="default"/>
                <w:sz w:val="18"/>
                <w:szCs w:val="18"/>
              </w:rPr>
            </w:pPr>
            <w:r>
              <w:rPr>
                <w:rFonts w:ascii="宋体" w:hAnsi="宋体" w:cs="宋体" w:eastAsia="宋体" w:hint="default"/>
                <w:b/>
                <w:bCs/>
                <w:sz w:val="18"/>
                <w:szCs w:val="18"/>
              </w:rPr>
              <w:t>收回或转回</w:t>
            </w:r>
            <w:r>
              <w:rPr>
                <w:rFonts w:ascii="宋体" w:hAnsi="宋体" w:cs="宋体" w:eastAsia="宋体" w:hint="default"/>
                <w:sz w:val="18"/>
                <w:szCs w:val="18"/>
              </w:rPr>
            </w:r>
          </w:p>
        </w:tc>
        <w:tc>
          <w:tcPr>
            <w:tcW w:w="1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78"/>
              <w:ind w:left="259" w:right="0"/>
              <w:jc w:val="left"/>
              <w:rPr>
                <w:rFonts w:ascii="宋体" w:hAnsi="宋体" w:cs="宋体" w:eastAsia="宋体" w:hint="default"/>
                <w:sz w:val="18"/>
                <w:szCs w:val="18"/>
              </w:rPr>
            </w:pPr>
            <w:r>
              <w:rPr>
                <w:rFonts w:ascii="宋体" w:hAnsi="宋体" w:cs="宋体" w:eastAsia="宋体" w:hint="default"/>
                <w:b/>
                <w:bCs/>
                <w:sz w:val="18"/>
                <w:szCs w:val="18"/>
              </w:rPr>
              <w:t>转销或核销</w:t>
            </w:r>
            <w:r>
              <w:rPr>
                <w:rFonts w:ascii="宋体" w:hAnsi="宋体" w:cs="宋体" w:eastAsia="宋体" w:hint="default"/>
                <w:sz w:val="18"/>
                <w:szCs w:val="18"/>
              </w:rPr>
            </w:r>
          </w:p>
        </w:tc>
        <w:tc>
          <w:tcPr>
            <w:tcW w:w="1651" w:type="dxa"/>
            <w:vMerge/>
            <w:tcBorders>
              <w:left w:val="single" w:sz="2" w:space="0" w:color="000000"/>
              <w:bottom w:val="single" w:sz="2" w:space="0" w:color="000000"/>
              <w:right w:val="nil" w:sz="6" w:space="0" w:color="auto"/>
            </w:tcBorders>
          </w:tcPr>
          <w:p>
            <w:pPr/>
          </w:p>
        </w:tc>
      </w:tr>
      <w:tr>
        <w:trPr>
          <w:trHeight w:val="402" w:hRule="exact"/>
        </w:trPr>
        <w:tc>
          <w:tcPr>
            <w:tcW w:w="135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单项计提</w:t>
            </w:r>
          </w:p>
        </w:tc>
        <w:tc>
          <w:tcPr>
            <w:tcW w:w="1651" w:type="dxa"/>
            <w:tcBorders>
              <w:top w:val="single" w:sz="2" w:space="0" w:color="000000"/>
              <w:left w:val="single" w:sz="2" w:space="0" w:color="000000"/>
              <w:bottom w:val="single" w:sz="2" w:space="0" w:color="000000"/>
              <w:right w:val="single" w:sz="2" w:space="0" w:color="000000"/>
            </w:tcBorders>
          </w:tcPr>
          <w:p>
            <w:pPr/>
          </w:p>
        </w:tc>
        <w:tc>
          <w:tcPr>
            <w:tcW w:w="1357" w:type="dxa"/>
            <w:tcBorders>
              <w:top w:val="single" w:sz="2" w:space="0" w:color="000000"/>
              <w:left w:val="single" w:sz="2" w:space="0" w:color="000000"/>
              <w:bottom w:val="single" w:sz="2" w:space="0" w:color="000000"/>
              <w:right w:val="single" w:sz="2" w:space="0" w:color="000000"/>
            </w:tcBorders>
          </w:tcPr>
          <w:p>
            <w:pPr/>
          </w:p>
        </w:tc>
        <w:tc>
          <w:tcPr>
            <w:tcW w:w="1280" w:type="dxa"/>
            <w:tcBorders>
              <w:top w:val="single" w:sz="2" w:space="0" w:color="000000"/>
              <w:left w:val="single" w:sz="2" w:space="0" w:color="000000"/>
              <w:bottom w:val="single" w:sz="2" w:space="0" w:color="000000"/>
              <w:right w:val="single" w:sz="2" w:space="0" w:color="000000"/>
            </w:tcBorders>
          </w:tcPr>
          <w:p>
            <w:pPr/>
          </w:p>
        </w:tc>
        <w:tc>
          <w:tcPr>
            <w:tcW w:w="1427" w:type="dxa"/>
            <w:tcBorders>
              <w:top w:val="single" w:sz="2" w:space="0" w:color="000000"/>
              <w:left w:val="single" w:sz="2" w:space="0" w:color="000000"/>
              <w:bottom w:val="single" w:sz="2" w:space="0" w:color="000000"/>
              <w:right w:val="single" w:sz="2" w:space="0" w:color="000000"/>
            </w:tcBorders>
          </w:tcPr>
          <w:p>
            <w:pPr/>
          </w:p>
        </w:tc>
        <w:tc>
          <w:tcPr>
            <w:tcW w:w="1651"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35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65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9"/>
              <w:jc w:val="right"/>
              <w:rPr>
                <w:rFonts w:ascii="宋体" w:hAnsi="宋体" w:cs="宋体" w:eastAsia="宋体" w:hint="default"/>
                <w:sz w:val="18"/>
                <w:szCs w:val="18"/>
              </w:rPr>
            </w:pPr>
            <w:r>
              <w:rPr>
                <w:rFonts w:ascii="宋体"/>
                <w:spacing w:val="-1"/>
                <w:sz w:val="18"/>
              </w:rPr>
              <w:t>11,674,147.46</w:t>
            </w:r>
          </w:p>
        </w:tc>
        <w:tc>
          <w:tcPr>
            <w:tcW w:w="135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48"/>
              <w:jc w:val="right"/>
              <w:rPr>
                <w:rFonts w:ascii="宋体" w:hAnsi="宋体" w:cs="宋体" w:eastAsia="宋体" w:hint="default"/>
                <w:sz w:val="18"/>
                <w:szCs w:val="18"/>
              </w:rPr>
            </w:pPr>
            <w:r>
              <w:rPr>
                <w:rFonts w:ascii="宋体"/>
                <w:spacing w:val="-1"/>
                <w:sz w:val="18"/>
              </w:rPr>
              <w:t>703,460.98</w:t>
            </w:r>
          </w:p>
        </w:tc>
        <w:tc>
          <w:tcPr>
            <w:tcW w:w="1280" w:type="dxa"/>
            <w:tcBorders>
              <w:top w:val="single" w:sz="2" w:space="0" w:color="000000"/>
              <w:left w:val="single" w:sz="2" w:space="0" w:color="000000"/>
              <w:bottom w:val="single" w:sz="2" w:space="0" w:color="000000"/>
              <w:right w:val="single" w:sz="2" w:space="0" w:color="000000"/>
            </w:tcBorders>
          </w:tcPr>
          <w:p>
            <w:pPr/>
          </w:p>
        </w:tc>
        <w:tc>
          <w:tcPr>
            <w:tcW w:w="14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left="290" w:right="0"/>
              <w:jc w:val="left"/>
              <w:rPr>
                <w:rFonts w:ascii="宋体" w:hAnsi="宋体" w:cs="宋体" w:eastAsia="宋体" w:hint="default"/>
                <w:sz w:val="18"/>
                <w:szCs w:val="18"/>
              </w:rPr>
            </w:pPr>
            <w:r>
              <w:rPr>
                <w:rFonts w:ascii="宋体"/>
                <w:sz w:val="18"/>
              </w:rPr>
              <w:t>1,651,679.02</w:t>
            </w:r>
          </w:p>
        </w:tc>
        <w:tc>
          <w:tcPr>
            <w:tcW w:w="165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52"/>
              <w:jc w:val="right"/>
              <w:rPr>
                <w:rFonts w:ascii="宋体" w:hAnsi="宋体" w:cs="宋体" w:eastAsia="宋体" w:hint="default"/>
                <w:sz w:val="18"/>
                <w:szCs w:val="18"/>
              </w:rPr>
            </w:pPr>
            <w:r>
              <w:rPr>
                <w:rFonts w:ascii="宋体"/>
                <w:spacing w:val="-1"/>
                <w:sz w:val="18"/>
              </w:rPr>
              <w:t>10,725,929.42</w:t>
            </w:r>
          </w:p>
        </w:tc>
      </w:tr>
      <w:tr>
        <w:trPr>
          <w:trHeight w:val="414" w:hRule="exact"/>
        </w:trPr>
        <w:tc>
          <w:tcPr>
            <w:tcW w:w="135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7"/>
              <w:jc w:val="right"/>
              <w:rPr>
                <w:rFonts w:ascii="宋体" w:hAnsi="宋体" w:cs="宋体" w:eastAsia="宋体" w:hint="default"/>
                <w:sz w:val="18"/>
                <w:szCs w:val="18"/>
              </w:rPr>
            </w:pPr>
            <w:r>
              <w:rPr>
                <w:rFonts w:ascii="宋体"/>
                <w:b/>
                <w:w w:val="95"/>
                <w:sz w:val="18"/>
              </w:rPr>
              <w:t>11,674,147.46</w:t>
            </w:r>
            <w:r>
              <w:rPr>
                <w:rFonts w:ascii="宋体"/>
                <w:sz w:val="18"/>
              </w:rPr>
            </w:r>
          </w:p>
        </w:tc>
        <w:tc>
          <w:tcPr>
            <w:tcW w:w="135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38"/>
              <w:jc w:val="right"/>
              <w:rPr>
                <w:rFonts w:ascii="宋体" w:hAnsi="宋体" w:cs="宋体" w:eastAsia="宋体" w:hint="default"/>
                <w:sz w:val="18"/>
                <w:szCs w:val="18"/>
              </w:rPr>
            </w:pPr>
            <w:r>
              <w:rPr>
                <w:rFonts w:ascii="宋体"/>
                <w:b/>
                <w:sz w:val="18"/>
              </w:rPr>
              <w:t>703,460.98</w:t>
            </w:r>
            <w:r>
              <w:rPr>
                <w:rFonts w:ascii="宋体"/>
                <w:sz w:val="18"/>
              </w:rPr>
            </w:r>
          </w:p>
        </w:tc>
        <w:tc>
          <w:tcPr>
            <w:tcW w:w="1280" w:type="dxa"/>
            <w:tcBorders>
              <w:top w:val="single" w:sz="2" w:space="0" w:color="000000"/>
              <w:left w:val="single" w:sz="2" w:space="0" w:color="000000"/>
              <w:bottom w:val="single" w:sz="12" w:space="0" w:color="000000"/>
              <w:right w:val="single" w:sz="2" w:space="0" w:color="000000"/>
            </w:tcBorders>
          </w:tcPr>
          <w:p>
            <w:pPr/>
          </w:p>
        </w:tc>
        <w:tc>
          <w:tcPr>
            <w:tcW w:w="14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left="290" w:right="0"/>
              <w:jc w:val="left"/>
              <w:rPr>
                <w:rFonts w:ascii="宋体" w:hAnsi="宋体" w:cs="宋体" w:eastAsia="宋体" w:hint="default"/>
                <w:sz w:val="18"/>
                <w:szCs w:val="18"/>
              </w:rPr>
            </w:pPr>
            <w:r>
              <w:rPr>
                <w:rFonts w:ascii="宋体"/>
                <w:b/>
                <w:sz w:val="18"/>
              </w:rPr>
              <w:t>1,651,679.02</w:t>
            </w:r>
            <w:r>
              <w:rPr>
                <w:rFonts w:ascii="宋体"/>
                <w:sz w:val="18"/>
              </w:rPr>
            </w:r>
          </w:p>
        </w:tc>
        <w:tc>
          <w:tcPr>
            <w:tcW w:w="1651"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40"/>
              <w:jc w:val="right"/>
              <w:rPr>
                <w:rFonts w:ascii="宋体" w:hAnsi="宋体" w:cs="宋体" w:eastAsia="宋体" w:hint="default"/>
                <w:sz w:val="18"/>
                <w:szCs w:val="18"/>
              </w:rPr>
            </w:pPr>
            <w:r>
              <w:rPr>
                <w:rFonts w:ascii="宋体"/>
                <w:b/>
                <w:w w:val="95"/>
                <w:sz w:val="18"/>
              </w:rPr>
              <w:t>10,725,929.42</w:t>
            </w:r>
            <w:r>
              <w:rPr>
                <w:rFonts w:ascii="宋体"/>
                <w:sz w:val="18"/>
              </w:rPr>
            </w:r>
          </w:p>
        </w:tc>
      </w:tr>
    </w:tbl>
    <w:p>
      <w:pPr>
        <w:spacing w:line="240" w:lineRule="auto" w:before="3"/>
        <w:rPr>
          <w:rFonts w:ascii="宋体" w:hAnsi="宋体" w:cs="宋体" w:eastAsia="宋体" w:hint="default"/>
          <w:sz w:val="13"/>
          <w:szCs w:val="13"/>
        </w:rPr>
      </w:pPr>
    </w:p>
    <w:p>
      <w:pPr>
        <w:pStyle w:val="BodyText"/>
        <w:spacing w:line="240" w:lineRule="auto"/>
        <w:ind w:left="1048" w:right="0"/>
        <w:jc w:val="left"/>
      </w:pPr>
      <w:r>
        <w:rPr/>
        <w:t>（</w:t>
      </w:r>
      <w:r>
        <w:rPr>
          <w:rFonts w:ascii="Times New Roman" w:hAnsi="Times New Roman" w:cs="Times New Roman" w:eastAsia="Times New Roman" w:hint="default"/>
        </w:rPr>
        <w:t>5</w:t>
      </w:r>
      <w:r>
        <w:rPr/>
        <w:t>）</w:t>
      </w:r>
      <w:r>
        <w:rPr>
          <w:spacing w:val="3"/>
        </w:rPr>
        <w:t> </w:t>
      </w:r>
      <w:bookmarkStart w:name="（5）本年度实际核销的其他应收款" w:id="412"/>
      <w:bookmarkEnd w:id="412"/>
      <w:r>
        <w:rPr/>
        <w:t>本</w:t>
      </w:r>
      <w:r>
        <w:rPr/>
        <w:t>年度实际核销的其他应收款</w:t>
      </w:r>
    </w:p>
    <w:p>
      <w:pPr>
        <w:spacing w:line="240" w:lineRule="auto" w:before="3"/>
        <w:rPr>
          <w:rFonts w:ascii="宋体" w:hAnsi="宋体" w:cs="宋体" w:eastAsia="宋体" w:hint="default"/>
          <w:sz w:val="15"/>
          <w:szCs w:val="15"/>
        </w:rPr>
      </w:pPr>
    </w:p>
    <w:tbl>
      <w:tblPr>
        <w:tblW w:w="0" w:type="auto"/>
        <w:jc w:val="left"/>
        <w:tblInd w:w="358" w:type="dxa"/>
        <w:tblLayout w:type="fixed"/>
        <w:tblCellMar>
          <w:top w:w="0" w:type="dxa"/>
          <w:left w:w="0" w:type="dxa"/>
          <w:bottom w:w="0" w:type="dxa"/>
          <w:right w:w="0" w:type="dxa"/>
        </w:tblCellMar>
        <w:tblLook w:val="01E0"/>
      </w:tblPr>
      <w:tblGrid>
        <w:gridCol w:w="4536"/>
        <w:gridCol w:w="4187"/>
      </w:tblGrid>
      <w:tr>
        <w:trPr>
          <w:trHeight w:val="415" w:hRule="exact"/>
        </w:trPr>
        <w:tc>
          <w:tcPr>
            <w:tcW w:w="4536"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187"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核销金额</w:t>
            </w:r>
            <w:r>
              <w:rPr>
                <w:rFonts w:ascii="宋体" w:hAnsi="宋体" w:cs="宋体" w:eastAsia="宋体" w:hint="default"/>
                <w:sz w:val="18"/>
                <w:szCs w:val="18"/>
              </w:rPr>
            </w:r>
          </w:p>
        </w:tc>
      </w:tr>
      <w:tr>
        <w:trPr>
          <w:trHeight w:val="414" w:hRule="exact"/>
        </w:trPr>
        <w:tc>
          <w:tcPr>
            <w:tcW w:w="4536"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4187"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50"/>
              <w:jc w:val="right"/>
              <w:rPr>
                <w:rFonts w:ascii="宋体" w:hAnsi="宋体" w:cs="宋体" w:eastAsia="宋体" w:hint="default"/>
                <w:sz w:val="18"/>
                <w:szCs w:val="18"/>
              </w:rPr>
            </w:pPr>
            <w:r>
              <w:rPr>
                <w:rFonts w:ascii="宋体"/>
                <w:spacing w:val="-1"/>
                <w:sz w:val="18"/>
              </w:rPr>
              <w:t>1,651,679.02</w:t>
            </w:r>
          </w:p>
        </w:tc>
      </w:tr>
    </w:tbl>
    <w:p>
      <w:pPr>
        <w:spacing w:line="240" w:lineRule="auto" w:before="3"/>
        <w:rPr>
          <w:rFonts w:ascii="宋体" w:hAnsi="宋体" w:cs="宋体" w:eastAsia="宋体" w:hint="default"/>
          <w:sz w:val="13"/>
          <w:szCs w:val="13"/>
        </w:rPr>
      </w:pPr>
    </w:p>
    <w:p>
      <w:pPr>
        <w:pStyle w:val="BodyText"/>
        <w:spacing w:line="240" w:lineRule="auto"/>
        <w:ind w:left="1048" w:right="0"/>
        <w:jc w:val="left"/>
      </w:pPr>
      <w:r>
        <w:rPr/>
        <w:t>（</w:t>
      </w:r>
      <w:r>
        <w:rPr>
          <w:rFonts w:ascii="Times New Roman" w:hAnsi="Times New Roman" w:cs="Times New Roman" w:eastAsia="Times New Roman" w:hint="default"/>
        </w:rPr>
        <w:t>6</w:t>
      </w:r>
      <w:r>
        <w:rPr/>
        <w:t>）</w:t>
      </w:r>
      <w:r>
        <w:rPr>
          <w:spacing w:val="-3"/>
        </w:rPr>
        <w:t> </w:t>
      </w:r>
      <w:bookmarkStart w:name="（6）按欠款方归集的期末余额前五名的其他应收款情况" w:id="413"/>
      <w:bookmarkEnd w:id="413"/>
      <w:r>
        <w:rPr/>
        <w:t>按</w:t>
      </w:r>
      <w:r>
        <w:rPr/>
        <w:t>欠款方归集的期末余额前五名的其他应收款情况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tbl>
      <w:tblPr>
        <w:tblW w:w="0" w:type="auto"/>
        <w:jc w:val="left"/>
        <w:tblInd w:w="102" w:type="dxa"/>
        <w:tblLayout w:type="fixed"/>
        <w:tblCellMar>
          <w:top w:w="0" w:type="dxa"/>
          <w:left w:w="0" w:type="dxa"/>
          <w:bottom w:w="0" w:type="dxa"/>
          <w:right w:w="0" w:type="dxa"/>
        </w:tblCellMar>
        <w:tblLook w:val="01E0"/>
      </w:tblPr>
      <w:tblGrid>
        <w:gridCol w:w="727"/>
        <w:gridCol w:w="1147"/>
        <w:gridCol w:w="1646"/>
        <w:gridCol w:w="1800"/>
        <w:gridCol w:w="1620"/>
        <w:gridCol w:w="1985"/>
      </w:tblGrid>
      <w:tr>
        <w:trPr>
          <w:trHeight w:val="1116" w:hRule="exact"/>
        </w:trPr>
        <w:tc>
          <w:tcPr>
            <w:tcW w:w="727" w:type="dxa"/>
            <w:tcBorders>
              <w:top w:val="single" w:sz="12" w:space="0" w:color="000000"/>
              <w:left w:val="nil" w:sz="6" w:space="0" w:color="auto"/>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32" w:lineRule="exact"/>
              <w:ind w:left="2" w:right="0"/>
              <w:jc w:val="left"/>
              <w:rPr>
                <w:rFonts w:ascii="宋体" w:hAnsi="宋体" w:cs="宋体" w:eastAsia="宋体" w:hint="default"/>
                <w:sz w:val="18"/>
                <w:szCs w:val="18"/>
              </w:rPr>
            </w:pPr>
            <w:r>
              <w:rPr>
                <w:rFonts w:ascii="宋体" w:hAnsi="宋体" w:cs="宋体" w:eastAsia="宋体" w:hint="default"/>
                <w:sz w:val="18"/>
                <w:szCs w:val="18"/>
              </w:rPr>
              <w:t>单位：元 单位名称</w:t>
            </w:r>
          </w:p>
        </w:tc>
        <w:tc>
          <w:tcPr>
            <w:tcW w:w="1147"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5"/>
              <w:jc w:val="right"/>
              <w:rPr>
                <w:rFonts w:ascii="宋体" w:hAnsi="宋体" w:cs="宋体" w:eastAsia="宋体" w:hint="default"/>
                <w:sz w:val="18"/>
                <w:szCs w:val="18"/>
              </w:rPr>
            </w:pPr>
            <w:r>
              <w:rPr>
                <w:rFonts w:ascii="宋体" w:hAnsi="宋体" w:cs="宋体" w:eastAsia="宋体" w:hint="default"/>
                <w:sz w:val="18"/>
                <w:szCs w:val="18"/>
              </w:rPr>
              <w:t>款项的性质</w:t>
            </w:r>
          </w:p>
        </w:tc>
        <w:tc>
          <w:tcPr>
            <w:tcW w:w="1646"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5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0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620" w:type="dxa"/>
            <w:tcBorders>
              <w:top w:val="single" w:sz="12"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4"/>
                <w:szCs w:val="14"/>
              </w:rPr>
            </w:pPr>
          </w:p>
          <w:p>
            <w:pPr>
              <w:pStyle w:val="TableParagraph"/>
              <w:spacing w:line="232" w:lineRule="exact"/>
              <w:ind w:right="-1"/>
              <w:jc w:val="left"/>
              <w:rPr>
                <w:rFonts w:ascii="宋体" w:hAnsi="宋体" w:cs="宋体" w:eastAsia="宋体" w:hint="default"/>
                <w:sz w:val="18"/>
                <w:szCs w:val="18"/>
              </w:rPr>
            </w:pPr>
            <w:r>
              <w:rPr>
                <w:rFonts w:ascii="宋体" w:hAnsi="宋体" w:cs="宋体" w:eastAsia="宋体" w:hint="default"/>
                <w:sz w:val="18"/>
                <w:szCs w:val="18"/>
              </w:rPr>
              <w:t>占</w:t>
            </w:r>
            <w:r>
              <w:rPr>
                <w:rFonts w:ascii="宋体" w:hAnsi="宋体" w:cs="宋体" w:eastAsia="宋体" w:hint="default"/>
                <w:spacing w:val="-66"/>
                <w:sz w:val="18"/>
                <w:szCs w:val="18"/>
              </w:rPr>
              <w:t> </w:t>
            </w:r>
            <w:r>
              <w:rPr>
                <w:rFonts w:ascii="宋体" w:hAnsi="宋体" w:cs="宋体" w:eastAsia="宋体" w:hint="default"/>
                <w:sz w:val="18"/>
                <w:szCs w:val="18"/>
              </w:rPr>
              <w:t>其</w:t>
            </w:r>
            <w:r>
              <w:rPr>
                <w:rFonts w:ascii="宋体" w:hAnsi="宋体" w:cs="宋体" w:eastAsia="宋体" w:hint="default"/>
                <w:spacing w:val="-66"/>
                <w:sz w:val="18"/>
                <w:szCs w:val="18"/>
              </w:rPr>
              <w:t> </w:t>
            </w:r>
            <w:r>
              <w:rPr>
                <w:rFonts w:ascii="宋体" w:hAnsi="宋体" w:cs="宋体" w:eastAsia="宋体" w:hint="default"/>
                <w:sz w:val="18"/>
                <w:szCs w:val="18"/>
              </w:rPr>
              <w:t>他</w:t>
            </w:r>
            <w:r>
              <w:rPr>
                <w:rFonts w:ascii="宋体" w:hAnsi="宋体" w:cs="宋体" w:eastAsia="宋体" w:hint="default"/>
                <w:spacing w:val="-66"/>
                <w:sz w:val="18"/>
                <w:szCs w:val="18"/>
              </w:rPr>
              <w:t> </w:t>
            </w:r>
            <w:r>
              <w:rPr>
                <w:rFonts w:ascii="宋体" w:hAnsi="宋体" w:cs="宋体" w:eastAsia="宋体" w:hint="default"/>
                <w:sz w:val="18"/>
                <w:szCs w:val="18"/>
              </w:rPr>
              <w:t>应</w:t>
            </w:r>
            <w:r>
              <w:rPr>
                <w:rFonts w:ascii="宋体" w:hAnsi="宋体" w:cs="宋体" w:eastAsia="宋体" w:hint="default"/>
                <w:spacing w:val="-66"/>
                <w:sz w:val="18"/>
                <w:szCs w:val="18"/>
              </w:rPr>
              <w:t> </w:t>
            </w:r>
            <w:r>
              <w:rPr>
                <w:rFonts w:ascii="宋体" w:hAnsi="宋体" w:cs="宋体" w:eastAsia="宋体" w:hint="default"/>
                <w:sz w:val="18"/>
                <w:szCs w:val="18"/>
              </w:rPr>
              <w:t>收</w:t>
            </w:r>
            <w:r>
              <w:rPr>
                <w:rFonts w:ascii="宋体" w:hAnsi="宋体" w:cs="宋体" w:eastAsia="宋体" w:hint="default"/>
                <w:spacing w:val="-64"/>
                <w:sz w:val="18"/>
                <w:szCs w:val="18"/>
              </w:rPr>
              <w:t> </w:t>
            </w:r>
            <w:r>
              <w:rPr>
                <w:rFonts w:ascii="宋体" w:hAnsi="宋体" w:cs="宋体" w:eastAsia="宋体" w:hint="default"/>
                <w:sz w:val="18"/>
                <w:szCs w:val="18"/>
              </w:rPr>
              <w:t>款</w:t>
            </w:r>
            <w:r>
              <w:rPr>
                <w:rFonts w:ascii="宋体" w:hAnsi="宋体" w:cs="宋体" w:eastAsia="宋体" w:hint="default"/>
                <w:spacing w:val="-66"/>
                <w:sz w:val="18"/>
                <w:szCs w:val="18"/>
              </w:rPr>
              <w:t> </w:t>
            </w:r>
            <w:r>
              <w:rPr>
                <w:rFonts w:ascii="宋体" w:hAnsi="宋体" w:cs="宋体" w:eastAsia="宋体" w:hint="default"/>
                <w:sz w:val="18"/>
                <w:szCs w:val="18"/>
              </w:rPr>
              <w:t>期</w:t>
            </w:r>
            <w:r>
              <w:rPr>
                <w:rFonts w:ascii="宋体" w:hAnsi="宋体" w:cs="宋体" w:eastAsia="宋体" w:hint="default"/>
                <w:spacing w:val="-66"/>
                <w:sz w:val="18"/>
                <w:szCs w:val="18"/>
              </w:rPr>
              <w:t> </w:t>
            </w:r>
            <w:r>
              <w:rPr>
                <w:rFonts w:ascii="宋体" w:hAnsi="宋体" w:cs="宋体" w:eastAsia="宋体" w:hint="default"/>
                <w:sz w:val="18"/>
                <w:szCs w:val="18"/>
              </w:rPr>
              <w:t>末</w:t>
            </w:r>
            <w:r>
              <w:rPr>
                <w:rFonts w:ascii="宋体" w:hAnsi="宋体" w:cs="宋体" w:eastAsia="宋体" w:hint="default"/>
                <w:sz w:val="18"/>
                <w:szCs w:val="18"/>
              </w:rPr>
              <w:t> 余</w:t>
            </w:r>
            <w:r>
              <w:rPr>
                <w:rFonts w:ascii="宋体" w:hAnsi="宋体" w:cs="宋体" w:eastAsia="宋体" w:hint="default"/>
                <w:spacing w:val="-66"/>
                <w:sz w:val="18"/>
                <w:szCs w:val="18"/>
              </w:rPr>
              <w:t> </w:t>
            </w:r>
            <w:r>
              <w:rPr>
                <w:rFonts w:ascii="宋体" w:hAnsi="宋体" w:cs="宋体" w:eastAsia="宋体" w:hint="default"/>
                <w:sz w:val="18"/>
                <w:szCs w:val="18"/>
              </w:rPr>
              <w:t>额</w:t>
            </w:r>
            <w:r>
              <w:rPr>
                <w:rFonts w:ascii="宋体" w:hAnsi="宋体" w:cs="宋体" w:eastAsia="宋体" w:hint="default"/>
                <w:spacing w:val="-66"/>
                <w:sz w:val="18"/>
                <w:szCs w:val="18"/>
              </w:rPr>
              <w:t> </w:t>
            </w:r>
            <w:r>
              <w:rPr>
                <w:rFonts w:ascii="宋体" w:hAnsi="宋体" w:cs="宋体" w:eastAsia="宋体" w:hint="default"/>
                <w:sz w:val="18"/>
                <w:szCs w:val="18"/>
              </w:rPr>
              <w:t>合</w:t>
            </w:r>
            <w:r>
              <w:rPr>
                <w:rFonts w:ascii="宋体" w:hAnsi="宋体" w:cs="宋体" w:eastAsia="宋体" w:hint="default"/>
                <w:spacing w:val="-66"/>
                <w:sz w:val="18"/>
                <w:szCs w:val="18"/>
              </w:rPr>
              <w:t> </w:t>
            </w:r>
            <w:r>
              <w:rPr>
                <w:rFonts w:ascii="宋体" w:hAnsi="宋体" w:cs="宋体" w:eastAsia="宋体" w:hint="default"/>
                <w:sz w:val="18"/>
                <w:szCs w:val="18"/>
              </w:rPr>
              <w:t>计</w:t>
            </w:r>
            <w:r>
              <w:rPr>
                <w:rFonts w:ascii="宋体" w:hAnsi="宋体" w:cs="宋体" w:eastAsia="宋体" w:hint="default"/>
                <w:spacing w:val="-66"/>
                <w:sz w:val="18"/>
                <w:szCs w:val="18"/>
              </w:rPr>
              <w:t> </w:t>
            </w:r>
            <w:r>
              <w:rPr>
                <w:rFonts w:ascii="宋体" w:hAnsi="宋体" w:cs="宋体" w:eastAsia="宋体" w:hint="default"/>
                <w:sz w:val="18"/>
                <w:szCs w:val="18"/>
              </w:rPr>
              <w:t>数</w:t>
            </w:r>
            <w:r>
              <w:rPr>
                <w:rFonts w:ascii="宋体" w:hAnsi="宋体" w:cs="宋体" w:eastAsia="宋体" w:hint="default"/>
                <w:spacing w:val="-64"/>
                <w:sz w:val="18"/>
                <w:szCs w:val="18"/>
              </w:rPr>
              <w:t> </w:t>
            </w:r>
            <w:r>
              <w:rPr>
                <w:rFonts w:ascii="宋体" w:hAnsi="宋体" w:cs="宋体" w:eastAsia="宋体" w:hint="default"/>
                <w:sz w:val="18"/>
                <w:szCs w:val="18"/>
              </w:rPr>
              <w:t>的</w:t>
            </w:r>
            <w:r>
              <w:rPr>
                <w:rFonts w:ascii="宋体" w:hAnsi="宋体" w:cs="宋体" w:eastAsia="宋体" w:hint="default"/>
                <w:spacing w:val="-66"/>
                <w:sz w:val="18"/>
                <w:szCs w:val="18"/>
              </w:rPr>
              <w:t> </w:t>
            </w:r>
            <w:r>
              <w:rPr>
                <w:rFonts w:ascii="宋体" w:hAnsi="宋体" w:cs="宋体" w:eastAsia="宋体" w:hint="default"/>
                <w:sz w:val="18"/>
                <w:szCs w:val="18"/>
              </w:rPr>
              <w:t>比</w:t>
            </w:r>
            <w:r>
              <w:rPr>
                <w:rFonts w:ascii="宋体" w:hAnsi="宋体" w:cs="宋体" w:eastAsia="宋体" w:hint="default"/>
                <w:spacing w:val="-66"/>
                <w:sz w:val="18"/>
                <w:szCs w:val="18"/>
              </w:rPr>
              <w:t> </w:t>
            </w:r>
            <w:r>
              <w:rPr>
                <w:rFonts w:ascii="宋体" w:hAnsi="宋体" w:cs="宋体" w:eastAsia="宋体" w:hint="default"/>
                <w:sz w:val="18"/>
                <w:szCs w:val="18"/>
              </w:rPr>
              <w:t>例</w:t>
            </w:r>
          </w:p>
          <w:p>
            <w:pPr>
              <w:pStyle w:val="TableParagraph"/>
              <w:spacing w:line="212" w:lineRule="exact"/>
              <w:ind w:right="0"/>
              <w:jc w:val="left"/>
              <w:rPr>
                <w:rFonts w:ascii="宋体" w:hAnsi="宋体" w:cs="宋体" w:eastAsia="宋体" w:hint="default"/>
                <w:sz w:val="18"/>
                <w:szCs w:val="18"/>
              </w:rPr>
            </w:pPr>
            <w:r>
              <w:rPr>
                <w:rFonts w:ascii="宋体" w:hAnsi="宋体" w:cs="宋体" w:eastAsia="宋体" w:hint="default"/>
                <w:sz w:val="18"/>
                <w:szCs w:val="18"/>
              </w:rPr>
              <w:t>（%）</w:t>
            </w:r>
          </w:p>
        </w:tc>
        <w:tc>
          <w:tcPr>
            <w:tcW w:w="1985" w:type="dxa"/>
            <w:tcBorders>
              <w:top w:val="single" w:sz="12" w:space="0" w:color="000000"/>
              <w:left w:val="single" w:sz="4" w:space="0" w:color="000000"/>
              <w:bottom w:val="single" w:sz="4" w:space="0" w:color="000000"/>
              <w:right w:val="nil" w:sz="6" w:space="0" w:color="auto"/>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296" w:hRule="exact"/>
        </w:trPr>
        <w:tc>
          <w:tcPr>
            <w:tcW w:w="7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left="103" w:right="0"/>
              <w:jc w:val="center"/>
              <w:rPr>
                <w:rFonts w:ascii="Times New Roman" w:hAnsi="Times New Roman" w:cs="Times New Roman" w:eastAsia="Times New Roman" w:hint="default"/>
                <w:sz w:val="18"/>
                <w:szCs w:val="18"/>
              </w:rPr>
            </w:pPr>
            <w:r>
              <w:rPr>
                <w:rFonts w:ascii="Times New Roman"/>
                <w:w w:val="99"/>
                <w:sz w:val="18"/>
              </w:rPr>
              <w:t>A</w:t>
            </w:r>
            <w:r>
              <w:rPr>
                <w:rFonts w:ascii="Times New Roman"/>
                <w:sz w:val="18"/>
              </w:rPr>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right="247"/>
              <w:jc w:val="right"/>
              <w:rPr>
                <w:rFonts w:ascii="宋体" w:hAnsi="宋体" w:cs="宋体" w:eastAsia="宋体" w:hint="default"/>
                <w:sz w:val="18"/>
                <w:szCs w:val="18"/>
              </w:rPr>
            </w:pPr>
            <w:r>
              <w:rPr>
                <w:rFonts w:ascii="宋体" w:hAnsi="宋体" w:cs="宋体" w:eastAsia="宋体" w:hint="default"/>
                <w:sz w:val="18"/>
                <w:szCs w:val="18"/>
              </w:rPr>
              <w:t>往来款</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7"/>
              <w:jc w:val="right"/>
              <w:rPr>
                <w:rFonts w:ascii="Times New Roman" w:hAnsi="Times New Roman" w:cs="Times New Roman" w:eastAsia="Times New Roman" w:hint="default"/>
                <w:sz w:val="18"/>
                <w:szCs w:val="18"/>
              </w:rPr>
            </w:pPr>
            <w:r>
              <w:rPr>
                <w:rFonts w:ascii="Times New Roman"/>
                <w:spacing w:val="-1"/>
                <w:sz w:val="18"/>
              </w:rPr>
              <w:t>293,509,000.00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年以内</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7"/>
              <w:jc w:val="right"/>
              <w:rPr>
                <w:rFonts w:ascii="Times New Roman" w:hAnsi="Times New Roman" w:cs="Times New Roman" w:eastAsia="Times New Roman" w:hint="default"/>
                <w:sz w:val="18"/>
                <w:szCs w:val="18"/>
              </w:rPr>
            </w:pPr>
            <w:r>
              <w:rPr>
                <w:rFonts w:ascii="Times New Roman"/>
                <w:spacing w:val="-1"/>
                <w:sz w:val="18"/>
              </w:rPr>
              <w:t>38.02</w:t>
            </w:r>
          </w:p>
        </w:tc>
        <w:tc>
          <w:tcPr>
            <w:tcW w:w="1985" w:type="dxa"/>
            <w:tcBorders>
              <w:top w:val="single" w:sz="4" w:space="0" w:color="000000"/>
              <w:left w:val="single" w:sz="4" w:space="0" w:color="000000"/>
              <w:bottom w:val="single" w:sz="4" w:space="0" w:color="000000"/>
              <w:right w:val="nil" w:sz="6" w:space="0" w:color="auto"/>
            </w:tcBorders>
          </w:tcPr>
          <w:p>
            <w:pPr/>
          </w:p>
        </w:tc>
      </w:tr>
      <w:tr>
        <w:trPr>
          <w:trHeight w:val="296" w:hRule="exact"/>
        </w:trPr>
        <w:tc>
          <w:tcPr>
            <w:tcW w:w="7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left="102" w:right="0"/>
              <w:jc w:val="center"/>
              <w:rPr>
                <w:rFonts w:ascii="Times New Roman" w:hAnsi="Times New Roman" w:cs="Times New Roman" w:eastAsia="Times New Roman" w:hint="default"/>
                <w:sz w:val="18"/>
                <w:szCs w:val="18"/>
              </w:rPr>
            </w:pPr>
            <w:r>
              <w:rPr>
                <w:rFonts w:ascii="Times New Roman"/>
                <w:w w:val="99"/>
                <w:sz w:val="18"/>
              </w:rPr>
              <w:t>B</w:t>
            </w:r>
            <w:r>
              <w:rPr>
                <w:rFonts w:ascii="Times New Roman"/>
                <w:sz w:val="18"/>
              </w:rPr>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247"/>
              <w:jc w:val="right"/>
              <w:rPr>
                <w:rFonts w:ascii="宋体" w:hAnsi="宋体" w:cs="宋体" w:eastAsia="宋体" w:hint="default"/>
                <w:sz w:val="18"/>
                <w:szCs w:val="18"/>
              </w:rPr>
            </w:pPr>
            <w:r>
              <w:rPr>
                <w:rFonts w:ascii="宋体" w:hAnsi="宋体" w:cs="宋体" w:eastAsia="宋体" w:hint="default"/>
                <w:sz w:val="18"/>
                <w:szCs w:val="18"/>
              </w:rPr>
              <w:t>往来款</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pacing w:val="-1"/>
                <w:sz w:val="18"/>
              </w:rPr>
              <w:t>290,317,147.82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年以内</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pacing w:val="-1"/>
                <w:sz w:val="18"/>
              </w:rPr>
              <w:t>37.61</w:t>
            </w:r>
          </w:p>
        </w:tc>
        <w:tc>
          <w:tcPr>
            <w:tcW w:w="1985" w:type="dxa"/>
            <w:tcBorders>
              <w:top w:val="single" w:sz="4" w:space="0" w:color="000000"/>
              <w:left w:val="single" w:sz="4" w:space="0" w:color="000000"/>
              <w:bottom w:val="single" w:sz="4" w:space="0" w:color="000000"/>
              <w:right w:val="nil" w:sz="6" w:space="0" w:color="auto"/>
            </w:tcBorders>
          </w:tcPr>
          <w:p>
            <w:pPr/>
          </w:p>
        </w:tc>
      </w:tr>
      <w:tr>
        <w:trPr>
          <w:trHeight w:val="296" w:hRule="exact"/>
        </w:trPr>
        <w:tc>
          <w:tcPr>
            <w:tcW w:w="7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left="102" w:right="0"/>
              <w:jc w:val="center"/>
              <w:rPr>
                <w:rFonts w:ascii="Times New Roman" w:hAnsi="Times New Roman" w:cs="Times New Roman" w:eastAsia="Times New Roman" w:hint="default"/>
                <w:sz w:val="18"/>
                <w:szCs w:val="18"/>
              </w:rPr>
            </w:pPr>
            <w:r>
              <w:rPr>
                <w:rFonts w:ascii="Times New Roman"/>
                <w:w w:val="99"/>
                <w:sz w:val="18"/>
              </w:rPr>
              <w:t>C</w:t>
            </w:r>
            <w:r>
              <w:rPr>
                <w:rFonts w:ascii="Times New Roman"/>
                <w:sz w:val="18"/>
              </w:rPr>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ind w:right="247"/>
              <w:jc w:val="right"/>
              <w:rPr>
                <w:rFonts w:ascii="宋体" w:hAnsi="宋体" w:cs="宋体" w:eastAsia="宋体" w:hint="default"/>
                <w:sz w:val="18"/>
                <w:szCs w:val="18"/>
              </w:rPr>
            </w:pPr>
            <w:r>
              <w:rPr>
                <w:rFonts w:ascii="宋体" w:hAnsi="宋体" w:cs="宋体" w:eastAsia="宋体" w:hint="default"/>
                <w:sz w:val="18"/>
                <w:szCs w:val="18"/>
              </w:rPr>
              <w:t>往来款</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86,448,952.02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4"/>
              <w:jc w:val="right"/>
              <w:rPr>
                <w:rFonts w:ascii="Times New Roman" w:hAnsi="Times New Roman" w:cs="Times New Roman" w:eastAsia="Times New Roman" w:hint="default"/>
                <w:sz w:val="18"/>
                <w:szCs w:val="18"/>
              </w:rPr>
            </w:pPr>
            <w:r>
              <w:rPr>
                <w:rFonts w:ascii="Times New Roman"/>
                <w:spacing w:val="-2"/>
                <w:sz w:val="18"/>
              </w:rPr>
              <w:t>11.20</w:t>
            </w:r>
          </w:p>
        </w:tc>
        <w:tc>
          <w:tcPr>
            <w:tcW w:w="1985" w:type="dxa"/>
            <w:tcBorders>
              <w:top w:val="single" w:sz="4" w:space="0" w:color="000000"/>
              <w:left w:val="single" w:sz="4" w:space="0" w:color="000000"/>
              <w:bottom w:val="single" w:sz="4" w:space="0" w:color="000000"/>
              <w:right w:val="nil" w:sz="6" w:space="0" w:color="auto"/>
            </w:tcBorders>
          </w:tcPr>
          <w:p>
            <w:pPr/>
          </w:p>
        </w:tc>
      </w:tr>
      <w:tr>
        <w:trPr>
          <w:trHeight w:val="296" w:hRule="exact"/>
        </w:trPr>
        <w:tc>
          <w:tcPr>
            <w:tcW w:w="7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left="103" w:right="0"/>
              <w:jc w:val="center"/>
              <w:rPr>
                <w:rFonts w:ascii="Times New Roman" w:hAnsi="Times New Roman" w:cs="Times New Roman" w:eastAsia="Times New Roman" w:hint="default"/>
                <w:sz w:val="18"/>
                <w:szCs w:val="18"/>
              </w:rPr>
            </w:pPr>
            <w:r>
              <w:rPr>
                <w:rFonts w:ascii="Times New Roman"/>
                <w:w w:val="99"/>
                <w:sz w:val="18"/>
              </w:rPr>
              <w:t>D</w:t>
            </w:r>
            <w:r>
              <w:rPr>
                <w:rFonts w:ascii="Times New Roman"/>
                <w:sz w:val="18"/>
              </w:rPr>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ind w:right="247"/>
              <w:jc w:val="right"/>
              <w:rPr>
                <w:rFonts w:ascii="宋体" w:hAnsi="宋体" w:cs="宋体" w:eastAsia="宋体" w:hint="default"/>
                <w:sz w:val="18"/>
                <w:szCs w:val="18"/>
              </w:rPr>
            </w:pPr>
            <w:r>
              <w:rPr>
                <w:rFonts w:ascii="宋体" w:hAnsi="宋体" w:cs="宋体" w:eastAsia="宋体" w:hint="default"/>
                <w:sz w:val="18"/>
                <w:szCs w:val="18"/>
              </w:rPr>
              <w:t>往来款</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7"/>
              <w:jc w:val="right"/>
              <w:rPr>
                <w:rFonts w:ascii="Times New Roman" w:hAnsi="Times New Roman" w:cs="Times New Roman" w:eastAsia="Times New Roman" w:hint="default"/>
                <w:sz w:val="18"/>
                <w:szCs w:val="18"/>
              </w:rPr>
            </w:pPr>
            <w:r>
              <w:rPr>
                <w:rFonts w:ascii="Times New Roman"/>
                <w:spacing w:val="-1"/>
                <w:sz w:val="18"/>
              </w:rPr>
              <w:t>12,679,396.69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1.64</w:t>
            </w:r>
          </w:p>
        </w:tc>
        <w:tc>
          <w:tcPr>
            <w:tcW w:w="1985" w:type="dxa"/>
            <w:tcBorders>
              <w:top w:val="single" w:sz="4" w:space="0" w:color="000000"/>
              <w:left w:val="single" w:sz="4" w:space="0" w:color="000000"/>
              <w:bottom w:val="single" w:sz="4" w:space="0" w:color="000000"/>
              <w:right w:val="nil" w:sz="6" w:space="0" w:color="auto"/>
            </w:tcBorders>
          </w:tcPr>
          <w:p>
            <w:pPr/>
          </w:p>
        </w:tc>
      </w:tr>
      <w:tr>
        <w:trPr>
          <w:trHeight w:val="296" w:hRule="exact"/>
        </w:trPr>
        <w:tc>
          <w:tcPr>
            <w:tcW w:w="7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left="102" w:right="0"/>
              <w:jc w:val="center"/>
              <w:rPr>
                <w:rFonts w:ascii="Times New Roman" w:hAnsi="Times New Roman" w:cs="Times New Roman" w:eastAsia="Times New Roman" w:hint="default"/>
                <w:sz w:val="18"/>
                <w:szCs w:val="18"/>
              </w:rPr>
            </w:pPr>
            <w:r>
              <w:rPr>
                <w:rFonts w:ascii="Times New Roman"/>
                <w:w w:val="99"/>
                <w:sz w:val="18"/>
              </w:rPr>
              <w:t>E</w:t>
            </w:r>
            <w:r>
              <w:rPr>
                <w:rFonts w:ascii="Times New Roman"/>
                <w:sz w:val="18"/>
              </w:rPr>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right="247"/>
              <w:jc w:val="right"/>
              <w:rPr>
                <w:rFonts w:ascii="宋体" w:hAnsi="宋体" w:cs="宋体" w:eastAsia="宋体" w:hint="default"/>
                <w:sz w:val="18"/>
                <w:szCs w:val="18"/>
              </w:rPr>
            </w:pPr>
            <w:r>
              <w:rPr>
                <w:rFonts w:ascii="宋体" w:hAnsi="宋体" w:cs="宋体" w:eastAsia="宋体" w:hint="default"/>
                <w:sz w:val="18"/>
                <w:szCs w:val="18"/>
              </w:rPr>
              <w:t>备用金</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pacing w:val="-1"/>
                <w:sz w:val="18"/>
              </w:rPr>
              <w:t>5,736,669.71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年以内、1-2</w:t>
            </w:r>
            <w:r>
              <w:rPr>
                <w:rFonts w:ascii="宋体" w:hAnsi="宋体" w:cs="宋体" w:eastAsia="宋体" w:hint="default"/>
                <w:spacing w:val="-48"/>
                <w:sz w:val="18"/>
                <w:szCs w:val="18"/>
              </w:rPr>
              <w:t> </w:t>
            </w:r>
            <w:r>
              <w:rPr>
                <w:rFonts w:ascii="宋体" w:hAnsi="宋体" w:cs="宋体" w:eastAsia="宋体" w:hint="default"/>
                <w:sz w:val="18"/>
                <w:szCs w:val="18"/>
              </w:rPr>
              <w:t>年</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pacing w:val="-1"/>
                <w:sz w:val="18"/>
              </w:rPr>
              <w:t>0.74</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373,730.55</w:t>
            </w:r>
          </w:p>
        </w:tc>
      </w:tr>
      <w:tr>
        <w:trPr>
          <w:trHeight w:val="315" w:hRule="exact"/>
        </w:trPr>
        <w:tc>
          <w:tcPr>
            <w:tcW w:w="727" w:type="dxa"/>
            <w:tcBorders>
              <w:top w:val="single" w:sz="4" w:space="0" w:color="000000"/>
              <w:left w:val="nil" w:sz="6" w:space="0" w:color="auto"/>
              <w:bottom w:val="single" w:sz="12" w:space="0" w:color="000000"/>
              <w:right w:val="single" w:sz="4" w:space="0" w:color="000000"/>
            </w:tcBorders>
          </w:tcPr>
          <w:p>
            <w:pPr>
              <w:pStyle w:val="TableParagraph"/>
              <w:spacing w:line="218" w:lineRule="exact"/>
              <w:ind w:left="10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4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18"/>
                <w:szCs w:val="18"/>
              </w:rPr>
            </w:pPr>
            <w:r>
              <w:rPr>
                <w:rFonts w:ascii="Times New Roman"/>
                <w:sz w:val="18"/>
              </w:rPr>
              <w:t>--</w:t>
            </w:r>
          </w:p>
        </w:tc>
        <w:tc>
          <w:tcPr>
            <w:tcW w:w="16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688,691,166.24</w:t>
            </w:r>
          </w:p>
        </w:tc>
        <w:tc>
          <w:tcPr>
            <w:tcW w:w="18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left="5" w:right="0"/>
              <w:jc w:val="center"/>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97"/>
              <w:jc w:val="right"/>
              <w:rPr>
                <w:rFonts w:ascii="Times New Roman" w:hAnsi="Times New Roman" w:cs="Times New Roman" w:eastAsia="Times New Roman" w:hint="default"/>
                <w:sz w:val="18"/>
                <w:szCs w:val="18"/>
              </w:rPr>
            </w:pPr>
            <w:r>
              <w:rPr>
                <w:rFonts w:ascii="Times New Roman"/>
                <w:spacing w:val="-1"/>
                <w:sz w:val="18"/>
              </w:rPr>
              <w:t>89.22</w:t>
            </w:r>
          </w:p>
        </w:tc>
        <w:tc>
          <w:tcPr>
            <w:tcW w:w="198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373,730.55</w:t>
            </w:r>
          </w:p>
        </w:tc>
      </w:tr>
    </w:tbl>
    <w:p>
      <w:pPr>
        <w:spacing w:after="0" w:line="240" w:lineRule="auto"/>
        <w:jc w:val="right"/>
        <w:rPr>
          <w:rFonts w:ascii="Times New Roman" w:hAnsi="Times New Roman" w:cs="Times New Roman" w:eastAsia="Times New Roman" w:hint="default"/>
          <w:sz w:val="18"/>
          <w:szCs w:val="18"/>
        </w:rPr>
        <w:sectPr>
          <w:pgSz w:w="11910" w:h="16840"/>
          <w:pgMar w:header="939" w:footer="883" w:top="1980" w:bottom="1080" w:left="1220" w:right="0"/>
        </w:sectPr>
      </w:pPr>
    </w:p>
    <w:p>
      <w:pPr>
        <w:spacing w:line="240" w:lineRule="auto" w:before="1"/>
        <w:rPr>
          <w:rFonts w:ascii="宋体" w:hAnsi="宋体" w:cs="宋体" w:eastAsia="宋体" w:hint="default"/>
          <w:sz w:val="14"/>
          <w:szCs w:val="14"/>
        </w:rPr>
      </w:pPr>
      <w:r>
        <w:rPr/>
        <w:pict>
          <v:shape style="position:absolute;margin-left:589.160217pt;margin-top:570.55481pt;width:42.077306pt;height:18.950848pt;mso-position-horizontal-relative:page;mso-position-vertical-relative:page;z-index:1936" type="#_x0000_t75" stroked="false">
            <v:imagedata r:id="rId48" o:title=""/>
          </v:shape>
        </w:pict>
      </w:r>
    </w:p>
    <w:p>
      <w:pPr>
        <w:pStyle w:val="BodyText"/>
        <w:tabs>
          <w:tab w:pos="619" w:val="left" w:leader="none"/>
        </w:tabs>
        <w:spacing w:line="240" w:lineRule="auto"/>
        <w:ind w:left="0" w:right="10915"/>
        <w:jc w:val="center"/>
      </w:pPr>
      <w:r>
        <w:rPr>
          <w:spacing w:val="-1"/>
        </w:rPr>
        <w:t>3.</w:t>
        <w:tab/>
      </w:r>
      <w:bookmarkStart w:name="3.长期股权投资" w:id="414"/>
      <w:bookmarkEnd w:id="414"/>
      <w:r>
        <w:rPr>
          <w:spacing w:val="-2"/>
        </w:rPr>
        <w:t>长</w:t>
      </w:r>
      <w:r>
        <w:rPr>
          <w:spacing w:val="-2"/>
        </w:rPr>
        <w:t>期股权投资</w:t>
      </w:r>
    </w:p>
    <w:p>
      <w:pPr>
        <w:pStyle w:val="BodyText"/>
        <w:spacing w:line="240" w:lineRule="auto" w:before="192"/>
        <w:ind w:left="0" w:right="10848"/>
        <w:jc w:val="center"/>
      </w:pPr>
      <w:r>
        <w:rPr/>
        <w:t>（</w:t>
      </w:r>
      <w:r>
        <w:rPr>
          <w:rFonts w:ascii="Times New Roman" w:hAnsi="Times New Roman" w:cs="Times New Roman" w:eastAsia="Times New Roman" w:hint="default"/>
        </w:rPr>
        <w:t>1</w:t>
      </w:r>
      <w:r>
        <w:rPr/>
        <w:t>）</w:t>
      </w:r>
      <w:bookmarkStart w:name="（1）长期股权投资分类" w:id="415"/>
      <w:bookmarkEnd w:id="415"/>
      <w:r>
        <w:rPr/>
        <w:t>长</w:t>
      </w:r>
      <w:r>
        <w:rPr/>
        <w:t>期股权投资分类</w:t>
      </w:r>
    </w:p>
    <w:p>
      <w:pPr>
        <w:spacing w:line="240" w:lineRule="auto" w:before="12"/>
        <w:rPr>
          <w:rFonts w:ascii="宋体" w:hAnsi="宋体" w:cs="宋体" w:eastAsia="宋体" w:hint="default"/>
          <w:sz w:val="10"/>
          <w:szCs w:val="10"/>
        </w:rPr>
      </w:pPr>
    </w:p>
    <w:tbl>
      <w:tblPr>
        <w:tblW w:w="0" w:type="auto"/>
        <w:jc w:val="left"/>
        <w:tblInd w:w="115" w:type="dxa"/>
        <w:tblLayout w:type="fixed"/>
        <w:tblCellMar>
          <w:top w:w="0" w:type="dxa"/>
          <w:left w:w="0" w:type="dxa"/>
          <w:bottom w:w="0" w:type="dxa"/>
          <w:right w:w="0" w:type="dxa"/>
        </w:tblCellMar>
        <w:tblLook w:val="01E0"/>
      </w:tblPr>
      <w:tblGrid>
        <w:gridCol w:w="2583"/>
        <w:gridCol w:w="2155"/>
        <w:gridCol w:w="2010"/>
        <w:gridCol w:w="1868"/>
        <w:gridCol w:w="1868"/>
        <w:gridCol w:w="1899"/>
        <w:gridCol w:w="1831"/>
      </w:tblGrid>
      <w:tr>
        <w:trPr>
          <w:trHeight w:val="415" w:hRule="exact"/>
        </w:trPr>
        <w:tc>
          <w:tcPr>
            <w:tcW w:w="2583" w:type="dxa"/>
            <w:vMerge w:val="restart"/>
            <w:tcBorders>
              <w:top w:val="single" w:sz="12" w:space="0" w:color="000000"/>
              <w:left w:val="nil" w:sz="6" w:space="0" w:color="auto"/>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6033" w:type="dxa"/>
            <w:gridSpan w:val="3"/>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5598" w:type="dxa"/>
            <w:gridSpan w:val="3"/>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402" w:hRule="exact"/>
        </w:trPr>
        <w:tc>
          <w:tcPr>
            <w:tcW w:w="2583" w:type="dxa"/>
            <w:vMerge/>
            <w:tcBorders>
              <w:left w:val="nil" w:sz="6" w:space="0" w:color="auto"/>
              <w:bottom w:val="single" w:sz="2" w:space="0" w:color="000000"/>
              <w:right w:val="single" w:sz="2" w:space="0" w:color="000000"/>
            </w:tcBorders>
          </w:tcPr>
          <w:p>
            <w:pPr/>
          </w:p>
        </w:tc>
        <w:tc>
          <w:tcPr>
            <w:tcW w:w="21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715"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010"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643"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572"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571"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89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left="587"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83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left="553"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02" w:hRule="exact"/>
        </w:trPr>
        <w:tc>
          <w:tcPr>
            <w:tcW w:w="25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21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1,527,798,921.67</w:t>
            </w:r>
          </w:p>
        </w:tc>
        <w:tc>
          <w:tcPr>
            <w:tcW w:w="2010" w:type="dxa"/>
            <w:tcBorders>
              <w:top w:val="single" w:sz="2" w:space="0" w:color="000000"/>
              <w:left w:val="single" w:sz="2" w:space="0" w:color="000000"/>
              <w:bottom w:val="single" w:sz="2" w:space="0" w:color="000000"/>
              <w:right w:val="single" w:sz="2" w:space="0" w:color="000000"/>
            </w:tcBorders>
          </w:tcPr>
          <w:p>
            <w:pP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1,527,798,921.67</w:t>
            </w: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1,816,279,440.67</w:t>
            </w:r>
          </w:p>
        </w:tc>
        <w:tc>
          <w:tcPr>
            <w:tcW w:w="1899" w:type="dxa"/>
            <w:tcBorders>
              <w:top w:val="single" w:sz="2" w:space="0" w:color="000000"/>
              <w:left w:val="single" w:sz="2" w:space="0" w:color="000000"/>
              <w:bottom w:val="single" w:sz="2" w:space="0" w:color="000000"/>
              <w:right w:val="single" w:sz="2" w:space="0" w:color="000000"/>
            </w:tcBorders>
          </w:tcPr>
          <w:p>
            <w:pPr/>
          </w:p>
        </w:tc>
        <w:tc>
          <w:tcPr>
            <w:tcW w:w="183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5"/>
              <w:jc w:val="right"/>
              <w:rPr>
                <w:rFonts w:ascii="宋体" w:hAnsi="宋体" w:cs="宋体" w:eastAsia="宋体" w:hint="default"/>
                <w:sz w:val="18"/>
                <w:szCs w:val="18"/>
              </w:rPr>
            </w:pPr>
            <w:r>
              <w:rPr>
                <w:rFonts w:ascii="宋体"/>
                <w:spacing w:val="-1"/>
                <w:sz w:val="18"/>
              </w:rPr>
              <w:t>1,816,279,440.67</w:t>
            </w:r>
          </w:p>
        </w:tc>
      </w:tr>
      <w:tr>
        <w:trPr>
          <w:trHeight w:val="402" w:hRule="exact"/>
        </w:trPr>
        <w:tc>
          <w:tcPr>
            <w:tcW w:w="2583"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对联营、合营企业投资</w:t>
            </w:r>
          </w:p>
        </w:tc>
        <w:tc>
          <w:tcPr>
            <w:tcW w:w="2155"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9,506,421.98</w:t>
            </w:r>
          </w:p>
        </w:tc>
        <w:tc>
          <w:tcPr>
            <w:tcW w:w="2010" w:type="dxa"/>
            <w:tcBorders>
              <w:top w:val="single" w:sz="2" w:space="0" w:color="000000"/>
              <w:left w:val="single" w:sz="2" w:space="0" w:color="000000"/>
              <w:bottom w:val="single" w:sz="2" w:space="0" w:color="000000"/>
              <w:right w:val="single" w:sz="2" w:space="0" w:color="000000"/>
            </w:tcBorders>
          </w:tcPr>
          <w:p>
            <w:pP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9,506,421.98</w:t>
            </w:r>
          </w:p>
        </w:tc>
        <w:tc>
          <w:tcPr>
            <w:tcW w:w="186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9,467,772.10</w:t>
            </w:r>
          </w:p>
        </w:tc>
        <w:tc>
          <w:tcPr>
            <w:tcW w:w="1899" w:type="dxa"/>
            <w:tcBorders>
              <w:top w:val="single" w:sz="2" w:space="0" w:color="000000"/>
              <w:left w:val="single" w:sz="2" w:space="0" w:color="000000"/>
              <w:bottom w:val="single" w:sz="2" w:space="0" w:color="000000"/>
              <w:right w:val="single" w:sz="2" w:space="0" w:color="000000"/>
            </w:tcBorders>
          </w:tcPr>
          <w:p>
            <w:pPr/>
          </w:p>
        </w:tc>
        <w:tc>
          <w:tcPr>
            <w:tcW w:w="1831"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5"/>
              <w:jc w:val="right"/>
              <w:rPr>
                <w:rFonts w:ascii="宋体" w:hAnsi="宋体" w:cs="宋体" w:eastAsia="宋体" w:hint="default"/>
                <w:sz w:val="18"/>
                <w:szCs w:val="18"/>
              </w:rPr>
            </w:pPr>
            <w:r>
              <w:rPr>
                <w:rFonts w:ascii="宋体"/>
                <w:spacing w:val="-1"/>
                <w:sz w:val="18"/>
              </w:rPr>
              <w:t>9,467,772.10</w:t>
            </w:r>
          </w:p>
        </w:tc>
      </w:tr>
      <w:tr>
        <w:trPr>
          <w:trHeight w:val="414" w:hRule="exact"/>
        </w:trPr>
        <w:tc>
          <w:tcPr>
            <w:tcW w:w="2583"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55"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w w:val="95"/>
                <w:sz w:val="18"/>
              </w:rPr>
              <w:t>1,537,305,343.65</w:t>
            </w:r>
            <w:r>
              <w:rPr>
                <w:rFonts w:ascii="宋体"/>
                <w:sz w:val="18"/>
              </w:rPr>
            </w:r>
          </w:p>
        </w:tc>
        <w:tc>
          <w:tcPr>
            <w:tcW w:w="2010" w:type="dxa"/>
            <w:tcBorders>
              <w:top w:val="single" w:sz="2" w:space="0" w:color="000000"/>
              <w:left w:val="single" w:sz="2" w:space="0" w:color="000000"/>
              <w:bottom w:val="single" w:sz="12" w:space="0" w:color="000000"/>
              <w:right w:val="single" w:sz="2" w:space="0" w:color="000000"/>
            </w:tcBorders>
          </w:tcPr>
          <w:p>
            <w:pPr/>
          </w:p>
        </w:tc>
        <w:tc>
          <w:tcPr>
            <w:tcW w:w="186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w w:val="95"/>
                <w:sz w:val="18"/>
              </w:rPr>
              <w:t>1,537,305,343.65</w:t>
            </w:r>
            <w:r>
              <w:rPr>
                <w:rFonts w:ascii="宋体"/>
                <w:sz w:val="18"/>
              </w:rPr>
            </w:r>
          </w:p>
        </w:tc>
        <w:tc>
          <w:tcPr>
            <w:tcW w:w="186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2"/>
              <w:ind w:right="90"/>
              <w:jc w:val="right"/>
              <w:rPr>
                <w:rFonts w:ascii="宋体" w:hAnsi="宋体" w:cs="宋体" w:eastAsia="宋体" w:hint="default"/>
                <w:sz w:val="18"/>
                <w:szCs w:val="18"/>
              </w:rPr>
            </w:pPr>
            <w:r>
              <w:rPr>
                <w:rFonts w:ascii="宋体"/>
                <w:b/>
                <w:w w:val="95"/>
                <w:sz w:val="18"/>
              </w:rPr>
              <w:t>1,825,747,212.77</w:t>
            </w:r>
            <w:r>
              <w:rPr>
                <w:rFonts w:ascii="宋体"/>
                <w:sz w:val="18"/>
              </w:rPr>
            </w:r>
          </w:p>
        </w:tc>
        <w:tc>
          <w:tcPr>
            <w:tcW w:w="1899" w:type="dxa"/>
            <w:tcBorders>
              <w:top w:val="single" w:sz="2" w:space="0" w:color="000000"/>
              <w:left w:val="single" w:sz="2" w:space="0" w:color="000000"/>
              <w:bottom w:val="single" w:sz="12" w:space="0" w:color="000000"/>
              <w:right w:val="single" w:sz="2" w:space="0" w:color="000000"/>
            </w:tcBorders>
          </w:tcPr>
          <w:p>
            <w:pPr/>
          </w:p>
        </w:tc>
        <w:tc>
          <w:tcPr>
            <w:tcW w:w="1831"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2"/>
              <w:ind w:right="93"/>
              <w:jc w:val="right"/>
              <w:rPr>
                <w:rFonts w:ascii="宋体" w:hAnsi="宋体" w:cs="宋体" w:eastAsia="宋体" w:hint="default"/>
                <w:sz w:val="18"/>
                <w:szCs w:val="18"/>
              </w:rPr>
            </w:pPr>
            <w:r>
              <w:rPr>
                <w:rFonts w:ascii="宋体"/>
                <w:b/>
                <w:w w:val="95"/>
                <w:sz w:val="18"/>
              </w:rPr>
              <w:t>1,825,747,212.77</w:t>
            </w:r>
            <w:r>
              <w:rPr>
                <w:rFonts w:ascii="宋体"/>
                <w:sz w:val="18"/>
              </w:rPr>
            </w:r>
          </w:p>
        </w:tc>
      </w:tr>
    </w:tbl>
    <w:p>
      <w:pPr>
        <w:spacing w:line="240" w:lineRule="auto" w:before="3"/>
        <w:rPr>
          <w:rFonts w:ascii="宋体" w:hAnsi="宋体" w:cs="宋体" w:eastAsia="宋体" w:hint="default"/>
          <w:sz w:val="9"/>
          <w:szCs w:val="9"/>
        </w:rPr>
      </w:pPr>
    </w:p>
    <w:p>
      <w:pPr>
        <w:pStyle w:val="BodyText"/>
        <w:spacing w:line="240" w:lineRule="auto"/>
        <w:ind w:left="684" w:right="0"/>
        <w:jc w:val="left"/>
      </w:pPr>
      <w:r>
        <w:rPr/>
        <w:t>（</w:t>
      </w:r>
      <w:r>
        <w:rPr>
          <w:rFonts w:ascii="Times New Roman" w:hAnsi="Times New Roman" w:cs="Times New Roman" w:eastAsia="Times New Roman" w:hint="default"/>
        </w:rPr>
        <w:t>2</w:t>
      </w:r>
      <w:r>
        <w:rPr/>
        <w:t>）</w:t>
      </w:r>
      <w:bookmarkStart w:name="（2）对子公司投资" w:id="416"/>
      <w:bookmarkEnd w:id="416"/>
      <w:r>
        <w:rPr/>
        <w:t>对</w:t>
      </w:r>
      <w:r>
        <w:rPr/>
        <w:t>子公司投资</w:t>
      </w:r>
    </w:p>
    <w:p>
      <w:pPr>
        <w:spacing w:line="240" w:lineRule="auto" w:before="13"/>
        <w:rPr>
          <w:rFonts w:ascii="宋体" w:hAnsi="宋体" w:cs="宋体" w:eastAsia="宋体" w:hint="default"/>
          <w:sz w:val="10"/>
          <w:szCs w:val="10"/>
        </w:rPr>
      </w:pPr>
    </w:p>
    <w:tbl>
      <w:tblPr>
        <w:tblW w:w="0" w:type="auto"/>
        <w:jc w:val="left"/>
        <w:tblInd w:w="115" w:type="dxa"/>
        <w:tblLayout w:type="fixed"/>
        <w:tblCellMar>
          <w:top w:w="0" w:type="dxa"/>
          <w:left w:w="0" w:type="dxa"/>
          <w:bottom w:w="0" w:type="dxa"/>
          <w:right w:w="0" w:type="dxa"/>
        </w:tblCellMar>
        <w:tblLook w:val="01E0"/>
      </w:tblPr>
      <w:tblGrid>
        <w:gridCol w:w="3609"/>
        <w:gridCol w:w="1829"/>
        <w:gridCol w:w="1631"/>
        <w:gridCol w:w="1627"/>
        <w:gridCol w:w="1829"/>
        <w:gridCol w:w="1847"/>
        <w:gridCol w:w="1842"/>
      </w:tblGrid>
      <w:tr>
        <w:trPr>
          <w:trHeight w:val="415" w:hRule="exact"/>
        </w:trPr>
        <w:tc>
          <w:tcPr>
            <w:tcW w:w="360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82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550"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63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452"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62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450"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82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551"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84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200" w:right="0"/>
              <w:jc w:val="left"/>
              <w:rPr>
                <w:rFonts w:ascii="宋体" w:hAnsi="宋体" w:cs="宋体" w:eastAsia="宋体" w:hint="default"/>
                <w:sz w:val="18"/>
                <w:szCs w:val="18"/>
              </w:rPr>
            </w:pPr>
            <w:r>
              <w:rPr>
                <w:rFonts w:ascii="宋体" w:hAnsi="宋体" w:cs="宋体" w:eastAsia="宋体" w:hint="default"/>
                <w:b/>
                <w:bCs/>
                <w:sz w:val="18"/>
                <w:szCs w:val="18"/>
              </w:rPr>
              <w:t>本年计提减值准备</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left="199" w:right="0"/>
              <w:jc w:val="left"/>
              <w:rPr>
                <w:rFonts w:ascii="宋体" w:hAnsi="宋体" w:cs="宋体" w:eastAsia="宋体" w:hint="default"/>
                <w:sz w:val="18"/>
                <w:szCs w:val="18"/>
              </w:rPr>
            </w:pPr>
            <w:r>
              <w:rPr>
                <w:rFonts w:ascii="宋体" w:hAnsi="宋体" w:cs="宋体" w:eastAsia="宋体" w:hint="default"/>
                <w:b/>
                <w:bCs/>
                <w:sz w:val="18"/>
                <w:szCs w:val="18"/>
              </w:rPr>
              <w:t>减值准备年末余额</w:t>
            </w:r>
            <w:r>
              <w:rPr>
                <w:rFonts w:ascii="宋体" w:hAnsi="宋体" w:cs="宋体" w:eastAsia="宋体" w:hint="default"/>
                <w:sz w:val="18"/>
                <w:szCs w:val="18"/>
              </w:rPr>
            </w: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浙江万马高分子材料集团有限公司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384,455,307.04</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384,455,307.04</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浙江万马天屹通信线缆有限公司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107,483,914.43</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107,483,914.43</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浙江万马集团特种电子电缆有限公司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400,400,000.00</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400,400,000.00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香港骐骥国际发展有限公司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39,688,210.20</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39,688,210.20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浙江万马专用线缆科技有限公司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33,662,415.00</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33,662,415.00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浙江万马电缆有限公司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30,000,000.00</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30,000,000.00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万马联合新能源投资有限公司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605,000,000.00</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left="256" w:right="0"/>
              <w:jc w:val="left"/>
              <w:rPr>
                <w:rFonts w:ascii="宋体" w:hAnsi="宋体" w:cs="宋体" w:eastAsia="宋体" w:hint="default"/>
                <w:sz w:val="18"/>
                <w:szCs w:val="18"/>
              </w:rPr>
            </w:pPr>
            <w:r>
              <w:rPr>
                <w:rFonts w:ascii="宋体"/>
                <w:sz w:val="18"/>
              </w:rPr>
              <w:t>605,000,000.00</w:t>
            </w:r>
          </w:p>
        </w:tc>
        <w:tc>
          <w:tcPr>
            <w:tcW w:w="1829" w:type="dxa"/>
            <w:tcBorders>
              <w:top w:val="single" w:sz="2" w:space="0" w:color="000000"/>
              <w:left w:val="single" w:sz="2" w:space="0" w:color="000000"/>
              <w:bottom w:val="single" w:sz="2" w:space="0" w:color="000000"/>
              <w:right w:val="single" w:sz="2" w:space="0" w:color="000000"/>
            </w:tcBorders>
          </w:tcPr>
          <w:p>
            <w:pP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浙江万马家装有限公司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20,000,000.00</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20,000,000.00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sz w:val="18"/>
              </w:rPr>
              <w:t>Optrum Technology</w:t>
            </w:r>
            <w:r>
              <w:rPr>
                <w:rFonts w:ascii="宋体"/>
                <w:spacing w:val="-8"/>
                <w:sz w:val="18"/>
              </w:rPr>
              <w:t> </w:t>
            </w:r>
            <w:r>
              <w:rPr>
                <w:rFonts w:ascii="宋体"/>
                <w:sz w:val="18"/>
              </w:rPr>
              <w:t>LLC</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6,079,995.00</w:t>
            </w:r>
          </w:p>
        </w:tc>
        <w:tc>
          <w:tcPr>
            <w:tcW w:w="163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2,029,080.00</w:t>
            </w: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8,109,075.00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0"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万马奔腾新能源产业集团有限公司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186,509,599.00</w:t>
            </w:r>
          </w:p>
        </w:tc>
        <w:tc>
          <w:tcPr>
            <w:tcW w:w="163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313,490,401.00</w:t>
            </w: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500,000,000.00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bl>
    <w:p>
      <w:pPr>
        <w:spacing w:after="0"/>
        <w:sectPr>
          <w:headerReference w:type="default" r:id="rId75"/>
          <w:footerReference w:type="default" r:id="rId76"/>
          <w:pgSz w:w="16840" w:h="11910" w:orient="landscape"/>
          <w:pgMar w:header="939" w:footer="886" w:top="1920" w:bottom="1080" w:left="1180" w:right="1120"/>
        </w:sectPr>
      </w:pPr>
    </w:p>
    <w:p>
      <w:pPr>
        <w:spacing w:line="240" w:lineRule="auto" w:before="1"/>
        <w:rPr>
          <w:rFonts w:ascii="宋体" w:hAnsi="宋体" w:cs="宋体" w:eastAsia="宋体" w:hint="default"/>
          <w:sz w:val="14"/>
          <w:szCs w:val="14"/>
        </w:rPr>
      </w:pPr>
      <w:r>
        <w:rPr/>
        <w:pict>
          <v:shape style="position:absolute;margin-left:589.160217pt;margin-top:570.55481pt;width:42.077306pt;height:18.950848pt;mso-position-horizontal-relative:page;mso-position-vertical-relative:page;z-index:1960" type="#_x0000_t75" stroked="false">
            <v:imagedata r:id="rId48" o:title=""/>
          </v:shape>
        </w:pict>
      </w:r>
    </w:p>
    <w:tbl>
      <w:tblPr>
        <w:tblW w:w="0" w:type="auto"/>
        <w:jc w:val="left"/>
        <w:tblInd w:w="115" w:type="dxa"/>
        <w:tblLayout w:type="fixed"/>
        <w:tblCellMar>
          <w:top w:w="0" w:type="dxa"/>
          <w:left w:w="0" w:type="dxa"/>
          <w:bottom w:w="0" w:type="dxa"/>
          <w:right w:w="0" w:type="dxa"/>
        </w:tblCellMar>
        <w:tblLook w:val="01E0"/>
      </w:tblPr>
      <w:tblGrid>
        <w:gridCol w:w="3609"/>
        <w:gridCol w:w="1829"/>
        <w:gridCol w:w="1631"/>
        <w:gridCol w:w="1627"/>
        <w:gridCol w:w="1829"/>
        <w:gridCol w:w="1847"/>
        <w:gridCol w:w="1842"/>
      </w:tblGrid>
      <w:tr>
        <w:trPr>
          <w:trHeight w:val="415" w:hRule="exact"/>
        </w:trPr>
        <w:tc>
          <w:tcPr>
            <w:tcW w:w="3609"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82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50"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163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52"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62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450"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829"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551"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847"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200" w:right="0"/>
              <w:jc w:val="left"/>
              <w:rPr>
                <w:rFonts w:ascii="宋体" w:hAnsi="宋体" w:cs="宋体" w:eastAsia="宋体" w:hint="default"/>
                <w:sz w:val="18"/>
                <w:szCs w:val="18"/>
              </w:rPr>
            </w:pPr>
            <w:r>
              <w:rPr>
                <w:rFonts w:ascii="宋体" w:hAnsi="宋体" w:cs="宋体" w:eastAsia="宋体" w:hint="default"/>
                <w:b/>
                <w:bCs/>
                <w:sz w:val="18"/>
                <w:szCs w:val="18"/>
              </w:rPr>
              <w:t>本年计提减值准备</w:t>
            </w:r>
            <w:r>
              <w:rPr>
                <w:rFonts w:ascii="宋体" w:hAnsi="宋体" w:cs="宋体" w:eastAsia="宋体" w:hint="default"/>
                <w:sz w:val="18"/>
                <w:szCs w:val="18"/>
              </w:rPr>
            </w:r>
          </w:p>
        </w:tc>
        <w:tc>
          <w:tcPr>
            <w:tcW w:w="1842"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3"/>
              <w:ind w:left="199" w:right="0"/>
              <w:jc w:val="left"/>
              <w:rPr>
                <w:rFonts w:ascii="宋体" w:hAnsi="宋体" w:cs="宋体" w:eastAsia="宋体" w:hint="default"/>
                <w:sz w:val="18"/>
                <w:szCs w:val="18"/>
              </w:rPr>
            </w:pPr>
            <w:r>
              <w:rPr>
                <w:rFonts w:ascii="宋体" w:hAnsi="宋体" w:cs="宋体" w:eastAsia="宋体" w:hint="default"/>
                <w:b/>
                <w:bCs/>
                <w:sz w:val="18"/>
                <w:szCs w:val="18"/>
              </w:rPr>
              <w:t>减值准备年末余额</w:t>
            </w:r>
            <w:r>
              <w:rPr>
                <w:rFonts w:ascii="宋体" w:hAnsi="宋体" w:cs="宋体" w:eastAsia="宋体" w:hint="default"/>
                <w:sz w:val="18"/>
                <w:szCs w:val="18"/>
              </w:rPr>
            </w: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杭州以田科技有限公司</w:t>
            </w: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1"/>
              <w:jc w:val="right"/>
              <w:rPr>
                <w:rFonts w:ascii="宋体" w:hAnsi="宋体" w:cs="宋体" w:eastAsia="宋体" w:hint="default"/>
                <w:sz w:val="18"/>
                <w:szCs w:val="18"/>
              </w:rPr>
            </w:pPr>
            <w:r>
              <w:rPr>
                <w:rFonts w:ascii="宋体"/>
                <w:spacing w:val="-1"/>
                <w:sz w:val="18"/>
              </w:rPr>
              <w:t>3,000,000.00</w:t>
            </w:r>
          </w:p>
        </w:tc>
        <w:tc>
          <w:tcPr>
            <w:tcW w:w="1631" w:type="dxa"/>
            <w:tcBorders>
              <w:top w:val="single" w:sz="2" w:space="0" w:color="000000"/>
              <w:left w:val="single" w:sz="2" w:space="0" w:color="000000"/>
              <w:bottom w:val="single" w:sz="2" w:space="0" w:color="000000"/>
              <w:right w:val="single" w:sz="2" w:space="0" w:color="000000"/>
            </w:tcBorders>
          </w:tcPr>
          <w:p>
            <w:pP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3"/>
              <w:jc w:val="right"/>
              <w:rPr>
                <w:rFonts w:ascii="宋体" w:hAnsi="宋体" w:cs="宋体" w:eastAsia="宋体" w:hint="default"/>
                <w:sz w:val="18"/>
                <w:szCs w:val="18"/>
              </w:rPr>
            </w:pPr>
            <w:r>
              <w:rPr>
                <w:rFonts w:ascii="宋体"/>
                <w:spacing w:val="-1"/>
                <w:sz w:val="18"/>
              </w:rPr>
              <w:t>3,000,000.00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3609"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浙江骏业科创科技有限公司</w:t>
            </w:r>
          </w:p>
        </w:tc>
        <w:tc>
          <w:tcPr>
            <w:tcW w:w="1829" w:type="dxa"/>
            <w:tcBorders>
              <w:top w:val="single" w:sz="2" w:space="0" w:color="000000"/>
              <w:left w:val="single" w:sz="2" w:space="0" w:color="000000"/>
              <w:bottom w:val="single" w:sz="2" w:space="0" w:color="000000"/>
              <w:right w:val="single" w:sz="2" w:space="0" w:color="000000"/>
            </w:tcBorders>
          </w:tcPr>
          <w:p>
            <w:pPr/>
          </w:p>
        </w:tc>
        <w:tc>
          <w:tcPr>
            <w:tcW w:w="163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1,000,000.00</w:t>
            </w:r>
          </w:p>
        </w:tc>
        <w:tc>
          <w:tcPr>
            <w:tcW w:w="1627" w:type="dxa"/>
            <w:tcBorders>
              <w:top w:val="single" w:sz="2" w:space="0" w:color="000000"/>
              <w:left w:val="single" w:sz="2" w:space="0" w:color="000000"/>
              <w:bottom w:val="single" w:sz="2" w:space="0" w:color="000000"/>
              <w:right w:val="single" w:sz="2" w:space="0" w:color="000000"/>
            </w:tcBorders>
          </w:tcPr>
          <w:p>
            <w:pPr/>
          </w:p>
        </w:tc>
        <w:tc>
          <w:tcPr>
            <w:tcW w:w="182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3"/>
              <w:jc w:val="right"/>
              <w:rPr>
                <w:rFonts w:ascii="宋体" w:hAnsi="宋体" w:cs="宋体" w:eastAsia="宋体" w:hint="default"/>
                <w:sz w:val="18"/>
                <w:szCs w:val="18"/>
              </w:rPr>
            </w:pPr>
            <w:r>
              <w:rPr>
                <w:rFonts w:ascii="宋体"/>
                <w:spacing w:val="-1"/>
                <w:sz w:val="18"/>
              </w:rPr>
              <w:t>1,000,000.00</w:t>
            </w:r>
          </w:p>
        </w:tc>
        <w:tc>
          <w:tcPr>
            <w:tcW w:w="1847" w:type="dxa"/>
            <w:tcBorders>
              <w:top w:val="single" w:sz="2" w:space="0" w:color="000000"/>
              <w:left w:val="single" w:sz="2" w:space="0" w:color="000000"/>
              <w:bottom w:val="single" w:sz="2" w:space="0" w:color="000000"/>
              <w:right w:val="single" w:sz="2" w:space="0" w:color="000000"/>
            </w:tcBorders>
          </w:tcPr>
          <w:p>
            <w:pPr/>
          </w:p>
        </w:tc>
        <w:tc>
          <w:tcPr>
            <w:tcW w:w="1842"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3609"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89"/>
              <w:jc w:val="right"/>
              <w:rPr>
                <w:rFonts w:ascii="宋体" w:hAnsi="宋体" w:cs="宋体" w:eastAsia="宋体" w:hint="default"/>
                <w:sz w:val="18"/>
                <w:szCs w:val="18"/>
              </w:rPr>
            </w:pPr>
            <w:r>
              <w:rPr>
                <w:rFonts w:ascii="宋体"/>
                <w:b/>
                <w:w w:val="95"/>
                <w:sz w:val="18"/>
              </w:rPr>
              <w:t>1,816,279,440.67</w:t>
            </w:r>
            <w:r>
              <w:rPr>
                <w:rFonts w:ascii="宋体"/>
                <w:sz w:val="18"/>
              </w:rPr>
            </w:r>
          </w:p>
        </w:tc>
        <w:tc>
          <w:tcPr>
            <w:tcW w:w="163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sz w:val="18"/>
              </w:rPr>
              <w:t>316,519,481.00</w:t>
            </w:r>
            <w:r>
              <w:rPr>
                <w:rFonts w:ascii="宋体"/>
                <w:sz w:val="18"/>
              </w:rPr>
            </w:r>
          </w:p>
        </w:tc>
        <w:tc>
          <w:tcPr>
            <w:tcW w:w="1627"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left="256" w:right="0"/>
              <w:jc w:val="left"/>
              <w:rPr>
                <w:rFonts w:ascii="宋体" w:hAnsi="宋体" w:cs="宋体" w:eastAsia="宋体" w:hint="default"/>
                <w:sz w:val="18"/>
                <w:szCs w:val="18"/>
              </w:rPr>
            </w:pPr>
            <w:r>
              <w:rPr>
                <w:rFonts w:ascii="宋体"/>
                <w:b/>
                <w:sz w:val="18"/>
              </w:rPr>
              <w:t>605,000,000.00</w:t>
            </w:r>
            <w:r>
              <w:rPr>
                <w:rFonts w:ascii="宋体"/>
                <w:sz w:val="18"/>
              </w:rPr>
            </w:r>
          </w:p>
        </w:tc>
        <w:tc>
          <w:tcPr>
            <w:tcW w:w="182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1"/>
              <w:jc w:val="right"/>
              <w:rPr>
                <w:rFonts w:ascii="宋体" w:hAnsi="宋体" w:cs="宋体" w:eastAsia="宋体" w:hint="default"/>
                <w:sz w:val="18"/>
                <w:szCs w:val="18"/>
              </w:rPr>
            </w:pPr>
            <w:r>
              <w:rPr>
                <w:rFonts w:ascii="宋体"/>
                <w:b/>
                <w:w w:val="95"/>
                <w:sz w:val="18"/>
              </w:rPr>
              <w:t>1,527,798,921.67</w:t>
            </w:r>
            <w:r>
              <w:rPr>
                <w:rFonts w:ascii="宋体"/>
                <w:sz w:val="18"/>
              </w:rPr>
            </w:r>
          </w:p>
        </w:tc>
        <w:tc>
          <w:tcPr>
            <w:tcW w:w="1847" w:type="dxa"/>
            <w:tcBorders>
              <w:top w:val="single" w:sz="2" w:space="0" w:color="000000"/>
              <w:left w:val="single" w:sz="2" w:space="0" w:color="000000"/>
              <w:bottom w:val="single" w:sz="12" w:space="0" w:color="000000"/>
              <w:right w:val="single" w:sz="2" w:space="0" w:color="000000"/>
            </w:tcBorders>
          </w:tcPr>
          <w:p>
            <w:pPr/>
          </w:p>
        </w:tc>
        <w:tc>
          <w:tcPr>
            <w:tcW w:w="1842" w:type="dxa"/>
            <w:tcBorders>
              <w:top w:val="single" w:sz="2" w:space="0" w:color="000000"/>
              <w:left w:val="single" w:sz="2"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BodyText"/>
        <w:spacing w:line="240" w:lineRule="auto"/>
        <w:ind w:left="684" w:right="0"/>
        <w:jc w:val="left"/>
      </w:pPr>
      <w:r>
        <w:rPr/>
        <w:t>（</w:t>
      </w:r>
      <w:r>
        <w:rPr>
          <w:rFonts w:ascii="Times New Roman" w:hAnsi="Times New Roman" w:cs="Times New Roman" w:eastAsia="Times New Roman" w:hint="default"/>
        </w:rPr>
        <w:t>3</w:t>
      </w:r>
      <w:r>
        <w:rPr/>
        <w:t>）</w:t>
      </w:r>
      <w:bookmarkStart w:name="（3）对联营、合营企业投资" w:id="417"/>
      <w:bookmarkEnd w:id="417"/>
      <w:r>
        <w:rPr/>
        <w:t>对</w:t>
      </w:r>
      <w:r>
        <w:rPr/>
        <w:t>联营、合营企业投资</w:t>
      </w:r>
    </w:p>
    <w:p>
      <w:pPr>
        <w:spacing w:line="240" w:lineRule="auto" w:before="1"/>
        <w:rPr>
          <w:rFonts w:ascii="宋体" w:hAnsi="宋体" w:cs="宋体" w:eastAsia="宋体" w:hint="default"/>
          <w:sz w:val="11"/>
          <w:szCs w:val="11"/>
        </w:rPr>
      </w:pPr>
    </w:p>
    <w:tbl>
      <w:tblPr>
        <w:tblW w:w="0" w:type="auto"/>
        <w:jc w:val="left"/>
        <w:tblInd w:w="115" w:type="dxa"/>
        <w:tblLayout w:type="fixed"/>
        <w:tblCellMar>
          <w:top w:w="0" w:type="dxa"/>
          <w:left w:w="0" w:type="dxa"/>
          <w:bottom w:w="0" w:type="dxa"/>
          <w:right w:w="0" w:type="dxa"/>
        </w:tblCellMar>
        <w:tblLook w:val="01E0"/>
      </w:tblPr>
      <w:tblGrid>
        <w:gridCol w:w="1527"/>
        <w:gridCol w:w="1558"/>
        <w:gridCol w:w="992"/>
        <w:gridCol w:w="1561"/>
        <w:gridCol w:w="1416"/>
        <w:gridCol w:w="992"/>
        <w:gridCol w:w="850"/>
        <w:gridCol w:w="1208"/>
        <w:gridCol w:w="773"/>
        <w:gridCol w:w="1131"/>
        <w:gridCol w:w="1399"/>
        <w:gridCol w:w="807"/>
      </w:tblGrid>
      <w:tr>
        <w:trPr>
          <w:trHeight w:val="415" w:hRule="exact"/>
        </w:trPr>
        <w:tc>
          <w:tcPr>
            <w:tcW w:w="1527" w:type="dxa"/>
            <w:vMerge w:val="restart"/>
            <w:tcBorders>
              <w:top w:val="single" w:sz="12" w:space="0" w:color="000000"/>
              <w:left w:val="nil" w:sz="6" w:space="0" w:color="auto"/>
              <w:right w:val="single" w:sz="2"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53"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558" w:type="dxa"/>
            <w:vMerge w:val="restart"/>
            <w:tcBorders>
              <w:top w:val="single" w:sz="12" w:space="0" w:color="000000"/>
              <w:left w:val="single" w:sz="2" w:space="0" w:color="000000"/>
              <w:right w:val="single" w:sz="2"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8923" w:type="dxa"/>
            <w:gridSpan w:val="8"/>
            <w:tcBorders>
              <w:top w:val="single" w:sz="12" w:space="0" w:color="000000"/>
              <w:left w:val="single" w:sz="2" w:space="0" w:color="000000"/>
              <w:bottom w:val="single" w:sz="2" w:space="0" w:color="000000"/>
              <w:right w:val="single" w:sz="2"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b/>
                <w:bCs/>
                <w:sz w:val="18"/>
                <w:szCs w:val="18"/>
              </w:rPr>
              <w:t>本年增减变动</w:t>
            </w:r>
            <w:r>
              <w:rPr>
                <w:rFonts w:ascii="宋体" w:hAnsi="宋体" w:cs="宋体" w:eastAsia="宋体" w:hint="default"/>
                <w:sz w:val="18"/>
                <w:szCs w:val="18"/>
              </w:rPr>
            </w:r>
          </w:p>
        </w:tc>
        <w:tc>
          <w:tcPr>
            <w:tcW w:w="1399" w:type="dxa"/>
            <w:vMerge w:val="restart"/>
            <w:tcBorders>
              <w:top w:val="single" w:sz="12" w:space="0" w:color="000000"/>
              <w:left w:val="single" w:sz="2" w:space="0" w:color="000000"/>
              <w:right w:val="single" w:sz="2"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807" w:type="dxa"/>
            <w:vMerge w:val="restart"/>
            <w:tcBorders>
              <w:top w:val="single" w:sz="12" w:space="0" w:color="000000"/>
              <w:left w:val="single" w:sz="2" w:space="0" w:color="000000"/>
              <w:right w:val="nil" w:sz="6" w:space="0" w:color="auto"/>
            </w:tcBorders>
          </w:tcPr>
          <w:p>
            <w:pPr>
              <w:pStyle w:val="TableParagraph"/>
              <w:spacing w:line="232" w:lineRule="exact" w:before="80"/>
              <w:ind w:left="129" w:right="130"/>
              <w:jc w:val="both"/>
              <w:rPr>
                <w:rFonts w:ascii="宋体" w:hAnsi="宋体" w:cs="宋体" w:eastAsia="宋体" w:hint="default"/>
                <w:sz w:val="18"/>
                <w:szCs w:val="18"/>
              </w:rPr>
            </w:pPr>
            <w:r>
              <w:rPr>
                <w:rFonts w:ascii="宋体" w:hAnsi="宋体" w:cs="宋体" w:eastAsia="宋体" w:hint="default"/>
                <w:b/>
                <w:bCs/>
                <w:sz w:val="18"/>
                <w:szCs w:val="18"/>
              </w:rPr>
              <w:t>减值准</w:t>
            </w:r>
            <w:r>
              <w:rPr>
                <w:rFonts w:ascii="宋体" w:hAnsi="宋体" w:cs="宋体" w:eastAsia="宋体" w:hint="default"/>
                <w:b/>
                <w:bCs/>
                <w:w w:val="99"/>
                <w:sz w:val="18"/>
                <w:szCs w:val="18"/>
              </w:rPr>
              <w:t> </w:t>
            </w:r>
            <w:r>
              <w:rPr>
                <w:rFonts w:ascii="宋体" w:hAnsi="宋体" w:cs="宋体" w:eastAsia="宋体" w:hint="default"/>
                <w:b/>
                <w:bCs/>
                <w:sz w:val="18"/>
                <w:szCs w:val="18"/>
              </w:rPr>
              <w:t>备年末</w:t>
            </w:r>
            <w:r>
              <w:rPr>
                <w:rFonts w:ascii="宋体" w:hAnsi="宋体" w:cs="宋体" w:eastAsia="宋体" w:hint="default"/>
                <w:b/>
                <w:bCs/>
                <w:w w:val="99"/>
                <w:sz w:val="18"/>
                <w:szCs w:val="18"/>
              </w:rPr>
              <w:t> </w:t>
            </w:r>
            <w:r>
              <w:rPr>
                <w:rFonts w:ascii="宋体" w:hAnsi="宋体" w:cs="宋体" w:eastAsia="宋体" w:hint="default"/>
                <w:b/>
                <w:bCs/>
                <w:sz w:val="18"/>
                <w:szCs w:val="18"/>
              </w:rPr>
              <w:t>余额</w:t>
            </w:r>
            <w:r>
              <w:rPr>
                <w:rFonts w:ascii="宋体" w:hAnsi="宋体" w:cs="宋体" w:eastAsia="宋体" w:hint="default"/>
                <w:sz w:val="18"/>
                <w:szCs w:val="18"/>
              </w:rPr>
            </w:r>
          </w:p>
        </w:tc>
      </w:tr>
      <w:tr>
        <w:trPr>
          <w:trHeight w:val="472" w:hRule="exact"/>
        </w:trPr>
        <w:tc>
          <w:tcPr>
            <w:tcW w:w="1527" w:type="dxa"/>
            <w:vMerge/>
            <w:tcBorders>
              <w:left w:val="nil" w:sz="6" w:space="0" w:color="auto"/>
              <w:bottom w:val="single" w:sz="2" w:space="0" w:color="000000"/>
              <w:right w:val="single" w:sz="2" w:space="0" w:color="000000"/>
            </w:tcBorders>
          </w:tcPr>
          <w:p>
            <w:pPr/>
          </w:p>
        </w:tc>
        <w:tc>
          <w:tcPr>
            <w:tcW w:w="1558" w:type="dxa"/>
            <w:vMerge/>
            <w:tcBorders>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left="133" w:right="0"/>
              <w:jc w:val="left"/>
              <w:rPr>
                <w:rFonts w:ascii="宋体" w:hAnsi="宋体" w:cs="宋体" w:eastAsia="宋体" w:hint="default"/>
                <w:sz w:val="18"/>
                <w:szCs w:val="18"/>
              </w:rPr>
            </w:pPr>
            <w:r>
              <w:rPr>
                <w:rFonts w:ascii="宋体" w:hAnsi="宋体" w:cs="宋体" w:eastAsia="宋体" w:hint="default"/>
                <w:b/>
                <w:bCs/>
                <w:sz w:val="18"/>
                <w:szCs w:val="18"/>
              </w:rPr>
              <w:t>追加投资</w:t>
            </w:r>
            <w:r>
              <w:rPr>
                <w:rFonts w:ascii="宋体" w:hAnsi="宋体" w:cs="宋体" w:eastAsia="宋体" w:hint="default"/>
                <w:sz w:val="18"/>
                <w:szCs w:val="18"/>
              </w:rPr>
            </w:r>
          </w:p>
        </w:tc>
        <w:tc>
          <w:tcPr>
            <w:tcW w:w="156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left="418" w:right="0"/>
              <w:jc w:val="left"/>
              <w:rPr>
                <w:rFonts w:ascii="宋体" w:hAnsi="宋体" w:cs="宋体" w:eastAsia="宋体" w:hint="default"/>
                <w:sz w:val="18"/>
                <w:szCs w:val="18"/>
              </w:rPr>
            </w:pPr>
            <w:r>
              <w:rPr>
                <w:rFonts w:ascii="宋体" w:hAnsi="宋体" w:cs="宋体" w:eastAsia="宋体" w:hint="default"/>
                <w:b/>
                <w:bCs/>
                <w:sz w:val="18"/>
                <w:szCs w:val="18"/>
              </w:rPr>
              <w:t>减少投资</w:t>
            </w:r>
            <w:r>
              <w:rPr>
                <w:rFonts w:ascii="宋体" w:hAnsi="宋体" w:cs="宋体" w:eastAsia="宋体" w:hint="default"/>
                <w:sz w:val="18"/>
                <w:szCs w:val="18"/>
              </w:rPr>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权益法下确认的</w:t>
            </w:r>
            <w:r>
              <w:rPr>
                <w:rFonts w:ascii="宋体" w:hAnsi="宋体" w:cs="宋体" w:eastAsia="宋体" w:hint="default"/>
                <w:sz w:val="18"/>
                <w:szCs w:val="18"/>
              </w:rPr>
            </w:r>
          </w:p>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投资损益</w:t>
            </w:r>
            <w:r>
              <w:rPr>
                <w:rFonts w:ascii="宋体" w:hAnsi="宋体" w:cs="宋体" w:eastAsia="宋体" w:hint="default"/>
                <w:sz w:val="18"/>
                <w:szCs w:val="18"/>
              </w:rPr>
            </w:r>
          </w:p>
        </w:tc>
        <w:tc>
          <w:tcPr>
            <w:tcW w:w="992"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left="134" w:right="0"/>
              <w:jc w:val="left"/>
              <w:rPr>
                <w:rFonts w:ascii="宋体" w:hAnsi="宋体" w:cs="宋体" w:eastAsia="宋体" w:hint="default"/>
                <w:sz w:val="18"/>
                <w:szCs w:val="18"/>
              </w:rPr>
            </w:pPr>
            <w:r>
              <w:rPr>
                <w:rFonts w:ascii="宋体" w:hAnsi="宋体" w:cs="宋体" w:eastAsia="宋体" w:hint="default"/>
                <w:b/>
                <w:bCs/>
                <w:sz w:val="18"/>
                <w:szCs w:val="18"/>
              </w:rPr>
              <w:t>其他综合</w:t>
            </w:r>
            <w:r>
              <w:rPr>
                <w:rFonts w:ascii="宋体" w:hAnsi="宋体" w:cs="宋体" w:eastAsia="宋体" w:hint="default"/>
                <w:sz w:val="18"/>
                <w:szCs w:val="18"/>
              </w:rPr>
            </w:r>
          </w:p>
          <w:p>
            <w:pPr>
              <w:pStyle w:val="TableParagraph"/>
              <w:spacing w:line="234" w:lineRule="exact"/>
              <w:ind w:left="134" w:right="0"/>
              <w:jc w:val="left"/>
              <w:rPr>
                <w:rFonts w:ascii="宋体" w:hAnsi="宋体" w:cs="宋体" w:eastAsia="宋体" w:hint="default"/>
                <w:sz w:val="18"/>
                <w:szCs w:val="18"/>
              </w:rPr>
            </w:pPr>
            <w:r>
              <w:rPr>
                <w:rFonts w:ascii="宋体" w:hAnsi="宋体" w:cs="宋体" w:eastAsia="宋体" w:hint="default"/>
                <w:b/>
                <w:bCs/>
                <w:sz w:val="18"/>
                <w:szCs w:val="18"/>
              </w:rPr>
              <w:t>收益调整</w:t>
            </w:r>
            <w:r>
              <w:rPr>
                <w:rFonts w:ascii="宋体" w:hAnsi="宋体" w:cs="宋体" w:eastAsia="宋体" w:hint="default"/>
                <w:sz w:val="18"/>
                <w:szCs w:val="18"/>
              </w:rPr>
            </w:r>
          </w:p>
        </w:tc>
        <w:tc>
          <w:tcPr>
            <w:tcW w:w="850"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其他权益</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sz w:val="18"/>
                <w:szCs w:val="18"/>
              </w:rPr>
              <w:t>变动</w:t>
            </w:r>
            <w:r>
              <w:rPr>
                <w:rFonts w:ascii="宋体" w:hAnsi="宋体" w:cs="宋体" w:eastAsia="宋体" w:hint="default"/>
                <w:sz w:val="18"/>
                <w:szCs w:val="18"/>
              </w:rPr>
            </w:r>
          </w:p>
        </w:tc>
        <w:tc>
          <w:tcPr>
            <w:tcW w:w="1208"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left="152" w:right="0" w:hanging="92"/>
              <w:jc w:val="left"/>
              <w:rPr>
                <w:rFonts w:ascii="宋体" w:hAnsi="宋体" w:cs="宋体" w:eastAsia="宋体" w:hint="default"/>
                <w:sz w:val="18"/>
                <w:szCs w:val="18"/>
              </w:rPr>
            </w:pPr>
            <w:r>
              <w:rPr>
                <w:rFonts w:ascii="宋体" w:hAnsi="宋体" w:cs="宋体" w:eastAsia="宋体" w:hint="default"/>
                <w:b/>
                <w:bCs/>
                <w:sz w:val="18"/>
                <w:szCs w:val="18"/>
              </w:rPr>
              <w:t>宣告发放现金</w:t>
            </w:r>
            <w:r>
              <w:rPr>
                <w:rFonts w:ascii="宋体" w:hAnsi="宋体" w:cs="宋体" w:eastAsia="宋体" w:hint="default"/>
                <w:sz w:val="18"/>
                <w:szCs w:val="18"/>
              </w:rPr>
            </w:r>
          </w:p>
          <w:p>
            <w:pPr>
              <w:pStyle w:val="TableParagraph"/>
              <w:spacing w:line="234" w:lineRule="exact"/>
              <w:ind w:left="152" w:right="0"/>
              <w:jc w:val="left"/>
              <w:rPr>
                <w:rFonts w:ascii="宋体" w:hAnsi="宋体" w:cs="宋体" w:eastAsia="宋体" w:hint="default"/>
                <w:sz w:val="18"/>
                <w:szCs w:val="18"/>
              </w:rPr>
            </w:pPr>
            <w:r>
              <w:rPr>
                <w:rFonts w:ascii="宋体" w:hAnsi="宋体" w:cs="宋体" w:eastAsia="宋体" w:hint="default"/>
                <w:b/>
                <w:bCs/>
                <w:sz w:val="18"/>
                <w:szCs w:val="18"/>
              </w:rPr>
              <w:t>股利或利润</w:t>
            </w:r>
            <w:r>
              <w:rPr>
                <w:rFonts w:ascii="宋体" w:hAnsi="宋体" w:cs="宋体" w:eastAsia="宋体" w:hint="default"/>
                <w:sz w:val="18"/>
                <w:szCs w:val="18"/>
              </w:rPr>
            </w:r>
          </w:p>
        </w:tc>
        <w:tc>
          <w:tcPr>
            <w:tcW w:w="773" w:type="dxa"/>
            <w:tcBorders>
              <w:top w:val="single" w:sz="2" w:space="0" w:color="000000"/>
              <w:left w:val="single" w:sz="2" w:space="0" w:color="000000"/>
              <w:bottom w:val="single" w:sz="2" w:space="0" w:color="000000"/>
              <w:right w:val="single" w:sz="2" w:space="0" w:color="000000"/>
            </w:tcBorders>
          </w:tcPr>
          <w:p>
            <w:pPr>
              <w:pStyle w:val="TableParagraph"/>
              <w:spacing w:line="206" w:lineRule="exact"/>
              <w:ind w:left="113" w:right="0"/>
              <w:jc w:val="left"/>
              <w:rPr>
                <w:rFonts w:ascii="宋体" w:hAnsi="宋体" w:cs="宋体" w:eastAsia="宋体" w:hint="default"/>
                <w:sz w:val="18"/>
                <w:szCs w:val="18"/>
              </w:rPr>
            </w:pPr>
            <w:r>
              <w:rPr>
                <w:rFonts w:ascii="宋体" w:hAnsi="宋体" w:cs="宋体" w:eastAsia="宋体" w:hint="default"/>
                <w:b/>
                <w:bCs/>
                <w:sz w:val="18"/>
                <w:szCs w:val="18"/>
              </w:rPr>
              <w:t>计提减</w:t>
            </w:r>
            <w:r>
              <w:rPr>
                <w:rFonts w:ascii="宋体" w:hAnsi="宋体" w:cs="宋体" w:eastAsia="宋体" w:hint="default"/>
                <w:sz w:val="18"/>
                <w:szCs w:val="18"/>
              </w:rPr>
            </w:r>
          </w:p>
          <w:p>
            <w:pPr>
              <w:pStyle w:val="TableParagraph"/>
              <w:spacing w:line="234" w:lineRule="exact"/>
              <w:ind w:left="113" w:right="0"/>
              <w:jc w:val="left"/>
              <w:rPr>
                <w:rFonts w:ascii="宋体" w:hAnsi="宋体" w:cs="宋体" w:eastAsia="宋体" w:hint="default"/>
                <w:sz w:val="18"/>
                <w:szCs w:val="18"/>
              </w:rPr>
            </w:pPr>
            <w:r>
              <w:rPr>
                <w:rFonts w:ascii="宋体" w:hAnsi="宋体" w:cs="宋体" w:eastAsia="宋体" w:hint="default"/>
                <w:b/>
                <w:bCs/>
                <w:sz w:val="18"/>
                <w:szCs w:val="18"/>
              </w:rPr>
              <w:t>值准备</w:t>
            </w:r>
            <w:r>
              <w:rPr>
                <w:rFonts w:ascii="宋体" w:hAnsi="宋体" w:cs="宋体" w:eastAsia="宋体" w:hint="default"/>
                <w:sz w:val="18"/>
                <w:szCs w:val="18"/>
              </w:rPr>
            </w:r>
          </w:p>
        </w:tc>
        <w:tc>
          <w:tcPr>
            <w:tcW w:w="113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399" w:type="dxa"/>
            <w:vMerge/>
            <w:tcBorders>
              <w:left w:val="single" w:sz="2" w:space="0" w:color="000000"/>
              <w:bottom w:val="single" w:sz="2" w:space="0" w:color="000000"/>
              <w:right w:val="single" w:sz="2" w:space="0" w:color="000000"/>
            </w:tcBorders>
          </w:tcPr>
          <w:p>
            <w:pPr/>
          </w:p>
        </w:tc>
        <w:tc>
          <w:tcPr>
            <w:tcW w:w="807" w:type="dxa"/>
            <w:vMerge/>
            <w:tcBorders>
              <w:left w:val="single" w:sz="2" w:space="0" w:color="000000"/>
              <w:bottom w:val="single" w:sz="2" w:space="0" w:color="000000"/>
              <w:right w:val="nil" w:sz="6" w:space="0" w:color="auto"/>
            </w:tcBorders>
          </w:tcPr>
          <w:p>
            <w:pP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合营企业：</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
        </w:tc>
        <w:tc>
          <w:tcPr>
            <w:tcW w:w="1416"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1208" w:type="dxa"/>
            <w:tcBorders>
              <w:top w:val="single" w:sz="2" w:space="0" w:color="000000"/>
              <w:left w:val="single" w:sz="2" w:space="0" w:color="000000"/>
              <w:bottom w:val="single" w:sz="2" w:space="0" w:color="000000"/>
              <w:right w:val="single" w:sz="2" w:space="0" w:color="000000"/>
            </w:tcBorders>
          </w:tcPr>
          <w:p>
            <w:pPr/>
          </w:p>
        </w:tc>
        <w:tc>
          <w:tcPr>
            <w:tcW w:w="773" w:type="dxa"/>
            <w:tcBorders>
              <w:top w:val="single" w:sz="2" w:space="0" w:color="000000"/>
              <w:left w:val="single" w:sz="2" w:space="0" w:color="000000"/>
              <w:bottom w:val="single" w:sz="2" w:space="0" w:color="000000"/>
              <w:right w:val="single" w:sz="2" w:space="0" w:color="000000"/>
            </w:tcBorders>
          </w:tcPr>
          <w:p>
            <w:pPr/>
          </w:p>
        </w:tc>
        <w:tc>
          <w:tcPr>
            <w:tcW w:w="1131" w:type="dxa"/>
            <w:tcBorders>
              <w:top w:val="single" w:sz="2" w:space="0" w:color="000000"/>
              <w:left w:val="single" w:sz="2" w:space="0" w:color="000000"/>
              <w:bottom w:val="single" w:sz="2" w:space="0" w:color="000000"/>
              <w:right w:val="single" w:sz="2" w:space="0" w:color="000000"/>
            </w:tcBorders>
          </w:tcPr>
          <w:p>
            <w:pPr/>
          </w:p>
        </w:tc>
        <w:tc>
          <w:tcPr>
            <w:tcW w:w="1399" w:type="dxa"/>
            <w:tcBorders>
              <w:top w:val="single" w:sz="2" w:space="0" w:color="000000"/>
              <w:left w:val="single" w:sz="2" w:space="0" w:color="000000"/>
              <w:bottom w:val="single" w:sz="2" w:space="0" w:color="000000"/>
              <w:right w:val="single" w:sz="2" w:space="0" w:color="000000"/>
            </w:tcBorders>
          </w:tcPr>
          <w:p>
            <w:pPr/>
          </w:p>
        </w:tc>
        <w:tc>
          <w:tcPr>
            <w:tcW w:w="80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
        </w:tc>
        <w:tc>
          <w:tcPr>
            <w:tcW w:w="1416"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1208" w:type="dxa"/>
            <w:tcBorders>
              <w:top w:val="single" w:sz="2" w:space="0" w:color="000000"/>
              <w:left w:val="single" w:sz="2" w:space="0" w:color="000000"/>
              <w:bottom w:val="single" w:sz="2" w:space="0" w:color="000000"/>
              <w:right w:val="single" w:sz="2" w:space="0" w:color="000000"/>
            </w:tcBorders>
          </w:tcPr>
          <w:p>
            <w:pPr/>
          </w:p>
        </w:tc>
        <w:tc>
          <w:tcPr>
            <w:tcW w:w="773" w:type="dxa"/>
            <w:tcBorders>
              <w:top w:val="single" w:sz="2" w:space="0" w:color="000000"/>
              <w:left w:val="single" w:sz="2" w:space="0" w:color="000000"/>
              <w:bottom w:val="single" w:sz="2" w:space="0" w:color="000000"/>
              <w:right w:val="single" w:sz="2" w:space="0" w:color="000000"/>
            </w:tcBorders>
          </w:tcPr>
          <w:p>
            <w:pPr/>
          </w:p>
        </w:tc>
        <w:tc>
          <w:tcPr>
            <w:tcW w:w="1131" w:type="dxa"/>
            <w:tcBorders>
              <w:top w:val="single" w:sz="2" w:space="0" w:color="000000"/>
              <w:left w:val="single" w:sz="2" w:space="0" w:color="000000"/>
              <w:bottom w:val="single" w:sz="2" w:space="0" w:color="000000"/>
              <w:right w:val="single" w:sz="2" w:space="0" w:color="000000"/>
            </w:tcBorders>
          </w:tcPr>
          <w:p>
            <w:pPr/>
          </w:p>
        </w:tc>
        <w:tc>
          <w:tcPr>
            <w:tcW w:w="1399" w:type="dxa"/>
            <w:tcBorders>
              <w:top w:val="single" w:sz="2" w:space="0" w:color="000000"/>
              <w:left w:val="single" w:sz="2" w:space="0" w:color="000000"/>
              <w:bottom w:val="single" w:sz="2" w:space="0" w:color="000000"/>
              <w:right w:val="single" w:sz="2" w:space="0" w:color="000000"/>
            </w:tcBorders>
          </w:tcPr>
          <w:p>
            <w:pPr/>
          </w:p>
        </w:tc>
        <w:tc>
          <w:tcPr>
            <w:tcW w:w="80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53" w:right="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
        </w:tc>
        <w:tc>
          <w:tcPr>
            <w:tcW w:w="1416" w:type="dxa"/>
            <w:tcBorders>
              <w:top w:val="single" w:sz="2" w:space="0" w:color="000000"/>
              <w:left w:val="single" w:sz="2" w:space="0" w:color="000000"/>
              <w:bottom w:val="single" w:sz="2" w:space="0" w:color="000000"/>
              <w:right w:val="single" w:sz="2" w:space="0" w:color="000000"/>
            </w:tcBorders>
          </w:tcPr>
          <w:p>
            <w:pPr/>
          </w:p>
        </w:tc>
        <w:tc>
          <w:tcPr>
            <w:tcW w:w="992"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1208" w:type="dxa"/>
            <w:tcBorders>
              <w:top w:val="single" w:sz="2" w:space="0" w:color="000000"/>
              <w:left w:val="single" w:sz="2" w:space="0" w:color="000000"/>
              <w:bottom w:val="single" w:sz="2" w:space="0" w:color="000000"/>
              <w:right w:val="single" w:sz="2" w:space="0" w:color="000000"/>
            </w:tcBorders>
          </w:tcPr>
          <w:p>
            <w:pPr/>
          </w:p>
        </w:tc>
        <w:tc>
          <w:tcPr>
            <w:tcW w:w="773" w:type="dxa"/>
            <w:tcBorders>
              <w:top w:val="single" w:sz="2" w:space="0" w:color="000000"/>
              <w:left w:val="single" w:sz="2" w:space="0" w:color="000000"/>
              <w:bottom w:val="single" w:sz="2" w:space="0" w:color="000000"/>
              <w:right w:val="single" w:sz="2" w:space="0" w:color="000000"/>
            </w:tcBorders>
          </w:tcPr>
          <w:p>
            <w:pPr/>
          </w:p>
        </w:tc>
        <w:tc>
          <w:tcPr>
            <w:tcW w:w="1131" w:type="dxa"/>
            <w:tcBorders>
              <w:top w:val="single" w:sz="2" w:space="0" w:color="000000"/>
              <w:left w:val="single" w:sz="2" w:space="0" w:color="000000"/>
              <w:bottom w:val="single" w:sz="2" w:space="0" w:color="000000"/>
              <w:right w:val="single" w:sz="2" w:space="0" w:color="000000"/>
            </w:tcBorders>
          </w:tcPr>
          <w:p>
            <w:pPr/>
          </w:p>
        </w:tc>
        <w:tc>
          <w:tcPr>
            <w:tcW w:w="1399" w:type="dxa"/>
            <w:tcBorders>
              <w:top w:val="single" w:sz="2" w:space="0" w:color="000000"/>
              <w:left w:val="single" w:sz="2" w:space="0" w:color="000000"/>
              <w:bottom w:val="single" w:sz="2" w:space="0" w:color="000000"/>
              <w:right w:val="single" w:sz="2" w:space="0" w:color="000000"/>
            </w:tcBorders>
          </w:tcPr>
          <w:p>
            <w:pPr/>
          </w:p>
        </w:tc>
        <w:tc>
          <w:tcPr>
            <w:tcW w:w="807" w:type="dxa"/>
            <w:tcBorders>
              <w:top w:val="single" w:sz="2" w:space="0" w:color="000000"/>
              <w:left w:val="single" w:sz="2" w:space="0" w:color="000000"/>
              <w:bottom w:val="single" w:sz="2" w:space="0" w:color="000000"/>
              <w:right w:val="nil" w:sz="6" w:space="0" w:color="auto"/>
            </w:tcBorders>
          </w:tcPr>
          <w:p>
            <w:pPr/>
          </w:p>
        </w:tc>
      </w:tr>
      <w:tr>
        <w:trPr>
          <w:trHeight w:val="47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06" w:lineRule="exact"/>
              <w:ind w:left="53" w:right="0"/>
              <w:jc w:val="left"/>
              <w:rPr>
                <w:rFonts w:ascii="宋体" w:hAnsi="宋体" w:cs="宋体" w:eastAsia="宋体" w:hint="default"/>
                <w:sz w:val="18"/>
                <w:szCs w:val="18"/>
              </w:rPr>
            </w:pPr>
            <w:r>
              <w:rPr>
                <w:rFonts w:ascii="宋体" w:hAnsi="宋体" w:cs="宋体" w:eastAsia="宋体" w:hint="default"/>
                <w:sz w:val="18"/>
                <w:szCs w:val="18"/>
              </w:rPr>
              <w:t>浙</w:t>
            </w:r>
            <w:r>
              <w:rPr>
                <w:rFonts w:ascii="宋体" w:hAnsi="宋体" w:cs="宋体" w:eastAsia="宋体" w:hint="default"/>
                <w:spacing w:val="-64"/>
                <w:sz w:val="18"/>
                <w:szCs w:val="18"/>
              </w:rPr>
              <w:t> </w:t>
            </w:r>
            <w:r>
              <w:rPr>
                <w:rFonts w:ascii="宋体" w:hAnsi="宋体" w:cs="宋体" w:eastAsia="宋体" w:hint="default"/>
                <w:sz w:val="18"/>
                <w:szCs w:val="18"/>
              </w:rPr>
              <w:t>江</w:t>
            </w:r>
            <w:r>
              <w:rPr>
                <w:rFonts w:ascii="宋体" w:hAnsi="宋体" w:cs="宋体" w:eastAsia="宋体" w:hint="default"/>
                <w:spacing w:val="-64"/>
                <w:sz w:val="18"/>
                <w:szCs w:val="18"/>
              </w:rPr>
              <w:t> </w:t>
            </w:r>
            <w:r>
              <w:rPr>
                <w:rFonts w:ascii="宋体" w:hAnsi="宋体" w:cs="宋体" w:eastAsia="宋体" w:hint="default"/>
                <w:sz w:val="18"/>
                <w:szCs w:val="18"/>
              </w:rPr>
              <w:t>电</w:t>
            </w:r>
            <w:r>
              <w:rPr>
                <w:rFonts w:ascii="宋体" w:hAnsi="宋体" w:cs="宋体" w:eastAsia="宋体" w:hint="default"/>
                <w:spacing w:val="-64"/>
                <w:sz w:val="18"/>
                <w:szCs w:val="18"/>
              </w:rPr>
              <w:t> </w:t>
            </w:r>
            <w:r>
              <w:rPr>
                <w:rFonts w:ascii="宋体" w:hAnsi="宋体" w:cs="宋体" w:eastAsia="宋体" w:hint="default"/>
                <w:sz w:val="18"/>
                <w:szCs w:val="18"/>
              </w:rPr>
              <w:t>腾</w:t>
            </w:r>
            <w:r>
              <w:rPr>
                <w:rFonts w:ascii="宋体" w:hAnsi="宋体" w:cs="宋体" w:eastAsia="宋体" w:hint="default"/>
                <w:spacing w:val="-64"/>
                <w:sz w:val="18"/>
                <w:szCs w:val="18"/>
              </w:rPr>
              <w:t> </w:t>
            </w:r>
            <w:r>
              <w:rPr>
                <w:rFonts w:ascii="宋体" w:hAnsi="宋体" w:cs="宋体" w:eastAsia="宋体" w:hint="default"/>
                <w:sz w:val="18"/>
                <w:szCs w:val="18"/>
              </w:rPr>
              <w:t>云</w:t>
            </w:r>
            <w:r>
              <w:rPr>
                <w:rFonts w:ascii="宋体" w:hAnsi="宋体" w:cs="宋体" w:eastAsia="宋体" w:hint="default"/>
                <w:spacing w:val="-64"/>
                <w:sz w:val="18"/>
                <w:szCs w:val="18"/>
              </w:rPr>
              <w:t> </w:t>
            </w:r>
            <w:r>
              <w:rPr>
                <w:rFonts w:ascii="宋体" w:hAnsi="宋体" w:cs="宋体" w:eastAsia="宋体" w:hint="default"/>
                <w:sz w:val="18"/>
                <w:szCs w:val="18"/>
              </w:rPr>
              <w:t>光</w:t>
            </w:r>
            <w:r>
              <w:rPr>
                <w:rFonts w:ascii="宋体" w:hAnsi="宋体" w:cs="宋体" w:eastAsia="宋体" w:hint="default"/>
                <w:spacing w:val="-64"/>
                <w:sz w:val="18"/>
                <w:szCs w:val="18"/>
              </w:rPr>
              <w:t> </w:t>
            </w:r>
            <w:r>
              <w:rPr>
                <w:rFonts w:ascii="宋体" w:hAnsi="宋体" w:cs="宋体" w:eastAsia="宋体" w:hint="default"/>
                <w:sz w:val="18"/>
                <w:szCs w:val="18"/>
              </w:rPr>
              <w:t>伏</w:t>
            </w:r>
          </w:p>
          <w:p>
            <w:pPr>
              <w:pStyle w:val="TableParagraph"/>
              <w:spacing w:line="234" w:lineRule="exact"/>
              <w:ind w:left="53" w:right="0"/>
              <w:jc w:val="left"/>
              <w:rPr>
                <w:rFonts w:ascii="宋体" w:hAnsi="宋体" w:cs="宋体" w:eastAsia="宋体" w:hint="default"/>
                <w:sz w:val="18"/>
                <w:szCs w:val="18"/>
              </w:rPr>
            </w:pPr>
            <w:r>
              <w:rPr>
                <w:rFonts w:ascii="宋体" w:hAnsi="宋体" w:cs="宋体" w:eastAsia="宋体" w:hint="default"/>
                <w:sz w:val="18"/>
                <w:szCs w:val="18"/>
              </w:rPr>
              <w:t>科技有限公司</w:t>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47"/>
              <w:jc w:val="right"/>
              <w:rPr>
                <w:rFonts w:ascii="宋体" w:hAnsi="宋体" w:cs="宋体" w:eastAsia="宋体" w:hint="default"/>
                <w:sz w:val="18"/>
                <w:szCs w:val="18"/>
              </w:rPr>
            </w:pPr>
            <w:r>
              <w:rPr>
                <w:rFonts w:ascii="宋体"/>
                <w:spacing w:val="-1"/>
                <w:sz w:val="18"/>
              </w:rPr>
              <w:t>9,467,772.10</w:t>
            </w: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104"/>
              <w:jc w:val="right"/>
              <w:rPr>
                <w:rFonts w:ascii="宋体" w:hAnsi="宋体" w:cs="宋体" w:eastAsia="宋体" w:hint="default"/>
                <w:sz w:val="18"/>
                <w:szCs w:val="18"/>
              </w:rPr>
            </w:pPr>
            <w:r>
              <w:rPr>
                <w:rFonts w:ascii="宋体"/>
                <w:spacing w:val="-1"/>
                <w:sz w:val="18"/>
              </w:rPr>
              <w:t>38,649.88</w:t>
            </w:r>
          </w:p>
        </w:tc>
        <w:tc>
          <w:tcPr>
            <w:tcW w:w="992"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1208" w:type="dxa"/>
            <w:tcBorders>
              <w:top w:val="single" w:sz="2" w:space="0" w:color="000000"/>
              <w:left w:val="single" w:sz="2" w:space="0" w:color="000000"/>
              <w:bottom w:val="single" w:sz="2" w:space="0" w:color="000000"/>
              <w:right w:val="single" w:sz="2" w:space="0" w:color="000000"/>
            </w:tcBorders>
          </w:tcPr>
          <w:p>
            <w:pPr/>
          </w:p>
        </w:tc>
        <w:tc>
          <w:tcPr>
            <w:tcW w:w="773" w:type="dxa"/>
            <w:tcBorders>
              <w:top w:val="single" w:sz="2" w:space="0" w:color="000000"/>
              <w:left w:val="single" w:sz="2" w:space="0" w:color="000000"/>
              <w:bottom w:val="single" w:sz="2" w:space="0" w:color="000000"/>
              <w:right w:val="single" w:sz="2" w:space="0" w:color="000000"/>
            </w:tcBorders>
          </w:tcPr>
          <w:p>
            <w:pPr/>
          </w:p>
        </w:tc>
        <w:tc>
          <w:tcPr>
            <w:tcW w:w="1131" w:type="dxa"/>
            <w:tcBorders>
              <w:top w:val="single" w:sz="2" w:space="0" w:color="000000"/>
              <w:left w:val="single" w:sz="2" w:space="0" w:color="000000"/>
              <w:bottom w:val="single" w:sz="2" w:space="0" w:color="000000"/>
              <w:right w:val="single" w:sz="2" w:space="0" w:color="000000"/>
            </w:tcBorders>
          </w:tcPr>
          <w:p>
            <w:pPr/>
          </w:p>
        </w:tc>
        <w:tc>
          <w:tcPr>
            <w:tcW w:w="139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87"/>
              <w:ind w:right="47"/>
              <w:jc w:val="right"/>
              <w:rPr>
                <w:rFonts w:ascii="宋体" w:hAnsi="宋体" w:cs="宋体" w:eastAsia="宋体" w:hint="default"/>
                <w:sz w:val="18"/>
                <w:szCs w:val="18"/>
              </w:rPr>
            </w:pPr>
            <w:r>
              <w:rPr>
                <w:rFonts w:ascii="宋体"/>
                <w:spacing w:val="-1"/>
                <w:sz w:val="18"/>
              </w:rPr>
              <w:t>9,506,421.98</w:t>
            </w:r>
          </w:p>
        </w:tc>
        <w:tc>
          <w:tcPr>
            <w:tcW w:w="807" w:type="dxa"/>
            <w:tcBorders>
              <w:top w:val="single" w:sz="2" w:space="0" w:color="000000"/>
              <w:left w:val="single" w:sz="2" w:space="0" w:color="000000"/>
              <w:bottom w:val="single" w:sz="2" w:space="0" w:color="000000"/>
              <w:right w:val="nil" w:sz="6" w:space="0" w:color="auto"/>
            </w:tcBorders>
          </w:tcPr>
          <w:p>
            <w:pPr/>
          </w:p>
        </w:tc>
      </w:tr>
      <w:tr>
        <w:trPr>
          <w:trHeight w:val="402" w:hRule="exact"/>
        </w:trPr>
        <w:tc>
          <w:tcPr>
            <w:tcW w:w="1527"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53"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55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38"/>
              <w:jc w:val="right"/>
              <w:rPr>
                <w:rFonts w:ascii="宋体" w:hAnsi="宋体" w:cs="宋体" w:eastAsia="宋体" w:hint="default"/>
                <w:sz w:val="18"/>
                <w:szCs w:val="18"/>
              </w:rPr>
            </w:pPr>
            <w:r>
              <w:rPr>
                <w:rFonts w:ascii="宋体"/>
                <w:b/>
                <w:w w:val="95"/>
                <w:sz w:val="18"/>
              </w:rPr>
              <w:t>9,467,772.10</w:t>
            </w:r>
            <w:r>
              <w:rPr>
                <w:rFonts w:ascii="宋体"/>
                <w:sz w:val="18"/>
              </w:rPr>
            </w:r>
          </w:p>
        </w:tc>
        <w:tc>
          <w:tcPr>
            <w:tcW w:w="992" w:type="dxa"/>
            <w:tcBorders>
              <w:top w:val="single" w:sz="2" w:space="0" w:color="000000"/>
              <w:left w:val="single" w:sz="2" w:space="0" w:color="000000"/>
              <w:bottom w:val="single" w:sz="2" w:space="0" w:color="000000"/>
              <w:right w:val="single" w:sz="2" w:space="0" w:color="000000"/>
            </w:tcBorders>
          </w:tcPr>
          <w:p>
            <w:pPr/>
          </w:p>
        </w:tc>
        <w:tc>
          <w:tcPr>
            <w:tcW w:w="1561" w:type="dxa"/>
            <w:tcBorders>
              <w:top w:val="single" w:sz="2" w:space="0" w:color="000000"/>
              <w:left w:val="single" w:sz="2" w:space="0" w:color="000000"/>
              <w:bottom w:val="single" w:sz="2" w:space="0" w:color="000000"/>
              <w:right w:val="single" w:sz="2" w:space="0" w:color="000000"/>
            </w:tcBorders>
          </w:tcPr>
          <w:p>
            <w:pP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95"/>
              <w:jc w:val="right"/>
              <w:rPr>
                <w:rFonts w:ascii="宋体" w:hAnsi="宋体" w:cs="宋体" w:eastAsia="宋体" w:hint="default"/>
                <w:sz w:val="18"/>
                <w:szCs w:val="18"/>
              </w:rPr>
            </w:pPr>
            <w:r>
              <w:rPr>
                <w:rFonts w:ascii="宋体"/>
                <w:b/>
                <w:sz w:val="18"/>
              </w:rPr>
              <w:t>38,649.88</w:t>
            </w:r>
            <w:r>
              <w:rPr>
                <w:rFonts w:ascii="宋体"/>
                <w:sz w:val="18"/>
              </w:rPr>
            </w:r>
          </w:p>
        </w:tc>
        <w:tc>
          <w:tcPr>
            <w:tcW w:w="992" w:type="dxa"/>
            <w:tcBorders>
              <w:top w:val="single" w:sz="2" w:space="0" w:color="000000"/>
              <w:left w:val="single" w:sz="2" w:space="0" w:color="000000"/>
              <w:bottom w:val="single" w:sz="2" w:space="0" w:color="000000"/>
              <w:right w:val="single" w:sz="2" w:space="0" w:color="000000"/>
            </w:tcBorders>
          </w:tcPr>
          <w:p>
            <w:pPr/>
          </w:p>
        </w:tc>
        <w:tc>
          <w:tcPr>
            <w:tcW w:w="850" w:type="dxa"/>
            <w:tcBorders>
              <w:top w:val="single" w:sz="2" w:space="0" w:color="000000"/>
              <w:left w:val="single" w:sz="2" w:space="0" w:color="000000"/>
              <w:bottom w:val="single" w:sz="2" w:space="0" w:color="000000"/>
              <w:right w:val="single" w:sz="2" w:space="0" w:color="000000"/>
            </w:tcBorders>
          </w:tcPr>
          <w:p>
            <w:pPr/>
          </w:p>
        </w:tc>
        <w:tc>
          <w:tcPr>
            <w:tcW w:w="1208" w:type="dxa"/>
            <w:tcBorders>
              <w:top w:val="single" w:sz="2" w:space="0" w:color="000000"/>
              <w:left w:val="single" w:sz="2" w:space="0" w:color="000000"/>
              <w:bottom w:val="single" w:sz="2" w:space="0" w:color="000000"/>
              <w:right w:val="single" w:sz="2" w:space="0" w:color="000000"/>
            </w:tcBorders>
          </w:tcPr>
          <w:p>
            <w:pPr/>
          </w:p>
        </w:tc>
        <w:tc>
          <w:tcPr>
            <w:tcW w:w="773" w:type="dxa"/>
            <w:tcBorders>
              <w:top w:val="single" w:sz="2" w:space="0" w:color="000000"/>
              <w:left w:val="single" w:sz="2" w:space="0" w:color="000000"/>
              <w:bottom w:val="single" w:sz="2" w:space="0" w:color="000000"/>
              <w:right w:val="single" w:sz="2" w:space="0" w:color="000000"/>
            </w:tcBorders>
          </w:tcPr>
          <w:p>
            <w:pPr/>
          </w:p>
        </w:tc>
        <w:tc>
          <w:tcPr>
            <w:tcW w:w="1131" w:type="dxa"/>
            <w:tcBorders>
              <w:top w:val="single" w:sz="2" w:space="0" w:color="000000"/>
              <w:left w:val="single" w:sz="2" w:space="0" w:color="000000"/>
              <w:bottom w:val="single" w:sz="2" w:space="0" w:color="000000"/>
              <w:right w:val="single" w:sz="2" w:space="0" w:color="000000"/>
            </w:tcBorders>
          </w:tcPr>
          <w:p>
            <w:pPr/>
          </w:p>
        </w:tc>
        <w:tc>
          <w:tcPr>
            <w:tcW w:w="139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37"/>
              <w:jc w:val="right"/>
              <w:rPr>
                <w:rFonts w:ascii="宋体" w:hAnsi="宋体" w:cs="宋体" w:eastAsia="宋体" w:hint="default"/>
                <w:sz w:val="18"/>
                <w:szCs w:val="18"/>
              </w:rPr>
            </w:pPr>
            <w:r>
              <w:rPr>
                <w:rFonts w:ascii="宋体"/>
                <w:b/>
                <w:w w:val="95"/>
                <w:sz w:val="18"/>
              </w:rPr>
              <w:t>9,506,421.98</w:t>
            </w:r>
            <w:r>
              <w:rPr>
                <w:rFonts w:ascii="宋体"/>
                <w:sz w:val="18"/>
              </w:rPr>
            </w:r>
          </w:p>
        </w:tc>
        <w:tc>
          <w:tcPr>
            <w:tcW w:w="807"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1527"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3"/>
              <w:ind w:left="5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58"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38"/>
              <w:jc w:val="right"/>
              <w:rPr>
                <w:rFonts w:ascii="宋体" w:hAnsi="宋体" w:cs="宋体" w:eastAsia="宋体" w:hint="default"/>
                <w:sz w:val="18"/>
                <w:szCs w:val="18"/>
              </w:rPr>
            </w:pPr>
            <w:r>
              <w:rPr>
                <w:rFonts w:ascii="宋体"/>
                <w:b/>
                <w:w w:val="95"/>
                <w:sz w:val="18"/>
              </w:rPr>
              <w:t>9,467,772.10</w:t>
            </w:r>
            <w:r>
              <w:rPr>
                <w:rFonts w:ascii="宋体"/>
                <w:sz w:val="18"/>
              </w:rPr>
            </w:r>
          </w:p>
        </w:tc>
        <w:tc>
          <w:tcPr>
            <w:tcW w:w="992" w:type="dxa"/>
            <w:tcBorders>
              <w:top w:val="single" w:sz="2" w:space="0" w:color="000000"/>
              <w:left w:val="single" w:sz="2" w:space="0" w:color="000000"/>
              <w:bottom w:val="single" w:sz="12" w:space="0" w:color="000000"/>
              <w:right w:val="single" w:sz="2" w:space="0" w:color="000000"/>
            </w:tcBorders>
          </w:tcPr>
          <w:p>
            <w:pPr/>
          </w:p>
        </w:tc>
        <w:tc>
          <w:tcPr>
            <w:tcW w:w="1561" w:type="dxa"/>
            <w:tcBorders>
              <w:top w:val="single" w:sz="2" w:space="0" w:color="000000"/>
              <w:left w:val="single" w:sz="2" w:space="0" w:color="000000"/>
              <w:bottom w:val="single" w:sz="12" w:space="0" w:color="000000"/>
              <w:right w:val="single" w:sz="2" w:space="0" w:color="000000"/>
            </w:tcBorders>
          </w:tcPr>
          <w:p>
            <w:pPr/>
          </w:p>
        </w:tc>
        <w:tc>
          <w:tcPr>
            <w:tcW w:w="1416"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95"/>
              <w:jc w:val="right"/>
              <w:rPr>
                <w:rFonts w:ascii="宋体" w:hAnsi="宋体" w:cs="宋体" w:eastAsia="宋体" w:hint="default"/>
                <w:sz w:val="18"/>
                <w:szCs w:val="18"/>
              </w:rPr>
            </w:pPr>
            <w:r>
              <w:rPr>
                <w:rFonts w:ascii="宋体"/>
                <w:b/>
                <w:sz w:val="18"/>
              </w:rPr>
              <w:t>38,649.88</w:t>
            </w:r>
            <w:r>
              <w:rPr>
                <w:rFonts w:ascii="宋体"/>
                <w:sz w:val="18"/>
              </w:rPr>
            </w:r>
          </w:p>
        </w:tc>
        <w:tc>
          <w:tcPr>
            <w:tcW w:w="992" w:type="dxa"/>
            <w:tcBorders>
              <w:top w:val="single" w:sz="2" w:space="0" w:color="000000"/>
              <w:left w:val="single" w:sz="2" w:space="0" w:color="000000"/>
              <w:bottom w:val="single" w:sz="12" w:space="0" w:color="000000"/>
              <w:right w:val="single" w:sz="2" w:space="0" w:color="000000"/>
            </w:tcBorders>
          </w:tcPr>
          <w:p>
            <w:pPr/>
          </w:p>
        </w:tc>
        <w:tc>
          <w:tcPr>
            <w:tcW w:w="850" w:type="dxa"/>
            <w:tcBorders>
              <w:top w:val="single" w:sz="2" w:space="0" w:color="000000"/>
              <w:left w:val="single" w:sz="2" w:space="0" w:color="000000"/>
              <w:bottom w:val="single" w:sz="12" w:space="0" w:color="000000"/>
              <w:right w:val="single" w:sz="2" w:space="0" w:color="000000"/>
            </w:tcBorders>
          </w:tcPr>
          <w:p>
            <w:pPr/>
          </w:p>
        </w:tc>
        <w:tc>
          <w:tcPr>
            <w:tcW w:w="1208" w:type="dxa"/>
            <w:tcBorders>
              <w:top w:val="single" w:sz="2" w:space="0" w:color="000000"/>
              <w:left w:val="single" w:sz="2" w:space="0" w:color="000000"/>
              <w:bottom w:val="single" w:sz="12" w:space="0" w:color="000000"/>
              <w:right w:val="single" w:sz="2" w:space="0" w:color="000000"/>
            </w:tcBorders>
          </w:tcPr>
          <w:p>
            <w:pPr/>
          </w:p>
        </w:tc>
        <w:tc>
          <w:tcPr>
            <w:tcW w:w="773" w:type="dxa"/>
            <w:tcBorders>
              <w:top w:val="single" w:sz="2" w:space="0" w:color="000000"/>
              <w:left w:val="single" w:sz="2" w:space="0" w:color="000000"/>
              <w:bottom w:val="single" w:sz="12" w:space="0" w:color="000000"/>
              <w:right w:val="single" w:sz="2" w:space="0" w:color="000000"/>
            </w:tcBorders>
          </w:tcPr>
          <w:p>
            <w:pPr/>
          </w:p>
        </w:tc>
        <w:tc>
          <w:tcPr>
            <w:tcW w:w="1131" w:type="dxa"/>
            <w:tcBorders>
              <w:top w:val="single" w:sz="2" w:space="0" w:color="000000"/>
              <w:left w:val="single" w:sz="2" w:space="0" w:color="000000"/>
              <w:bottom w:val="single" w:sz="12" w:space="0" w:color="000000"/>
              <w:right w:val="single" w:sz="2" w:space="0" w:color="000000"/>
            </w:tcBorders>
          </w:tcPr>
          <w:p>
            <w:pPr/>
          </w:p>
        </w:tc>
        <w:tc>
          <w:tcPr>
            <w:tcW w:w="1399"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3"/>
              <w:ind w:right="37"/>
              <w:jc w:val="right"/>
              <w:rPr>
                <w:rFonts w:ascii="宋体" w:hAnsi="宋体" w:cs="宋体" w:eastAsia="宋体" w:hint="default"/>
                <w:sz w:val="18"/>
                <w:szCs w:val="18"/>
              </w:rPr>
            </w:pPr>
            <w:r>
              <w:rPr>
                <w:rFonts w:ascii="宋体"/>
                <w:b/>
                <w:w w:val="95"/>
                <w:sz w:val="18"/>
              </w:rPr>
              <w:t>9,506,421.98</w:t>
            </w:r>
            <w:r>
              <w:rPr>
                <w:rFonts w:ascii="宋体"/>
                <w:sz w:val="18"/>
              </w:rPr>
            </w:r>
          </w:p>
        </w:tc>
        <w:tc>
          <w:tcPr>
            <w:tcW w:w="807" w:type="dxa"/>
            <w:tcBorders>
              <w:top w:val="single" w:sz="2" w:space="0" w:color="000000"/>
              <w:left w:val="single" w:sz="2" w:space="0" w:color="000000"/>
              <w:bottom w:val="single" w:sz="12" w:space="0" w:color="000000"/>
              <w:right w:val="nil" w:sz="6" w:space="0" w:color="auto"/>
            </w:tcBorders>
          </w:tcPr>
          <w:p>
            <w:pPr/>
          </w:p>
        </w:tc>
      </w:tr>
    </w:tbl>
    <w:p>
      <w:pPr>
        <w:spacing w:after="0"/>
        <w:sectPr>
          <w:footerReference w:type="default" r:id="rId77"/>
          <w:pgSz w:w="16840" w:h="11910" w:orient="landscape"/>
          <w:pgMar w:footer="1027" w:header="939" w:top="1920" w:bottom="1220" w:left="1180" w:right="1120"/>
        </w:sectPr>
      </w:pPr>
    </w:p>
    <w:p>
      <w:pPr>
        <w:spacing w:line="240" w:lineRule="auto" w:before="12"/>
        <w:rPr>
          <w:rFonts w:ascii="宋体" w:hAnsi="宋体" w:cs="宋体" w:eastAsia="宋体" w:hint="default"/>
          <w:sz w:val="22"/>
          <w:szCs w:val="22"/>
        </w:rPr>
      </w:pPr>
      <w:r>
        <w:rPr/>
        <w:pict>
          <v:shape style="position:absolute;margin-left:535.621033pt;margin-top:806.701233pt;width:59.492154pt;height:26.794177pt;mso-position-horizontal-relative:page;mso-position-vertical-relative:page;z-index:1984" type="#_x0000_t75" stroked="false">
            <v:imagedata r:id="rId48" o:title=""/>
          </v:shape>
        </w:pict>
      </w:r>
    </w:p>
    <w:p>
      <w:pPr>
        <w:pStyle w:val="BodyText"/>
        <w:tabs>
          <w:tab w:pos="1334" w:val="left" w:leader="none"/>
        </w:tabs>
        <w:spacing w:line="240" w:lineRule="auto"/>
        <w:ind w:left="715" w:right="1115"/>
        <w:jc w:val="left"/>
      </w:pPr>
      <w:r>
        <w:rPr>
          <w:spacing w:val="-1"/>
        </w:rPr>
        <w:t>4.</w:t>
        <w:tab/>
      </w:r>
      <w:bookmarkStart w:name="4.营业收入和营业成本" w:id="418"/>
      <w:bookmarkEnd w:id="418"/>
      <w:r>
        <w:rPr>
          <w:spacing w:val="-2"/>
        </w:rPr>
        <w:t>营</w:t>
      </w:r>
      <w:r>
        <w:rPr>
          <w:spacing w:val="-2"/>
        </w:rPr>
        <w:t>业收入和营业成本</w:t>
      </w:r>
    </w:p>
    <w:p>
      <w:pPr>
        <w:spacing w:line="240" w:lineRule="auto" w:before="13"/>
        <w:rPr>
          <w:rFonts w:ascii="宋体" w:hAnsi="宋体" w:cs="宋体" w:eastAsia="宋体" w:hint="default"/>
          <w:sz w:val="14"/>
          <w:szCs w:val="14"/>
        </w:rPr>
      </w:pPr>
    </w:p>
    <w:tbl>
      <w:tblPr>
        <w:tblW w:w="0" w:type="auto"/>
        <w:jc w:val="left"/>
        <w:tblInd w:w="556" w:type="dxa"/>
        <w:tblLayout w:type="fixed"/>
        <w:tblCellMar>
          <w:top w:w="0" w:type="dxa"/>
          <w:left w:w="0" w:type="dxa"/>
          <w:bottom w:w="0" w:type="dxa"/>
          <w:right w:w="0" w:type="dxa"/>
        </w:tblCellMar>
        <w:tblLook w:val="01E0"/>
      </w:tblPr>
      <w:tblGrid>
        <w:gridCol w:w="1071"/>
        <w:gridCol w:w="1914"/>
        <w:gridCol w:w="1914"/>
        <w:gridCol w:w="1914"/>
        <w:gridCol w:w="1910"/>
      </w:tblGrid>
      <w:tr>
        <w:trPr>
          <w:trHeight w:val="415" w:hRule="exact"/>
        </w:trPr>
        <w:tc>
          <w:tcPr>
            <w:tcW w:w="1071" w:type="dxa"/>
            <w:vMerge w:val="restart"/>
            <w:tcBorders>
              <w:top w:val="single" w:sz="12" w:space="0" w:color="000000"/>
              <w:left w:val="nil" w:sz="6" w:space="0" w:color="auto"/>
              <w:right w:val="single" w:sz="2"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828" w:type="dxa"/>
            <w:gridSpan w:val="2"/>
            <w:tcBorders>
              <w:top w:val="single" w:sz="12" w:space="0" w:color="000000"/>
              <w:left w:val="single" w:sz="2" w:space="0" w:color="000000"/>
              <w:bottom w:val="single" w:sz="2" w:space="0" w:color="000000"/>
              <w:right w:val="single" w:sz="2" w:space="0" w:color="000000"/>
            </w:tcBorders>
          </w:tcPr>
          <w:p>
            <w:pPr>
              <w:pStyle w:val="TableParagraph"/>
              <w:spacing w:line="240" w:lineRule="auto" w:before="55"/>
              <w:ind w:left="1" w:right="0"/>
              <w:jc w:val="center"/>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3824" w:type="dxa"/>
            <w:gridSpan w:val="2"/>
            <w:tcBorders>
              <w:top w:val="single" w:sz="12" w:space="0" w:color="000000"/>
              <w:left w:val="single" w:sz="2" w:space="0" w:color="000000"/>
              <w:bottom w:val="single" w:sz="2" w:space="0" w:color="000000"/>
              <w:right w:val="nil" w:sz="6" w:space="0" w:color="auto"/>
            </w:tcBorders>
          </w:tcPr>
          <w:p>
            <w:pPr>
              <w:pStyle w:val="TableParagraph"/>
              <w:spacing w:line="240" w:lineRule="auto" w:before="55"/>
              <w:ind w:right="1"/>
              <w:jc w:val="center"/>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1071" w:type="dxa"/>
            <w:vMerge/>
            <w:tcBorders>
              <w:left w:val="nil" w:sz="6" w:space="0" w:color="auto"/>
              <w:bottom w:val="single" w:sz="2" w:space="0" w:color="000000"/>
              <w:right w:val="single" w:sz="2" w:space="0" w:color="000000"/>
            </w:tcBorders>
          </w:tcPr>
          <w:p>
            <w:pP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91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r>
      <w:tr>
        <w:trPr>
          <w:trHeight w:val="402" w:hRule="exact"/>
        </w:trPr>
        <w:tc>
          <w:tcPr>
            <w:tcW w:w="10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1"/>
              <w:jc w:val="right"/>
              <w:rPr>
                <w:rFonts w:ascii="宋体" w:hAnsi="宋体" w:cs="宋体" w:eastAsia="宋体" w:hint="default"/>
                <w:sz w:val="18"/>
                <w:szCs w:val="18"/>
              </w:rPr>
            </w:pPr>
            <w:r>
              <w:rPr>
                <w:rFonts w:ascii="宋体"/>
                <w:spacing w:val="-1"/>
                <w:sz w:val="18"/>
              </w:rPr>
              <w:t>6,048,155,697.59</w:t>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宋体" w:hAnsi="宋体" w:cs="宋体" w:eastAsia="宋体" w:hint="default"/>
                <w:sz w:val="18"/>
                <w:szCs w:val="18"/>
              </w:rPr>
            </w:pPr>
            <w:r>
              <w:rPr>
                <w:rFonts w:ascii="宋体"/>
                <w:spacing w:val="-1"/>
                <w:sz w:val="18"/>
              </w:rPr>
              <w:t>5,208,791,995.28</w:t>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1"/>
              <w:jc w:val="right"/>
              <w:rPr>
                <w:rFonts w:ascii="宋体" w:hAnsi="宋体" w:cs="宋体" w:eastAsia="宋体" w:hint="default"/>
                <w:sz w:val="18"/>
                <w:szCs w:val="18"/>
              </w:rPr>
            </w:pPr>
            <w:r>
              <w:rPr>
                <w:rFonts w:ascii="宋体"/>
                <w:spacing w:val="-1"/>
                <w:sz w:val="18"/>
              </w:rPr>
              <w:t>5,184,345,736.25</w:t>
            </w:r>
          </w:p>
        </w:tc>
        <w:tc>
          <w:tcPr>
            <w:tcW w:w="191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4"/>
              <w:ind w:right="106"/>
              <w:jc w:val="right"/>
              <w:rPr>
                <w:rFonts w:ascii="宋体" w:hAnsi="宋体" w:cs="宋体" w:eastAsia="宋体" w:hint="default"/>
                <w:sz w:val="18"/>
                <w:szCs w:val="18"/>
              </w:rPr>
            </w:pPr>
            <w:r>
              <w:rPr>
                <w:rFonts w:ascii="宋体"/>
                <w:spacing w:val="-1"/>
                <w:sz w:val="18"/>
              </w:rPr>
              <w:t>4,496,090,565.97</w:t>
            </w:r>
          </w:p>
        </w:tc>
      </w:tr>
      <w:tr>
        <w:trPr>
          <w:trHeight w:val="402" w:hRule="exact"/>
        </w:trPr>
        <w:tc>
          <w:tcPr>
            <w:tcW w:w="1071"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pacing w:val="-1"/>
                <w:sz w:val="18"/>
              </w:rPr>
              <w:t>126,144,074.52</w:t>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pacing w:val="-1"/>
                <w:sz w:val="18"/>
              </w:rPr>
              <w:t>110,901,023.70</w:t>
            </w:r>
          </w:p>
        </w:tc>
        <w:tc>
          <w:tcPr>
            <w:tcW w:w="191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2"/>
              <w:ind w:right="104"/>
              <w:jc w:val="right"/>
              <w:rPr>
                <w:rFonts w:ascii="宋体" w:hAnsi="宋体" w:cs="宋体" w:eastAsia="宋体" w:hint="default"/>
                <w:sz w:val="18"/>
                <w:szCs w:val="18"/>
              </w:rPr>
            </w:pPr>
            <w:r>
              <w:rPr>
                <w:rFonts w:ascii="宋体"/>
                <w:spacing w:val="-1"/>
                <w:sz w:val="18"/>
              </w:rPr>
              <w:t>80,263,636.61</w:t>
            </w:r>
          </w:p>
        </w:tc>
        <w:tc>
          <w:tcPr>
            <w:tcW w:w="1910"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2"/>
              <w:ind w:right="106"/>
              <w:jc w:val="right"/>
              <w:rPr>
                <w:rFonts w:ascii="宋体" w:hAnsi="宋体" w:cs="宋体" w:eastAsia="宋体" w:hint="default"/>
                <w:sz w:val="18"/>
                <w:szCs w:val="18"/>
              </w:rPr>
            </w:pPr>
            <w:r>
              <w:rPr>
                <w:rFonts w:ascii="宋体"/>
                <w:spacing w:val="-1"/>
                <w:sz w:val="18"/>
              </w:rPr>
              <w:t>80,901,896.25</w:t>
            </w:r>
          </w:p>
        </w:tc>
      </w:tr>
      <w:tr>
        <w:trPr>
          <w:trHeight w:val="414" w:hRule="exact"/>
        </w:trPr>
        <w:tc>
          <w:tcPr>
            <w:tcW w:w="1071"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1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4"/>
              <w:ind w:right="89"/>
              <w:jc w:val="right"/>
              <w:rPr>
                <w:rFonts w:ascii="宋体" w:hAnsi="宋体" w:cs="宋体" w:eastAsia="宋体" w:hint="default"/>
                <w:sz w:val="18"/>
                <w:szCs w:val="18"/>
              </w:rPr>
            </w:pPr>
            <w:r>
              <w:rPr>
                <w:rFonts w:ascii="宋体"/>
                <w:b/>
                <w:w w:val="95"/>
                <w:sz w:val="18"/>
              </w:rPr>
              <w:t>6,174,299,772.11</w:t>
            </w:r>
            <w:r>
              <w:rPr>
                <w:rFonts w:ascii="宋体"/>
                <w:sz w:val="18"/>
              </w:rPr>
            </w:r>
          </w:p>
        </w:tc>
        <w:tc>
          <w:tcPr>
            <w:tcW w:w="191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4"/>
              <w:ind w:right="90"/>
              <w:jc w:val="right"/>
              <w:rPr>
                <w:rFonts w:ascii="宋体" w:hAnsi="宋体" w:cs="宋体" w:eastAsia="宋体" w:hint="default"/>
                <w:sz w:val="18"/>
                <w:szCs w:val="18"/>
              </w:rPr>
            </w:pPr>
            <w:r>
              <w:rPr>
                <w:rFonts w:ascii="宋体"/>
                <w:b/>
                <w:w w:val="95"/>
                <w:sz w:val="18"/>
              </w:rPr>
              <w:t>5,319,693,018.98</w:t>
            </w:r>
            <w:r>
              <w:rPr>
                <w:rFonts w:ascii="宋体"/>
                <w:sz w:val="18"/>
              </w:rPr>
            </w:r>
          </w:p>
        </w:tc>
        <w:tc>
          <w:tcPr>
            <w:tcW w:w="191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4"/>
              <w:ind w:right="89"/>
              <w:jc w:val="right"/>
              <w:rPr>
                <w:rFonts w:ascii="宋体" w:hAnsi="宋体" w:cs="宋体" w:eastAsia="宋体" w:hint="default"/>
                <w:sz w:val="18"/>
                <w:szCs w:val="18"/>
              </w:rPr>
            </w:pPr>
            <w:r>
              <w:rPr>
                <w:rFonts w:ascii="宋体"/>
                <w:b/>
                <w:w w:val="95"/>
                <w:sz w:val="18"/>
              </w:rPr>
              <w:t>5,264,609,372.86</w:t>
            </w:r>
            <w:r>
              <w:rPr>
                <w:rFonts w:ascii="宋体"/>
                <w:sz w:val="18"/>
              </w:rPr>
            </w:r>
          </w:p>
        </w:tc>
        <w:tc>
          <w:tcPr>
            <w:tcW w:w="1910"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4"/>
              <w:ind w:right="94"/>
              <w:jc w:val="right"/>
              <w:rPr>
                <w:rFonts w:ascii="宋体" w:hAnsi="宋体" w:cs="宋体" w:eastAsia="宋体" w:hint="default"/>
                <w:sz w:val="18"/>
                <w:szCs w:val="18"/>
              </w:rPr>
            </w:pPr>
            <w:r>
              <w:rPr>
                <w:rFonts w:ascii="宋体"/>
                <w:b/>
                <w:w w:val="95"/>
                <w:sz w:val="18"/>
              </w:rPr>
              <w:t>4,576,992,462.22</w:t>
            </w:r>
            <w:r>
              <w:rPr>
                <w:rFonts w:ascii="宋体"/>
                <w:sz w:val="18"/>
              </w:rPr>
            </w:r>
          </w:p>
        </w:tc>
      </w:tr>
    </w:tbl>
    <w:p>
      <w:pPr>
        <w:spacing w:line="240" w:lineRule="auto" w:before="12"/>
        <w:rPr>
          <w:rFonts w:ascii="宋体" w:hAnsi="宋体" w:cs="宋体" w:eastAsia="宋体" w:hint="default"/>
          <w:sz w:val="11"/>
          <w:szCs w:val="11"/>
        </w:rPr>
      </w:pPr>
    </w:p>
    <w:p>
      <w:pPr>
        <w:pStyle w:val="BodyText"/>
        <w:tabs>
          <w:tab w:pos="1334" w:val="left" w:leader="none"/>
        </w:tabs>
        <w:spacing w:line="240" w:lineRule="auto"/>
        <w:ind w:left="715" w:right="1115"/>
        <w:jc w:val="left"/>
      </w:pPr>
      <w:r>
        <w:rPr>
          <w:spacing w:val="-1"/>
        </w:rPr>
        <w:t>5.</w:t>
        <w:tab/>
      </w:r>
      <w:bookmarkStart w:name="5.投资收益" w:id="419"/>
      <w:bookmarkEnd w:id="419"/>
      <w:r>
        <w:rPr>
          <w:spacing w:val="-2"/>
        </w:rPr>
        <w:t>投</w:t>
      </w:r>
      <w:r>
        <w:rPr>
          <w:spacing w:val="-2"/>
        </w:rPr>
        <w:t>资收益</w:t>
      </w:r>
    </w:p>
    <w:p>
      <w:pPr>
        <w:spacing w:line="240" w:lineRule="auto" w:before="1"/>
        <w:rPr>
          <w:rFonts w:ascii="宋体" w:hAnsi="宋体" w:cs="宋体" w:eastAsia="宋体" w:hint="default"/>
          <w:sz w:val="15"/>
          <w:szCs w:val="15"/>
        </w:rPr>
      </w:pPr>
    </w:p>
    <w:tbl>
      <w:tblPr>
        <w:tblW w:w="0" w:type="auto"/>
        <w:jc w:val="left"/>
        <w:tblInd w:w="556" w:type="dxa"/>
        <w:tblLayout w:type="fixed"/>
        <w:tblCellMar>
          <w:top w:w="0" w:type="dxa"/>
          <w:left w:w="0" w:type="dxa"/>
          <w:bottom w:w="0" w:type="dxa"/>
          <w:right w:w="0" w:type="dxa"/>
        </w:tblCellMar>
        <w:tblLook w:val="01E0"/>
      </w:tblPr>
      <w:tblGrid>
        <w:gridCol w:w="3935"/>
        <w:gridCol w:w="2394"/>
        <w:gridCol w:w="2394"/>
      </w:tblGrid>
      <w:tr>
        <w:trPr>
          <w:trHeight w:val="415" w:hRule="exact"/>
        </w:trPr>
        <w:tc>
          <w:tcPr>
            <w:tcW w:w="393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94"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54"/>
              <w:ind w:left="745" w:right="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tc>
        <w:tc>
          <w:tcPr>
            <w:tcW w:w="2394" w:type="dxa"/>
            <w:tcBorders>
              <w:top w:val="single" w:sz="12" w:space="0" w:color="000000"/>
              <w:left w:val="single" w:sz="2" w:space="0" w:color="000000"/>
              <w:bottom w:val="single" w:sz="2" w:space="0" w:color="000000"/>
              <w:right w:val="nil" w:sz="6" w:space="0" w:color="auto"/>
            </w:tcBorders>
          </w:tcPr>
          <w:p>
            <w:pPr>
              <w:pStyle w:val="TableParagraph"/>
              <w:spacing w:line="240" w:lineRule="auto" w:before="54"/>
              <w:ind w:left="743"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tc>
      </w:tr>
      <w:tr>
        <w:trPr>
          <w:trHeight w:val="402" w:hRule="exact"/>
        </w:trPr>
        <w:tc>
          <w:tcPr>
            <w:tcW w:w="39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1"/>
              <w:ind w:right="104"/>
              <w:jc w:val="right"/>
              <w:rPr>
                <w:rFonts w:ascii="宋体" w:hAnsi="宋体" w:cs="宋体" w:eastAsia="宋体" w:hint="default"/>
                <w:sz w:val="18"/>
                <w:szCs w:val="18"/>
              </w:rPr>
            </w:pPr>
            <w:r>
              <w:rPr>
                <w:rFonts w:ascii="宋体"/>
                <w:spacing w:val="-1"/>
                <w:sz w:val="18"/>
              </w:rPr>
              <w:t>38,649.88</w:t>
            </w:r>
          </w:p>
        </w:tc>
        <w:tc>
          <w:tcPr>
            <w:tcW w:w="23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3,395.91</w:t>
            </w:r>
          </w:p>
        </w:tc>
      </w:tr>
      <w:tr>
        <w:trPr>
          <w:trHeight w:val="402" w:hRule="exact"/>
        </w:trPr>
        <w:tc>
          <w:tcPr>
            <w:tcW w:w="39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银行理财收益</w:t>
            </w:r>
          </w:p>
        </w:tc>
        <w:tc>
          <w:tcPr>
            <w:tcW w:w="2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3,371,099.21</w:t>
            </w:r>
          </w:p>
        </w:tc>
        <w:tc>
          <w:tcPr>
            <w:tcW w:w="23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pacing w:val="-1"/>
                <w:sz w:val="18"/>
              </w:rPr>
              <w:t>2,857,142.35</w:t>
            </w:r>
          </w:p>
        </w:tc>
      </w:tr>
      <w:tr>
        <w:trPr>
          <w:trHeight w:val="402" w:hRule="exact"/>
        </w:trPr>
        <w:tc>
          <w:tcPr>
            <w:tcW w:w="39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处置长期股权投资收益</w:t>
            </w:r>
          </w:p>
        </w:tc>
        <w:tc>
          <w:tcPr>
            <w:tcW w:w="2394" w:type="dxa"/>
            <w:tcBorders>
              <w:top w:val="single" w:sz="2" w:space="0" w:color="000000"/>
              <w:left w:val="single" w:sz="2" w:space="0" w:color="000000"/>
              <w:bottom w:val="single" w:sz="2" w:space="0" w:color="000000"/>
              <w:right w:val="single" w:sz="2" w:space="0" w:color="000000"/>
            </w:tcBorders>
          </w:tcPr>
          <w:p>
            <w:pPr/>
          </w:p>
        </w:tc>
        <w:tc>
          <w:tcPr>
            <w:tcW w:w="23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942,366.95</w:t>
            </w:r>
          </w:p>
        </w:tc>
      </w:tr>
      <w:tr>
        <w:trPr>
          <w:trHeight w:val="402" w:hRule="exact"/>
        </w:trPr>
        <w:tc>
          <w:tcPr>
            <w:tcW w:w="39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套期投资收益</w:t>
            </w:r>
          </w:p>
        </w:tc>
        <w:tc>
          <w:tcPr>
            <w:tcW w:w="2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2"/>
              <w:jc w:val="right"/>
              <w:rPr>
                <w:rFonts w:ascii="宋体" w:hAnsi="宋体" w:cs="宋体" w:eastAsia="宋体" w:hint="default"/>
                <w:sz w:val="18"/>
                <w:szCs w:val="18"/>
              </w:rPr>
            </w:pPr>
            <w:r>
              <w:rPr>
                <w:rFonts w:ascii="宋体"/>
                <w:spacing w:val="-1"/>
                <w:sz w:val="18"/>
              </w:rPr>
              <w:t>2,629,265.00</w:t>
            </w:r>
          </w:p>
        </w:tc>
        <w:tc>
          <w:tcPr>
            <w:tcW w:w="23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pacing w:val="-1"/>
                <w:sz w:val="18"/>
              </w:rPr>
              <w:t>-11,843,364.02</w:t>
            </w:r>
          </w:p>
        </w:tc>
      </w:tr>
      <w:tr>
        <w:trPr>
          <w:trHeight w:val="402" w:hRule="exact"/>
        </w:trPr>
        <w:tc>
          <w:tcPr>
            <w:tcW w:w="39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远期外汇交割收益</w:t>
            </w:r>
          </w:p>
        </w:tc>
        <w:tc>
          <w:tcPr>
            <w:tcW w:w="2394" w:type="dxa"/>
            <w:tcBorders>
              <w:top w:val="single" w:sz="2" w:space="0" w:color="000000"/>
              <w:left w:val="single" w:sz="2" w:space="0" w:color="000000"/>
              <w:bottom w:val="single" w:sz="2" w:space="0" w:color="000000"/>
              <w:right w:val="single" w:sz="2" w:space="0" w:color="000000"/>
            </w:tcBorders>
          </w:tcPr>
          <w:p>
            <w:pPr/>
          </w:p>
        </w:tc>
        <w:tc>
          <w:tcPr>
            <w:tcW w:w="2394"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51"/>
              <w:ind w:right="106"/>
              <w:jc w:val="right"/>
              <w:rPr>
                <w:rFonts w:ascii="宋体" w:hAnsi="宋体" w:cs="宋体" w:eastAsia="宋体" w:hint="default"/>
                <w:sz w:val="18"/>
                <w:szCs w:val="18"/>
              </w:rPr>
            </w:pPr>
            <w:r>
              <w:rPr>
                <w:rFonts w:ascii="宋体"/>
                <w:spacing w:val="-1"/>
                <w:sz w:val="18"/>
              </w:rPr>
              <w:t>1,030,640.46</w:t>
            </w:r>
          </w:p>
        </w:tc>
      </w:tr>
      <w:tr>
        <w:trPr>
          <w:trHeight w:val="402" w:hRule="exact"/>
        </w:trPr>
        <w:tc>
          <w:tcPr>
            <w:tcW w:w="3935" w:type="dxa"/>
            <w:tcBorders>
              <w:top w:val="single" w:sz="2" w:space="0" w:color="000000"/>
              <w:left w:val="nil" w:sz="6" w:space="0" w:color="auto"/>
              <w:bottom w:val="single" w:sz="2" w:space="0" w:color="000000"/>
              <w:right w:val="single" w:sz="2"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4"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3"/>
              <w:ind w:right="104"/>
              <w:jc w:val="right"/>
              <w:rPr>
                <w:rFonts w:ascii="宋体" w:hAnsi="宋体" w:cs="宋体" w:eastAsia="宋体" w:hint="default"/>
                <w:sz w:val="18"/>
                <w:szCs w:val="18"/>
              </w:rPr>
            </w:pPr>
            <w:r>
              <w:rPr>
                <w:rFonts w:ascii="宋体"/>
                <w:spacing w:val="-1"/>
                <w:sz w:val="18"/>
              </w:rPr>
              <w:t>-541,148.89</w:t>
            </w:r>
          </w:p>
        </w:tc>
        <w:tc>
          <w:tcPr>
            <w:tcW w:w="2394" w:type="dxa"/>
            <w:tcBorders>
              <w:top w:val="single" w:sz="2" w:space="0" w:color="000000"/>
              <w:left w:val="single" w:sz="2" w:space="0" w:color="000000"/>
              <w:bottom w:val="single" w:sz="2" w:space="0" w:color="000000"/>
              <w:right w:val="nil" w:sz="6" w:space="0" w:color="auto"/>
            </w:tcBorders>
          </w:tcPr>
          <w:p>
            <w:pPr/>
          </w:p>
        </w:tc>
      </w:tr>
      <w:tr>
        <w:trPr>
          <w:trHeight w:val="414" w:hRule="exact"/>
        </w:trPr>
        <w:tc>
          <w:tcPr>
            <w:tcW w:w="3935" w:type="dxa"/>
            <w:tcBorders>
              <w:top w:val="single" w:sz="2" w:space="0" w:color="000000"/>
              <w:left w:val="nil" w:sz="6" w:space="0" w:color="auto"/>
              <w:bottom w:val="single" w:sz="12" w:space="0" w:color="000000"/>
              <w:right w:val="single" w:sz="2" w:space="0" w:color="000000"/>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94"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before="51"/>
              <w:ind w:right="92"/>
              <w:jc w:val="right"/>
              <w:rPr>
                <w:rFonts w:ascii="宋体" w:hAnsi="宋体" w:cs="宋体" w:eastAsia="宋体" w:hint="default"/>
                <w:sz w:val="18"/>
                <w:szCs w:val="18"/>
              </w:rPr>
            </w:pPr>
            <w:r>
              <w:rPr>
                <w:rFonts w:ascii="宋体"/>
                <w:b/>
                <w:w w:val="95"/>
                <w:sz w:val="18"/>
              </w:rPr>
              <w:t>5,497,865.20</w:t>
            </w:r>
            <w:r>
              <w:rPr>
                <w:rFonts w:ascii="宋体"/>
                <w:sz w:val="18"/>
              </w:rPr>
            </w:r>
          </w:p>
        </w:tc>
        <w:tc>
          <w:tcPr>
            <w:tcW w:w="2394" w:type="dxa"/>
            <w:tcBorders>
              <w:top w:val="single" w:sz="2" w:space="0" w:color="000000"/>
              <w:left w:val="single" w:sz="2" w:space="0" w:color="000000"/>
              <w:bottom w:val="single" w:sz="12" w:space="0" w:color="000000"/>
              <w:right w:val="nil" w:sz="6" w:space="0" w:color="auto"/>
            </w:tcBorders>
          </w:tcPr>
          <w:p>
            <w:pPr>
              <w:pStyle w:val="TableParagraph"/>
              <w:spacing w:line="240" w:lineRule="auto" w:before="51"/>
              <w:ind w:right="94"/>
              <w:jc w:val="right"/>
              <w:rPr>
                <w:rFonts w:ascii="宋体" w:hAnsi="宋体" w:cs="宋体" w:eastAsia="宋体" w:hint="default"/>
                <w:sz w:val="18"/>
                <w:szCs w:val="18"/>
              </w:rPr>
            </w:pPr>
            <w:r>
              <w:rPr>
                <w:rFonts w:ascii="宋体"/>
                <w:b/>
                <w:w w:val="95"/>
                <w:sz w:val="18"/>
              </w:rPr>
              <w:t>-7,009,818.35</w:t>
            </w:r>
            <w:r>
              <w:rPr>
                <w:rFonts w:ascii="宋体"/>
                <w:sz w:val="18"/>
              </w:rPr>
            </w:r>
          </w:p>
        </w:tc>
      </w:tr>
    </w:tbl>
    <w:p>
      <w:pPr>
        <w:spacing w:line="240" w:lineRule="auto" w:before="12"/>
        <w:rPr>
          <w:rFonts w:ascii="宋体" w:hAnsi="宋体" w:cs="宋体" w:eastAsia="宋体" w:hint="default"/>
          <w:sz w:val="11"/>
          <w:szCs w:val="11"/>
        </w:rPr>
      </w:pPr>
    </w:p>
    <w:p>
      <w:pPr>
        <w:tabs>
          <w:tab w:pos="1334" w:val="left" w:leader="none"/>
        </w:tabs>
        <w:spacing w:line="489" w:lineRule="auto" w:before="33"/>
        <w:ind w:left="112" w:right="8138" w:firstLine="602"/>
        <w:jc w:val="left"/>
        <w:rPr>
          <w:rFonts w:ascii="宋体" w:hAnsi="宋体" w:cs="宋体" w:eastAsia="宋体" w:hint="default"/>
          <w:sz w:val="21"/>
          <w:szCs w:val="21"/>
        </w:rPr>
      </w:pPr>
      <w:r>
        <w:rPr>
          <w:rFonts w:ascii="宋体" w:hAnsi="宋体" w:cs="宋体" w:eastAsia="宋体" w:hint="default"/>
          <w:spacing w:val="-1"/>
          <w:sz w:val="22"/>
          <w:szCs w:val="22"/>
        </w:rPr>
        <w:t>6.</w:t>
        <w:tab/>
      </w:r>
      <w:bookmarkStart w:name="6.其他" w:id="420"/>
      <w:bookmarkEnd w:id="420"/>
      <w:r>
        <w:rPr>
          <w:rFonts w:ascii="宋体" w:hAnsi="宋体" w:cs="宋体" w:eastAsia="宋体" w:hint="default"/>
          <w:spacing w:val="-1"/>
          <w:sz w:val="22"/>
          <w:szCs w:val="22"/>
        </w:rPr>
        <w:t>其</w:t>
      </w:r>
      <w:r>
        <w:rPr>
          <w:rFonts w:ascii="宋体" w:hAnsi="宋体" w:cs="宋体" w:eastAsia="宋体" w:hint="default"/>
          <w:spacing w:val="-1"/>
          <w:sz w:val="22"/>
          <w:szCs w:val="22"/>
        </w:rPr>
        <w:t>他</w:t>
      </w:r>
      <w:r>
        <w:rPr>
          <w:rFonts w:ascii="宋体" w:hAnsi="宋体" w:cs="宋体" w:eastAsia="宋体" w:hint="default"/>
          <w:w w:val="100"/>
          <w:sz w:val="22"/>
          <w:szCs w:val="22"/>
        </w:rPr>
        <w:t> </w:t>
      </w:r>
      <w:bookmarkStart w:name="十八、补充资料" w:id="421"/>
      <w:bookmarkEnd w:id="421"/>
      <w:r>
        <w:rPr>
          <w:rFonts w:ascii="宋体" w:hAnsi="宋体" w:cs="宋体" w:eastAsia="宋体" w:hint="default"/>
          <w:w w:val="100"/>
          <w:sz w:val="22"/>
          <w:szCs w:val="22"/>
        </w:rPr>
      </w:r>
      <w:r>
        <w:rPr>
          <w:rFonts w:ascii="宋体" w:hAnsi="宋体" w:cs="宋体" w:eastAsia="宋体" w:hint="default"/>
          <w:b/>
          <w:bCs/>
          <w:sz w:val="24"/>
          <w:szCs w:val="24"/>
        </w:rPr>
        <w:t>十八、补充资料</w:t>
      </w:r>
      <w:r>
        <w:rPr>
          <w:rFonts w:ascii="宋体" w:hAnsi="宋体" w:cs="宋体" w:eastAsia="宋体" w:hint="default"/>
          <w:b/>
          <w:bCs/>
          <w:w w:val="99"/>
          <w:sz w:val="24"/>
          <w:szCs w:val="24"/>
        </w:rPr>
        <w:t> </w:t>
      </w:r>
      <w:bookmarkStart w:name="1、当期非经常性损益明细表" w:id="422"/>
      <w:bookmarkEnd w:id="422"/>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before="105"/>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5"/>
        <w:ind w:left="0" w:right="1132"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2"/>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75"/>
        <w:gridCol w:w="1608"/>
        <w:gridCol w:w="3186"/>
      </w:tblGrid>
      <w:tr>
        <w:trPr>
          <w:trHeight w:val="402"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-2,919,377.56</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系处置固定资产损失</w:t>
            </w:r>
          </w:p>
        </w:tc>
      </w:tr>
      <w:tr>
        <w:trPr>
          <w:trHeight w:val="714"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61"/>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 家统一标准定额或定量享受的政府补助除外）</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42,547,841.67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12,680,714.96</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系银行理财收益</w:t>
            </w:r>
          </w:p>
        </w:tc>
      </w:tr>
      <w:tr>
        <w:trPr>
          <w:trHeight w:val="1648"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61"/>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 交易性金融资产、衍生金融资产、交易性金融负债、衍生 金融负债产生的公允价值变动损益，以及处置交易性金融 资产、衍生金融资产、交易性金融负债、衍生金融负债和 其他债权投资取得的投资收益</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4,449,272.69</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2" w:right="100"/>
              <w:jc w:val="left"/>
              <w:rPr>
                <w:rFonts w:ascii="宋体" w:hAnsi="宋体" w:cs="宋体" w:eastAsia="宋体" w:hint="default"/>
                <w:sz w:val="18"/>
                <w:szCs w:val="18"/>
              </w:rPr>
            </w:pPr>
            <w:r>
              <w:rPr>
                <w:rFonts w:ascii="宋体" w:hAnsi="宋体" w:cs="宋体" w:eastAsia="宋体" w:hint="default"/>
                <w:spacing w:val="-6"/>
                <w:sz w:val="18"/>
                <w:szCs w:val="18"/>
              </w:rPr>
              <w:t>公司开展套期保值业务，期货价格波动</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超出现货价格波</w:t>
            </w:r>
            <w:r>
              <w:rPr>
                <w:rFonts w:ascii="宋体" w:hAnsi="宋体" w:cs="宋体" w:eastAsia="宋体" w:hint="default"/>
                <w:spacing w:val="1"/>
                <w:sz w:val="18"/>
                <w:szCs w:val="18"/>
              </w:rPr>
              <w:t> </w:t>
            </w:r>
            <w:r>
              <w:rPr>
                <w:rFonts w:ascii="宋体" w:hAnsi="宋体" w:cs="宋体" w:eastAsia="宋体" w:hint="default"/>
                <w:sz w:val="18"/>
                <w:szCs w:val="18"/>
              </w:rPr>
              <w:t>动列入套保无效部分</w:t>
            </w:r>
            <w:r>
              <w:rPr>
                <w:rFonts w:ascii="宋体" w:hAnsi="宋体" w:cs="宋体" w:eastAsia="宋体" w:hint="default"/>
                <w:sz w:val="18"/>
                <w:szCs w:val="18"/>
              </w:rPr>
              <w:t> 及开展远期结购汇公允价值变动和交 割收益</w:t>
            </w:r>
          </w:p>
        </w:tc>
      </w:tr>
    </w:tbl>
    <w:p>
      <w:pPr>
        <w:spacing w:after="0" w:line="316" w:lineRule="auto"/>
        <w:jc w:val="left"/>
        <w:rPr>
          <w:rFonts w:ascii="宋体" w:hAnsi="宋体" w:cs="宋体" w:eastAsia="宋体" w:hint="default"/>
          <w:sz w:val="18"/>
          <w:szCs w:val="18"/>
        </w:rPr>
        <w:sectPr>
          <w:headerReference w:type="default" r:id="rId78"/>
          <w:footerReference w:type="default" r:id="rId79"/>
          <w:pgSz w:w="11910" w:h="16840"/>
          <w:pgMar w:header="939" w:footer="1027" w:top="1920" w:bottom="1220" w:left="1020" w:right="0"/>
        </w:sectPr>
      </w:pPr>
    </w:p>
    <w:p>
      <w:pPr>
        <w:spacing w:line="240" w:lineRule="auto" w:before="1"/>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4775"/>
        <w:gridCol w:w="1608"/>
        <w:gridCol w:w="3186"/>
      </w:tblGrid>
      <w:tr>
        <w:trPr>
          <w:trHeight w:val="402"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-1,015,961.07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4,488,528.42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2,070,654.31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7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49,183,307.96</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2"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号——非经常性损益》定义界定的非经常性损益项目，以及把《公</w:t>
      </w:r>
    </w:p>
    <w:p>
      <w:pPr>
        <w:spacing w:line="300" w:lineRule="auto" w:before="63"/>
        <w:ind w:left="112" w:right="1120"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号——非经常性损益》中列举的非经常性损益项目界定为经常性损益的项目，应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说明原因。</w:t>
      </w:r>
    </w:p>
    <w:p>
      <w:pPr>
        <w:spacing w:before="72"/>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2" w:right="1115" w:firstLine="0"/>
        <w:jc w:val="left"/>
        <w:rPr>
          <w:rFonts w:ascii="宋体" w:hAnsi="宋体" w:cs="宋体" w:eastAsia="宋体" w:hint="default"/>
          <w:sz w:val="21"/>
          <w:szCs w:val="21"/>
        </w:rPr>
      </w:pPr>
      <w:bookmarkStart w:name="2、净资产收益率及每股收益" w:id="423"/>
      <w:bookmarkEnd w:id="42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555"/>
        <w:gridCol w:w="1920"/>
        <w:gridCol w:w="1560"/>
        <w:gridCol w:w="1533"/>
      </w:tblGrid>
      <w:tr>
        <w:trPr>
          <w:trHeight w:val="402" w:hRule="exact"/>
        </w:trPr>
        <w:tc>
          <w:tcPr>
            <w:tcW w:w="455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9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316" w:lineRule="auto"/>
              <w:ind w:left="865" w:right="143" w:hanging="720"/>
              <w:jc w:val="left"/>
              <w:rPr>
                <w:rFonts w:ascii="宋体" w:hAnsi="宋体" w:cs="宋体" w:eastAsia="宋体" w:hint="default"/>
                <w:sz w:val="18"/>
                <w:szCs w:val="18"/>
              </w:rPr>
            </w:pPr>
            <w:r>
              <w:rPr>
                <w:rFonts w:ascii="宋体" w:hAnsi="宋体" w:cs="宋体" w:eastAsia="宋体" w:hint="default"/>
                <w:sz w:val="18"/>
                <w:szCs w:val="18"/>
              </w:rPr>
              <w:t>加权平均净资产收益 率</w:t>
            </w:r>
          </w:p>
        </w:tc>
        <w:tc>
          <w:tcPr>
            <w:tcW w:w="309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714" w:hRule="exact"/>
        </w:trPr>
        <w:tc>
          <w:tcPr>
            <w:tcW w:w="4555" w:type="dxa"/>
            <w:vMerge/>
            <w:tcBorders>
              <w:left w:val="single" w:sz="4" w:space="0" w:color="000000"/>
              <w:bottom w:val="single" w:sz="4" w:space="0" w:color="000000"/>
              <w:right w:val="single" w:sz="4" w:space="0" w:color="000000"/>
            </w:tcBorders>
            <w:shd w:val="clear" w:color="auto" w:fill="D2D2D2"/>
          </w:tcPr>
          <w:p>
            <w:pPr/>
          </w:p>
        </w:tc>
        <w:tc>
          <w:tcPr>
            <w:tcW w:w="1920" w:type="dxa"/>
            <w:vMerge/>
            <w:tcBorders>
              <w:left w:val="single" w:sz="4" w:space="0" w:color="000000"/>
              <w:bottom w:val="single" w:sz="4" w:space="0" w:color="000000"/>
              <w:right w:val="single" w:sz="4" w:space="0" w:color="000000"/>
            </w:tcBorders>
            <w:shd w:val="clear" w:color="auto" w:fill="D2D2D2"/>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基本每股收益</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稀释每股收益</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402" w:hRule="exact"/>
        </w:trPr>
        <w:tc>
          <w:tcPr>
            <w:tcW w:w="4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5.37%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0.2133</w:t>
            </w:r>
          </w:p>
        </w:tc>
        <w:tc>
          <w:tcPr>
            <w:tcW w:w="1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0.2133</w:t>
            </w:r>
          </w:p>
        </w:tc>
      </w:tr>
      <w:tr>
        <w:trPr>
          <w:trHeight w:val="402" w:hRule="exact"/>
        </w:trPr>
        <w:tc>
          <w:tcPr>
            <w:tcW w:w="45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4.17%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0.1658</w:t>
            </w:r>
          </w:p>
        </w:tc>
        <w:tc>
          <w:tcPr>
            <w:tcW w:w="1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0.1658</w:t>
            </w:r>
          </w:p>
        </w:tc>
      </w:tr>
    </w:tbl>
    <w:p>
      <w:pPr>
        <w:spacing w:line="240" w:lineRule="auto" w:before="4"/>
        <w:rPr>
          <w:rFonts w:ascii="宋体" w:hAnsi="宋体" w:cs="宋体" w:eastAsia="宋体" w:hint="default"/>
          <w:b/>
          <w:bCs/>
          <w:sz w:val="19"/>
          <w:szCs w:val="19"/>
        </w:rPr>
      </w:pPr>
    </w:p>
    <w:p>
      <w:pPr>
        <w:spacing w:before="34"/>
        <w:ind w:left="112" w:right="1115" w:firstLine="0"/>
        <w:jc w:val="left"/>
        <w:rPr>
          <w:rFonts w:ascii="宋体" w:hAnsi="宋体" w:cs="宋体" w:eastAsia="宋体" w:hint="default"/>
          <w:sz w:val="21"/>
          <w:szCs w:val="21"/>
        </w:rPr>
      </w:pPr>
      <w:bookmarkStart w:name="3、境内外会计准则下会计数据差异" w:id="424"/>
      <w:bookmarkEnd w:id="42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、境内外会计准则下会计数据差异</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12" w:right="1115" w:firstLine="0"/>
        <w:jc w:val="left"/>
        <w:rPr>
          <w:rFonts w:ascii="宋体" w:hAnsi="宋体" w:cs="宋体" w:eastAsia="宋体" w:hint="default"/>
          <w:sz w:val="21"/>
          <w:szCs w:val="21"/>
        </w:rPr>
      </w:pPr>
      <w:bookmarkStart w:name="（1）同时按照国际会计准则与按中国会计准则披露的财务报告中净利润和净资产差异情况" w:id="425"/>
      <w:bookmarkEnd w:id="42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）同时按照国际会计准则与按中国会计准则披露的财务报告中净利润和净资产差异情况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before="118"/>
        <w:ind w:left="112" w:right="1115" w:firstLine="0"/>
        <w:jc w:val="left"/>
        <w:rPr>
          <w:rFonts w:ascii="宋体" w:hAnsi="宋体" w:cs="宋体" w:eastAsia="宋体" w:hint="default"/>
          <w:sz w:val="21"/>
          <w:szCs w:val="21"/>
        </w:rPr>
      </w:pPr>
      <w:bookmarkStart w:name="（2）同时按照境外会计准则与按中国会计准则披露的财务报告中净利润和净资产差异情况" w:id="426"/>
      <w:bookmarkEnd w:id="42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）同时按照境外会计准则与按中国会计准则披露的财务报告中净利润和净资产差异情况</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2" w:right="111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line="256" w:lineRule="auto" w:before="118"/>
        <w:ind w:left="112" w:right="1115" w:firstLine="0"/>
        <w:jc w:val="left"/>
        <w:rPr>
          <w:rFonts w:ascii="宋体" w:hAnsi="宋体" w:cs="宋体" w:eastAsia="宋体" w:hint="default"/>
          <w:sz w:val="21"/>
          <w:szCs w:val="21"/>
        </w:rPr>
      </w:pPr>
      <w:bookmarkStart w:name="（3）境内外会计准则下会计数据差异原因说明，对已经境外审计机构审计的数据进行差异" w:id="427"/>
      <w:bookmarkEnd w:id="427"/>
      <w:r>
        <w:rPr/>
      </w:r>
      <w:r>
        <w:rPr>
          <w:rFonts w:ascii="宋体" w:hAnsi="宋体" w:cs="宋体" w:eastAsia="宋体" w:hint="default"/>
          <w:b/>
          <w:bCs/>
          <w:spacing w:val="3"/>
          <w:w w:val="95"/>
          <w:sz w:val="21"/>
          <w:szCs w:val="21"/>
        </w:rPr>
        <w:t>（</w:t>
      </w:r>
      <w:r>
        <w:rPr>
          <w:rFonts w:ascii="Times New Roman" w:hAnsi="Times New Roman" w:cs="Times New Roman" w:eastAsia="Times New Roman" w:hint="default"/>
          <w:b/>
          <w:bCs/>
          <w:spacing w:val="3"/>
          <w:w w:val="95"/>
          <w:sz w:val="21"/>
          <w:szCs w:val="21"/>
        </w:rPr>
        <w:t>3</w:t>
      </w:r>
      <w:r>
        <w:rPr>
          <w:rFonts w:ascii="宋体" w:hAnsi="宋体" w:cs="宋体" w:eastAsia="宋体" w:hint="default"/>
          <w:b/>
          <w:bCs/>
          <w:spacing w:val="3"/>
          <w:w w:val="95"/>
          <w:sz w:val="21"/>
          <w:szCs w:val="21"/>
        </w:rPr>
        <w:t>）境内外会计准则下会计数据差异原因说明，对已经境外审计机构审计的数据进行差异调节的，应注</w:t>
      </w:r>
      <w:r>
        <w:rPr>
          <w:rFonts w:ascii="宋体" w:hAnsi="宋体" w:cs="宋体" w:eastAsia="宋体" w:hint="default"/>
          <w:b/>
          <w:bCs/>
          <w:spacing w:val="93"/>
          <w:w w:val="95"/>
          <w:sz w:val="21"/>
          <w:szCs w:val="21"/>
        </w:rPr>
        <w:t> </w:t>
      </w:r>
      <w:r>
        <w:rPr>
          <w:rFonts w:ascii="宋体" w:hAnsi="宋体" w:cs="宋体" w:eastAsia="宋体" w:hint="default"/>
          <w:b/>
          <w:bCs/>
          <w:spacing w:val="93"/>
          <w:w w:val="95"/>
          <w:sz w:val="21"/>
          <w:szCs w:val="21"/>
        </w:rPr>
      </w:r>
      <w:r>
        <w:rPr>
          <w:rFonts w:ascii="宋体" w:hAnsi="宋体" w:cs="宋体" w:eastAsia="宋体" w:hint="default"/>
          <w:b/>
          <w:bCs/>
          <w:sz w:val="21"/>
          <w:szCs w:val="21"/>
        </w:rPr>
        <w:t>明该境外机构的名称</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2" w:right="1115" w:firstLine="0"/>
        <w:jc w:val="left"/>
        <w:rPr>
          <w:rFonts w:ascii="宋体" w:hAnsi="宋体" w:cs="宋体" w:eastAsia="宋体" w:hint="default"/>
          <w:sz w:val="21"/>
          <w:szCs w:val="21"/>
        </w:rPr>
      </w:pPr>
      <w:bookmarkStart w:name="4、其他" w:id="428"/>
      <w:bookmarkEnd w:id="428"/>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80"/>
          <w:pgSz w:w="11910" w:h="16840"/>
          <w:pgMar w:footer="1027" w:header="939" w:top="1920" w:bottom="1220" w:left="1020" w:right="0"/>
          <w:pgNumType w:start="179"/>
        </w:sectPr>
      </w:pPr>
    </w:p>
    <w:p>
      <w:pPr>
        <w:spacing w:line="240" w:lineRule="auto" w:before="0"/>
        <w:rPr>
          <w:rFonts w:ascii="宋体" w:hAnsi="宋体" w:cs="宋体" w:eastAsia="宋体" w:hint="default"/>
          <w:b/>
          <w:bCs/>
          <w:sz w:val="26"/>
          <w:szCs w:val="26"/>
        </w:rPr>
      </w:pPr>
    </w:p>
    <w:p>
      <w:pPr>
        <w:pStyle w:val="Heading1"/>
        <w:spacing w:line="240" w:lineRule="auto"/>
        <w:ind w:left="3247" w:right="1115"/>
        <w:jc w:val="left"/>
        <w:rPr>
          <w:b w:val="0"/>
          <w:bCs w:val="0"/>
        </w:rPr>
      </w:pPr>
      <w:bookmarkStart w:name="第十三节 备查文件目录" w:id="429"/>
      <w:bookmarkEnd w:id="429"/>
      <w:r>
        <w:rPr>
          <w:b w:val="0"/>
          <w:bCs w:val="0"/>
        </w:rPr>
      </w:r>
      <w:bookmarkStart w:name="_bookmark12" w:id="430"/>
      <w:bookmarkEnd w:id="430"/>
      <w:r>
        <w:rPr>
          <w:b w:val="0"/>
          <w:bCs w:val="0"/>
        </w:rPr>
      </w:r>
      <w:r>
        <w:rPr/>
        <w:t>第十三节</w:t>
      </w:r>
      <w:r>
        <w:rPr>
          <w:spacing w:val="-10"/>
        </w:rPr>
        <w:t> </w:t>
      </w:r>
      <w:r>
        <w:rPr/>
        <w:t>备查文件目录</w:t>
      </w:r>
      <w:r>
        <w:rPr>
          <w:b w:val="0"/>
          <w:bCs w:val="0"/>
        </w:rPr>
      </w:r>
    </w:p>
    <w:p>
      <w:pPr>
        <w:spacing w:line="240" w:lineRule="auto" w:before="7"/>
        <w:rPr>
          <w:rFonts w:ascii="宋体" w:hAnsi="宋体" w:cs="宋体" w:eastAsia="宋体" w:hint="default"/>
          <w:b/>
          <w:bCs/>
          <w:sz w:val="40"/>
          <w:szCs w:val="40"/>
        </w:rPr>
      </w:pPr>
    </w:p>
    <w:p>
      <w:pPr>
        <w:spacing w:line="307" w:lineRule="auto" w:before="0"/>
        <w:ind w:left="112" w:right="1572" w:firstLine="0"/>
        <w:jc w:val="left"/>
        <w:rPr>
          <w:rFonts w:ascii="宋体" w:hAnsi="宋体" w:cs="宋体" w:eastAsia="宋体" w:hint="default"/>
          <w:sz w:val="21"/>
          <w:szCs w:val="21"/>
        </w:rPr>
      </w:pPr>
      <w:r>
        <w:rPr>
          <w:rFonts w:ascii="宋体" w:hAnsi="宋体" w:cs="宋体" w:eastAsia="宋体" w:hint="default"/>
          <w:w w:val="95"/>
          <w:sz w:val="21"/>
          <w:szCs w:val="21"/>
        </w:rPr>
        <w:t>一、载有公司负责人、主管会计工作负责人、会计机构负责人签名并盖章的财务报表。</w:t>
      </w:r>
      <w:r>
        <w:rPr>
          <w:rFonts w:ascii="宋体" w:hAnsi="宋体" w:cs="宋体" w:eastAsia="宋体" w:hint="default"/>
          <w:spacing w:val="78"/>
          <w:w w:val="95"/>
          <w:sz w:val="21"/>
          <w:szCs w:val="21"/>
        </w:rPr>
        <w:t> </w:t>
      </w:r>
      <w:r>
        <w:rPr>
          <w:rFonts w:ascii="宋体" w:hAnsi="宋体" w:cs="宋体" w:eastAsia="宋体" w:hint="default"/>
          <w:spacing w:val="78"/>
          <w:w w:val="95"/>
          <w:sz w:val="21"/>
          <w:szCs w:val="21"/>
        </w:rPr>
      </w:r>
      <w:r>
        <w:rPr>
          <w:rFonts w:ascii="宋体" w:hAnsi="宋体" w:cs="宋体" w:eastAsia="宋体" w:hint="default"/>
          <w:sz w:val="21"/>
          <w:szCs w:val="21"/>
        </w:rPr>
        <w:t>二、载有会计师事务所盖章、注册会计师签名并盖章的审计报告原件。</w:t>
      </w:r>
      <w:r>
        <w:rPr>
          <w:rFonts w:ascii="宋体" w:hAnsi="宋体" w:cs="宋体" w:eastAsia="宋体" w:hint="default"/>
          <w:w w:val="99"/>
          <w:sz w:val="21"/>
          <w:szCs w:val="21"/>
        </w:rPr>
        <w:t> </w:t>
      </w:r>
      <w:r>
        <w:rPr>
          <w:rFonts w:ascii="宋体" w:hAnsi="宋体" w:cs="宋体" w:eastAsia="宋体" w:hint="default"/>
          <w:sz w:val="21"/>
          <w:szCs w:val="21"/>
        </w:rPr>
        <w:t>三、报告期内在中国证监会指定网站上公开披露过的所有文件正本及公告的原稿。</w:t>
      </w:r>
      <w:r>
        <w:rPr>
          <w:rFonts w:ascii="宋体" w:hAnsi="宋体" w:cs="宋体" w:eastAsia="宋体" w:hint="default"/>
          <w:w w:val="99"/>
          <w:sz w:val="21"/>
          <w:szCs w:val="21"/>
        </w:rPr>
        <w:t> </w:t>
      </w:r>
      <w:r>
        <w:rPr>
          <w:rFonts w:ascii="宋体" w:hAnsi="宋体" w:cs="宋体" w:eastAsia="宋体" w:hint="default"/>
          <w:sz w:val="21"/>
          <w:szCs w:val="21"/>
        </w:rPr>
        <w:t>四、载有法定代表人签名的2019年年度报告文本原件。</w:t>
      </w:r>
      <w:r>
        <w:rPr>
          <w:rFonts w:ascii="宋体" w:hAnsi="宋体" w:cs="宋体" w:eastAsia="宋体" w:hint="default"/>
          <w:w w:val="99"/>
          <w:sz w:val="21"/>
          <w:szCs w:val="21"/>
        </w:rPr>
        <w:t> </w:t>
      </w:r>
      <w:r>
        <w:rPr>
          <w:rFonts w:ascii="宋体" w:hAnsi="宋体" w:cs="宋体" w:eastAsia="宋体" w:hint="default"/>
          <w:sz w:val="21"/>
          <w:szCs w:val="21"/>
        </w:rPr>
        <w:t>五、以上备查文件的备置地点：公司董秘办。</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spacing w:line="444" w:lineRule="auto" w:before="0"/>
        <w:ind w:left="7862" w:right="1132" w:hanging="212"/>
        <w:jc w:val="right"/>
        <w:rPr>
          <w:rFonts w:ascii="宋体" w:hAnsi="宋体" w:cs="宋体" w:eastAsia="宋体" w:hint="default"/>
          <w:sz w:val="21"/>
          <w:szCs w:val="21"/>
        </w:rPr>
      </w:pPr>
      <w:r>
        <w:rPr>
          <w:rFonts w:ascii="宋体" w:hAnsi="宋体" w:cs="宋体" w:eastAsia="宋体" w:hint="default"/>
          <w:w w:val="95"/>
          <w:sz w:val="21"/>
          <w:szCs w:val="21"/>
        </w:rPr>
        <w:t>浙江万马股份有限公司</w:t>
      </w:r>
      <w:r>
        <w:rPr>
          <w:rFonts w:ascii="宋体" w:hAnsi="宋体" w:cs="宋体" w:eastAsia="宋体" w:hint="default"/>
          <w:spacing w:val="-17"/>
          <w:w w:val="95"/>
          <w:sz w:val="21"/>
          <w:szCs w:val="21"/>
        </w:rPr>
        <w:t> </w:t>
      </w:r>
      <w:r>
        <w:rPr>
          <w:rFonts w:ascii="宋体" w:hAnsi="宋体" w:cs="宋体" w:eastAsia="宋体" w:hint="default"/>
          <w:spacing w:val="-17"/>
          <w:w w:val="95"/>
          <w:sz w:val="21"/>
          <w:szCs w:val="21"/>
        </w:rPr>
      </w:r>
      <w:r>
        <w:rPr>
          <w:rFonts w:ascii="宋体" w:hAnsi="宋体" w:cs="宋体" w:eastAsia="宋体" w:hint="default"/>
          <w:w w:val="95"/>
          <w:sz w:val="21"/>
          <w:szCs w:val="21"/>
        </w:rPr>
        <w:t>法定代表人：张珊珊</w:t>
      </w:r>
      <w:r>
        <w:rPr>
          <w:rFonts w:ascii="宋体" w:hAnsi="宋体" w:cs="宋体" w:eastAsia="宋体" w:hint="default"/>
          <w:w w:val="99"/>
          <w:sz w:val="21"/>
          <w:szCs w:val="21"/>
        </w:rPr>
        <w:t> </w:t>
      </w:r>
      <w:r>
        <w:rPr>
          <w:rFonts w:ascii="Times New Roman" w:hAnsi="Times New Roman" w:cs="Times New Roman" w:eastAsia="Times New Roman" w:hint="default"/>
          <w:w w:val="95"/>
          <w:sz w:val="21"/>
          <w:szCs w:val="21"/>
        </w:rPr>
        <w:t>2020</w:t>
      </w:r>
      <w:r>
        <w:rPr>
          <w:rFonts w:ascii="宋体" w:hAnsi="宋体" w:cs="宋体" w:eastAsia="宋体" w:hint="default"/>
          <w:w w:val="95"/>
          <w:sz w:val="21"/>
          <w:szCs w:val="21"/>
        </w:rPr>
        <w:t>年</w:t>
      </w:r>
      <w:r>
        <w:rPr>
          <w:rFonts w:ascii="Times New Roman" w:hAnsi="Times New Roman" w:cs="Times New Roman" w:eastAsia="Times New Roman" w:hint="default"/>
          <w:w w:val="95"/>
          <w:sz w:val="21"/>
          <w:szCs w:val="21"/>
        </w:rPr>
        <w:t>4</w:t>
      </w:r>
      <w:r>
        <w:rPr>
          <w:rFonts w:ascii="宋体" w:hAnsi="宋体" w:cs="宋体" w:eastAsia="宋体" w:hint="default"/>
          <w:w w:val="95"/>
          <w:sz w:val="21"/>
          <w:szCs w:val="21"/>
        </w:rPr>
        <w:t>月</w:t>
      </w:r>
      <w:r>
        <w:rPr>
          <w:rFonts w:ascii="Times New Roman" w:hAnsi="Times New Roman" w:cs="Times New Roman" w:eastAsia="Times New Roman" w:hint="default"/>
          <w:w w:val="95"/>
          <w:sz w:val="21"/>
          <w:szCs w:val="21"/>
        </w:rPr>
        <w:t>28</w:t>
      </w:r>
      <w:r>
        <w:rPr>
          <w:rFonts w:ascii="宋体" w:hAnsi="宋体" w:cs="宋体" w:eastAsia="宋体" w:hint="default"/>
          <w:w w:val="95"/>
          <w:sz w:val="21"/>
          <w:szCs w:val="21"/>
        </w:rPr>
        <w:t>日</w:t>
      </w:r>
      <w:r>
        <w:rPr>
          <w:rFonts w:ascii="宋体" w:hAnsi="宋体" w:cs="宋体" w:eastAsia="宋体" w:hint="default"/>
          <w:sz w:val="21"/>
          <w:szCs w:val="21"/>
        </w:rPr>
      </w:r>
    </w:p>
    <w:sectPr>
      <w:footerReference w:type="default" r:id="rId81"/>
      <w:pgSz w:w="11910" w:h="16840"/>
      <w:pgMar w:footer="1027" w:header="939" w:top="1920" w:bottom="1220" w:left="1020" w:right="0"/>
      <w:pgNumType w:star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Calibri">
    <w:altName w:val="Calibri"/>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70496" type="#_x0000_t75" stroked="false">
          <v:imagedata r:id="rId1" o:titl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656" type="#_x0000_t75" stroked="false">
          <v:imagedata r:id="rId1" o:title=""/>
        </v:shape>
      </w:pict>
    </w:r>
    <w:r>
      <w:rPr/>
      <w:pict>
        <v:shape style="position:absolute;margin-left:249.199997pt;margin-top:786.532043pt;width:76.3pt;height:10.5pt;mso-position-horizontal-relative:page;mso-position-vertical-relative:page;z-index:-1169632"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71</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608" type="#_x0000_t75" stroked="false">
          <v:imagedata r:id="rId1" o:title=""/>
        </v:shape>
      </w:pict>
    </w:r>
    <w:r>
      <w:rPr/>
      <w:pict>
        <v:shape style="position:absolute;margin-left:249.199997pt;margin-top:786.532043pt;width:76.3pt;height:10.5pt;mso-position-horizontal-relative:page;mso-position-vertical-relative:page;z-index:-1169584"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80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560" type="#_x0000_t75" stroked="false">
          <v:imagedata r:id="rId1" o:title=""/>
        </v:shape>
      </w:pict>
    </w:r>
    <w:r>
      <w:rPr/>
      <w:pict>
        <v:shape style="position:absolute;margin-left:249.199997pt;margin-top:786.532043pt;width:76.3pt;height:10.5pt;mso-position-horizontal-relative:page;mso-position-vertical-relative:page;z-index:-1169536"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90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512" type="#_x0000_t75" stroked="false">
          <v:imagedata r:id="rId1" o:title=""/>
        </v:shape>
      </w:pict>
    </w:r>
    <w:r>
      <w:rPr/>
      <w:pict>
        <v:shape style="position:absolute;margin-left:249.199997pt;margin-top:786.532043pt;width:80.25pt;height:10.5pt;mso-position-horizontal-relative:page;mso-position-vertical-relative:page;z-index:-1169488"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100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464" type="#_x0000_t75" stroked="false">
          <v:imagedata r:id="rId1" o:title=""/>
        </v:shape>
      </w:pict>
    </w:r>
    <w:r>
      <w:rPr/>
      <w:pict>
        <v:shape style="position:absolute;margin-left:249.199997pt;margin-top:786.532043pt;width:79.9pt;height:10.5pt;mso-position-horizontal-relative:page;mso-position-vertical-relative:page;z-index:-1169440"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110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5"/>
                    <w:sz w:val="16"/>
                    <w:szCs w:val="16"/>
                  </w:rPr>
                  <w:t> </w:t>
                </w:r>
                <w:r>
                  <w:rPr>
                    <w:rFonts w:ascii="宋体" w:hAnsi="宋体" w:cs="宋体" w:eastAsia="宋体" w:hint="default"/>
                    <w:sz w:val="16"/>
                    <w:szCs w:val="16"/>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416" type="#_x0000_t75" stroked="false">
          <v:imagedata r:id="rId1" o:title=""/>
        </v:shape>
      </w:pict>
    </w:r>
    <w:r>
      <w:rPr/>
      <w:pict>
        <v:shape style="position:absolute;margin-left:249.199997pt;margin-top:786.532043pt;width:80.25pt;height:10.5pt;mso-position-horizontal-relative:page;mso-position-vertical-relative:page;z-index:-1169392"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120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5.039993pt;margin-top:540.172058pt;width:80.25pt;height:10.5pt;mso-position-horizontal-relative:page;mso-position-vertical-relative:page;z-index:-1169368"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125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9.199997pt;margin-top:786.532043pt;width:80.25pt;height:10.5pt;mso-position-horizontal-relative:page;mso-position-vertical-relative:page;z-index:-1169320"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126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248" type="#_x0000_t75" stroked="false">
          <v:imagedata r:id="rId1" o:title=""/>
        </v:shape>
      </w:pict>
    </w:r>
    <w:r>
      <w:rPr/>
      <w:pict>
        <v:shape style="position:absolute;margin-left:249.199997pt;margin-top:786.532043pt;width:80.25pt;height:10.5pt;mso-position-horizontal-relative:page;mso-position-vertical-relative:page;z-index:-1169224"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127</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200" type="#_x0000_t75" stroked="false">
          <v:imagedata r:id="rId1" o:title=""/>
        </v:shape>
      </w:pict>
    </w:r>
    <w:r>
      <w:rPr/>
      <w:pict>
        <v:shape style="position:absolute;margin-left:249.199997pt;margin-top:786.532043pt;width:80.25pt;height:10.5pt;mso-position-horizontal-relative:page;mso-position-vertical-relative:page;z-index:-1169176"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130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70424" type="#_x0000_t75" stroked="false">
          <v:imagedata r:id="rId1" o:title=""/>
        </v:shape>
      </w:pict>
    </w:r>
    <w:r>
      <w:rPr/>
      <w:pict>
        <v:shape style="position:absolute;margin-left:254.839996pt;margin-top:778.274658pt;width:85.55pt;height:11.5pt;mso-position-horizontal-relative:page;mso-position-vertical-relative:page;z-index:-11704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 </w:t>
                </w:r>
                <w:r>
                  <w:rPr>
                    <w:rFonts w:ascii="Times New Roman" w:hAnsi="Times New Roman" w:cs="Times New Roman" w:eastAsia="Times New Roman" w:hint="default"/>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r>
                  <w:rPr>
                    <w:rFonts w:ascii="Times New Roman" w:hAnsi="Times New Roman" w:cs="Times New Roman" w:eastAsia="Times New Roman" w:hint="default"/>
                    <w:sz w:val="18"/>
                    <w:szCs w:val="18"/>
                  </w:rPr>
                  <w:t>/  </w:t>
                </w:r>
                <w:r>
                  <w:rPr>
                    <w:rFonts w:ascii="宋体" w:hAnsi="宋体" w:cs="宋体" w:eastAsia="宋体" w:hint="default"/>
                    <w:sz w:val="18"/>
                    <w:szCs w:val="18"/>
                  </w:rPr>
                  <w:t>共 </w:t>
                </w:r>
                <w:r>
                  <w:rPr>
                    <w:rFonts w:ascii="Times New Roman" w:hAnsi="Times New Roman" w:cs="Times New Roman" w:eastAsia="Times New Roman" w:hint="default"/>
                    <w:sz w:val="18"/>
                    <w:szCs w:val="18"/>
                  </w:rPr>
                  <w:t>180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页</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5.039993pt;margin-top:540.172058pt;width:80.25pt;height:10.5pt;mso-position-horizontal-relative:page;mso-position-vertical-relative:page;z-index:-1169104"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131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160217pt;margin-top:570.55481pt;width:42.077306pt;height:18.950848pt;mso-position-horizontal-relative:page;mso-position-vertical-relative:page;z-index:-1169080" type="#_x0000_t75" stroked="false">
          <v:imagedata r:id="rId1" o:title=""/>
        </v:shape>
      </w:pict>
    </w:r>
    <w:r>
      <w:rPr/>
      <w:pict>
        <v:shape style="position:absolute;margin-left:235.039993pt;margin-top:540.172058pt;width:80.25pt;height:10.5pt;mso-position-horizontal-relative:page;mso-position-vertical-relative:page;z-index:-1169056"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132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9.199997pt;margin-top:786.532043pt;width:80.25pt;height:10.5pt;mso-position-horizontal-relative:page;mso-position-vertical-relative:page;z-index:-1168984"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133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8960" type="#_x0000_t75" stroked="false">
          <v:imagedata r:id="rId1" o:title=""/>
        </v:shape>
      </w:pict>
    </w:r>
    <w:r>
      <w:rPr/>
      <w:pict>
        <v:shape style="position:absolute;margin-left:249.199997pt;margin-top:786.532043pt;width:80.25pt;height:10.5pt;mso-position-horizontal-relative:page;mso-position-vertical-relative:page;z-index:-1168936"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134</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8912" type="#_x0000_t75" stroked="false">
          <v:imagedata r:id="rId1" o:title=""/>
        </v:shape>
      </w:pict>
    </w:r>
    <w:r>
      <w:rPr/>
      <w:pict>
        <v:shape style="position:absolute;margin-left:249.199997pt;margin-top:786.532043pt;width:80.25pt;height:10.5pt;mso-position-horizontal-relative:page;mso-position-vertical-relative:page;z-index:-1168888"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140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5.039993pt;margin-top:540.172058pt;width:80.25pt;height:10.5pt;mso-position-horizontal-relative:page;mso-position-vertical-relative:page;z-index:-1168864"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143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9.199997pt;margin-top:786.532043pt;width:80.25pt;height:10.5pt;mso-position-horizontal-relative:page;mso-position-vertical-relative:page;z-index:-1168816"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144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8744" type="#_x0000_t75" stroked="false">
          <v:imagedata r:id="rId1" o:title=""/>
        </v:shape>
      </w:pict>
    </w:r>
    <w:r>
      <w:rPr/>
      <w:pict>
        <v:shape style="position:absolute;margin-left:249.199997pt;margin-top:786.532043pt;width:80.25pt;height:10.5pt;mso-position-horizontal-relative:page;mso-position-vertical-relative:page;z-index:-1168720"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145</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8696" type="#_x0000_t75" stroked="false">
          <v:imagedata r:id="rId1" o:title=""/>
        </v:shape>
      </w:pict>
    </w:r>
    <w:r>
      <w:rPr/>
      <w:pict>
        <v:shape style="position:absolute;margin-left:249.199997pt;margin-top:786.532043pt;width:80.25pt;height:10.5pt;mso-position-horizontal-relative:page;mso-position-vertical-relative:page;z-index:-1168672"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150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5.039993pt;margin-top:540.172058pt;width:80.25pt;height:10.5pt;mso-position-horizontal-relative:page;mso-position-vertical-relative:page;z-index:-1168648"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160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70280" type="#_x0000_t75" stroked="false">
          <v:imagedata r:id="rId1" o:title=""/>
        </v:shape>
      </w:pict>
    </w:r>
    <w:r>
      <w:rPr/>
      <w:pict>
        <v:shape style="position:absolute;margin-left:254.839996pt;margin-top:778.274658pt;width:85.55pt;height:11.5pt;mso-position-horizontal-relative:page;mso-position-vertical-relative:page;z-index:-11702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 </w:t>
                </w:r>
                <w:r>
                  <w:rPr>
                    <w:rFonts w:ascii="Times New Roman" w:hAnsi="Times New Roman" w:cs="Times New Roman" w:eastAsia="Times New Roman" w:hint="default"/>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20</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r>
                  <w:rPr>
                    <w:rFonts w:ascii="Times New Roman" w:hAnsi="Times New Roman" w:cs="Times New Roman" w:eastAsia="Times New Roman" w:hint="default"/>
                    <w:sz w:val="18"/>
                    <w:szCs w:val="18"/>
                  </w:rPr>
                  <w:t>/  </w:t>
                </w:r>
                <w:r>
                  <w:rPr>
                    <w:rFonts w:ascii="宋体" w:hAnsi="宋体" w:cs="宋体" w:eastAsia="宋体" w:hint="default"/>
                    <w:sz w:val="18"/>
                    <w:szCs w:val="18"/>
                  </w:rPr>
                  <w:t>共 </w:t>
                </w:r>
                <w:r>
                  <w:rPr>
                    <w:rFonts w:ascii="Times New Roman" w:hAnsi="Times New Roman" w:cs="Times New Roman" w:eastAsia="Times New Roman" w:hint="default"/>
                    <w:sz w:val="18"/>
                    <w:szCs w:val="18"/>
                  </w:rPr>
                  <w:t>180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页</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9.199997pt;margin-top:786.532043pt;width:80.25pt;height:10.5pt;mso-position-horizontal-relative:page;mso-position-vertical-relative:page;z-index:-1168600"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161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8528" type="#_x0000_t75" stroked="false">
          <v:imagedata r:id="rId1" o:title=""/>
        </v:shape>
      </w:pict>
    </w:r>
    <w:r>
      <w:rPr/>
      <w:pict>
        <v:shape style="position:absolute;margin-left:249.199997pt;margin-top:786.532043pt;width:80.25pt;height:10.5pt;mso-position-horizontal-relative:page;mso-position-vertical-relative:page;z-index:-1168504"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162</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8480" type="#_x0000_t75" stroked="false">
          <v:imagedata r:id="rId1" o:title=""/>
        </v:shape>
      </w:pict>
    </w:r>
    <w:r>
      <w:rPr/>
      <w:pict>
        <v:shape style="position:absolute;margin-left:249.199997pt;margin-top:786.532043pt;width:80.25pt;height:10.5pt;mso-position-horizontal-relative:page;mso-position-vertical-relative:page;z-index:-1168456"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170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5.039993pt;margin-top:540.172058pt;width:80.25pt;height:10.5pt;mso-position-horizontal-relative:page;mso-position-vertical-relative:page;z-index:-1168384"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176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5.039993pt;margin-top:540.172058pt;width:80.25pt;height:10.5pt;mso-position-horizontal-relative:page;mso-position-vertical-relative:page;z-index:-1168360"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177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20.880005pt;margin-top:779.572083pt;width:80.25pt;height:10.5pt;mso-position-horizontal-relative:page;mso-position-vertical-relative:page;z-index:-1168288"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t>178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68264" type="#_x0000_t75" stroked="false">
          <v:imagedata r:id="rId1" o:title=""/>
        </v:shape>
      </w:pict>
    </w:r>
    <w:r>
      <w:rPr/>
      <w:pict>
        <v:shape style="position:absolute;margin-left:220.880005pt;margin-top:779.572083pt;width:80.25pt;height:10.5pt;mso-position-horizontal-relative:page;mso-position-vertical-relative:page;z-index:-1168240"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179</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68216" type="#_x0000_t75" stroked="false">
          <v:imagedata r:id="rId1" o:title=""/>
        </v:shape>
      </w:pict>
    </w:r>
    <w:r>
      <w:rPr/>
      <w:pict>
        <v:shape style="position:absolute;margin-left:220.880005pt;margin-top:779.572083pt;width:80.25pt;height:10.5pt;mso-position-horizontal-relative:page;mso-position-vertical-relative:page;z-index:-1168192"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180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7"/>
                    <w:sz w:val="16"/>
                    <w:szCs w:val="16"/>
                  </w:rPr>
                  <w:t> </w:t>
                </w:r>
                <w:r>
                  <w:rPr>
                    <w:rFonts w:ascii="宋体" w:hAnsi="宋体" w:cs="宋体" w:eastAsia="宋体" w:hint="default"/>
                    <w:sz w:val="16"/>
                    <w:szCs w:val="16"/>
                  </w:rPr>
                  <w:t>页</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70232" type="#_x0000_t75" stroked="false">
          <v:imagedata r:id="rId1" o:title=""/>
        </v:shape>
      </w:pict>
    </w:r>
    <w:r>
      <w:rPr/>
      <w:pict>
        <v:shape style="position:absolute;margin-left:254.839996pt;margin-top:778.274658pt;width:85.55pt;height:11.5pt;mso-position-horizontal-relative:page;mso-position-vertical-relative:page;z-index:-11702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 </w:t>
                </w:r>
                <w:r>
                  <w:rPr>
                    <w:rFonts w:ascii="Times New Roman" w:hAnsi="Times New Roman" w:cs="Times New Roman" w:eastAsia="Times New Roman" w:hint="default"/>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30</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r>
                  <w:rPr>
                    <w:rFonts w:ascii="Times New Roman" w:hAnsi="Times New Roman" w:cs="Times New Roman" w:eastAsia="Times New Roman" w:hint="default"/>
                    <w:sz w:val="18"/>
                    <w:szCs w:val="18"/>
                  </w:rPr>
                  <w:t>/  </w:t>
                </w:r>
                <w:r>
                  <w:rPr>
                    <w:rFonts w:ascii="宋体" w:hAnsi="宋体" w:cs="宋体" w:eastAsia="宋体" w:hint="default"/>
                    <w:sz w:val="18"/>
                    <w:szCs w:val="18"/>
                  </w:rPr>
                  <w:t>共 </w:t>
                </w:r>
                <w:r>
                  <w:rPr>
                    <w:rFonts w:ascii="Times New Roman" w:hAnsi="Times New Roman" w:cs="Times New Roman" w:eastAsia="Times New Roman" w:hint="default"/>
                    <w:sz w:val="18"/>
                    <w:szCs w:val="18"/>
                  </w:rPr>
                  <w:t>180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70136" type="#_x0000_t75" stroked="false">
          <v:imagedata r:id="rId1" o:title=""/>
        </v:shape>
      </w:pict>
    </w:r>
    <w:r>
      <w:rPr/>
      <w:pict>
        <v:shape style="position:absolute;margin-left:254.240005pt;margin-top:778.274658pt;width:85.4pt;height:11.5pt;mso-position-horizontal-relative:page;mso-position-vertical-relative:page;z-index:-11701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 </w:t>
                </w:r>
                <w:r>
                  <w:rPr>
                    <w:rFonts w:ascii="Times New Roman" w:hAnsi="Times New Roman" w:cs="Times New Roman" w:eastAsia="Times New Roman" w:hint="default"/>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40</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r>
                  <w:rPr>
                    <w:rFonts w:ascii="Times New Roman" w:hAnsi="Times New Roman" w:cs="Times New Roman" w:eastAsia="Times New Roman" w:hint="default"/>
                    <w:sz w:val="18"/>
                    <w:szCs w:val="18"/>
                  </w:rPr>
                  <w:t>/  </w:t>
                </w:r>
                <w:r>
                  <w:rPr>
                    <w:rFonts w:ascii="宋体" w:hAnsi="宋体" w:cs="宋体" w:eastAsia="宋体" w:hint="default"/>
                    <w:sz w:val="18"/>
                    <w:szCs w:val="18"/>
                  </w:rPr>
                  <w:t>共 </w:t>
                </w:r>
                <w:r>
                  <w:rPr>
                    <w:rFonts w:ascii="Times New Roman" w:hAnsi="Times New Roman" w:cs="Times New Roman" w:eastAsia="Times New Roman" w:hint="default"/>
                    <w:sz w:val="18"/>
                    <w:szCs w:val="18"/>
                  </w:rPr>
                  <w:t>180</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69896" type="#_x0000_t75" stroked="false">
          <v:imagedata r:id="rId1" o:title=""/>
        </v:shape>
      </w:pict>
    </w:r>
    <w:r>
      <w:rPr/>
      <w:pict>
        <v:shape style="position:absolute;margin-left:254.839996pt;margin-top:778.274658pt;width:85.55pt;height:11.5pt;mso-position-horizontal-relative:page;mso-position-vertical-relative:page;z-index:-11698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 </w:t>
                </w:r>
                <w:r>
                  <w:rPr>
                    <w:rFonts w:ascii="Times New Roman" w:hAnsi="Times New Roman" w:cs="Times New Roman" w:eastAsia="Times New Roman" w:hint="default"/>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50</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r>
                  <w:rPr>
                    <w:rFonts w:ascii="Times New Roman" w:hAnsi="Times New Roman" w:cs="Times New Roman" w:eastAsia="Times New Roman" w:hint="default"/>
                    <w:sz w:val="18"/>
                    <w:szCs w:val="18"/>
                  </w:rPr>
                  <w:t>/  </w:t>
                </w:r>
                <w:r>
                  <w:rPr>
                    <w:rFonts w:ascii="宋体" w:hAnsi="宋体" w:cs="宋体" w:eastAsia="宋体" w:hint="default"/>
                    <w:sz w:val="18"/>
                    <w:szCs w:val="18"/>
                  </w:rPr>
                  <w:t>共 </w:t>
                </w:r>
                <w:r>
                  <w:rPr>
                    <w:rFonts w:ascii="Times New Roman" w:hAnsi="Times New Roman" w:cs="Times New Roman" w:eastAsia="Times New Roman" w:hint="default"/>
                    <w:sz w:val="18"/>
                    <w:szCs w:val="18"/>
                  </w:rPr>
                  <w:t>180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69848" type="#_x0000_t75" stroked="false">
          <v:imagedata r:id="rId1" o:title=""/>
        </v:shape>
      </w:pict>
    </w:r>
    <w:r>
      <w:rPr/>
      <w:pict>
        <v:shape style="position:absolute;margin-left:254.839996pt;margin-top:778.274658pt;width:85.55pt;height:11.5pt;mso-position-horizontal-relative:page;mso-position-vertical-relative:page;z-index:-11698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 </w:t>
                </w:r>
                <w:r>
                  <w:rPr>
                    <w:rFonts w:ascii="Times New Roman" w:hAnsi="Times New Roman" w:cs="Times New Roman" w:eastAsia="Times New Roman" w:hint="default"/>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60</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r>
                  <w:rPr>
                    <w:rFonts w:ascii="Times New Roman" w:hAnsi="Times New Roman" w:cs="Times New Roman" w:eastAsia="Times New Roman" w:hint="default"/>
                    <w:sz w:val="18"/>
                    <w:szCs w:val="18"/>
                  </w:rPr>
                  <w:t>/  </w:t>
                </w:r>
                <w:r>
                  <w:rPr>
                    <w:rFonts w:ascii="宋体" w:hAnsi="宋体" w:cs="宋体" w:eastAsia="宋体" w:hint="default"/>
                    <w:sz w:val="18"/>
                    <w:szCs w:val="18"/>
                  </w:rPr>
                  <w:t>共 </w:t>
                </w:r>
                <w:r>
                  <w:rPr>
                    <w:rFonts w:ascii="Times New Roman" w:hAnsi="Times New Roman" w:cs="Times New Roman" w:eastAsia="Times New Roman" w:hint="default"/>
                    <w:sz w:val="18"/>
                    <w:szCs w:val="18"/>
                  </w:rPr>
                  <w:t>180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69800" type="#_x0000_t75" stroked="false">
          <v:imagedata r:id="rId1" o:title=""/>
        </v:shape>
      </w:pict>
    </w:r>
    <w:r>
      <w:rPr/>
      <w:pict>
        <v:shape style="position:absolute;margin-left:254.839996pt;margin-top:778.274658pt;width:85.55pt;height:11.5pt;mso-position-horizontal-relative:page;mso-position-vertical-relative:page;z-index:-11697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 </w:t>
                </w:r>
                <w:r>
                  <w:rPr>
                    <w:rFonts w:ascii="Times New Roman" w:hAnsi="Times New Roman" w:cs="Times New Roman" w:eastAsia="Times New Roman" w:hint="default"/>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69</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r>
                  <w:rPr>
                    <w:rFonts w:ascii="Times New Roman" w:hAnsi="Times New Roman" w:cs="Times New Roman" w:eastAsia="Times New Roman" w:hint="default"/>
                    <w:sz w:val="18"/>
                    <w:szCs w:val="18"/>
                  </w:rPr>
                  <w:t>/  </w:t>
                </w:r>
                <w:r>
                  <w:rPr>
                    <w:rFonts w:ascii="宋体" w:hAnsi="宋体" w:cs="宋体" w:eastAsia="宋体" w:hint="default"/>
                    <w:sz w:val="18"/>
                    <w:szCs w:val="18"/>
                  </w:rPr>
                  <w:t>共 </w:t>
                </w:r>
                <w:r>
                  <w:rPr>
                    <w:rFonts w:ascii="Times New Roman" w:hAnsi="Times New Roman" w:cs="Times New Roman" w:eastAsia="Times New Roman" w:hint="default"/>
                    <w:sz w:val="18"/>
                    <w:szCs w:val="18"/>
                  </w:rPr>
                  <w:t>180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页</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8184pt;margin-top:806.509705pt;width:59.477876pt;height:26.787746pt;mso-position-horizontal-relative:page;mso-position-vertical-relative:page;z-index:-1169704" type="#_x0000_t75" stroked="false">
          <v:imagedata r:id="rId1" o:title=""/>
        </v:shape>
      </w:pict>
    </w:r>
    <w:r>
      <w:rPr/>
      <w:pict>
        <v:shape style="position:absolute;margin-left:249.199997pt;margin-top:786.532043pt;width:76.3pt;height:10.5pt;mso-position-horizontal-relative:page;mso-position-vertical-relative:page;z-index:-1169680" type="#_x0000_t202" filled="false" stroked="false">
          <v:textbox inset="0,0,0,0">
            <w:txbxContent>
              <w:p>
                <w:pPr>
                  <w:spacing w:line="193"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第 </w:t>
                </w:r>
                <w:r>
                  <w:rPr>
                    <w:rFonts w:ascii="Times New Roman" w:hAnsi="Times New Roman" w:cs="Times New Roman" w:eastAsia="Times New Roman" w:hint="default"/>
                    <w:sz w:val="16"/>
                    <w:szCs w:val="16"/>
                  </w:rPr>
                </w:r>
                <w:r>
                  <w:rPr/>
                  <w:fldChar w:fldCharType="begin"/>
                </w:r>
                <w:r>
                  <w:rPr>
                    <w:rFonts w:ascii="Times New Roman" w:hAnsi="Times New Roman" w:cs="Times New Roman" w:eastAsia="Times New Roman" w:hint="default"/>
                    <w:sz w:val="16"/>
                    <w:szCs w:val="16"/>
                  </w:rPr>
                  <w:instrText> PAGE </w:instrText>
                </w:r>
                <w:r>
                  <w:rPr/>
                  <w:fldChar w:fldCharType="separate"/>
                </w:r>
                <w:r>
                  <w:rPr/>
                  <w:t>70</w:t>
                </w:r>
                <w:r>
                  <w:rPr/>
                  <w:fldChar w:fldCharType="end"/>
                </w:r>
                <w:r>
                  <w:rPr>
                    <w:rFonts w:ascii="Times New Roman" w:hAnsi="Times New Roman" w:cs="Times New Roman" w:eastAsia="Times New Roman" w:hint="default"/>
                    <w:sz w:val="16"/>
                    <w:szCs w:val="16"/>
                  </w:rPr>
                  <w:t>  </w:t>
                </w:r>
                <w:r>
                  <w:rPr>
                    <w:rFonts w:ascii="宋体" w:hAnsi="宋体" w:cs="宋体" w:eastAsia="宋体" w:hint="default"/>
                    <w:sz w:val="16"/>
                    <w:szCs w:val="16"/>
                  </w:rPr>
                  <w:t>页</w:t>
                </w:r>
                <w:r>
                  <w:rPr>
                    <w:rFonts w:ascii="Times New Roman" w:hAnsi="Times New Roman" w:cs="Times New Roman" w:eastAsia="Times New Roman" w:hint="default"/>
                    <w:sz w:val="16"/>
                    <w:szCs w:val="16"/>
                  </w:rPr>
                  <w:t>/  </w:t>
                </w:r>
                <w:r>
                  <w:rPr>
                    <w:rFonts w:ascii="宋体" w:hAnsi="宋体" w:cs="宋体" w:eastAsia="宋体" w:hint="default"/>
                    <w:sz w:val="16"/>
                    <w:szCs w:val="16"/>
                  </w:rPr>
                  <w:t>共 </w:t>
                </w:r>
                <w:r>
                  <w:rPr>
                    <w:rFonts w:ascii="Times New Roman" w:hAnsi="Times New Roman" w:cs="Times New Roman" w:eastAsia="Times New Roman" w:hint="default"/>
                    <w:sz w:val="16"/>
                    <w:szCs w:val="16"/>
                  </w:rPr>
                  <w:t>180</w:t>
                </w:r>
                <w:r>
                  <w:rPr>
                    <w:rFonts w:ascii="Times New Roman" w:hAnsi="Times New Roman" w:cs="Times New Roman" w:eastAsia="Times New Roman" w:hint="default"/>
                    <w:spacing w:val="36"/>
                    <w:sz w:val="16"/>
                    <w:szCs w:val="16"/>
                  </w:rPr>
                  <w:t> </w:t>
                </w:r>
                <w:r>
                  <w:rPr>
                    <w:rFonts w:ascii="宋体" w:hAnsi="宋体" w:cs="宋体" w:eastAsia="宋体" w:hint="default"/>
                    <w:sz w:val="16"/>
                    <w:szCs w:val="16"/>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59998pt;margin-top:44.520023pt;width:136.080pt;height:25.32pt;mso-position-horizontal-relative:page;mso-position-vertical-relative:page;z-index:-1170472" type="#_x0000_t75" stroked="false">
          <v:imagedata r:id="rId1" o:title=""/>
        </v:shape>
      </w:pict>
    </w:r>
    <w:r>
      <w:rPr/>
      <w:pict>
        <v:shapetype id="_x0000_t202" o:spt="202" coordsize="21600,21600" path="m,l,21600r21600,l21600,xe">
          <v:stroke joinstyle="miter"/>
          <v:path gradientshapeok="t" o:connecttype="rect"/>
        </v:shapetype>
        <v:shape style="position:absolute;margin-left:55.599998pt;margin-top:61.155651pt;width:453.25pt;height:11.5pt;mso-position-horizontal-relative:page;mso-position-vertical-relative:page;z-index:-1170448"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47"/>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5.953918pt;width:242pt;height:47.1pt;mso-position-horizontal-relative:page;mso-position-vertical-relative:page;z-index:-1169344"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800003pt;margin-top:96.700012pt;width:516.65pt;height:.1pt;mso-position-horizontal-relative:page;mso-position-vertical-relative:page;z-index:-1169296" coordorigin="1576,1934" coordsize="10333,2">
          <v:shape style="position:absolute;left:1576;top:1934;width:10333;height:2" coordorigin="1576,1934" coordsize="10333,0" path="m1576,1934l11909,1934e" filled="false" stroked="true" strokeweight=".75pt" strokecolor="#000000">
            <v:path arrowok="t"/>
          </v:shape>
          <w10:wrap type="none"/>
        </v:group>
      </w:pict>
    </w:r>
    <w:r>
      <w:rPr/>
      <w:pict>
        <v:shape style="position:absolute;margin-left:84.080002pt;margin-top:45.953918pt;width:242pt;height:47.1pt;mso-position-horizontal-relative:page;mso-position-vertical-relative:page;z-index:-1169272"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4.650002pt;margin-top:96.700012pt;width:694.85pt;height:.1pt;mso-position-horizontal-relative:page;mso-position-vertical-relative:page;z-index:-1169152" coordorigin="1293,1934" coordsize="13897,2">
          <v:shape style="position:absolute;left:1293;top:1934;width:13897;height:2" coordorigin="1293,1934" coordsize="13897,0" path="m1293,1934l15190,1934e" filled="false" stroked="true" strokeweight=".75pt" strokecolor="#000000">
            <v:path arrowok="t"/>
          </v:shape>
          <w10:wrap type="none"/>
        </v:group>
      </w:pict>
    </w:r>
    <w:r>
      <w:rPr/>
      <w:pict>
        <v:shape style="position:absolute;margin-left:69.919998pt;margin-top:45.953918pt;width:242pt;height:47.1pt;mso-position-horizontal-relative:page;mso-position-vertical-relative:page;z-index:-1169128"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800003pt;margin-top:96.700012pt;width:516.65pt;height:.1pt;mso-position-horizontal-relative:page;mso-position-vertical-relative:page;z-index:-1169032" coordorigin="1576,1934" coordsize="10333,2">
          <v:shape style="position:absolute;left:1576;top:1934;width:10333;height:2" coordorigin="1576,1934" coordsize="10333,0" path="m1576,1934l11909,1934e" filled="false" stroked="true" strokeweight=".75pt" strokecolor="#000000">
            <v:path arrowok="t"/>
          </v:shape>
          <w10:wrap type="none"/>
        </v:group>
      </w:pict>
    </w:r>
    <w:r>
      <w:rPr/>
      <w:pict>
        <v:shape style="position:absolute;margin-left:84.080002pt;margin-top:45.953918pt;width:242pt;height:47.1pt;mso-position-horizontal-relative:page;mso-position-vertical-relative:page;z-index:-1169008"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5.953918pt;width:242pt;height:47.1pt;mso-position-horizontal-relative:page;mso-position-vertical-relative:page;z-index:-1168840"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699997pt;margin-top:96.700012pt;width:433.8pt;height:.1pt;mso-position-horizontal-relative:page;mso-position-vertical-relative:page;z-index:-1168792" coordorigin="1674,1934" coordsize="8676,2">
          <v:shape style="position:absolute;left:1674;top:1934;width:8676;height:2" coordorigin="1674,1934" coordsize="8676,0" path="m1674,1934l10350,1934e" filled="false" stroked="true" strokeweight=".75pt" strokecolor="#000000">
            <v:path arrowok="t"/>
          </v:shape>
          <w10:wrap type="none"/>
        </v:group>
      </w:pict>
    </w:r>
    <w:r>
      <w:rPr/>
      <w:pict>
        <v:shape style="position:absolute;margin-left:84.080002pt;margin-top:45.953918pt;width:242pt;height:47.1pt;mso-position-horizontal-relative:page;mso-position-vertical-relative:page;z-index:-1168768"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5.953918pt;width:242pt;height:47.1pt;mso-position-horizontal-relative:page;mso-position-vertical-relative:page;z-index:-1168624"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59998pt;margin-top:44.520023pt;width:136.080pt;height:25.32pt;mso-position-horizontal-relative:page;mso-position-vertical-relative:page;z-index:-1170376" type="#_x0000_t75" stroked="false">
          <v:imagedata r:id="rId1" o:title=""/>
        </v:shape>
      </w:pict>
    </w:r>
    <w:r>
      <w:rPr/>
      <w:pict>
        <v:shape style="position:absolute;margin-left:55.599998pt;margin-top:61.155651pt;width:453.25pt;height:11.5pt;mso-position-horizontal-relative:page;mso-position-vertical-relative:page;z-index:-1170352"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47"/>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699997pt;margin-top:98.950012pt;width:428.05pt;height:.1pt;mso-position-horizontal-relative:page;mso-position-vertical-relative:page;z-index:-1168576" coordorigin="1674,1979" coordsize="8561,2">
          <v:shape style="position:absolute;left:1674;top:1979;width:8561;height:2" coordorigin="1674,1979" coordsize="8561,0" path="m1674,1979l10235,1979e" filled="false" stroked="true" strokeweight=".75pt" strokecolor="#000000">
            <v:path arrowok="t"/>
          </v:shape>
          <w10:wrap type="none"/>
        </v:group>
      </w:pict>
    </w:r>
    <w:r>
      <w:rPr/>
      <w:pict>
        <v:shape style="position:absolute;margin-left:84.080002pt;margin-top:45.953918pt;width:242pt;height:47.1pt;mso-position-horizontal-relative:page;mso-position-vertical-relative:page;z-index:-1168552"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1.050003pt;margin-top:95.950012pt;width:708.95pt;height:.1pt;mso-position-horizontal-relative:page;mso-position-vertical-relative:page;z-index:-1168432" coordorigin="1421,1919" coordsize="14179,2">
          <v:shape style="position:absolute;left:1421;top:1919;width:14179;height:2" coordorigin="1421,1919" coordsize="14179,0" path="m1421,1919l15600,1919e" filled="false" stroked="true" strokeweight=".75pt" strokecolor="#000000">
            <v:path arrowok="t"/>
          </v:shape>
          <w10:wrap type="none"/>
        </v:group>
      </w:pict>
    </w:r>
    <w:r>
      <w:rPr/>
      <w:pict>
        <v:shape style="position:absolute;margin-left:69.919998pt;margin-top:45.953918pt;width:242pt;height:47.1pt;mso-position-horizontal-relative:page;mso-position-vertical-relative:page;z-index:-1168408"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6.849998pt;margin-top:95.950027pt;width:538.450pt;height:.1pt;mso-position-horizontal-relative:page;mso-position-vertical-relative:page;z-index:-1168336" coordorigin="1137,1919" coordsize="10769,2">
          <v:shape style="position:absolute;left:1137;top:1919;width:10769;height:2" coordorigin="1137,1919" coordsize="10769,0" path="m1137,1919l11906,1919e" filled="false" stroked="true" strokeweight=".75pt" strokecolor="#000000">
            <v:path arrowok="t"/>
          </v:shape>
          <w10:wrap type="none"/>
        </v:group>
      </w:pict>
    </w:r>
    <w:r>
      <w:rPr/>
      <w:pict>
        <v:shape style="position:absolute;margin-left:55.639999pt;margin-top:45.95393pt;width:242pt;height:47.1pt;mso-position-horizontal-relative:page;mso-position-vertical-relative:page;z-index:-1168312"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59998pt;margin-top:44.520023pt;width:136.080pt;height:25.32pt;mso-position-horizontal-relative:page;mso-position-vertical-relative:page;z-index:-1170328" type="#_x0000_t75" stroked="false">
          <v:imagedata r:id="rId1" o:title=""/>
        </v:shape>
      </w:pict>
    </w:r>
    <w:r>
      <w:rPr/>
      <w:pict>
        <v:shape style="position:absolute;margin-left:55.599998pt;margin-top:61.155651pt;width:453.25pt;height:11.5pt;mso-position-horizontal-relative:page;mso-position-vertical-relative:page;z-index:-1170304"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47"/>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360001pt;margin-top:44.520023pt;width:136.080pt;height:25.32pt;mso-position-horizontal-relative:page;mso-position-vertical-relative:page;z-index:-1170184" type="#_x0000_t75" stroked="false">
          <v:imagedata r:id="rId1" o:title=""/>
        </v:shape>
      </w:pict>
    </w:r>
    <w:r>
      <w:rPr/>
      <w:pict>
        <v:shape style="position:absolute;margin-left:71.199997pt;margin-top:61.155651pt;width:451.45pt;height:11.5pt;mso-position-horizontal-relative:page;mso-position-vertical-relative:page;z-index:-1170160"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64"/>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8"/>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360001pt;margin-top:44.520023pt;width:136.080pt;height:25.32pt;mso-position-horizontal-relative:page;mso-position-vertical-relative:page;z-index:-1170088" type="#_x0000_t75" stroked="false">
          <v:imagedata r:id="rId1" o:title=""/>
        </v:shape>
      </w:pict>
    </w:r>
    <w:r>
      <w:rPr/>
      <w:pict>
        <v:shape style="position:absolute;margin-left:71.199997pt;margin-top:61.155651pt;width:451.45pt;height:11.5pt;mso-position-horizontal-relative:page;mso-position-vertical-relative:page;z-index:-1170064"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64"/>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8"/>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360001pt;margin-top:44.520023pt;width:136.080pt;height:25.32pt;mso-position-horizontal-relative:page;mso-position-vertical-relative:page;z-index:-1170040" type="#_x0000_t75" stroked="false">
          <v:imagedata r:id="rId1" o:title=""/>
        </v:shape>
      </w:pict>
    </w:r>
    <w:r>
      <w:rPr/>
      <w:pict>
        <v:shape style="position:absolute;margin-left:71.199997pt;margin-top:61.155651pt;width:451.45pt;height:11.5pt;mso-position-horizontal-relative:page;mso-position-vertical-relative:page;z-index:-1170016"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64"/>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8"/>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360001pt;margin-top:44.520023pt;width:136.080pt;height:25.32pt;mso-position-horizontal-relative:page;mso-position-vertical-relative:page;z-index:-1169992" type="#_x0000_t75" stroked="false">
          <v:imagedata r:id="rId1" o:title=""/>
        </v:shape>
      </w:pict>
    </w:r>
    <w:r>
      <w:rPr/>
      <w:pict>
        <v:shape style="position:absolute;margin-left:71.199997pt;margin-top:61.155651pt;width:451.45pt;height:11.5pt;mso-position-horizontal-relative:page;mso-position-vertical-relative:page;z-index:-1169968"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64"/>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8"/>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59998pt;margin-top:44.520023pt;width:136.080pt;height:25.32pt;mso-position-horizontal-relative:page;mso-position-vertical-relative:page;z-index:-1169944" type="#_x0000_t75" stroked="false">
          <v:imagedata r:id="rId1" o:title=""/>
        </v:shape>
      </w:pict>
    </w:r>
    <w:r>
      <w:rPr/>
      <w:pict>
        <v:shape style="position:absolute;margin-left:55.599998pt;margin-top:61.155651pt;width:453.25pt;height:11.5pt;mso-position-horizontal-relative:page;mso-position-vertical-relative:page;z-index:-1169920" type="#_x0000_t202" filled="false" stroked="false">
          <v:textbox inset="0,0,0,0">
            <w:txbxContent>
              <w:p>
                <w:pPr>
                  <w:tabs>
                    <w:tab w:pos="5533" w:val="left" w:leader="none"/>
                  </w:tabs>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538DD3"/>
                  </w:rPr>
                  <w:t> </w:t>
                  <w:tab/>
                </w:r>
                <w:r>
                  <w:rPr>
                    <w:rFonts w:ascii="宋体" w:hAnsi="宋体" w:cs="宋体" w:eastAsia="宋体" w:hint="default"/>
                    <w:sz w:val="18"/>
                    <w:szCs w:val="18"/>
                    <w:u w:val="single" w:color="538DD3"/>
                  </w:rPr>
                  <w:t>浙江万马股份有限公司</w:t>
                </w:r>
                <w:r>
                  <w:rPr>
                    <w:rFonts w:ascii="宋体" w:hAnsi="宋体" w:cs="宋体" w:eastAsia="宋体" w:hint="default"/>
                    <w:spacing w:val="-47"/>
                    <w:sz w:val="18"/>
                    <w:szCs w:val="18"/>
                    <w:u w:val="single" w:color="538DD3"/>
                  </w:rPr>
                  <w:t> </w:t>
                </w:r>
                <w:r>
                  <w:rPr>
                    <w:rFonts w:ascii="Times New Roman" w:hAnsi="Times New Roman" w:cs="Times New Roman" w:eastAsia="Times New Roman" w:hint="default"/>
                    <w:sz w:val="18"/>
                    <w:szCs w:val="18"/>
                    <w:u w:val="single" w:color="538DD3"/>
                  </w:rPr>
                  <w:t>2019</w:t>
                </w:r>
                <w:r>
                  <w:rPr>
                    <w:rFonts w:ascii="Times New Roman" w:hAnsi="Times New Roman" w:cs="Times New Roman" w:eastAsia="Times New Roman" w:hint="default"/>
                    <w:spacing w:val="-1"/>
                    <w:sz w:val="18"/>
                    <w:szCs w:val="18"/>
                    <w:u w:val="single" w:color="538DD3"/>
                  </w:rPr>
                  <w:t> </w:t>
                </w:r>
                <w:r>
                  <w:rPr>
                    <w:rFonts w:ascii="宋体" w:hAnsi="宋体" w:cs="宋体" w:eastAsia="宋体" w:hint="default"/>
                    <w:sz w:val="18"/>
                    <w:szCs w:val="18"/>
                    <w:u w:val="single" w:color="538DD3"/>
                  </w:rPr>
                  <w:t>年年度报告全文</w:t>
                </w:r>
                <w:r>
                  <w:rPr>
                    <w:rFonts w:ascii="宋体" w:hAnsi="宋体" w:cs="宋体" w:eastAsia="宋体" w:hint="default"/>
                    <w:sz w:val="18"/>
                    <w:szCs w:val="18"/>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849998pt;margin-top:97.450012pt;width:428pt;height:.1pt;mso-position-horizontal-relative:page;mso-position-vertical-relative:page;z-index:-1169752" coordorigin="1717,1949" coordsize="8560,2">
          <v:shape style="position:absolute;left:1717;top:1949;width:8560;height:2" coordorigin="1717,1949" coordsize="8560,0" path="m1717,1949l10277,1949e" filled="false" stroked="true" strokeweight=".75pt" strokecolor="#000000">
            <v:path arrowok="t"/>
          </v:shape>
          <w10:wrap type="none"/>
        </v:group>
      </w:pict>
    </w:r>
    <w:r>
      <w:rPr/>
      <w:pict>
        <v:shape style="position:absolute;margin-left:84.080002pt;margin-top:45.953918pt;width:242pt;height:47.1pt;mso-position-horizontal-relative:page;mso-position-vertical-relative:page;z-index:-1169728"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浙江万马股份有限公司财务报表附注</w:t>
                </w:r>
                <w:r>
                  <w:rPr>
                    <w:rFonts w:ascii="宋体" w:hAnsi="宋体" w:cs="宋体" w:eastAsia="宋体" w:hint="default"/>
                    <w:sz w:val="22"/>
                    <w:szCs w:val="22"/>
                  </w:rPr>
                </w:r>
              </w:p>
              <w:p>
                <w:pPr>
                  <w:spacing w:before="109"/>
                  <w:ind w:left="20" w:right="0" w:firstLine="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spacing w:before="74"/>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03"/>
      <w:ind w:left="112"/>
    </w:pPr>
    <w:rPr>
      <w:rFonts w:ascii="宋体" w:hAnsi="宋体" w:eastAsia="宋体"/>
      <w:sz w:val="18"/>
      <w:szCs w:val="18"/>
    </w:rPr>
  </w:style>
  <w:style w:styleId="BodyText" w:type="paragraph">
    <w:name w:val="Body Text"/>
    <w:basedOn w:val="Normal"/>
    <w:uiPriority w:val="1"/>
    <w:qFormat/>
    <w:pPr>
      <w:spacing w:before="33"/>
      <w:ind w:left="101"/>
    </w:pPr>
    <w:rPr>
      <w:rFonts w:ascii="宋体" w:hAnsi="宋体" w:eastAsia="宋体"/>
      <w:sz w:val="22"/>
      <w:szCs w:val="22"/>
    </w:rPr>
  </w:style>
  <w:style w:styleId="Heading1" w:type="paragraph">
    <w:name w:val="Heading 1"/>
    <w:basedOn w:val="Normal"/>
    <w:uiPriority w:val="1"/>
    <w:qFormat/>
    <w:pPr>
      <w:outlineLvl w:val="1"/>
    </w:pPr>
    <w:rPr>
      <w:rFonts w:ascii="宋体" w:hAnsi="宋体" w:eastAsia="宋体"/>
      <w:b/>
      <w:bCs/>
      <w:sz w:val="32"/>
      <w:szCs w:val="32"/>
    </w:rPr>
  </w:style>
  <w:style w:styleId="Heading2" w:type="paragraph">
    <w:name w:val="Heading 2"/>
    <w:basedOn w:val="Normal"/>
    <w:uiPriority w:val="1"/>
    <w:qFormat/>
    <w:pPr>
      <w:ind w:left="132"/>
      <w:outlineLvl w:val="2"/>
    </w:pPr>
    <w:rPr>
      <w:rFonts w:ascii="宋体" w:hAnsi="宋体" w:eastAsia="宋体"/>
      <w:b/>
      <w:bCs/>
      <w:sz w:val="24"/>
      <w:szCs w:val="24"/>
    </w:rPr>
  </w:style>
  <w:style w:styleId="Heading3" w:type="paragraph">
    <w:name w:val="Heading 3"/>
    <w:basedOn w:val="Normal"/>
    <w:uiPriority w:val="1"/>
    <w:qFormat/>
    <w:pPr>
      <w:ind w:left="112"/>
      <w:outlineLvl w:val="3"/>
    </w:pPr>
    <w:rPr>
      <w:rFonts w:ascii="宋体" w:hAnsi="宋体" w:eastAsia="宋体"/>
      <w:sz w:val="24"/>
      <w:szCs w:val="24"/>
    </w:rPr>
  </w:style>
  <w:style w:styleId="Heading4" w:type="paragraph">
    <w:name w:val="Heading 4"/>
    <w:basedOn w:val="Normal"/>
    <w:uiPriority w:val="1"/>
    <w:qFormat/>
    <w:pPr>
      <w:ind w:left="20"/>
      <w:outlineLvl w:val="4"/>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yperlink" Target="http://www.wanma-cable.cn/" TargetMode="External"/><Relationship Id="rId10" Type="http://schemas.openxmlformats.org/officeDocument/2006/relationships/hyperlink" Target="mailto:investor@wanmagroup.com" TargetMode="External"/><Relationship Id="rId11" Type="http://schemas.openxmlformats.org/officeDocument/2006/relationships/hyperlink" Target="http://www.cninfo.com.cn/" TargetMode="External"/><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eader" Target="header3.xm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footer" Target="footer3.xml"/><Relationship Id="rId24" Type="http://schemas.openxmlformats.org/officeDocument/2006/relationships/hyperlink" Target="http://www/" TargetMode="External"/><Relationship Id="rId25" Type="http://schemas.openxmlformats.org/officeDocument/2006/relationships/footer" Target="footer4.xml"/><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header" Target="header5.xml"/><Relationship Id="rId29" Type="http://schemas.openxmlformats.org/officeDocument/2006/relationships/image" Target="media/image12.jpeg"/><Relationship Id="rId30" Type="http://schemas.openxmlformats.org/officeDocument/2006/relationships/header" Target="header6.xml"/><Relationship Id="rId31" Type="http://schemas.openxmlformats.org/officeDocument/2006/relationships/header" Target="header7.xml"/><Relationship Id="rId32" Type="http://schemas.openxmlformats.org/officeDocument/2006/relationships/header" Target="header8.xml"/><Relationship Id="rId33" Type="http://schemas.openxmlformats.org/officeDocument/2006/relationships/footer" Target="footer6.xml"/><Relationship Id="rId34" Type="http://schemas.openxmlformats.org/officeDocument/2006/relationships/image" Target="media/image13.jpeg"/><Relationship Id="rId35" Type="http://schemas.openxmlformats.org/officeDocument/2006/relationships/footer" Target="footer7.xml"/><Relationship Id="rId36" Type="http://schemas.openxmlformats.org/officeDocument/2006/relationships/hyperlink" Target="http://www.cninfo.com.cn/new/disclosure/stock?orgId=9900007107&amp;amp;stockCode=00" TargetMode="External"/><Relationship Id="rId37" Type="http://schemas.openxmlformats.org/officeDocument/2006/relationships/footer" Target="footer8.xml"/><Relationship Id="rId38" Type="http://schemas.openxmlformats.org/officeDocument/2006/relationships/header" Target="header9.xml"/><Relationship Id="rId39" Type="http://schemas.openxmlformats.org/officeDocument/2006/relationships/footer" Target="footer9.xml"/><Relationship Id="rId40" Type="http://schemas.openxmlformats.org/officeDocument/2006/relationships/footer" Target="footer10.xml"/><Relationship Id="rId41" Type="http://schemas.openxmlformats.org/officeDocument/2006/relationships/footer" Target="footer11.xml"/><Relationship Id="rId42" Type="http://schemas.openxmlformats.org/officeDocument/2006/relationships/footer" Target="footer12.xml"/><Relationship Id="rId43" Type="http://schemas.openxmlformats.org/officeDocument/2006/relationships/footer" Target="footer13.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0.xml"/><Relationship Id="rId47" Type="http://schemas.openxmlformats.org/officeDocument/2006/relationships/footer" Target="footer16.xml"/><Relationship Id="rId48" Type="http://schemas.openxmlformats.org/officeDocument/2006/relationships/image" Target="media/image1.jpeg"/><Relationship Id="rId49" Type="http://schemas.openxmlformats.org/officeDocument/2006/relationships/header" Target="header11.xml"/><Relationship Id="rId50" Type="http://schemas.openxmlformats.org/officeDocument/2006/relationships/footer" Target="footer17.xml"/><Relationship Id="rId51" Type="http://schemas.openxmlformats.org/officeDocument/2006/relationships/header" Target="header12.xml"/><Relationship Id="rId52" Type="http://schemas.openxmlformats.org/officeDocument/2006/relationships/footer" Target="footer18.xml"/><Relationship Id="rId53" Type="http://schemas.openxmlformats.org/officeDocument/2006/relationships/footer" Target="footer19.xml"/><Relationship Id="rId54" Type="http://schemas.openxmlformats.org/officeDocument/2006/relationships/header" Target="header13.xml"/><Relationship Id="rId55" Type="http://schemas.openxmlformats.org/officeDocument/2006/relationships/footer" Target="footer20.xml"/><Relationship Id="rId56" Type="http://schemas.openxmlformats.org/officeDocument/2006/relationships/footer" Target="footer21.xml"/><Relationship Id="rId57" Type="http://schemas.openxmlformats.org/officeDocument/2006/relationships/header" Target="header14.xml"/><Relationship Id="rId58" Type="http://schemas.openxmlformats.org/officeDocument/2006/relationships/footer" Target="footer22.xml"/><Relationship Id="rId59" Type="http://schemas.openxmlformats.org/officeDocument/2006/relationships/footer" Target="footer23.xml"/><Relationship Id="rId60" Type="http://schemas.openxmlformats.org/officeDocument/2006/relationships/footer" Target="footer24.xml"/><Relationship Id="rId61" Type="http://schemas.openxmlformats.org/officeDocument/2006/relationships/header" Target="header15.xml"/><Relationship Id="rId62" Type="http://schemas.openxmlformats.org/officeDocument/2006/relationships/footer" Target="footer25.xml"/><Relationship Id="rId63" Type="http://schemas.openxmlformats.org/officeDocument/2006/relationships/header" Target="header16.xml"/><Relationship Id="rId64" Type="http://schemas.openxmlformats.org/officeDocument/2006/relationships/footer" Target="footer26.xml"/><Relationship Id="rId65" Type="http://schemas.openxmlformats.org/officeDocument/2006/relationships/header" Target="header17.xml"/><Relationship Id="rId66" Type="http://schemas.openxmlformats.org/officeDocument/2006/relationships/footer" Target="footer27.xml"/><Relationship Id="rId67" Type="http://schemas.openxmlformats.org/officeDocument/2006/relationships/footer" Target="footer28.xml"/><Relationship Id="rId68" Type="http://schemas.openxmlformats.org/officeDocument/2006/relationships/header" Target="header18.xml"/><Relationship Id="rId69" Type="http://schemas.openxmlformats.org/officeDocument/2006/relationships/footer" Target="footer29.xml"/><Relationship Id="rId70" Type="http://schemas.openxmlformats.org/officeDocument/2006/relationships/header" Target="header19.xml"/><Relationship Id="rId71" Type="http://schemas.openxmlformats.org/officeDocument/2006/relationships/footer" Target="footer30.xml"/><Relationship Id="rId72" Type="http://schemas.openxmlformats.org/officeDocument/2006/relationships/header" Target="header20.xml"/><Relationship Id="rId73" Type="http://schemas.openxmlformats.org/officeDocument/2006/relationships/footer" Target="footer31.xml"/><Relationship Id="rId74" Type="http://schemas.openxmlformats.org/officeDocument/2006/relationships/footer" Target="footer32.xml"/><Relationship Id="rId75" Type="http://schemas.openxmlformats.org/officeDocument/2006/relationships/header" Target="header21.xml"/><Relationship Id="rId76" Type="http://schemas.openxmlformats.org/officeDocument/2006/relationships/footer" Target="footer33.xml"/><Relationship Id="rId77" Type="http://schemas.openxmlformats.org/officeDocument/2006/relationships/footer" Target="footer34.xml"/><Relationship Id="rId78" Type="http://schemas.openxmlformats.org/officeDocument/2006/relationships/header" Target="header22.xml"/><Relationship Id="rId79" Type="http://schemas.openxmlformats.org/officeDocument/2006/relationships/footer" Target="footer35.xml"/><Relationship Id="rId80" Type="http://schemas.openxmlformats.org/officeDocument/2006/relationships/footer" Target="footer36.xml"/><Relationship Id="rId81" Type="http://schemas.openxmlformats.org/officeDocument/2006/relationships/footer" Target="footer37.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1.jpeg"/></Relationships>

</file>

<file path=word/_rels/footer11.xml.rels><?xml version="1.0" encoding="UTF-8" standalone="yes"?>
<Relationships xmlns="http://schemas.openxmlformats.org/package/2006/relationships"><Relationship Id="rId1" Type="http://schemas.openxmlformats.org/officeDocument/2006/relationships/image" Target="media/image1.jpeg"/></Relationships>

</file>

<file path=word/_rels/footer12.xml.rels><?xml version="1.0" encoding="UTF-8" standalone="yes"?>
<Relationships xmlns="http://schemas.openxmlformats.org/package/2006/relationships"><Relationship Id="rId1" Type="http://schemas.openxmlformats.org/officeDocument/2006/relationships/image" Target="media/image1.jpeg"/></Relationships>

</file>

<file path=word/_rels/footer13.xml.rels><?xml version="1.0" encoding="UTF-8" standalone="yes"?>
<Relationships xmlns="http://schemas.openxmlformats.org/package/2006/relationships"><Relationship Id="rId1" Type="http://schemas.openxmlformats.org/officeDocument/2006/relationships/image" Target="media/image1.jpeg"/></Relationships>

</file>

<file path=word/_rels/footer14.xml.rels><?xml version="1.0" encoding="UTF-8" standalone="yes"?>
<Relationships xmlns="http://schemas.openxmlformats.org/package/2006/relationships"><Relationship Id="rId1" Type="http://schemas.openxmlformats.org/officeDocument/2006/relationships/image" Target="media/image1.jpeg"/></Relationships>

</file>

<file path=word/_rels/footer15.xml.rels><?xml version="1.0" encoding="UTF-8" standalone="yes"?>
<Relationships xmlns="http://schemas.openxmlformats.org/package/2006/relationships"><Relationship Id="rId1" Type="http://schemas.openxmlformats.org/officeDocument/2006/relationships/image" Target="media/image1.jpeg"/></Relationships>

</file>

<file path=word/_rels/footer18.xml.rels><?xml version="1.0" encoding="UTF-8" standalone="yes"?>
<Relationships xmlns="http://schemas.openxmlformats.org/package/2006/relationships"><Relationship Id="rId1" Type="http://schemas.openxmlformats.org/officeDocument/2006/relationships/image" Target="media/image1.jpeg"/></Relationships>

</file>

<file path=word/_rels/footer19.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21.xml.rels><?xml version="1.0" encoding="UTF-8" standalone="yes"?>
<Relationships xmlns="http://schemas.openxmlformats.org/package/2006/relationships"><Relationship Id="rId1" Type="http://schemas.openxmlformats.org/officeDocument/2006/relationships/image" Target="media/image1.jpeg"/></Relationships>

</file>

<file path=word/_rels/footer23.xml.rels><?xml version="1.0" encoding="UTF-8" standalone="yes"?>
<Relationships xmlns="http://schemas.openxmlformats.org/package/2006/relationships"><Relationship Id="rId1" Type="http://schemas.openxmlformats.org/officeDocument/2006/relationships/image" Target="media/image1.jpeg"/></Relationships>

</file>

<file path=word/_rels/footer24.xml.rels><?xml version="1.0" encoding="UTF-8" standalone="yes"?>
<Relationships xmlns="http://schemas.openxmlformats.org/package/2006/relationships"><Relationship Id="rId1" Type="http://schemas.openxmlformats.org/officeDocument/2006/relationships/image" Target="media/image1.jpeg"/></Relationships>

</file>

<file path=word/_rels/footer27.xml.rels><?xml version="1.0" encoding="UTF-8" standalone="yes"?>
<Relationships xmlns="http://schemas.openxmlformats.org/package/2006/relationships"><Relationship Id="rId1" Type="http://schemas.openxmlformats.org/officeDocument/2006/relationships/image" Target="media/image1.jpeg"/></Relationships>

</file>

<file path=word/_rels/footer28.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31.xml.rels><?xml version="1.0" encoding="UTF-8" standalone="yes"?>
<Relationships xmlns="http://schemas.openxmlformats.org/package/2006/relationships"><Relationship Id="rId1" Type="http://schemas.openxmlformats.org/officeDocument/2006/relationships/image" Target="media/image1.jpeg"/></Relationships>

</file>

<file path=word/_rels/footer32.xml.rels><?xml version="1.0" encoding="UTF-8" standalone="yes"?>
<Relationships xmlns="http://schemas.openxmlformats.org/package/2006/relationships"><Relationship Id="rId1" Type="http://schemas.openxmlformats.org/officeDocument/2006/relationships/image" Target="media/image1.jpeg"/></Relationships>

</file>

<file path=word/_rels/footer36.xml.rels><?xml version="1.0" encoding="UTF-8" standalone="yes"?>
<Relationships xmlns="http://schemas.openxmlformats.org/package/2006/relationships"><Relationship Id="rId1" Type="http://schemas.openxmlformats.org/officeDocument/2006/relationships/image" Target="media/image1.jpeg"/></Relationships>

</file>

<file path=word/_rels/footer37.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2020-05-19T08:01:54Z</dcterms:created>
  <dcterms:modified xsi:type="dcterms:W3CDTF">2020-05-19T08:01:54Z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2020-04-27T00:00:00Z</vt:filetime>
  </property>
  <property fmtid="{D5CDD505-2E9C-101B-9397-08002B2CF9AE}" pid="3" name="Creator">
    <vt:lpwstr>WPS 文字</vt:lpwstr>
  </property>
  <property fmtid="{D5CDD505-2E9C-101B-9397-08002B2CF9AE}" pid="4" name="LastSaved">
    <vt:filetime>2020-05-19T00:00:00Z</vt:filetime>
  </property>
</Properties>
</file>