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60" w:line="240" w:lineRule="auto"/>
        <w:ind w:left="0" w:right="0" w:firstLine="0"/>
        <w:jc w:val="center"/>
      </w:pPr>
      <w:r>
        <w:rPr>
          <w:spacing w:val="0"/>
          <w:w w:val="100"/>
          <w:position w:val="0"/>
        </w:rPr>
        <w:t>浙江万马股份有限公司</w:t>
      </w:r>
    </w:p>
    <w:p>
      <w:pPr>
        <w:pStyle w:val="Style2"/>
        <w:keepNext w:val="0"/>
        <w:keepLines w:val="0"/>
        <w:widowControl w:val="0"/>
        <w:shd w:val="clear" w:color="auto" w:fill="auto"/>
        <w:bidi w:val="0"/>
        <w:spacing w:before="0" w:after="660" w:line="240" w:lineRule="auto"/>
        <w:ind w:left="0" w:right="0" w:firstLine="0"/>
        <w:jc w:val="center"/>
      </w:pPr>
      <w:r>
        <w:rPr>
          <w:rFonts w:ascii="Times New Roman" w:eastAsia="Times New Roman" w:hAnsi="Times New Roman" w:cs="Times New Roman"/>
          <w:spacing w:val="0"/>
          <w:w w:val="100"/>
          <w:position w:val="0"/>
          <w:sz w:val="82"/>
          <w:szCs w:val="82"/>
        </w:rPr>
        <w:t>2020</w:t>
      </w:r>
      <w:r>
        <w:rPr>
          <w:spacing w:val="0"/>
          <w:w w:val="100"/>
          <w:position w:val="0"/>
        </w:rPr>
        <w:t>年度报告</w:t>
      </w:r>
    </w:p>
    <w:p>
      <w:pPr>
        <w:widowControl w:val="0"/>
        <w:jc w:val="center"/>
        <w:rPr>
          <w:sz w:val="2"/>
          <w:szCs w:val="2"/>
        </w:rPr>
      </w:pPr>
      <w:r>
        <w:drawing>
          <wp:inline>
            <wp:extent cx="7559040" cy="28162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2816225"/>
                    </a:xfrm>
                    <a:prstGeom prst="rect"/>
                  </pic:spPr>
                </pic:pic>
              </a:graphicData>
            </a:graphic>
          </wp:inline>
        </w:drawing>
      </w:r>
    </w:p>
    <w:p>
      <w:pPr>
        <w:widowControl w:val="0"/>
        <w:jc w:val="center"/>
        <w:rPr>
          <w:sz w:val="2"/>
          <w:szCs w:val="2"/>
        </w:rPr>
      </w:pPr>
      <w:r>
        <w:drawing>
          <wp:inline>
            <wp:extent cx="6169025" cy="192024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69025" cy="1920240"/>
                    </a:xfrm>
                    <a:prstGeom prst="rect"/>
                  </pic:spPr>
                </pic:pic>
              </a:graphicData>
            </a:graphic>
          </wp:inline>
        </w:drawing>
      </w:r>
    </w:p>
    <w:p>
      <w:pPr>
        <w:widowControl w:val="0"/>
        <w:spacing w:after="2119" w:line="1" w:lineRule="exact"/>
      </w:pPr>
    </w:p>
    <w:p>
      <w:pPr>
        <w:widowControl w:val="0"/>
        <w:jc w:val="center"/>
        <w:rPr>
          <w:sz w:val="2"/>
          <w:szCs w:val="2"/>
        </w:rPr>
        <w:sectPr>
          <w:headerReference w:type="default" r:id="rId9"/>
          <w:headerReference w:type="even" r:id="rId10"/>
          <w:footnotePr>
            <w:pos w:val="pageBottom"/>
            <w:numFmt w:val="decimal"/>
            <w:numRestart w:val="continuous"/>
          </w:footnotePr>
          <w:pgSz w:w="11900" w:h="16840"/>
          <w:pgMar w:top="2901" w:right="1108" w:bottom="6" w:left="1112" w:header="0" w:footer="3" w:gutter="0"/>
          <w:pgNumType w:start="1"/>
          <w:cols w:space="720"/>
          <w:noEndnote/>
          <w:rtlGutter w:val="0"/>
          <w:docGrid w:linePitch="360"/>
        </w:sectPr>
      </w:pPr>
      <w:r>
        <w:drawing>
          <wp:inline>
            <wp:extent cx="7479665" cy="10363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7479665" cy="1036320"/>
                    </a:xfrm>
                    <a:prstGeom prst="rect"/>
                  </pic:spPr>
                </pic:pic>
              </a:graphicData>
            </a:graphic>
          </wp:inline>
        </w:drawing>
      </w:r>
    </w:p>
    <w:p>
      <w:pPr>
        <w:pStyle w:val="Style9"/>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4"/>
        <w:keepNext w:val="0"/>
        <w:keepLines w:val="0"/>
        <w:widowControl w:val="0"/>
        <w:numPr>
          <w:ilvl w:val="0"/>
          <w:numId w:val="1"/>
        </w:numPr>
        <w:shd w:val="clear" w:color="auto" w:fill="auto"/>
        <w:tabs>
          <w:tab w:pos="829" w:val="left"/>
        </w:tabs>
        <w:bidi w:val="0"/>
        <w:spacing w:before="0" w:line="470" w:lineRule="exact"/>
        <w:ind w:left="0" w:right="0" w:firstLine="480"/>
        <w:jc w:val="both"/>
      </w:pPr>
      <w:bookmarkStart w:id="4" w:name="bookmark4"/>
      <w:bookmarkEnd w:id="4"/>
      <w:r>
        <w:rPr>
          <w:color w:val="000000"/>
          <w:spacing w:val="0"/>
          <w:w w:val="100"/>
          <w:position w:val="0"/>
          <w:sz w:val="24"/>
          <w:szCs w:val="24"/>
        </w:rPr>
        <w:t>公司董事会、监事会及董事、监事、高级管理人员保证年度报告内容的真实、准确、 完整，不存在虚假记载、误导性陈述或重大遗漏，并承担个别和连带的法律责任。</w:t>
      </w:r>
    </w:p>
    <w:p>
      <w:pPr>
        <w:pStyle w:val="Style14"/>
        <w:keepNext w:val="0"/>
        <w:keepLines w:val="0"/>
        <w:widowControl w:val="0"/>
        <w:numPr>
          <w:ilvl w:val="0"/>
          <w:numId w:val="1"/>
        </w:numPr>
        <w:shd w:val="clear" w:color="auto" w:fill="auto"/>
        <w:tabs>
          <w:tab w:pos="824" w:val="left"/>
        </w:tabs>
        <w:bidi w:val="0"/>
        <w:spacing w:before="0" w:line="480" w:lineRule="exact"/>
        <w:ind w:left="0" w:right="0" w:firstLine="480"/>
        <w:jc w:val="both"/>
      </w:pPr>
      <w:bookmarkStart w:id="5" w:name="bookmark5"/>
      <w:bookmarkEnd w:id="5"/>
      <w:r>
        <w:rPr>
          <w:color w:val="000000"/>
          <w:spacing w:val="0"/>
          <w:w w:val="100"/>
          <w:position w:val="0"/>
          <w:sz w:val="24"/>
          <w:szCs w:val="24"/>
        </w:rPr>
        <w:t>公司负责人孟宪洪、主管会计工作负责人董杰及会计机构负责人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丁大雷 声明：保证本年度报告中财务报告的真实、准确、完整。</w:t>
      </w:r>
    </w:p>
    <w:p>
      <w:pPr>
        <w:pStyle w:val="Style14"/>
        <w:keepNext w:val="0"/>
        <w:keepLines w:val="0"/>
        <w:widowControl w:val="0"/>
        <w:numPr>
          <w:ilvl w:val="0"/>
          <w:numId w:val="1"/>
        </w:numPr>
        <w:shd w:val="clear" w:color="auto" w:fill="auto"/>
        <w:tabs>
          <w:tab w:pos="834" w:val="left"/>
        </w:tabs>
        <w:bidi w:val="0"/>
        <w:spacing w:before="0" w:line="470" w:lineRule="exact"/>
        <w:ind w:left="0" w:right="0" w:firstLine="480"/>
        <w:jc w:val="both"/>
      </w:pPr>
      <w:bookmarkStart w:id="6" w:name="bookmark6"/>
      <w:bookmarkEnd w:id="6"/>
      <w:r>
        <w:rPr>
          <w:color w:val="000000"/>
          <w:spacing w:val="0"/>
          <w:w w:val="100"/>
          <w:position w:val="0"/>
          <w:sz w:val="24"/>
          <w:szCs w:val="24"/>
        </w:rPr>
        <w:t>所有董事均已出席了审议本报告的董事会会议。</w:t>
      </w:r>
    </w:p>
    <w:p>
      <w:pPr>
        <w:pStyle w:val="Style14"/>
        <w:keepNext w:val="0"/>
        <w:keepLines w:val="0"/>
        <w:widowControl w:val="0"/>
        <w:numPr>
          <w:ilvl w:val="0"/>
          <w:numId w:val="1"/>
        </w:numPr>
        <w:shd w:val="clear" w:color="auto" w:fill="auto"/>
        <w:tabs>
          <w:tab w:pos="829" w:val="left"/>
        </w:tabs>
        <w:bidi w:val="0"/>
        <w:spacing w:before="0" w:line="470" w:lineRule="exact"/>
        <w:ind w:left="0" w:right="0" w:firstLine="480"/>
        <w:jc w:val="both"/>
      </w:pPr>
      <w:bookmarkStart w:id="7" w:name="bookmark7"/>
      <w:bookmarkEnd w:id="7"/>
      <w:r>
        <w:rPr>
          <w:color w:val="000000"/>
          <w:spacing w:val="0"/>
          <w:w w:val="100"/>
          <w:position w:val="0"/>
          <w:sz w:val="24"/>
          <w:szCs w:val="24"/>
        </w:rPr>
        <w:t>公司可能面临的风险因素参见本报告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第四节经营情况讨论与分析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十公司面临的 风险和应对措施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14"/>
        <w:keepNext w:val="0"/>
        <w:keepLines w:val="0"/>
        <w:widowControl w:val="0"/>
        <w:numPr>
          <w:ilvl w:val="0"/>
          <w:numId w:val="1"/>
        </w:numPr>
        <w:shd w:val="clear" w:color="auto" w:fill="auto"/>
        <w:tabs>
          <w:tab w:pos="838" w:val="left"/>
        </w:tabs>
        <w:bidi w:val="0"/>
        <w:spacing w:before="0" w:line="470" w:lineRule="exact"/>
        <w:ind w:left="0" w:right="0" w:firstLine="48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2233" w:right="1107" w:bottom="2233" w:left="1112" w:header="0" w:footer="3" w:gutter="0"/>
          <w:cols w:space="720"/>
          <w:noEndnote/>
          <w:rtlGutter w:val="0"/>
          <w:docGrid w:linePitch="360"/>
        </w:sectPr>
      </w:pPr>
      <w:bookmarkStart w:id="8" w:name="bookmark8"/>
      <w:bookmarkEnd w:id="8"/>
      <w:r>
        <w:rPr>
          <w:color w:val="000000"/>
          <w:spacing w:val="0"/>
          <w:w w:val="100"/>
          <w:position w:val="0"/>
          <w:sz w:val="24"/>
          <w:szCs w:val="24"/>
        </w:rPr>
        <w:t>公司经本次董事会审议通过的利润分配预案为：以未来实施分配方案时股权登记日的 总股本扣除公司回购专户上已回购股份后的总股本为基数，向全体股东每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 人民币</w:t>
      </w:r>
      <w:r>
        <w:rPr>
          <w:rFonts w:ascii="Times New Roman" w:eastAsia="Times New Roman" w:hAnsi="Times New Roman" w:cs="Times New Roman"/>
          <w:color w:val="000000"/>
          <w:spacing w:val="0"/>
          <w:w w:val="100"/>
          <w:position w:val="0"/>
          <w:sz w:val="24"/>
          <w:szCs w:val="24"/>
        </w:rPr>
        <w:t>0.35</w:t>
      </w:r>
      <w:r>
        <w:rPr>
          <w:color w:val="000000"/>
          <w:spacing w:val="0"/>
          <w:w w:val="100"/>
          <w:position w:val="0"/>
          <w:sz w:val="24"/>
          <w:szCs w:val="24"/>
        </w:rPr>
        <w:t>元（含税），不送红股，不以公积金转增股本。</w:t>
      </w:r>
    </w:p>
    <w:p>
      <w:pPr>
        <w:pStyle w:val="Style17"/>
        <w:keepNext w:val="0"/>
        <w:keepLines w:val="0"/>
        <w:widowControl w:val="0"/>
        <w:shd w:val="clear" w:color="auto" w:fill="auto"/>
        <w:tabs>
          <w:tab w:leader="dot" w:pos="9623" w:val="right"/>
        </w:tabs>
        <w:bidi w:val="0"/>
        <w:spacing w:before="344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58"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89"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289"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48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539"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543"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547"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598"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700"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704"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7"/>
        <w:keepNext w:val="0"/>
        <w:keepLines w:val="0"/>
        <w:widowControl w:val="0"/>
        <w:shd w:val="clear" w:color="auto" w:fill="auto"/>
        <w:tabs>
          <w:tab w:leader="dot" w:pos="9623" w:val="right"/>
        </w:tabs>
        <w:bidi w:val="0"/>
        <w:spacing w:before="0" w:line="240" w:lineRule="auto"/>
        <w:ind w:left="0" w:right="0" w:firstLine="0"/>
        <w:jc w:val="both"/>
      </w:pPr>
      <w:hyperlink w:anchor="bookmark2043"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187</w:t>
        </w:r>
      </w:hyperlink>
      <w:r>
        <w:br w:type="page"/>
      </w:r>
      <w:r>
        <w:fldChar w:fldCharType="end"/>
      </w:r>
    </w:p>
    <w:tbl>
      <w:tblPr>
        <w:tblOverlap w:val="never"/>
        <w:jc w:val="center"/>
        <w:tblLayout w:type="fixed"/>
      </w:tblPr>
      <w:tblGrid>
        <w:gridCol w:w="2880"/>
        <w:gridCol w:w="490"/>
        <w:gridCol w:w="6130"/>
      </w:tblGrid>
      <w:tr>
        <w:trPr>
          <w:trHeight w:val="36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万马股份/公司/本公司/上市公司</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海控集团/控股股东</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西海岸新区国资局/实际控制人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青岛西海岸新区国有资产管理局</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智能科技集团</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浙江万马智能科技集团有限公司（原控股股东）</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万马电缆</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万马高分子/万马高分子材料集团</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浙江万马高分子材料集团有限公司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万马特缆</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浙江万马集团特种电子电缆有限公司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专用线缆</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天屹通信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浙江万马天屹通信线缆有限公司</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新能源产业集团</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万马奔腾新能源产业集团有限公司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新能源投资公司</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万马联合新能源投资有限公司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万马新能源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爱充网</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浙江爱充网络科技有限公司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香港骐骥</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香港骐骥国际发展有限公司</w:t>
            </w:r>
            <w:r>
              <w:rPr>
                <w:rFonts w:ascii="SimSun" w:eastAsia="SimSun" w:hAnsi="SimSun" w:cs="SimSun"/>
                <w:color w:val="000000"/>
                <w:spacing w:val="0"/>
                <w:w w:val="100"/>
                <w:position w:val="0"/>
                <w:sz w:val="18"/>
                <w:szCs w:val="18"/>
              </w:rPr>
              <w:t>(HONG KONG STEED INTERNATIONAL DEVELOPMENT)</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奥创科技</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奥创科技有限责任公司。</w:t>
            </w:r>
            <w:r>
              <w:rPr>
                <w:rFonts w:ascii="SimSun" w:eastAsia="SimSun" w:hAnsi="SimSun" w:cs="SimSun"/>
                <w:color w:val="000000"/>
                <w:spacing w:val="0"/>
                <w:w w:val="100"/>
                <w:position w:val="0"/>
                <w:sz w:val="18"/>
                <w:szCs w:val="18"/>
              </w:rPr>
              <w:t xml:space="preserve">ptrum Technology LLC </w:t>
            </w:r>
            <w:r>
              <w:rPr>
                <w:rFonts w:ascii="SimSun" w:eastAsia="SimSun" w:hAnsi="SimSun" w:cs="SimSun"/>
                <w:color w:val="000000"/>
                <w:spacing w:val="0"/>
                <w:w w:val="100"/>
                <w:position w:val="0"/>
              </w:rPr>
              <w:t>（奥创科技有限责任公司）</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越南公司</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万马线缆(越南)有限公司 </w:t>
            </w:r>
            <w:r>
              <w:rPr>
                <w:rFonts w:ascii="SimSun" w:eastAsia="SimSun" w:hAnsi="SimSun" w:cs="SimSun"/>
                <w:color w:val="000000"/>
                <w:spacing w:val="0"/>
                <w:w w:val="100"/>
                <w:position w:val="0"/>
                <w:sz w:val="18"/>
                <w:szCs w:val="18"/>
              </w:rPr>
              <w:t>WANMA CABLE (VIETNAM) COMPANY LIMITED</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柬埔寨公司</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Steed Networks Technologies Co.,Ltd</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四川万马高分子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四川万马高分子材料有限公司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清远万马新材料</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清远万马新材料有限公司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湖州万马高分子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湖州万马高分子材料有限公司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万马高压材料</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万马（浙江）高压材料有限公司</w:t>
            </w:r>
          </w:p>
        </w:tc>
      </w:tr>
      <w:tr>
        <w:trPr>
          <w:trHeight w:val="3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日至</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9"/>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第二节公司简介和主要财务指标</w:t>
      </w:r>
      <w:bookmarkEnd w:id="10"/>
      <w:bookmarkEnd w:id="11"/>
      <w:bookmarkEnd w:id="12"/>
      <w:bookmarkEnd w:id="9"/>
    </w:p>
    <w:p>
      <w:pPr>
        <w:pStyle w:val="Style26"/>
        <w:keepNext/>
        <w:keepLines/>
        <w:widowControl w:val="0"/>
        <w:shd w:val="clear" w:color="auto" w:fill="auto"/>
        <w:bidi w:val="0"/>
        <w:spacing w:before="0" w:after="620" w:line="240" w:lineRule="auto"/>
        <w:ind w:left="0" w:right="0" w:firstLine="240"/>
        <w:jc w:val="left"/>
      </w:pPr>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p>
    <w:tbl>
      <w:tblPr>
        <w:tblOverlap w:val="never"/>
        <w:jc w:val="center"/>
        <w:tblLayout w:type="fixed"/>
      </w:tblPr>
      <w:tblGrid>
        <w:gridCol w:w="2678"/>
        <w:gridCol w:w="2568"/>
        <w:gridCol w:w="2155"/>
        <w:gridCol w:w="2184"/>
      </w:tblGrid>
      <w:tr>
        <w:trPr>
          <w:trHeight w:val="33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万马股份</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002276</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浙江万马股份有限公司</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万马股份</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Zhejiang Wanma Co., Ltd.</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Wanma Co., Ltd</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浙江省杭州市临安区青山湖街道鹤亭街</w:t>
            </w:r>
            <w:r>
              <w:rPr>
                <w:color w:val="000000"/>
                <w:spacing w:val="0"/>
                <w:w w:val="100"/>
                <w:position w:val="0"/>
              </w:rPr>
              <w:t>896</w:t>
            </w:r>
            <w:r>
              <w:rPr>
                <w:rFonts w:ascii="SimSun" w:eastAsia="SimSun" w:hAnsi="SimSun" w:cs="SimSun"/>
                <w:color w:val="000000"/>
                <w:spacing w:val="0"/>
                <w:w w:val="100"/>
                <w:position w:val="0"/>
              </w:rPr>
              <w:t>号</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311305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浙江省杭州市临安区青山湖街道科技大道</w:t>
            </w:r>
            <w:r>
              <w:rPr>
                <w:color w:val="000000"/>
                <w:spacing w:val="0"/>
                <w:w w:val="100"/>
                <w:position w:val="0"/>
              </w:rPr>
              <w:t>2159</w:t>
            </w:r>
            <w:r>
              <w:rPr>
                <w:rFonts w:ascii="SimSun" w:eastAsia="SimSun" w:hAnsi="SimSun" w:cs="SimSun"/>
                <w:color w:val="000000"/>
                <w:spacing w:val="0"/>
                <w:w w:val="100"/>
                <w:position w:val="0"/>
              </w:rPr>
              <w:t>号万马创新园</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311305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"http://www.wanma-cable" </w:instrText>
            </w:r>
            <w:r>
              <w:fldChar w:fldCharType="separate"/>
            </w:r>
            <w:r>
              <w:rPr>
                <w:color w:val="000000"/>
                <w:spacing w:val="0"/>
                <w:w w:val="100"/>
                <w:position w:val="0"/>
              </w:rPr>
              <w:t>www.wanma-cable</w:t>
            </w:r>
            <w:r>
              <w:fldChar w:fldCharType="end"/>
            </w:r>
            <w:r>
              <w:rPr>
                <w:color w:val="000000"/>
                <w:spacing w:val="0"/>
                <w:w w:val="100"/>
                <w:position w:val="0"/>
              </w:rPr>
              <w:t>. cn</w:t>
            </w:r>
          </w:p>
        </w:tc>
      </w:tr>
      <w:tr>
        <w:trPr>
          <w:trHeight w:val="33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"mailto:investor@wanmaco.com" </w:instrText>
            </w:r>
            <w:r>
              <w:fldChar w:fldCharType="separate"/>
            </w:r>
            <w:r>
              <w:rPr>
                <w:color w:val="000000"/>
                <w:spacing w:val="0"/>
                <w:w w:val="100"/>
                <w:position w:val="0"/>
              </w:rPr>
              <w:t>investor@wanmaco.com</w:t>
            </w:r>
            <w:r>
              <w:fldChar w:fldCharType="end"/>
            </w:r>
          </w:p>
        </w:tc>
      </w:tr>
    </w:tbl>
    <w:p>
      <w:pPr>
        <w:widowControl w:val="0"/>
        <w:spacing w:after="239" w:line="1" w:lineRule="exact"/>
      </w:pPr>
    </w:p>
    <w:p>
      <w:pPr>
        <w:pStyle w:val="Style26"/>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2707"/>
        <w:gridCol w:w="3360"/>
        <w:gridCol w:w="3523"/>
      </w:tblGrid>
      <w:tr>
        <w:trPr>
          <w:trHeight w:val="33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赵宇恺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邵淑青</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浙江省杭州市西湖区天目山路</w:t>
            </w:r>
            <w:r>
              <w:rPr>
                <w:color w:val="000000"/>
                <w:spacing w:val="0"/>
                <w:w w:val="100"/>
                <w:position w:val="0"/>
              </w:rPr>
              <w:t>181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浙江省杭州市临安区青山湖街道科技大道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2159</w:t>
            </w:r>
            <w:r>
              <w:rPr>
                <w:rFonts w:ascii="SimSun" w:eastAsia="SimSun" w:hAnsi="SimSun" w:cs="SimSun"/>
                <w:color w:val="000000"/>
                <w:spacing w:val="0"/>
                <w:w w:val="100"/>
                <w:position w:val="0"/>
              </w:rPr>
              <w:t>号万马创新园办公大楼</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0571-63755192</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0571-63755256</w:t>
            </w:r>
          </w:p>
        </w:tc>
      </w:tr>
      <w:tr>
        <w:trPr>
          <w:trHeight w:val="341"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"mailto:investor@wanmaco.com" </w:instrText>
            </w:r>
            <w:r>
              <w:fldChar w:fldCharType="separate"/>
            </w:r>
            <w:r>
              <w:rPr>
                <w:color w:val="000000"/>
                <w:spacing w:val="0"/>
                <w:w w:val="100"/>
                <w:position w:val="0"/>
              </w:rPr>
              <w:t>investor@wanmaco.com</w:t>
            </w:r>
            <w:r>
              <w:fldChar w:fldCharType="end"/>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"mailto:investor@wanmaco.com" </w:instrText>
            </w:r>
            <w:r>
              <w:fldChar w:fldCharType="separate"/>
            </w:r>
            <w:r>
              <w:rPr>
                <w:color w:val="000000"/>
                <w:spacing w:val="0"/>
                <w:w w:val="100"/>
                <w:position w:val="0"/>
              </w:rPr>
              <w:t>investor@wanmaco.com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4003"/>
        <w:gridCol w:w="5587"/>
      </w:tblGrid>
      <w:tr>
        <w:trPr>
          <w:trHeight w:val="41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《证券时报》、《上海证券报》</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41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公司董秘办</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1704"/>
        <w:gridCol w:w="7886"/>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统一社会信用代码：</w:t>
            </w:r>
            <w:r>
              <w:rPr>
                <w:color w:val="000000"/>
                <w:spacing w:val="0"/>
                <w:w w:val="100"/>
                <w:position w:val="0"/>
              </w:rPr>
              <w:t>913300007043088475</w:t>
            </w:r>
          </w:p>
        </w:tc>
      </w:tr>
      <w:tr>
        <w:trPr>
          <w:trHeight w:val="638"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 业务的变化情况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700" w:right="1121" w:bottom="1460" w:left="1093" w:header="0" w:footer="3" w:gutter="0"/>
          <w:pgNumType w:start="2"/>
          <w:cols w:space="720"/>
          <w:noEndnote/>
          <w:rtlGutter w:val="0"/>
          <w:docGrid w:linePitch="360"/>
        </w:sectPr>
      </w:pPr>
    </w:p>
    <w:tbl>
      <w:tblPr>
        <w:tblOverlap w:val="never"/>
        <w:jc w:val="center"/>
        <w:tblLayout w:type="fixed"/>
      </w:tblPr>
      <w:tblGrid>
        <w:gridCol w:w="1704"/>
        <w:gridCol w:w="7886"/>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历次控股股东的变 更情况（如有）</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日，智能科技集团、张德生、陆珍玉与海控集团签署《关于浙江万马股份有限公司 之股份转让协议》（以下简称“《股份转让协议》”），智能科技集团、张德生、陆珍玉将其持有 的公司</w:t>
            </w:r>
            <w:r>
              <w:rPr>
                <w:color w:val="000000"/>
                <w:spacing w:val="0"/>
                <w:w w:val="100"/>
                <w:position w:val="0"/>
              </w:rPr>
              <w:t>258,975,823</w:t>
            </w:r>
            <w:r>
              <w:rPr>
                <w:rFonts w:ascii="SimSun" w:eastAsia="SimSun" w:hAnsi="SimSun" w:cs="SimSun"/>
                <w:color w:val="000000"/>
                <w:spacing w:val="0"/>
                <w:w w:val="100"/>
                <w:position w:val="0"/>
              </w:rPr>
              <w:t>股股份（占公司股本总额的</w:t>
            </w:r>
            <w:r>
              <w:rPr>
                <w:color w:val="000000"/>
                <w:spacing w:val="0"/>
                <w:w w:val="100"/>
                <w:position w:val="0"/>
              </w:rPr>
              <w:t>25.01%</w:t>
            </w:r>
            <w:r>
              <w:rPr>
                <w:rFonts w:ascii="SimSun" w:eastAsia="SimSun" w:hAnsi="SimSun" w:cs="SimSun"/>
                <w:color w:val="000000"/>
                <w:spacing w:val="0"/>
                <w:w w:val="100"/>
                <w:position w:val="0"/>
              </w:rPr>
              <w:t>）转让给海控集团，本次股份转让价格约 为</w:t>
            </w:r>
            <w:r>
              <w:rPr>
                <w:color w:val="000000"/>
                <w:spacing w:val="0"/>
                <w:w w:val="100"/>
                <w:position w:val="0"/>
              </w:rPr>
              <w:t>9.1744</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股，股份转让价款合计</w:t>
            </w:r>
            <w:r>
              <w:rPr>
                <w:color w:val="000000"/>
                <w:spacing w:val="0"/>
                <w:w w:val="100"/>
                <w:position w:val="0"/>
              </w:rPr>
              <w:t>23.7595</w:t>
            </w:r>
            <w:r>
              <w:rPr>
                <w:rFonts w:ascii="SimSun" w:eastAsia="SimSun" w:hAnsi="SimSun" w:cs="SimSun"/>
                <w:color w:val="000000"/>
                <w:spacing w:val="0"/>
                <w:w w:val="100"/>
                <w:position w:val="0"/>
              </w:rPr>
              <w:t>亿元。截至报告期末，本次股份转让事项已完成， 公司控制权变更。公司的控股股东将变更为海控集团，实际控制人变更为青岛西海岸新区国有资产 管理局。</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34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北京市东城区朝阳门北大街</w:t>
            </w:r>
            <w:r>
              <w:rPr>
                <w:color w:val="000000"/>
                <w:spacing w:val="0"/>
                <w:w w:val="100"/>
                <w:position w:val="0"/>
              </w:rPr>
              <w:t>8</w:t>
            </w:r>
            <w:r>
              <w:rPr>
                <w:rFonts w:ascii="SimSun" w:eastAsia="SimSun" w:hAnsi="SimSun" w:cs="SimSun"/>
                <w:color w:val="000000"/>
                <w:spacing w:val="0"/>
                <w:w w:val="100"/>
                <w:position w:val="0"/>
              </w:rPr>
              <w:t>号富华大厦</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9</w:t>
            </w:r>
            <w:r>
              <w:rPr>
                <w:rFonts w:ascii="SimSun" w:eastAsia="SimSun" w:hAnsi="SimSun" w:cs="SimSun"/>
                <w:color w:val="000000"/>
                <w:spacing w:val="0"/>
                <w:w w:val="100"/>
                <w:position w:val="0"/>
              </w:rPr>
              <w:t>层</w:t>
            </w:r>
          </w:p>
        </w:tc>
      </w:tr>
      <w:tr>
        <w:trPr>
          <w:trHeight w:val="33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叶胜平、提汝明</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31"/>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公司是否需追溯调整或重述以前年度会计数据 口是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096"/>
        <w:gridCol w:w="1618"/>
        <w:gridCol w:w="1622"/>
        <w:gridCol w:w="1622"/>
        <w:gridCol w:w="1632"/>
      </w:tblGrid>
      <w:tr>
        <w:trPr>
          <w:trHeight w:val="33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9,321,789,268.60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9,745,408,784.22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8,739,834,605.92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223,052,864.45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220,879,359.32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111,714,711.22</w:t>
            </w: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171,467,321.46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171,696,051.36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100,661,508.45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703,747,603.05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872,167,673.52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638,571,286.93</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0.1079</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0.1079</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2.77%</w:t>
            </w:r>
          </w:p>
        </w:tc>
      </w:tr>
      <w:tr>
        <w:trPr>
          <w:trHeight w:val="63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 增减</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8,341,953,129.96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7,597,902,190.35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7,343,777,417.11</w:t>
            </w:r>
          </w:p>
        </w:tc>
      </w:tr>
      <w:tr>
        <w:trPr>
          <w:trHeight w:val="33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4,522,930,198.46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4,249,377,827.93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4,015,421,137.23</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4"/>
        <w:keepNext/>
        <w:keepLines/>
        <w:widowControl w:val="0"/>
        <w:shd w:val="clear" w:color="auto" w:fill="auto"/>
        <w:tabs>
          <w:tab w:pos="410"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10"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42"/>
        <w:gridCol w:w="1738"/>
        <w:gridCol w:w="1738"/>
        <w:gridCol w:w="1742"/>
      </w:tblGrid>
      <w:tr>
        <w:trPr>
          <w:trHeight w:val="33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1,280,366,181.07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2,593,428,985.97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2,771,990,184.12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2,676,003,917.44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-90,129,795.54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141,061,987.74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122,227,569.87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49,893,102.38</w:t>
            </w: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-76,785,968.14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113,863,749.00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70,545,749.19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63,843,791.41</w:t>
            </w:r>
          </w:p>
        </w:tc>
      </w:tr>
      <w:tr>
        <w:trPr>
          <w:trHeight w:val="33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-165,618,857.14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234,680,613.32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370,966,228.86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263,719,618.01</w:t>
            </w:r>
          </w:p>
        </w:tc>
      </w:tr>
    </w:tbl>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上述财务指标或其加总数是否与公司已披露季度报告、半年度报告相关财务指标存在重大差异 口是</w:t>
      </w:r>
      <w:r>
        <w:rPr>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1541"/>
        <w:gridCol w:w="1406"/>
        <w:gridCol w:w="1450"/>
        <w:gridCol w:w="1723"/>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-2,239,775.42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-2,919,377.56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-1,042,270.13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系处置固定资产损 失</w:t>
            </w: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47,304,502.31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42,547,841.67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20,788,389.25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9,727,185.73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12,680,714.96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13,766,720.37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系银行理财收益</w:t>
            </w:r>
          </w:p>
        </w:tc>
      </w:tr>
      <w:tr>
        <w:trPr>
          <w:trHeight w:val="2208"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3,272.51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4,449,272.69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-19,597,662.95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公司开展套期保值 业务，期货价格波 动超出现货价格波 动列入套保无效部 分及开展远期结购 汇公允价值变动和 交割收益</w:t>
            </w:r>
          </w:p>
        </w:tc>
      </w:tr>
    </w:tbl>
    <w:tbl>
      <w:tblPr>
        <w:tblOverlap w:val="never"/>
        <w:jc w:val="center"/>
        <w:tblLayout w:type="fixed"/>
      </w:tblPr>
      <w:tblGrid>
        <w:gridCol w:w="3470"/>
        <w:gridCol w:w="1541"/>
        <w:gridCol w:w="1406"/>
        <w:gridCol w:w="1450"/>
        <w:gridCol w:w="1723"/>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1,130,427.99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-1,015,961.07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-1,774,147.06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4,218,539.57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4,488,528.42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479,587.11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121,530.56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2,070,654.31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608,239.60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51,585,542.99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49,183,307.96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11,053,202.77</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700" w:right="1121" w:bottom="1460" w:left="109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9"/>
        <w:keepNext/>
        <w:keepLines/>
        <w:widowControl w:val="0"/>
        <w:shd w:val="clear" w:color="auto" w:fill="auto"/>
        <w:bidi w:val="0"/>
        <w:spacing w:before="0" w:after="540" w:line="240" w:lineRule="auto"/>
        <w:ind w:left="0" w:right="0" w:firstLine="0"/>
        <w:jc w:val="center"/>
      </w:pPr>
      <w:bookmarkStart w:id="56" w:name="bookmark56"/>
      <w:bookmarkStart w:id="57" w:name="bookmark57"/>
      <w:bookmarkStart w:id="58" w:name="bookmark58"/>
      <w:bookmarkStart w:id="59" w:name="bookmark59"/>
      <w:r>
        <w:rPr>
          <w:color w:val="000000"/>
          <w:spacing w:val="0"/>
          <w:w w:val="100"/>
          <w:position w:val="0"/>
        </w:rPr>
        <w:t>第三节公司业务概要</w:t>
      </w:r>
      <w:bookmarkEnd w:id="57"/>
      <w:bookmarkEnd w:id="58"/>
      <w:bookmarkEnd w:id="59"/>
      <w:bookmarkEnd w:id="56"/>
    </w:p>
    <w:p>
      <w:pPr>
        <w:pStyle w:val="Style26"/>
        <w:keepNext/>
        <w:keepLines/>
        <w:widowControl w:val="0"/>
        <w:shd w:val="clear" w:color="auto" w:fill="auto"/>
        <w:bidi w:val="0"/>
        <w:spacing w:before="0" w:after="2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38"/>
        <w:keepNext w:val="0"/>
        <w:keepLines w:val="0"/>
        <w:widowControl w:val="0"/>
        <w:shd w:val="clear" w:color="auto" w:fill="auto"/>
        <w:bidi w:val="0"/>
        <w:spacing w:before="0" w:after="160" w:line="312" w:lineRule="exact"/>
        <w:ind w:left="0" w:right="0" w:firstLine="220"/>
        <w:jc w:val="both"/>
      </w:pPr>
      <w:bookmarkStart w:id="64" w:name="bookmark64"/>
      <w:r>
        <w:rPr>
          <w:b/>
          <w:bCs/>
          <w:color w:val="000000"/>
          <w:spacing w:val="0"/>
          <w:w w:val="100"/>
          <w:position w:val="0"/>
        </w:rPr>
        <w:t>（</w:t>
      </w:r>
      <w:bookmarkEnd w:id="64"/>
      <w:r>
        <w:rPr>
          <w:b/>
          <w:bCs/>
          <w:color w:val="000000"/>
          <w:spacing w:val="0"/>
          <w:w w:val="100"/>
          <w:position w:val="0"/>
        </w:rPr>
        <w:t>一）报告期内公司主要从事的业务、主要业绩驱动因素及公司所处的行业地位</w:t>
      </w:r>
    </w:p>
    <w:p>
      <w:pPr>
        <w:pStyle w:val="Style38"/>
        <w:keepNext w:val="0"/>
        <w:keepLines w:val="0"/>
        <w:widowControl w:val="0"/>
        <w:numPr>
          <w:ilvl w:val="0"/>
          <w:numId w:val="3"/>
        </w:numPr>
        <w:shd w:val="clear" w:color="auto" w:fill="auto"/>
        <w:tabs>
          <w:tab w:pos="714" w:val="left"/>
        </w:tabs>
        <w:bidi w:val="0"/>
        <w:spacing w:before="0" w:after="40" w:line="326" w:lineRule="auto"/>
        <w:ind w:left="0" w:right="0" w:firstLine="440"/>
        <w:jc w:val="both"/>
      </w:pPr>
      <w:bookmarkStart w:id="65" w:name="bookmark65"/>
      <w:bookmarkEnd w:id="65"/>
      <w:r>
        <w:rPr>
          <w:b/>
          <w:bCs/>
          <w:color w:val="000000"/>
          <w:spacing w:val="0"/>
          <w:w w:val="100"/>
          <w:position w:val="0"/>
        </w:rPr>
        <w:t>电线电缆</w:t>
      </w:r>
    </w:p>
    <w:p>
      <w:pPr>
        <w:pStyle w:val="Style38"/>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公司以绿色能源传输为已任，为客户提供智能输电解决方案。产品大类主要包括电力电缆</w:t>
      </w:r>
      <w:r>
        <w:rPr>
          <w:color w:val="000000"/>
          <w:spacing w:val="0"/>
          <w:w w:val="100"/>
          <w:position w:val="0"/>
        </w:rPr>
        <w:t>（500k</w:t>
      </w:r>
      <w:r>
        <w:rPr>
          <w:color w:val="000000"/>
          <w:spacing w:val="0"/>
          <w:w w:val="100"/>
          <w:position w:val="0"/>
        </w:rPr>
        <w:t>V及 以下的超高压交联聚乙烯绝缘电缆、</w:t>
      </w:r>
      <w:r>
        <w:rPr>
          <w:color w:val="000000"/>
          <w:spacing w:val="0"/>
          <w:w w:val="100"/>
          <w:position w:val="0"/>
        </w:rPr>
        <w:t>6kV</w:t>
      </w:r>
      <w:r>
        <w:rPr>
          <w:color w:val="000000"/>
          <w:spacing w:val="0"/>
          <w:w w:val="100"/>
          <w:position w:val="0"/>
        </w:rPr>
        <w:t>〜</w:t>
      </w:r>
      <w:r>
        <w:rPr>
          <w:color w:val="000000"/>
          <w:spacing w:val="0"/>
          <w:w w:val="100"/>
          <w:position w:val="0"/>
        </w:rPr>
        <w:t>35kV</w:t>
      </w:r>
      <w:r>
        <w:rPr>
          <w:color w:val="000000"/>
          <w:spacing w:val="0"/>
          <w:w w:val="100"/>
          <w:position w:val="0"/>
        </w:rPr>
        <w:t>的中压电缆、低压电缆）、防火耐火电缆、特种电缆、民 用建筑线缆、光纤光缆、同轴电缆、数据通信电缆、高端智能装备线缆等系列产品，是国内拥有成熟线缆 产业链的“综合线缆供应商”。</w:t>
      </w:r>
    </w:p>
    <w:p>
      <w:pPr>
        <w:pStyle w:val="Style38"/>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公司产品种类齐全，具备电力传输一体化解决能力，超高压电缆、防火电缆、风能电缆等线缆产品处 于国内领先地位。经中国电器工业协会电线电缆分会和上海电缆研究所联合评比，万马股份荣获“2020中 国线缆行业最具竞争力企业10强”。</w:t>
      </w:r>
    </w:p>
    <w:p>
      <w:pPr>
        <w:pStyle w:val="Style38"/>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公司也是国内规模较大的通信线缆制造企业，拥有广泛的销售渠道和良好的客户关系；拥有世界上最 先进的物理发泡串联生产线（奥地利罗森泰生产线）和德国莱茵认证的电缆实验室及电缆材料检测中心， 建立了完善的同轴电缆生产在线实时监控系统，确保产品质量得到有效保障。公司紧紧抓住电子信息与通 信行业的快速发展期，不断做大做强高端智能装备线缆</w:t>
      </w:r>
      <w:r>
        <w:rPr>
          <w:color w:val="000000"/>
          <w:spacing w:val="0"/>
          <w:w w:val="100"/>
          <w:position w:val="0"/>
        </w:rPr>
        <w:t>、5G</w:t>
      </w:r>
      <w:r>
        <w:rPr>
          <w:color w:val="000000"/>
          <w:spacing w:val="0"/>
          <w:w w:val="100"/>
          <w:position w:val="0"/>
        </w:rPr>
        <w:t>用室内布线光电缆等业务领域，开拓新的业务 空间，逐步实现新的增长点。公司通信线缆产品系列包括：同轴电缆（包括</w:t>
      </w:r>
      <w:r>
        <w:rPr>
          <w:color w:val="000000"/>
          <w:spacing w:val="0"/>
          <w:w w:val="100"/>
          <w:position w:val="0"/>
        </w:rPr>
        <w:t>SYWV（Y）</w:t>
      </w:r>
      <w:r>
        <w:rPr>
          <w:color w:val="000000"/>
          <w:spacing w:val="0"/>
          <w:w w:val="100"/>
          <w:position w:val="0"/>
        </w:rPr>
        <w:t>系列</w:t>
      </w:r>
      <w:r>
        <w:rPr>
          <w:color w:val="000000"/>
          <w:spacing w:val="0"/>
          <w:w w:val="100"/>
          <w:position w:val="0"/>
        </w:rPr>
        <w:t xml:space="preserve">-5 -7 -9 -12 </w:t>
      </w:r>
      <w:r>
        <w:rPr>
          <w:color w:val="000000"/>
          <w:spacing w:val="0"/>
          <w:w w:val="100"/>
          <w:position w:val="0"/>
        </w:rPr>
        <w:t>等、</w:t>
      </w:r>
      <w:r>
        <w:rPr>
          <w:color w:val="000000"/>
          <w:spacing w:val="0"/>
          <w:w w:val="100"/>
          <w:position w:val="0"/>
        </w:rPr>
        <w:t>LMR</w:t>
      </w:r>
      <w:r>
        <w:rPr>
          <w:color w:val="000000"/>
          <w:spacing w:val="0"/>
          <w:w w:val="100"/>
          <w:position w:val="0"/>
        </w:rPr>
        <w:t>低损耗系列、</w:t>
      </w:r>
      <w:r>
        <w:rPr>
          <w:color w:val="000000"/>
          <w:spacing w:val="0"/>
          <w:w w:val="100"/>
          <w:position w:val="0"/>
        </w:rPr>
        <w:t>RG</w:t>
      </w:r>
      <w:r>
        <w:rPr>
          <w:color w:val="000000"/>
          <w:spacing w:val="0"/>
          <w:w w:val="100"/>
          <w:position w:val="0"/>
        </w:rPr>
        <w:t>系列:</w:t>
      </w:r>
      <w:r>
        <w:rPr>
          <w:color w:val="000000"/>
          <w:spacing w:val="0"/>
          <w:w w:val="100"/>
          <w:position w:val="0"/>
        </w:rPr>
        <w:t>RG6、RG11、RG59、RG176</w:t>
      </w:r>
      <w:r>
        <w:rPr>
          <w:color w:val="000000"/>
          <w:spacing w:val="0"/>
          <w:w w:val="100"/>
          <w:position w:val="0"/>
        </w:rPr>
        <w:t>等、50欧姆集束线缆等）、室内外光缆（包括</w:t>
      </w:r>
      <w:r>
        <w:rPr>
          <w:color w:val="000000"/>
          <w:spacing w:val="0"/>
          <w:w w:val="100"/>
          <w:position w:val="0"/>
        </w:rPr>
        <w:t>ADSS、 FTTH、</w:t>
      </w:r>
      <w:r>
        <w:rPr>
          <w:color w:val="000000"/>
          <w:spacing w:val="0"/>
          <w:w w:val="100"/>
          <w:position w:val="0"/>
        </w:rPr>
        <w:t>层绞式、自承式、中心束管、光电复合缆、蝶形、圆形引入缆、拉远光缆、单双芯、</w:t>
      </w:r>
      <w:r>
        <w:rPr>
          <w:color w:val="000000"/>
          <w:spacing w:val="0"/>
          <w:w w:val="100"/>
          <w:position w:val="0"/>
        </w:rPr>
        <w:t>Module</w:t>
      </w:r>
      <w:r>
        <w:rPr>
          <w:color w:val="000000"/>
          <w:spacing w:val="0"/>
          <w:w w:val="100"/>
          <w:position w:val="0"/>
        </w:rPr>
        <w:t>光缆子 缆等）、安防数据缆（包括</w:t>
      </w:r>
      <w:r>
        <w:rPr>
          <w:color w:val="000000"/>
          <w:spacing w:val="0"/>
          <w:w w:val="100"/>
          <w:position w:val="0"/>
        </w:rPr>
        <w:t>CAT5e+、CAT6、CAT6A、CAT7、CMP</w:t>
      </w:r>
      <w:r>
        <w:rPr>
          <w:color w:val="000000"/>
          <w:spacing w:val="0"/>
          <w:w w:val="100"/>
          <w:position w:val="0"/>
        </w:rPr>
        <w:t>级数据缆、喇叭线、火警线、监控线、信号 控制电源线等）、组件连接线（包括有线电视连接线、网线跳线、光跳线、充电枪等）。</w:t>
      </w:r>
    </w:p>
    <w:p>
      <w:pPr>
        <w:pStyle w:val="Style38"/>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公司是国内较早进入智能装备线缆领域研发和生产的公司之一。智能装备线缆主要用于向工业机器人 等自动化装备提供电能和信号传输，对其耐曲挠性、耐环境液体、耐磨等性能的要求远远高于普通线缆， 工业智能制造、工业机器人等工业自动化装备产业的发展一定程度上依赖于智能装备线缆。“十三五”期 间，我国机器人产业发展迅速。目前国内中高端工业机器人及系统集成商所使用的本体电缆70%以上依然 依赖进口</w:t>
      </w:r>
      <w:hyperlink w:anchor="bookmark67" w:tooltip="Current Document">
        <w:r>
          <w:rPr>
            <w:color w:val="000000"/>
            <w:spacing w:val="0"/>
            <w:w w:val="100"/>
            <w:position w:val="0"/>
            <w:sz w:val="9"/>
            <w:szCs w:val="9"/>
          </w:rPr>
          <w:t>'</w:t>
        </w:r>
      </w:hyperlink>
      <w:r>
        <w:rPr>
          <w:color w:val="000000"/>
          <w:spacing w:val="0"/>
          <w:w w:val="100"/>
          <w:position w:val="0"/>
        </w:rPr>
        <w:t>，</w:t>
      </w:r>
      <w:r>
        <w:rPr>
          <w:color w:val="000000"/>
          <w:spacing w:val="0"/>
          <w:w w:val="100"/>
          <w:position w:val="0"/>
        </w:rPr>
        <w:t>主要是日系及欧系本体电缆。由于国内工业机器人产业化起步较晚，智能装备线缆在2010年以 后，才开始进入大规模的研发和市场推广应用。</w:t>
      </w:r>
    </w:p>
    <w:p>
      <w:pPr>
        <w:pStyle w:val="Style38"/>
        <w:keepNext w:val="0"/>
        <w:keepLines w:val="0"/>
        <w:widowControl w:val="0"/>
        <w:numPr>
          <w:ilvl w:val="0"/>
          <w:numId w:val="3"/>
        </w:numPr>
        <w:shd w:val="clear" w:color="auto" w:fill="auto"/>
        <w:tabs>
          <w:tab w:pos="724" w:val="left"/>
        </w:tabs>
        <w:bidi w:val="0"/>
        <w:spacing w:before="0" w:after="40" w:line="326" w:lineRule="auto"/>
        <w:ind w:left="0" w:right="0" w:firstLine="440"/>
        <w:jc w:val="both"/>
      </w:pPr>
      <w:bookmarkStart w:id="66" w:name="bookmark66"/>
      <w:bookmarkEnd w:id="66"/>
      <w:r>
        <w:rPr>
          <w:b/>
          <w:bCs/>
          <w:color w:val="000000"/>
          <w:spacing w:val="0"/>
          <w:w w:val="100"/>
          <w:position w:val="0"/>
        </w:rPr>
        <w:t>新材料</w:t>
      </w:r>
    </w:p>
    <w:p>
      <w:pPr>
        <w:pStyle w:val="Style38"/>
        <w:keepNext w:val="0"/>
        <w:keepLines w:val="0"/>
        <w:widowControl w:val="0"/>
        <w:shd w:val="clear" w:color="auto" w:fill="auto"/>
        <w:bidi w:val="0"/>
        <w:spacing w:before="0" w:after="420" w:line="310" w:lineRule="exact"/>
        <w:ind w:left="0" w:right="0" w:firstLine="440"/>
        <w:jc w:val="both"/>
      </w:pPr>
      <w:r>
        <w:rPr>
          <w:color w:val="000000"/>
          <w:spacing w:val="0"/>
          <w:w w:val="100"/>
          <w:position w:val="0"/>
        </w:rPr>
        <w:t>万马高分子专业从事化学交联电力电缆绝缘材料、屏蔽材料、电缆用阻燃性材料以及环保型高分子新 材料的研发、生产与销售，是国内专业从事化学交联电缆绝缘材料生产历史悠久的企业，公司主要产品包 括：</w:t>
      </w:r>
      <w:r>
        <w:rPr>
          <w:color w:val="000000"/>
          <w:spacing w:val="0"/>
          <w:w w:val="100"/>
          <w:position w:val="0"/>
        </w:rPr>
        <w:t>110kV</w:t>
      </w:r>
      <w:r>
        <w:rPr>
          <w:color w:val="000000"/>
          <w:spacing w:val="0"/>
          <w:w w:val="100"/>
          <w:position w:val="0"/>
        </w:rPr>
        <w:t>及以上化学交联聚乙烯高压电缆用绝缘料、</w:t>
      </w:r>
      <w:r>
        <w:rPr>
          <w:color w:val="000000"/>
          <w:spacing w:val="0"/>
          <w:w w:val="100"/>
          <w:position w:val="0"/>
        </w:rPr>
        <w:t>35kV</w:t>
      </w:r>
      <w:r>
        <w:rPr>
          <w:color w:val="000000"/>
          <w:spacing w:val="0"/>
          <w:w w:val="100"/>
          <w:position w:val="0"/>
        </w:rPr>
        <w:t>及以下化学交联聚乙烯电缆用绝缘料、</w:t>
      </w:r>
      <w:r>
        <w:rPr>
          <w:color w:val="000000"/>
          <w:spacing w:val="0"/>
          <w:w w:val="100"/>
          <w:position w:val="0"/>
        </w:rPr>
        <w:t>35k</w:t>
      </w:r>
      <w:r>
        <w:rPr>
          <w:color w:val="000000"/>
          <w:spacing w:val="0"/>
          <w:w w:val="100"/>
          <w:position w:val="0"/>
        </w:rPr>
        <w:t>V及 以下化学交联黑色聚乙烯架空电缆用绝缘料、</w:t>
      </w:r>
      <w:r>
        <w:rPr>
          <w:color w:val="000000"/>
          <w:spacing w:val="0"/>
          <w:w w:val="100"/>
          <w:position w:val="0"/>
        </w:rPr>
        <w:t>35k</w:t>
      </w:r>
      <w:r>
        <w:rPr>
          <w:color w:val="000000"/>
          <w:spacing w:val="0"/>
          <w:w w:val="100"/>
          <w:position w:val="0"/>
        </w:rPr>
        <w:t>V及以下抗水树电缆用绝缘料；中高压电缆用内外屏蔽料; 特种</w:t>
      </w:r>
      <w:r>
        <w:rPr>
          <w:color w:val="000000"/>
          <w:spacing w:val="0"/>
          <w:w w:val="100"/>
          <w:position w:val="0"/>
        </w:rPr>
        <w:t>PVC</w:t>
      </w:r>
      <w:r>
        <w:rPr>
          <w:color w:val="000000"/>
          <w:spacing w:val="0"/>
          <w:w w:val="100"/>
          <w:position w:val="0"/>
        </w:rPr>
        <w:t>料；一步法、两步法及特种硅烷交联聚乙烯绝缘料、自然交联聚乙烯电缆料；热塑性、辐照型低 烟无卤系列电缆料；弹性体</w:t>
      </w:r>
      <w:r>
        <w:rPr>
          <w:color w:val="000000"/>
          <w:spacing w:val="0"/>
          <w:w w:val="100"/>
          <w:position w:val="0"/>
        </w:rPr>
        <w:t>TPE、TPU</w:t>
      </w:r>
      <w:r>
        <w:rPr>
          <w:color w:val="000000"/>
          <w:spacing w:val="0"/>
          <w:w w:val="100"/>
          <w:position w:val="0"/>
        </w:rPr>
        <w:t>等。</w:t>
      </w:r>
    </w:p>
    <w:p>
      <w:pPr>
        <w:pStyle w:val="Style31"/>
        <w:keepNext w:val="0"/>
        <w:keepLines w:val="0"/>
        <w:widowControl w:val="0"/>
        <w:shd w:val="clear" w:color="auto" w:fill="auto"/>
        <w:bidi w:val="0"/>
        <w:spacing w:before="0" w:after="160" w:line="504" w:lineRule="exact"/>
        <w:ind w:left="4100" w:right="0" w:hanging="410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2180" w:right="1006" w:bottom="946" w:left="1107" w:header="0" w:footer="518" w:gutter="0"/>
          <w:pgNumType w:start="9"/>
          <w:cols w:space="720"/>
          <w:noEndnote/>
          <w:rtlGutter w:val="0"/>
          <w:docGrid w:linePitch="360"/>
        </w:sectPr>
      </w:pPr>
      <w:bookmarkStart w:id="67" w:name="bookmark67"/>
      <w:r>
        <w:rPr>
          <w:rFonts w:ascii="Times New Roman" w:eastAsia="Times New Roman" w:hAnsi="Times New Roman" w:cs="Times New Roman"/>
          <w:color w:val="000000"/>
          <w:spacing w:val="0"/>
          <w:w w:val="100"/>
          <w:position w:val="0"/>
          <w:sz w:val="15"/>
          <w:szCs w:val="15"/>
        </w:rPr>
        <w:t>1</w:t>
      </w:r>
      <w:r>
        <w:rPr>
          <w:color w:val="000000"/>
          <w:spacing w:val="0"/>
          <w:w w:val="100"/>
          <w:position w:val="0"/>
        </w:rPr>
        <w:t>中国电工技术学会电线电缆专业委员会：《中国线缆产业发展现状及策略建议咨询报告》。 第</w:t>
      </w:r>
      <w:r>
        <w:rPr>
          <w:rFonts w:ascii="Times New Roman" w:eastAsia="Times New Roman" w:hAnsi="Times New Roman" w:cs="Times New Roman"/>
          <w:color w:val="000000"/>
          <w:spacing w:val="0"/>
          <w:w w:val="100"/>
          <w:position w:val="0"/>
        </w:rPr>
        <w:t>8</w:t>
      </w:r>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bookmarkEnd w:id="67"/>
    </w:p>
    <w:p>
      <w:pPr>
        <w:pStyle w:val="Style38"/>
        <w:keepNext w:val="0"/>
        <w:keepLines w:val="0"/>
        <w:widowControl w:val="0"/>
        <w:shd w:val="clear" w:color="auto" w:fill="auto"/>
        <w:bidi w:val="0"/>
        <w:spacing w:before="200" w:after="200" w:line="312" w:lineRule="exact"/>
        <w:ind w:left="0" w:right="0" w:firstLine="440"/>
        <w:jc w:val="both"/>
      </w:pPr>
      <w:r>
        <w:rPr>
          <w:color w:val="000000"/>
          <w:spacing w:val="0"/>
          <w:w w:val="100"/>
          <w:position w:val="0"/>
        </w:rPr>
        <w:t>万马高分子是国内领先的新材料企业。公司以电缆材料为主导作产业延伸，其中</w:t>
      </w:r>
      <w:r>
        <w:rPr>
          <w:color w:val="000000"/>
          <w:spacing w:val="0"/>
          <w:w w:val="100"/>
          <w:position w:val="0"/>
        </w:rPr>
        <w:t>35k</w:t>
      </w:r>
      <w:r>
        <w:rPr>
          <w:color w:val="000000"/>
          <w:spacing w:val="0"/>
          <w:w w:val="100"/>
          <w:position w:val="0"/>
        </w:rPr>
        <w:t>V及以下中低压电 缆绝缘料已连续多年位居行业龙头地位；公司自主研发的“高压电缆</w:t>
      </w:r>
      <w:r>
        <w:rPr>
          <w:color w:val="000000"/>
          <w:spacing w:val="0"/>
          <w:w w:val="100"/>
          <w:position w:val="0"/>
        </w:rPr>
        <w:t>（110kV）</w:t>
      </w:r>
      <w:r>
        <w:rPr>
          <w:color w:val="000000"/>
          <w:spacing w:val="0"/>
          <w:w w:val="100"/>
          <w:position w:val="0"/>
        </w:rPr>
        <w:t>超净</w:t>
      </w:r>
      <w:r>
        <w:rPr>
          <w:color w:val="000000"/>
          <w:spacing w:val="0"/>
          <w:w w:val="100"/>
          <w:position w:val="0"/>
        </w:rPr>
        <w:t>XLPE</w:t>
      </w:r>
      <w:r>
        <w:rPr>
          <w:color w:val="000000"/>
          <w:spacing w:val="0"/>
          <w:w w:val="100"/>
          <w:position w:val="0"/>
        </w:rPr>
        <w:t>绝缘料”打破国 际垄断，曾列入国家科技部重点新产品计划立项项目，成为国内首家供应高压电缆</w:t>
      </w:r>
      <w:r>
        <w:rPr>
          <w:color w:val="000000"/>
          <w:spacing w:val="0"/>
          <w:w w:val="100"/>
          <w:position w:val="0"/>
        </w:rPr>
        <w:t>（110KV）</w:t>
      </w:r>
      <w:r>
        <w:rPr>
          <w:color w:val="000000"/>
          <w:spacing w:val="0"/>
          <w:w w:val="100"/>
          <w:position w:val="0"/>
        </w:rPr>
        <w:t>用超净绝缘 料的企业，为国产料取得多项荣誉，填补了国内空白，并获得市场认可。公司开发的</w:t>
      </w:r>
      <w:r>
        <w:rPr>
          <w:color w:val="000000"/>
          <w:spacing w:val="0"/>
          <w:w w:val="100"/>
          <w:position w:val="0"/>
        </w:rPr>
        <w:t>220k</w:t>
      </w:r>
      <w:r>
        <w:rPr>
          <w:color w:val="000000"/>
          <w:spacing w:val="0"/>
          <w:w w:val="100"/>
          <w:position w:val="0"/>
        </w:rPr>
        <w:t>V高压电缆绝缘 料，通过了由中国电力企业联合会组织的国家级新产品鉴定，产品性能达到国际先进水平。公司研发的低 烟无卤、特种</w:t>
      </w:r>
      <w:r>
        <w:rPr>
          <w:color w:val="000000"/>
          <w:spacing w:val="0"/>
          <w:w w:val="100"/>
          <w:position w:val="0"/>
        </w:rPr>
        <w:t>PVC、TPE</w:t>
      </w:r>
      <w:r>
        <w:rPr>
          <w:color w:val="000000"/>
          <w:spacing w:val="0"/>
          <w:w w:val="100"/>
          <w:position w:val="0"/>
        </w:rPr>
        <w:t>等材料，成功进入通讯、新能源、消费电子、海洋、航天航空等高端装备市场，公 司已发展成为行业内规模大、品类全的综合材料服务商，竞争优势明显。</w:t>
      </w:r>
    </w:p>
    <w:p>
      <w:pPr>
        <w:pStyle w:val="Style38"/>
        <w:keepNext w:val="0"/>
        <w:keepLines w:val="0"/>
        <w:widowControl w:val="0"/>
        <w:numPr>
          <w:ilvl w:val="0"/>
          <w:numId w:val="3"/>
        </w:numPr>
        <w:shd w:val="clear" w:color="auto" w:fill="auto"/>
        <w:bidi w:val="0"/>
        <w:spacing w:before="0" w:after="60" w:line="326" w:lineRule="auto"/>
        <w:ind w:left="0" w:right="0" w:firstLine="540"/>
        <w:jc w:val="both"/>
      </w:pPr>
      <w:bookmarkStart w:id="68" w:name="bookmark68"/>
      <w:bookmarkEnd w:id="68"/>
      <w:r>
        <w:rPr>
          <w:b/>
          <w:bCs/>
          <w:color w:val="000000"/>
          <w:spacing w:val="0"/>
          <w:w w:val="100"/>
          <w:position w:val="0"/>
        </w:rPr>
        <w:t>新能源</w:t>
      </w:r>
    </w:p>
    <w:p>
      <w:pPr>
        <w:pStyle w:val="Style38"/>
        <w:keepNext w:val="0"/>
        <w:keepLines w:val="0"/>
        <w:widowControl w:val="0"/>
        <w:shd w:val="clear" w:color="auto" w:fill="auto"/>
        <w:bidi w:val="0"/>
        <w:spacing w:before="0" w:line="312" w:lineRule="exact"/>
        <w:ind w:left="0" w:right="0" w:firstLine="440"/>
        <w:jc w:val="both"/>
      </w:pPr>
      <w:r>
        <w:rPr>
          <w:color w:val="000000"/>
          <w:spacing w:val="0"/>
          <w:w w:val="100"/>
          <w:position w:val="0"/>
        </w:rPr>
        <w:t>公司在新能源产业领域已完成产业基础布局。作为国内最早进入充电桩领域的公司之一，通过十余年 持续的业务拓展和优化，无论是作为充电设备制造销售商，还是作为全国桩联网的投资建设运营商，以及 充电生态平台的服务商，公司都具备进一步拓展公司充电业务的能力，扩大产业优势。</w:t>
      </w:r>
    </w:p>
    <w:p>
      <w:pPr>
        <w:pStyle w:val="Style38"/>
        <w:keepNext w:val="0"/>
        <w:keepLines w:val="0"/>
        <w:widowControl w:val="0"/>
        <w:shd w:val="clear" w:color="auto" w:fill="auto"/>
        <w:bidi w:val="0"/>
        <w:spacing w:before="0" w:line="312" w:lineRule="exact"/>
        <w:ind w:left="0" w:right="0" w:firstLine="440"/>
        <w:jc w:val="both"/>
      </w:pPr>
      <w:r>
        <w:rPr>
          <w:color w:val="000000"/>
          <w:spacing w:val="0"/>
          <w:w w:val="100"/>
          <w:position w:val="0"/>
        </w:rPr>
        <w:t>公司持续加大研发力量的投入，不断完善充电设备产品系列。目前拥有从</w:t>
      </w:r>
      <w:r>
        <w:rPr>
          <w:color w:val="000000"/>
          <w:spacing w:val="0"/>
          <w:w w:val="100"/>
          <w:position w:val="0"/>
        </w:rPr>
        <w:t>7kW</w:t>
      </w:r>
      <w:r>
        <w:rPr>
          <w:color w:val="000000"/>
          <w:spacing w:val="0"/>
          <w:w w:val="100"/>
          <w:position w:val="0"/>
        </w:rPr>
        <w:t>到</w:t>
      </w:r>
      <w:r>
        <w:rPr>
          <w:color w:val="000000"/>
          <w:spacing w:val="0"/>
          <w:w w:val="100"/>
          <w:position w:val="0"/>
        </w:rPr>
        <w:t>360kW</w:t>
      </w:r>
      <w:r>
        <w:rPr>
          <w:color w:val="000000"/>
          <w:spacing w:val="0"/>
          <w:w w:val="100"/>
          <w:position w:val="0"/>
        </w:rPr>
        <w:t>功率的产品线， 包括大功率一体式/分体式直流充电桩、壁挂式交流充电桩、智能交流充电桩等，公司研发生产的</w:t>
      </w:r>
      <w:r>
        <w:rPr>
          <w:color w:val="000000"/>
          <w:spacing w:val="0"/>
          <w:w w:val="100"/>
          <w:position w:val="0"/>
        </w:rPr>
        <w:t>480kW</w:t>
      </w:r>
      <w:r>
        <w:rPr>
          <w:color w:val="000000"/>
          <w:spacing w:val="0"/>
          <w:w w:val="100"/>
          <w:position w:val="0"/>
        </w:rPr>
        <w:t>的 智能柔性分配充电堆，可以搭载12个单双枪的充电终端同时为12台电动车进行充电服务，实现了单枪</w:t>
      </w:r>
      <w:r>
        <w:rPr>
          <w:color w:val="000000"/>
          <w:spacing w:val="0"/>
          <w:w w:val="100"/>
          <w:position w:val="0"/>
        </w:rPr>
        <w:t xml:space="preserve">200kW </w:t>
      </w:r>
      <w:r>
        <w:rPr>
          <w:color w:val="000000"/>
          <w:spacing w:val="0"/>
          <w:w w:val="100"/>
          <w:position w:val="0"/>
        </w:rPr>
        <w:t>的超大功率快充功能。万马新能源投资公司坚持“以需求为导向”的建站思路，继续推动构建“智能化城 市快充网”的布局工作。万马爱充主营城市智能充电网的运营及衍生业务，公司拥有芯片级别的充电桩智 能化接入的技术储备及完整解决方案，并提供个性化开发支持，提供全流程响应。城市智能充电网运营方 面，万马新能源实现自有桩体及第三方企业桩的接入、托管、运营，并成功为多地第三方客户开发、代运 营充电网络。经《中国能源报》与中国能源经济研究院联合评比，公司荣登“2020全球新能源企业500强” 榜单，万马爱充获得“2020新能源科技创新50强”。</w:t>
      </w:r>
    </w:p>
    <w:p>
      <w:pPr>
        <w:pStyle w:val="Style38"/>
        <w:keepNext w:val="0"/>
        <w:keepLines w:val="0"/>
        <w:widowControl w:val="0"/>
        <w:shd w:val="clear" w:color="auto" w:fill="auto"/>
        <w:bidi w:val="0"/>
        <w:spacing w:before="0" w:line="312" w:lineRule="exact"/>
        <w:ind w:left="0" w:right="0" w:firstLine="540"/>
        <w:jc w:val="left"/>
      </w:pPr>
      <w:bookmarkStart w:id="69" w:name="bookmark69"/>
      <w:r>
        <w:rPr>
          <w:b/>
          <w:bCs/>
          <w:color w:val="000000"/>
          <w:spacing w:val="0"/>
          <w:w w:val="100"/>
          <w:position w:val="0"/>
        </w:rPr>
        <w:t>（</w:t>
      </w:r>
      <w:bookmarkEnd w:id="69"/>
      <w:r>
        <w:rPr>
          <w:b/>
          <w:bCs/>
          <w:color w:val="000000"/>
          <w:spacing w:val="0"/>
          <w:w w:val="100"/>
          <w:position w:val="0"/>
        </w:rPr>
        <w:t>二）报告期内公司所属行业发展阶段、周期性特点</w:t>
      </w:r>
    </w:p>
    <w:p>
      <w:pPr>
        <w:pStyle w:val="Style3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公司所属的电线电缆行业是电工行业的下级行业，主要功能包括输送电能、传递信息、实现电磁能力 转换等，应用于电力、能源、建筑、交通、通信、工程机械、汽车等各个领域。“十三五”期间，随着我 国工业化进程的加快，经济发展总量的提升，电力建设、城市轨道、城镇化的逐年推进，促进了大中型城 市电网的建设，加快了交通与新能源产业的发展，助推了我国电网的快速建设与配电网的不断优化和发展， 推动了我国线缆市场需求总量的提升。</w:t>
      </w:r>
    </w:p>
    <w:p>
      <w:pPr>
        <w:pStyle w:val="Style3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从电线电缆需求结构来看，电力电缆仍占主要地位，电力电缆和电气装备电缆合计占比超过全部线缆 产值规模的50%以上。</w:t>
      </w:r>
      <w:r>
        <w:rPr>
          <w:color w:val="000000"/>
          <w:spacing w:val="0"/>
          <w:w w:val="100"/>
          <w:position w:val="0"/>
        </w:rPr>
        <w:t>35kV</w:t>
      </w:r>
      <w:r>
        <w:rPr>
          <w:color w:val="000000"/>
          <w:spacing w:val="0"/>
          <w:w w:val="100"/>
          <w:position w:val="0"/>
        </w:rPr>
        <w:t xml:space="preserve">及以下电压等级的电力电缆及其材料已实现全国产化。“十四五”期间随着城 镇化率的进一步提升，能源、交通、智能制造、“一带一路”走出去的拓展，绿色低碳战略的持续推进， </w:t>
      </w:r>
      <w:r>
        <w:rPr>
          <w:color w:val="000000"/>
          <w:spacing w:val="0"/>
          <w:w w:val="100"/>
          <w:position w:val="0"/>
        </w:rPr>
        <w:t xml:space="preserve">35k </w:t>
      </w:r>
      <w:r>
        <w:rPr>
          <w:color w:val="000000"/>
          <w:spacing w:val="0"/>
          <w:w w:val="100"/>
          <w:position w:val="0"/>
        </w:rPr>
        <w:t>V及以下电压等级电力电缆仍有较大的需求空间。</w:t>
      </w:r>
    </w:p>
    <w:p>
      <w:pPr>
        <w:pStyle w:val="Style38"/>
        <w:keepNext w:val="0"/>
        <w:keepLines w:val="0"/>
        <w:widowControl w:val="0"/>
        <w:shd w:val="clear" w:color="auto" w:fill="auto"/>
        <w:bidi w:val="0"/>
        <w:spacing w:before="0" w:line="310" w:lineRule="exact"/>
        <w:ind w:left="0" w:right="0" w:firstLine="44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586" w:right="988" w:bottom="1604" w:left="1100" w:header="0" w:footer="3" w:gutter="0"/>
          <w:cols w:space="720"/>
          <w:noEndnote/>
          <w:rtlGutter w:val="0"/>
          <w:docGrid w:linePitch="360"/>
        </w:sectPr>
      </w:pPr>
      <w:r>
        <w:rPr>
          <w:color w:val="000000"/>
          <w:spacing w:val="0"/>
          <w:w w:val="100"/>
          <w:position w:val="0"/>
        </w:rPr>
        <w:t>虽然我国的电线电缆行业整体规模位于世界首位，但竞争企业众多，市场格局较为分散，导致我国的 电线电缆行业集中度较低，与发达国家有较大差距。2018年，我国电线电缆行业排名前十名的企业份额不 足10%</w:t>
      </w:r>
      <w:r>
        <w:rPr>
          <w:color w:val="000000"/>
          <w:spacing w:val="0"/>
          <w:w w:val="100"/>
          <w:position w:val="0"/>
          <w:sz w:val="12"/>
          <w:szCs w:val="12"/>
          <w:vertAlign w:val="superscript"/>
        </w:rPr>
        <w:t>2</w:t>
      </w:r>
      <w:r>
        <w:rPr>
          <w:color w:val="000000"/>
          <w:spacing w:val="0"/>
          <w:w w:val="100"/>
          <w:position w:val="0"/>
        </w:rPr>
        <w:t>。我国电线电缆行业市场集中度与发达国家相比，仍然存在较大的提升空间，且因行业的规模经济 效应，及下游客户对产品质量日渐重视，我国行业集中度有望逐步提升，有利于规模较大的电线电缆企业。</w:t>
      </w:r>
    </w:p>
    <w:p>
      <w:pPr>
        <w:pStyle w:val="Style26"/>
        <w:keepNext/>
        <w:keepLines/>
        <w:widowControl w:val="0"/>
        <w:shd w:val="clear" w:color="auto" w:fill="auto"/>
        <w:bidi w:val="0"/>
        <w:spacing w:before="0" w:after="32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、主要资产重大变化情况</w:t>
      </w:r>
      <w:bookmarkEnd w:id="70"/>
      <w:bookmarkEnd w:id="71"/>
      <w:bookmarkEnd w:id="73"/>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74" w:name="bookmark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4"/>
    </w:p>
    <w:tbl>
      <w:tblPr>
        <w:tblOverlap w:val="never"/>
        <w:jc w:val="center"/>
        <w:tblLayout w:type="fixed"/>
      </w:tblPr>
      <w:tblGrid>
        <w:gridCol w:w="1224"/>
        <w:gridCol w:w="8366"/>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149.84</w:t>
            </w:r>
            <w:r>
              <w:rPr>
                <w:rFonts w:ascii="SimSun" w:eastAsia="SimSun" w:hAnsi="SimSun" w:cs="SimSun"/>
                <w:color w:val="000000"/>
                <w:spacing w:val="0"/>
                <w:w w:val="100"/>
                <w:position w:val="0"/>
              </w:rPr>
              <w:t>万元，主要系本期对海立斯追加投资所致。</w:t>
            </w:r>
          </w:p>
        </w:tc>
      </w:tr>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1.28</w:t>
            </w:r>
            <w:r>
              <w:rPr>
                <w:rFonts w:ascii="SimSun" w:eastAsia="SimSun" w:hAnsi="SimSun" w:cs="SimSun"/>
                <w:color w:val="000000"/>
                <w:spacing w:val="0"/>
                <w:w w:val="100"/>
                <w:position w:val="0"/>
              </w:rPr>
              <w:t>亿元，主要系本期万马智慧创新基地、年产</w:t>
            </w:r>
            <w:r>
              <w:rPr>
                <w:color w:val="000000"/>
                <w:spacing w:val="0"/>
                <w:w w:val="100"/>
                <w:position w:val="0"/>
              </w:rPr>
              <w:t>7.5</w:t>
            </w:r>
            <w:r>
              <w:rPr>
                <w:rFonts w:ascii="SimSun" w:eastAsia="SimSun" w:hAnsi="SimSun" w:cs="SimSun"/>
                <w:color w:val="000000"/>
                <w:spacing w:val="0"/>
                <w:w w:val="100"/>
                <w:position w:val="0"/>
              </w:rPr>
              <w:t>万吨电缆料项目转入及本期购入机器设 备增加所致</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8,165.89</w:t>
            </w:r>
            <w:r>
              <w:rPr>
                <w:rFonts w:ascii="SimSun" w:eastAsia="SimSun" w:hAnsi="SimSun" w:cs="SimSun"/>
                <w:color w:val="000000"/>
                <w:spacing w:val="0"/>
                <w:w w:val="100"/>
                <w:position w:val="0"/>
              </w:rPr>
              <w:t>万元，主要系本期高端电缆产业化项目、高分子环保新型电缆材料产业长兴基地新 建厂房购入土地。</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8,889.18</w:t>
            </w:r>
            <w:r>
              <w:rPr>
                <w:rFonts w:ascii="SimSun" w:eastAsia="SimSun" w:hAnsi="SimSun" w:cs="SimSun"/>
                <w:color w:val="000000"/>
                <w:spacing w:val="0"/>
                <w:w w:val="100"/>
                <w:position w:val="0"/>
              </w:rPr>
              <w:t>万元，主要系本期年产</w:t>
            </w:r>
            <w:r>
              <w:rPr>
                <w:color w:val="000000"/>
                <w:spacing w:val="0"/>
                <w:w w:val="100"/>
                <w:position w:val="0"/>
              </w:rPr>
              <w:t>7.5</w:t>
            </w:r>
            <w:r>
              <w:rPr>
                <w:rFonts w:ascii="SimSun" w:eastAsia="SimSun" w:hAnsi="SimSun" w:cs="SimSun"/>
                <w:color w:val="000000"/>
                <w:spacing w:val="0"/>
                <w:w w:val="100"/>
                <w:position w:val="0"/>
              </w:rPr>
              <w:t>万吨电缆料项目、智慧创新基地转出。</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3.47</w:t>
            </w:r>
            <w:r>
              <w:rPr>
                <w:rFonts w:ascii="SimSun" w:eastAsia="SimSun" w:hAnsi="SimSun" w:cs="SimSun"/>
                <w:color w:val="000000"/>
                <w:spacing w:val="0"/>
                <w:w w:val="100"/>
                <w:position w:val="0"/>
              </w:rPr>
              <w:t>亿元，主要系本期公司票据贴现增加，供应商付款减少。</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1.51</w:t>
            </w:r>
            <w:r>
              <w:rPr>
                <w:rFonts w:ascii="SimSun" w:eastAsia="SimSun" w:hAnsi="SimSun" w:cs="SimSun"/>
                <w:color w:val="000000"/>
                <w:spacing w:val="0"/>
                <w:w w:val="100"/>
                <w:position w:val="0"/>
              </w:rPr>
              <w:t>亿元，主要系本期票据方式回款金额增加。</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4,675.52</w:t>
            </w:r>
            <w:r>
              <w:rPr>
                <w:rFonts w:ascii="SimSun" w:eastAsia="SimSun" w:hAnsi="SimSun" w:cs="SimSun"/>
                <w:color w:val="000000"/>
                <w:spacing w:val="0"/>
                <w:w w:val="100"/>
                <w:position w:val="0"/>
              </w:rPr>
              <w:t>万元，主要系本期公司对合同备货和原材料的需求逐步加大。</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1.95</w:t>
            </w:r>
            <w:r>
              <w:rPr>
                <w:rFonts w:ascii="SimSun" w:eastAsia="SimSun" w:hAnsi="SimSun" w:cs="SimSun"/>
                <w:color w:val="000000"/>
                <w:spacing w:val="0"/>
                <w:w w:val="100"/>
                <w:position w:val="0"/>
              </w:rPr>
              <w:t>亿元，主要系本期受疫情影响，回款有所下降。</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1.13</w:t>
            </w:r>
            <w:r>
              <w:rPr>
                <w:rFonts w:ascii="SimSun" w:eastAsia="SimSun" w:hAnsi="SimSun" w:cs="SimSun"/>
                <w:color w:val="000000"/>
                <w:spacing w:val="0"/>
                <w:w w:val="100"/>
                <w:position w:val="0"/>
              </w:rPr>
              <w:t>亿元，主要系</w:t>
            </w:r>
            <w:r>
              <w:rPr>
                <w:color w:val="000000"/>
                <w:spacing w:val="0"/>
                <w:w w:val="100"/>
                <w:position w:val="0"/>
              </w:rPr>
              <w:t>1.</w:t>
            </w:r>
            <w:r>
              <w:rPr>
                <w:rFonts w:ascii="SimSun" w:eastAsia="SimSun" w:hAnsi="SimSun" w:cs="SimSun"/>
                <w:color w:val="000000"/>
                <w:spacing w:val="0"/>
                <w:w w:val="100"/>
                <w:position w:val="0"/>
              </w:rPr>
              <w:t>本期铜、聚乙烯材料价格上升带动存货金额增加；</w:t>
            </w:r>
            <w:r>
              <w:rPr>
                <w:color w:val="000000"/>
                <w:spacing w:val="0"/>
                <w:w w:val="100"/>
                <w:position w:val="0"/>
              </w:rPr>
              <w:t>2.</w:t>
            </w:r>
            <w:r>
              <w:rPr>
                <w:rFonts w:ascii="SimSun" w:eastAsia="SimSun" w:hAnsi="SimSun" w:cs="SimSun"/>
                <w:color w:val="000000"/>
                <w:spacing w:val="0"/>
                <w:w w:val="100"/>
                <w:position w:val="0"/>
              </w:rPr>
              <w:t>部分产品备库。</w:t>
            </w:r>
          </w:p>
        </w:tc>
      </w:tr>
      <w:tr>
        <w:trPr>
          <w:trHeight w:val="33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1.2</w:t>
            </w:r>
            <w:r>
              <w:rPr>
                <w:color w:val="000000"/>
                <w:spacing w:val="0"/>
                <w:w w:val="100"/>
                <w:position w:val="0"/>
              </w:rPr>
              <w:t>2</w:t>
            </w:r>
            <w:r>
              <w:rPr>
                <w:rFonts w:ascii="SimSun" w:eastAsia="SimSun" w:hAnsi="SimSun" w:cs="SimSun"/>
                <w:color w:val="000000"/>
                <w:spacing w:val="0"/>
                <w:w w:val="100"/>
                <w:position w:val="0"/>
              </w:rPr>
              <w:t>亿元，主要系本期公司为了降低应收款项风险，加大应收款质保金回款所致。</w:t>
            </w:r>
          </w:p>
        </w:tc>
      </w:tr>
    </w:tbl>
    <w:p>
      <w:pPr>
        <w:widowControl w:val="0"/>
        <w:spacing w:after="259" w:line="1" w:lineRule="exact"/>
      </w:pPr>
    </w:p>
    <w:p>
      <w:pPr>
        <w:pStyle w:val="Style34"/>
        <w:keepNext/>
        <w:keepLines/>
        <w:widowControl w:val="0"/>
        <w:shd w:val="clear" w:color="auto" w:fill="auto"/>
        <w:bidi w:val="0"/>
        <w:spacing w:before="0" w:after="380" w:line="310" w:lineRule="exact"/>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38"/>
        <w:keepNext w:val="0"/>
        <w:keepLines w:val="0"/>
        <w:widowControl w:val="0"/>
        <w:shd w:val="clear" w:color="auto" w:fill="auto"/>
        <w:bidi w:val="0"/>
        <w:spacing w:before="0" w:line="317" w:lineRule="exact"/>
        <w:ind w:left="0" w:right="0" w:firstLine="440"/>
        <w:jc w:val="both"/>
      </w:pPr>
      <w:r>
        <w:rPr>
          <w:color w:val="000000"/>
          <w:spacing w:val="0"/>
          <w:w w:val="100"/>
          <w:position w:val="0"/>
        </w:rPr>
        <w:t>万马股份立足线缆主业，大力拓展新材料业务，持续加码新能源产业，是国内少数几家具备全产业链 能力的绿色能源传输企业和充电设备运营企业，主导产品市场占有率位居全国前列。</w:t>
      </w:r>
    </w:p>
    <w:p>
      <w:pPr>
        <w:pStyle w:val="Style38"/>
        <w:keepNext w:val="0"/>
        <w:keepLines w:val="0"/>
        <w:widowControl w:val="0"/>
        <w:numPr>
          <w:ilvl w:val="0"/>
          <w:numId w:val="5"/>
        </w:numPr>
        <w:shd w:val="clear" w:color="auto" w:fill="auto"/>
        <w:tabs>
          <w:tab w:pos="759" w:val="left"/>
        </w:tabs>
        <w:bidi w:val="0"/>
        <w:spacing w:before="0" w:line="310" w:lineRule="exact"/>
        <w:ind w:left="0" w:right="0" w:firstLine="440"/>
        <w:jc w:val="both"/>
      </w:pPr>
      <w:bookmarkStart w:id="83" w:name="bookmark83"/>
      <w:bookmarkEnd w:id="83"/>
      <w:r>
        <w:rPr>
          <w:b/>
          <w:bCs/>
          <w:color w:val="000000"/>
          <w:spacing w:val="0"/>
          <w:w w:val="100"/>
          <w:position w:val="0"/>
        </w:rPr>
        <w:t>引进国有资本，驶入发展快车道。</w:t>
      </w:r>
    </w:p>
    <w:p>
      <w:pPr>
        <w:pStyle w:val="Style38"/>
        <w:keepNext w:val="0"/>
        <w:keepLines w:val="0"/>
        <w:widowControl w:val="0"/>
        <w:shd w:val="clear" w:color="auto" w:fill="auto"/>
        <w:bidi w:val="0"/>
        <w:spacing w:before="0" w:line="317" w:lineRule="exact"/>
        <w:ind w:left="0" w:right="0" w:firstLine="440"/>
        <w:jc w:val="both"/>
      </w:pPr>
      <w:r>
        <w:rPr>
          <w:color w:val="000000"/>
          <w:spacing w:val="0"/>
          <w:w w:val="100"/>
          <w:position w:val="0"/>
        </w:rPr>
        <w:t>报告期，国有资本控股平台海控集团基于对公司价值和发展前景的充分认同，协议受让公司25.01%的 股份，成为公司控股股东。海控集团将发挥其资源协同、产业融合等优势，携手共赢、促进发展，赋予公 司新的发展势能，带领公司步入发展快车道。</w:t>
      </w:r>
    </w:p>
    <w:p>
      <w:pPr>
        <w:pStyle w:val="Style38"/>
        <w:keepNext w:val="0"/>
        <w:keepLines w:val="0"/>
        <w:widowControl w:val="0"/>
        <w:numPr>
          <w:ilvl w:val="0"/>
          <w:numId w:val="5"/>
        </w:numPr>
        <w:shd w:val="clear" w:color="auto" w:fill="auto"/>
        <w:tabs>
          <w:tab w:pos="773" w:val="left"/>
        </w:tabs>
        <w:bidi w:val="0"/>
        <w:spacing w:before="0" w:line="310" w:lineRule="exact"/>
        <w:ind w:left="0" w:right="0" w:firstLine="440"/>
        <w:jc w:val="both"/>
      </w:pPr>
      <w:bookmarkStart w:id="84" w:name="bookmark84"/>
      <w:bookmarkEnd w:id="84"/>
      <w:r>
        <w:rPr>
          <w:b/>
          <w:bCs/>
          <w:color w:val="000000"/>
          <w:spacing w:val="0"/>
          <w:w w:val="100"/>
          <w:position w:val="0"/>
        </w:rPr>
        <w:t>深耕主业三十载，技术积淀深厚。</w:t>
      </w:r>
    </w:p>
    <w:p>
      <w:pPr>
        <w:pStyle w:val="Style38"/>
        <w:keepNext w:val="0"/>
        <w:keepLines w:val="0"/>
        <w:widowControl w:val="0"/>
        <w:shd w:val="clear" w:color="auto" w:fill="auto"/>
        <w:bidi w:val="0"/>
        <w:spacing w:before="0" w:line="310" w:lineRule="exact"/>
        <w:ind w:left="0" w:right="0" w:firstLine="440"/>
        <w:jc w:val="both"/>
      </w:pPr>
      <w:r>
        <w:rPr>
          <w:color w:val="000000"/>
          <w:spacing w:val="0"/>
          <w:w w:val="100"/>
          <w:position w:val="0"/>
        </w:rPr>
        <w:t>公司自成立以来三十余载，坚持专业化发展道路，匠心智造精品，产品与技术积淀深厚。在线缆及线 缆材料中高端产品市场中已具有稳固的行业地位，超高压电缆、高压电缆材料等产品技术成熟。稳定占据 国内电缆绝缘料行业龙头地位。</w:t>
      </w:r>
    </w:p>
    <w:p>
      <w:pPr>
        <w:pStyle w:val="Style38"/>
        <w:keepNext w:val="0"/>
        <w:keepLines w:val="0"/>
        <w:widowControl w:val="0"/>
        <w:shd w:val="clear" w:color="auto" w:fill="auto"/>
        <w:bidi w:val="0"/>
        <w:spacing w:before="0" w:line="310" w:lineRule="exact"/>
        <w:ind w:left="0" w:right="0" w:firstLine="440"/>
        <w:jc w:val="both"/>
      </w:pPr>
      <w:r>
        <w:rPr>
          <w:color w:val="000000"/>
          <w:spacing w:val="0"/>
          <w:w w:val="100"/>
          <w:position w:val="0"/>
        </w:rPr>
        <w:t>公司重视产品研发创新，在中高压电缆、专用电缆、线缆材料、智能装备线缆、充电设备、运营网络 平台等产品领域拥有行业领先技术实力。公司拥有3个省级企业技术中心、1个省重点企业研究院、2个省 级企业研究院、3个省级研发中心、7家国家高新技术企业。截至2020年末，公司拥有有效知识产权500项, 其中发明专利39项、实用新型专利362项、外观设计专利65项、软件著作权34项。主持和参与国际</w:t>
      </w:r>
      <w:r>
        <w:rPr>
          <w:color w:val="000000"/>
          <w:spacing w:val="0"/>
          <w:w w:val="100"/>
          <w:position w:val="0"/>
        </w:rPr>
        <w:t>ISO、</w:t>
      </w:r>
      <w:r>
        <w:rPr>
          <w:color w:val="000000"/>
          <w:spacing w:val="0"/>
          <w:w w:val="100"/>
          <w:position w:val="0"/>
        </w:rPr>
        <w:t>国 家和行业标准制（修）订40余项。近10年来，完成70余项省级及以上优秀工业新产品。报告期，“吊装预 分支电缆”、“自动预警低压电力电缆”、“额定电压</w:t>
      </w:r>
      <w:r>
        <w:rPr>
          <w:color w:val="000000"/>
          <w:spacing w:val="0"/>
          <w:w w:val="100"/>
          <w:position w:val="0"/>
        </w:rPr>
        <w:t xml:space="preserve">0.6/1 k </w:t>
      </w:r>
      <w:r>
        <w:rPr>
          <w:color w:val="000000"/>
          <w:spacing w:val="0"/>
          <w:w w:val="100"/>
          <w:position w:val="0"/>
        </w:rPr>
        <w:t>V及以下智能预警矿物绝缘柔性防火电缆”、 “额定电压1</w:t>
      </w:r>
      <w:r>
        <w:rPr>
          <w:color w:val="000000"/>
          <w:spacing w:val="0"/>
          <w:w w:val="100"/>
          <w:position w:val="0"/>
        </w:rPr>
        <w:t>.5k</w:t>
      </w:r>
      <w:r>
        <w:rPr>
          <w:color w:val="000000"/>
          <w:spacing w:val="0"/>
          <w:w w:val="100"/>
          <w:position w:val="0"/>
        </w:rPr>
        <w:t xml:space="preserve">V及以下轨道交通用清洁电缆”等多项新品通过浙江省级新产品鉴定，具备广阔的市场前 </w:t>
      </w:r>
      <w:r>
        <w:rPr>
          <w:color w:val="000000"/>
          <w:spacing w:val="0"/>
          <w:w w:val="100"/>
          <w:position w:val="0"/>
        </w:rPr>
        <w:t>景。</w:t>
      </w:r>
    </w:p>
    <w:p>
      <w:pPr>
        <w:pStyle w:val="Style38"/>
        <w:keepNext w:val="0"/>
        <w:keepLines w:val="0"/>
        <w:widowControl w:val="0"/>
        <w:numPr>
          <w:ilvl w:val="0"/>
          <w:numId w:val="5"/>
        </w:numPr>
        <w:shd w:val="clear" w:color="auto" w:fill="auto"/>
        <w:tabs>
          <w:tab w:pos="771" w:val="left"/>
        </w:tabs>
        <w:bidi w:val="0"/>
        <w:spacing w:before="0" w:line="312" w:lineRule="exact"/>
        <w:ind w:left="0" w:right="0" w:firstLine="440"/>
        <w:jc w:val="both"/>
      </w:pPr>
      <w:bookmarkStart w:id="85" w:name="bookmark85"/>
      <w:bookmarkEnd w:id="85"/>
      <w:r>
        <w:rPr>
          <w:b/>
          <w:bCs/>
          <w:color w:val="000000"/>
          <w:spacing w:val="0"/>
          <w:w w:val="100"/>
          <w:position w:val="0"/>
        </w:rPr>
        <w:t>独特的产业链，一体化解决方案。</w:t>
      </w:r>
    </w:p>
    <w:p>
      <w:pPr>
        <w:pStyle w:val="Style38"/>
        <w:keepNext w:val="0"/>
        <w:keepLines w:val="0"/>
        <w:widowControl w:val="0"/>
        <w:shd w:val="clear" w:color="auto" w:fill="auto"/>
        <w:bidi w:val="0"/>
        <w:spacing w:before="0" w:line="310" w:lineRule="exact"/>
        <w:ind w:left="0" w:right="0" w:firstLine="440"/>
        <w:jc w:val="both"/>
      </w:pPr>
      <w:r>
        <w:rPr>
          <w:color w:val="000000"/>
          <w:spacing w:val="0"/>
          <w:w w:val="100"/>
          <w:position w:val="0"/>
        </w:rPr>
        <w:t>在绿色能源传输领域，公司具备“线缆材料+电力电缆+通信电缆+智能装备线缆”、“充电设备+充电 设备投资+充电网络运营”独特的产业链布局，能为客户提供全面的、多样化的产品选择与增值服务，有 力地提升了公司的核心竞争力。</w:t>
      </w:r>
    </w:p>
    <w:p>
      <w:pPr>
        <w:pStyle w:val="Style38"/>
        <w:keepNext w:val="0"/>
        <w:keepLines w:val="0"/>
        <w:widowControl w:val="0"/>
        <w:shd w:val="clear" w:color="auto" w:fill="auto"/>
        <w:bidi w:val="0"/>
        <w:spacing w:before="0" w:line="312" w:lineRule="exact"/>
        <w:ind w:left="0" w:right="0" w:firstLine="440"/>
        <w:jc w:val="both"/>
      </w:pPr>
      <w:r>
        <w:rPr>
          <w:color w:val="000000"/>
          <w:spacing w:val="0"/>
          <w:w w:val="100"/>
          <w:position w:val="0"/>
        </w:rPr>
        <w:t>万马高分子是国内交联绝缘料行业的龙头企业，其长期稳定提供的高品质绝缘料为公司良好的产品质 量奠定了基础；公司采购绝缘材料在销售和运输费用上获得了一定的成本优势，是国内线缆及新能源行业 独特的具有该等产业链优势的公司。</w:t>
      </w:r>
    </w:p>
    <w:p>
      <w:pPr>
        <w:pStyle w:val="Style38"/>
        <w:keepNext w:val="0"/>
        <w:keepLines w:val="0"/>
        <w:widowControl w:val="0"/>
        <w:numPr>
          <w:ilvl w:val="0"/>
          <w:numId w:val="5"/>
        </w:numPr>
        <w:shd w:val="clear" w:color="auto" w:fill="auto"/>
        <w:tabs>
          <w:tab w:pos="776" w:val="left"/>
        </w:tabs>
        <w:bidi w:val="0"/>
        <w:spacing w:before="0" w:line="312" w:lineRule="exact"/>
        <w:ind w:left="0" w:right="0" w:firstLine="440"/>
        <w:jc w:val="both"/>
      </w:pPr>
      <w:bookmarkStart w:id="86" w:name="bookmark86"/>
      <w:bookmarkEnd w:id="86"/>
      <w:r>
        <w:rPr>
          <w:b/>
          <w:bCs/>
          <w:color w:val="000000"/>
          <w:spacing w:val="0"/>
          <w:w w:val="100"/>
          <w:position w:val="0"/>
        </w:rPr>
        <w:t>职业化团队，人才储备充足。</w:t>
      </w:r>
    </w:p>
    <w:p>
      <w:pPr>
        <w:pStyle w:val="Style38"/>
        <w:keepNext w:val="0"/>
        <w:keepLines w:val="0"/>
        <w:widowControl w:val="0"/>
        <w:shd w:val="clear" w:color="auto" w:fill="auto"/>
        <w:bidi w:val="0"/>
        <w:spacing w:before="0" w:line="322" w:lineRule="exact"/>
        <w:ind w:left="0" w:right="0" w:firstLine="440"/>
        <w:jc w:val="both"/>
      </w:pPr>
      <w:r>
        <w:rPr>
          <w:color w:val="000000"/>
          <w:spacing w:val="0"/>
          <w:w w:val="100"/>
          <w:position w:val="0"/>
        </w:rPr>
        <w:t>公司秉承“正人、正事、正品”的价值观，重视人才培养与团队建设，将人才视为公司核心资源，形 成不可复制的团队资源优势。</w:t>
      </w:r>
    </w:p>
    <w:p>
      <w:pPr>
        <w:pStyle w:val="Style38"/>
        <w:keepNext w:val="0"/>
        <w:keepLines w:val="0"/>
        <w:widowControl w:val="0"/>
        <w:shd w:val="clear" w:color="auto" w:fill="auto"/>
        <w:bidi w:val="0"/>
        <w:spacing w:before="0" w:line="312" w:lineRule="exact"/>
        <w:ind w:left="0" w:right="0" w:firstLine="440"/>
        <w:jc w:val="both"/>
      </w:pPr>
      <w:r>
        <w:rPr>
          <w:color w:val="000000"/>
          <w:spacing w:val="0"/>
          <w:w w:val="100"/>
          <w:position w:val="0"/>
        </w:rPr>
        <w:t>职业化的管理团队。管理团队全面职业化，任人唯德、任人唯贤。管理团队全面职业化。经过多年积 累与沉淀，形成了一支职业化程度高、高效务实、结构合理的经营管理队伍。</w:t>
      </w:r>
    </w:p>
    <w:p>
      <w:pPr>
        <w:pStyle w:val="Style38"/>
        <w:keepNext w:val="0"/>
        <w:keepLines w:val="0"/>
        <w:widowControl w:val="0"/>
        <w:shd w:val="clear" w:color="auto" w:fill="auto"/>
        <w:bidi w:val="0"/>
        <w:spacing w:before="0" w:line="310" w:lineRule="exact"/>
        <w:ind w:left="0" w:right="0" w:firstLine="440"/>
        <w:jc w:val="both"/>
      </w:pPr>
      <w:r>
        <w:rPr>
          <w:color w:val="000000"/>
          <w:spacing w:val="0"/>
          <w:w w:val="100"/>
          <w:position w:val="0"/>
        </w:rPr>
        <w:t>市场化的研发团队。公司注重技术人才储备，并以多通道的晋升机制吸引、保留、激励技术研发团队。 公司设立省级研发中心，汇集国内优秀专业技术人才。公司已将研发贴近市场，贴近客户需求的理念深入 人心，需求、科技与实践有效衔接。</w:t>
      </w:r>
    </w:p>
    <w:p>
      <w:pPr>
        <w:pStyle w:val="Style38"/>
        <w:keepNext w:val="0"/>
        <w:keepLines w:val="0"/>
        <w:widowControl w:val="0"/>
        <w:shd w:val="clear" w:color="auto" w:fill="auto"/>
        <w:bidi w:val="0"/>
        <w:spacing w:before="0" w:line="317" w:lineRule="exact"/>
        <w:ind w:left="0" w:right="0" w:firstLine="44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586" w:right="988" w:bottom="1604" w:left="1100" w:header="0" w:footer="3" w:gutter="0"/>
          <w:pgNumType w:start="10"/>
          <w:cols w:space="720"/>
          <w:noEndnote/>
          <w:rtlGutter w:val="0"/>
          <w:docGrid w:linePitch="360"/>
        </w:sectPr>
      </w:pPr>
      <w:r>
        <w:rPr>
          <w:color w:val="000000"/>
          <w:spacing w:val="0"/>
          <w:w w:val="100"/>
          <w:position w:val="0"/>
        </w:rPr>
        <w:t>专业化的营销团队。公司坚持以销售和市场为导向，销售团队以公司优质的产品赢得稳定的业绩，公 司以良好的业绩回报社会，形成高效的正反馈。</w:t>
      </w:r>
    </w:p>
    <w:p>
      <w:pPr>
        <w:pStyle w:val="Style9"/>
        <w:keepNext/>
        <w:keepLines/>
        <w:widowControl w:val="0"/>
        <w:shd w:val="clear" w:color="auto" w:fill="auto"/>
        <w:bidi w:val="0"/>
        <w:spacing w:before="140" w:after="320" w:line="240" w:lineRule="auto"/>
        <w:ind w:left="0" w:right="0" w:firstLine="0"/>
        <w:jc w:val="center"/>
      </w:pPr>
      <w:bookmarkStart w:id="87" w:name="bookmark87"/>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bookmarkEnd w:id="87"/>
    </w:p>
    <w:p>
      <w:pPr>
        <w:pStyle w:val="Style26"/>
        <w:keepNext/>
        <w:keepLines/>
        <w:widowControl w:val="0"/>
        <w:shd w:val="clear" w:color="auto" w:fill="auto"/>
        <w:bidi w:val="0"/>
        <w:spacing w:before="0" w:after="200" w:line="467" w:lineRule="exact"/>
        <w:ind w:left="0" w:right="0" w:firstLine="0"/>
        <w:jc w:val="both"/>
      </w:pPr>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、概述</w:t>
      </w:r>
      <w:bookmarkEnd w:id="91"/>
      <w:bookmarkEnd w:id="92"/>
      <w:bookmarkEnd w:id="94"/>
    </w:p>
    <w:p>
      <w:pPr>
        <w:pStyle w:val="Style14"/>
        <w:keepNext w:val="0"/>
        <w:keepLines w:val="0"/>
        <w:widowControl w:val="0"/>
        <w:shd w:val="clear" w:color="auto" w:fill="auto"/>
        <w:bidi w:val="0"/>
        <w:spacing w:before="0" w:line="475" w:lineRule="exact"/>
        <w:ind w:left="0" w:right="0" w:firstLine="460"/>
        <w:jc w:val="both"/>
      </w:pPr>
      <w:r>
        <w:rPr>
          <w:color w:val="000000"/>
          <w:spacing w:val="0"/>
          <w:w w:val="100"/>
          <w:position w:val="0"/>
          <w:sz w:val="24"/>
          <w:szCs w:val="24"/>
        </w:rPr>
        <w:t>2020年，万马股份在董事会的领导下，狠抓实干、合力攻坚，与生态圈各方真诚互信、 共赢共享；公司全体员工齐心协力、共克时艰，携手驱散疫情阴霾，实现公司平稳健康发展。</w:t>
      </w:r>
    </w:p>
    <w:p>
      <w:pPr>
        <w:pStyle w:val="Style14"/>
        <w:keepNext w:val="0"/>
        <w:keepLines w:val="0"/>
        <w:widowControl w:val="0"/>
        <w:shd w:val="clear" w:color="auto" w:fill="auto"/>
        <w:bidi w:val="0"/>
        <w:spacing w:before="0" w:line="475" w:lineRule="exact"/>
        <w:ind w:left="0" w:right="0" w:firstLine="460"/>
        <w:jc w:val="both"/>
      </w:pPr>
      <w:r>
        <w:rPr>
          <w:color w:val="000000"/>
          <w:spacing w:val="0"/>
          <w:w w:val="100"/>
          <w:position w:val="0"/>
          <w:sz w:val="24"/>
          <w:szCs w:val="24"/>
        </w:rPr>
        <w:t>报告期，公司实现营业收入</w:t>
      </w:r>
      <w:r>
        <w:rPr>
          <w:color w:val="000000"/>
          <w:spacing w:val="0"/>
          <w:w w:val="100"/>
          <w:position w:val="0"/>
          <w:sz w:val="24"/>
          <w:szCs w:val="24"/>
        </w:rPr>
        <w:t>93.2</w:t>
      </w:r>
      <w:r>
        <w:rPr>
          <w:color w:val="000000"/>
          <w:spacing w:val="0"/>
          <w:w w:val="100"/>
          <w:position w:val="0"/>
          <w:sz w:val="24"/>
          <w:szCs w:val="24"/>
        </w:rPr>
        <w:t>2亿元，比上年同期下降</w:t>
      </w:r>
      <w:r>
        <w:rPr>
          <w:color w:val="000000"/>
          <w:spacing w:val="0"/>
          <w:w w:val="100"/>
          <w:position w:val="0"/>
          <w:sz w:val="24"/>
          <w:szCs w:val="24"/>
        </w:rPr>
        <w:t xml:space="preserve">4. </w:t>
      </w:r>
      <w:r>
        <w:rPr>
          <w:color w:val="000000"/>
          <w:spacing w:val="0"/>
          <w:w w:val="100"/>
          <w:position w:val="0"/>
          <w:sz w:val="24"/>
          <w:szCs w:val="24"/>
        </w:rPr>
        <w:t>35%；归属于上市公司股东的 净利润</w:t>
      </w:r>
      <w:r>
        <w:rPr>
          <w:color w:val="000000"/>
          <w:spacing w:val="0"/>
          <w:w w:val="100"/>
          <w:position w:val="0"/>
          <w:sz w:val="24"/>
          <w:szCs w:val="24"/>
        </w:rPr>
        <w:t>2.23</w:t>
      </w:r>
      <w:r>
        <w:rPr>
          <w:color w:val="000000"/>
          <w:spacing w:val="0"/>
          <w:w w:val="100"/>
          <w:position w:val="0"/>
          <w:sz w:val="24"/>
          <w:szCs w:val="24"/>
        </w:rPr>
        <w:t>亿元，较上年略有增长。报告期，公司主要经营工作情况如下：</w:t>
      </w:r>
    </w:p>
    <w:p>
      <w:pPr>
        <w:pStyle w:val="Style14"/>
        <w:keepNext w:val="0"/>
        <w:keepLines w:val="0"/>
        <w:widowControl w:val="0"/>
        <w:shd w:val="clear" w:color="auto" w:fill="auto"/>
        <w:bidi w:val="0"/>
        <w:spacing w:before="0" w:line="467" w:lineRule="exact"/>
        <w:ind w:left="0" w:right="0"/>
        <w:jc w:val="both"/>
      </w:pPr>
      <w:bookmarkStart w:id="95" w:name="bookmark95"/>
      <w:r>
        <w:rPr>
          <w:b/>
          <w:bCs/>
          <w:color w:val="000000"/>
          <w:spacing w:val="0"/>
          <w:w w:val="100"/>
          <w:position w:val="0"/>
          <w:sz w:val="24"/>
          <w:szCs w:val="24"/>
        </w:rPr>
        <w:t>一</w:t>
      </w:r>
      <w:bookmarkEnd w:id="95"/>
      <w:r>
        <w:rPr>
          <w:b/>
          <w:bCs/>
          <w:color w:val="000000"/>
          <w:spacing w:val="0"/>
          <w:w w:val="100"/>
          <w:position w:val="0"/>
          <w:sz w:val="24"/>
          <w:szCs w:val="24"/>
        </w:rPr>
        <w:t>、各板块业务经营情况</w:t>
      </w:r>
    </w:p>
    <w:p>
      <w:pPr>
        <w:pStyle w:val="Style14"/>
        <w:keepNext w:val="0"/>
        <w:keepLines w:val="0"/>
        <w:widowControl w:val="0"/>
        <w:shd w:val="clear" w:color="auto" w:fill="auto"/>
        <w:tabs>
          <w:tab w:pos="1089" w:val="left"/>
        </w:tabs>
        <w:bidi w:val="0"/>
        <w:spacing w:before="0" w:line="467" w:lineRule="exact"/>
        <w:ind w:left="0" w:right="0"/>
        <w:jc w:val="both"/>
      </w:pPr>
      <w:bookmarkStart w:id="96" w:name="bookmark96"/>
      <w:r>
        <w:rPr>
          <w:b/>
          <w:bCs/>
          <w:color w:val="000000"/>
          <w:spacing w:val="0"/>
          <w:w w:val="100"/>
          <w:position w:val="0"/>
          <w:sz w:val="24"/>
          <w:szCs w:val="24"/>
        </w:rPr>
        <w:t>（</w:t>
      </w:r>
      <w:bookmarkEnd w:id="96"/>
      <w:r>
        <w:rPr>
          <w:b/>
          <w:bCs/>
          <w:color w:val="000000"/>
          <w:spacing w:val="0"/>
          <w:w w:val="100"/>
          <w:position w:val="0"/>
          <w:sz w:val="24"/>
          <w:szCs w:val="24"/>
        </w:rPr>
        <w:t>一）</w:t>
        <w:tab/>
        <w:t>电线电缆板块：提质增效，蓄力发展。</w:t>
      </w:r>
    </w:p>
    <w:p>
      <w:pPr>
        <w:pStyle w:val="Style14"/>
        <w:keepNext w:val="0"/>
        <w:keepLines w:val="0"/>
        <w:widowControl w:val="0"/>
        <w:shd w:val="clear" w:color="auto" w:fill="auto"/>
        <w:bidi w:val="0"/>
        <w:spacing w:before="0" w:line="467" w:lineRule="exact"/>
        <w:ind w:left="0" w:right="0" w:firstLine="460"/>
        <w:jc w:val="both"/>
      </w:pPr>
      <w:r>
        <w:rPr>
          <w:color w:val="000000"/>
          <w:spacing w:val="0"/>
          <w:w w:val="100"/>
          <w:position w:val="0"/>
          <w:sz w:val="24"/>
          <w:szCs w:val="24"/>
        </w:rPr>
        <w:t>报告期，电线电缆板块审时度势，在特殊时期，对外积极建立市场防御机制，精准定价 策略；对内利用订单不饱和时段，全面推动设备技改，开展精益生产，持续优化库存管理。 全年实现接单同比增长11%,风能电缆销售额同比增长10%。试点自主经营模式，增强生产经 营单元责任感。重视新品研发，二十余款产品取得阻燃</w:t>
      </w:r>
      <w:r>
        <w:rPr>
          <w:color w:val="000000"/>
          <w:spacing w:val="0"/>
          <w:w w:val="100"/>
          <w:position w:val="0"/>
          <w:sz w:val="24"/>
          <w:szCs w:val="24"/>
        </w:rPr>
        <w:t>B1</w:t>
      </w:r>
      <w:r>
        <w:rPr>
          <w:color w:val="000000"/>
          <w:spacing w:val="0"/>
          <w:w w:val="100"/>
          <w:position w:val="0"/>
          <w:sz w:val="24"/>
          <w:szCs w:val="24"/>
        </w:rPr>
        <w:t>级型式试验报告，覆盖多电压等级 品类。分销市场发展迅速，新签约近二十余家代理商；直销方面，成功开发中建三局、华润 置地、陕建集团等十余个重要客户。</w:t>
      </w:r>
    </w:p>
    <w:p>
      <w:pPr>
        <w:pStyle w:val="Style14"/>
        <w:keepNext w:val="0"/>
        <w:keepLines w:val="0"/>
        <w:widowControl w:val="0"/>
        <w:shd w:val="clear" w:color="auto" w:fill="auto"/>
        <w:bidi w:val="0"/>
        <w:spacing w:before="0" w:line="480" w:lineRule="exact"/>
        <w:ind w:left="0" w:right="0" w:firstLine="460"/>
        <w:jc w:val="both"/>
      </w:pPr>
      <w:r>
        <w:rPr>
          <w:color w:val="000000"/>
          <w:spacing w:val="0"/>
          <w:w w:val="100"/>
          <w:position w:val="0"/>
          <w:sz w:val="24"/>
          <w:szCs w:val="24"/>
        </w:rPr>
        <w:t>通信线缆围绕</w:t>
      </w:r>
      <w:r>
        <w:rPr>
          <w:color w:val="000000"/>
          <w:spacing w:val="0"/>
          <w:w w:val="100"/>
          <w:position w:val="0"/>
          <w:sz w:val="24"/>
          <w:szCs w:val="24"/>
        </w:rPr>
        <w:t>5G</w:t>
      </w:r>
      <w:r>
        <w:rPr>
          <w:color w:val="000000"/>
          <w:spacing w:val="0"/>
          <w:w w:val="100"/>
          <w:position w:val="0"/>
          <w:sz w:val="24"/>
          <w:szCs w:val="24"/>
        </w:rPr>
        <w:t>室内系统用通信线缆，开展新产品、新技术研发，</w:t>
      </w:r>
      <w:r>
        <w:rPr>
          <w:color w:val="000000"/>
          <w:spacing w:val="0"/>
          <w:w w:val="100"/>
          <w:position w:val="0"/>
          <w:sz w:val="24"/>
          <w:szCs w:val="24"/>
        </w:rPr>
        <w:t>5G</w:t>
      </w:r>
      <w:r>
        <w:rPr>
          <w:color w:val="000000"/>
          <w:spacing w:val="0"/>
          <w:w w:val="100"/>
          <w:position w:val="0"/>
          <w:sz w:val="24"/>
          <w:szCs w:val="24"/>
        </w:rPr>
        <w:t>通信线缆高新技术 研究开发中心获批，并通过两化融合管理体系及浙江制造企业认证。</w:t>
      </w:r>
    </w:p>
    <w:p>
      <w:pPr>
        <w:pStyle w:val="Style14"/>
        <w:keepNext w:val="0"/>
        <w:keepLines w:val="0"/>
        <w:widowControl w:val="0"/>
        <w:shd w:val="clear" w:color="auto" w:fill="auto"/>
        <w:bidi w:val="0"/>
        <w:spacing w:before="0" w:line="466" w:lineRule="exact"/>
        <w:ind w:left="0" w:right="0" w:firstLine="460"/>
        <w:jc w:val="both"/>
      </w:pPr>
      <w:r>
        <w:rPr>
          <w:color w:val="000000"/>
          <w:spacing w:val="0"/>
          <w:w w:val="100"/>
          <w:position w:val="0"/>
          <w:sz w:val="24"/>
          <w:szCs w:val="24"/>
        </w:rPr>
        <w:t>公司在智能装备线缆领域，聚焦机器人、驱动器、传感器等核心零部件应用，报告期内 取得长行程运动电缆等六项实用新型专利授权，另有三项发明专利已进入实质审查阶段。同 期，研发生产的柔性线缆，解决了电缆长距离行程内反复运动造成应力扭曲及自身重力与拖 链盒间反复摩擦导致寿命降低的行业难题，实现拖链电缆无故障循环应用2000万次以上、机 器人电缆关节处无故障应用500万次以上的技术突破，打破该领域进口产品的垄断。报告期内 在技术和市场上的重大突破，使公司在细分市场知名度持续提升，智能装备线缆事业部实现 销售额同比增长119%。</w:t>
      </w:r>
    </w:p>
    <w:p>
      <w:pPr>
        <w:pStyle w:val="Style14"/>
        <w:keepNext w:val="0"/>
        <w:keepLines w:val="0"/>
        <w:widowControl w:val="0"/>
        <w:shd w:val="clear" w:color="auto" w:fill="auto"/>
        <w:tabs>
          <w:tab w:pos="1089" w:val="left"/>
        </w:tabs>
        <w:bidi w:val="0"/>
        <w:spacing w:before="0" w:after="200" w:line="467" w:lineRule="exact"/>
        <w:ind w:left="0" w:right="0"/>
        <w:jc w:val="both"/>
      </w:pPr>
      <w:bookmarkStart w:id="97" w:name="bookmark97"/>
      <w:r>
        <w:rPr>
          <w:b/>
          <w:bCs/>
          <w:color w:val="000000"/>
          <w:spacing w:val="0"/>
          <w:w w:val="100"/>
          <w:position w:val="0"/>
          <w:sz w:val="24"/>
          <w:szCs w:val="24"/>
        </w:rPr>
        <w:t>（</w:t>
      </w:r>
      <w:bookmarkEnd w:id="97"/>
      <w:r>
        <w:rPr>
          <w:b/>
          <w:bCs/>
          <w:color w:val="000000"/>
          <w:spacing w:val="0"/>
          <w:w w:val="100"/>
          <w:position w:val="0"/>
          <w:sz w:val="24"/>
          <w:szCs w:val="24"/>
        </w:rPr>
        <w:t>二）</w:t>
        <w:tab/>
        <w:t>新材料板块：创新再深化，发展再升级。</w:t>
      </w:r>
    </w:p>
    <w:p>
      <w:pPr>
        <w:pStyle w:val="Style14"/>
        <w:keepNext w:val="0"/>
        <w:keepLines w:val="0"/>
        <w:widowControl w:val="0"/>
        <w:shd w:val="clear" w:color="auto" w:fill="auto"/>
        <w:bidi w:val="0"/>
        <w:spacing w:before="0" w:line="467" w:lineRule="exact"/>
        <w:ind w:left="0" w:right="0"/>
        <w:jc w:val="both"/>
        <w:sectPr>
          <w:footnotePr>
            <w:pos w:val="pageBottom"/>
            <w:numFmt w:val="decimal"/>
            <w:numRestart w:val="continuous"/>
          </w:footnotePr>
          <w:pgSz w:w="11900" w:h="16840"/>
          <w:pgMar w:top="1807" w:right="991" w:bottom="1522" w:left="1113" w:header="0" w:footer="3" w:gutter="0"/>
          <w:cols w:space="720"/>
          <w:noEndnote/>
          <w:rtlGutter w:val="0"/>
          <w:docGrid w:linePitch="360"/>
        </w:sectPr>
      </w:pPr>
      <w:r>
        <w:rPr>
          <w:color w:val="000000"/>
          <w:spacing w:val="0"/>
          <w:w w:val="100"/>
          <w:position w:val="0"/>
          <w:sz w:val="24"/>
          <w:szCs w:val="24"/>
        </w:rPr>
        <w:t xml:space="preserve">报告期，新材料板块市场规模稳增长，产品结构进一步优化。新材料板块整体销售规模 </w:t>
      </w:r>
    </w:p>
    <w:p>
      <w:pPr>
        <w:pStyle w:val="Style14"/>
        <w:keepNext w:val="0"/>
        <w:keepLines w:val="0"/>
        <w:widowControl w:val="0"/>
        <w:shd w:val="clear" w:color="auto" w:fill="auto"/>
        <w:bidi w:val="0"/>
        <w:spacing w:before="0" w:line="467" w:lineRule="exact"/>
        <w:ind w:left="0" w:right="0" w:firstLine="0"/>
        <w:jc w:val="both"/>
      </w:pPr>
      <w:r>
        <w:rPr>
          <w:color w:val="000000"/>
          <w:spacing w:val="0"/>
          <w:w w:val="100"/>
          <w:position w:val="0"/>
          <w:sz w:val="24"/>
          <w:szCs w:val="24"/>
        </w:rPr>
        <w:t>同比增长9%,单月最高销量突破</w:t>
      </w:r>
      <w:r>
        <w:rPr>
          <w:color w:val="000000"/>
          <w:spacing w:val="0"/>
          <w:w w:val="100"/>
          <w:position w:val="0"/>
          <w:sz w:val="24"/>
          <w:szCs w:val="24"/>
        </w:rPr>
        <w:t xml:space="preserve">3. </w:t>
      </w:r>
      <w:r>
        <w:rPr>
          <w:color w:val="000000"/>
          <w:spacing w:val="0"/>
          <w:w w:val="100"/>
          <w:position w:val="0"/>
          <w:sz w:val="24"/>
          <w:szCs w:val="24"/>
        </w:rPr>
        <w:t>35万吨。新品拓展成效明显，占比进一步提升，其中低烟 无卤、超高压、屏蔽料、特种</w:t>
      </w:r>
      <w:r>
        <w:rPr>
          <w:color w:val="000000"/>
          <w:spacing w:val="0"/>
          <w:w w:val="100"/>
          <w:position w:val="0"/>
          <w:sz w:val="24"/>
          <w:szCs w:val="24"/>
        </w:rPr>
        <w:t>PVC</w:t>
      </w:r>
      <w:r>
        <w:rPr>
          <w:color w:val="000000"/>
          <w:spacing w:val="0"/>
          <w:w w:val="100"/>
          <w:position w:val="0"/>
          <w:sz w:val="24"/>
          <w:szCs w:val="24"/>
        </w:rPr>
        <w:t>均实现两位数的增长。公司重视技术研发投入，产品质量持 续改善，客户满意度、合作粘性稳步上升。2020年建设的广东清远新厂区，新厂房八条产线 全部实现投产，产能逐步释放；湖州基地完成拿地流程，开工投建。全国建厂更进一步。</w:t>
      </w:r>
    </w:p>
    <w:p>
      <w:pPr>
        <w:pStyle w:val="Style14"/>
        <w:keepNext w:val="0"/>
        <w:keepLines w:val="0"/>
        <w:widowControl w:val="0"/>
        <w:shd w:val="clear" w:color="auto" w:fill="auto"/>
        <w:bidi w:val="0"/>
        <w:spacing w:before="0" w:line="467" w:lineRule="exact"/>
        <w:ind w:left="0" w:right="0"/>
        <w:jc w:val="both"/>
      </w:pPr>
      <w:r>
        <w:rPr>
          <w:color w:val="000000"/>
          <w:spacing w:val="0"/>
          <w:w w:val="100"/>
          <w:position w:val="0"/>
          <w:sz w:val="24"/>
          <w:szCs w:val="24"/>
        </w:rPr>
        <w:t>为实现高压电缆绝缘材料及半导电屏蔽材料在能源电力领域的国产化替代，保障关键领 域核心材料的供给安全，万马高分子集团与国家电网有限公司旗下科研中心一一全球能源互 联网研究院有限公司共同投资成立万马（浙江）高压材料有限公司，双方将实现“强强联手, 优势互补”，加速实现智能电网高端技术领域中高压电缆绝缘材料和半导电屏蔽材料技术和 产品的国产化替代，保障高压电缆绝缘材料和半导电屏蔽材料的供给安全，打造具有国际竞 争力技术水平世界一流电工新材料企业。</w:t>
      </w:r>
    </w:p>
    <w:p>
      <w:pPr>
        <w:pStyle w:val="Style14"/>
        <w:keepNext w:val="0"/>
        <w:keepLines w:val="0"/>
        <w:widowControl w:val="0"/>
        <w:shd w:val="clear" w:color="auto" w:fill="auto"/>
        <w:bidi w:val="0"/>
        <w:spacing w:before="0" w:line="467" w:lineRule="exact"/>
        <w:ind w:left="0" w:right="0"/>
        <w:jc w:val="both"/>
      </w:pPr>
      <w:r>
        <w:rPr>
          <w:color w:val="000000"/>
          <w:spacing w:val="0"/>
          <w:w w:val="100"/>
          <w:position w:val="0"/>
          <w:sz w:val="24"/>
          <w:szCs w:val="24"/>
        </w:rPr>
        <w:t>重视科技创新，增进校企合作，成立“华东理工大学材料学院一一万马高分子上海联合 研发中心”，旨在建立高效的产、学、研合作共赢机制，优势互补，不断挖掘新材料的价值, 研发高性能材料关键技术，为高分子材料行业发展做出积极贡献。</w:t>
      </w:r>
    </w:p>
    <w:p>
      <w:pPr>
        <w:pStyle w:val="Style14"/>
        <w:keepNext w:val="0"/>
        <w:keepLines w:val="0"/>
        <w:widowControl w:val="0"/>
        <w:shd w:val="clear" w:color="auto" w:fill="auto"/>
        <w:bidi w:val="0"/>
        <w:spacing w:before="0" w:line="469" w:lineRule="exact"/>
        <w:ind w:left="0" w:right="0" w:firstLine="420"/>
        <w:jc w:val="both"/>
      </w:pPr>
      <w:bookmarkStart w:id="98" w:name="bookmark98"/>
      <w:r>
        <w:rPr>
          <w:b/>
          <w:bCs/>
          <w:color w:val="000000"/>
          <w:spacing w:val="0"/>
          <w:w w:val="100"/>
          <w:position w:val="0"/>
          <w:sz w:val="24"/>
          <w:szCs w:val="24"/>
        </w:rPr>
        <w:t>（</w:t>
      </w:r>
      <w:bookmarkEnd w:id="98"/>
      <w:r>
        <w:rPr>
          <w:b/>
          <w:bCs/>
          <w:color w:val="000000"/>
          <w:spacing w:val="0"/>
          <w:w w:val="100"/>
          <w:position w:val="0"/>
          <w:sz w:val="24"/>
          <w:szCs w:val="24"/>
        </w:rPr>
        <w:t>三）新能源板块：谋定而动，蓄势待发。</w:t>
      </w:r>
    </w:p>
    <w:p>
      <w:pPr>
        <w:pStyle w:val="Style14"/>
        <w:keepNext w:val="0"/>
        <w:keepLines w:val="0"/>
        <w:widowControl w:val="0"/>
        <w:shd w:val="clear" w:color="auto" w:fill="auto"/>
        <w:bidi w:val="0"/>
        <w:spacing w:before="0" w:after="280" w:line="469" w:lineRule="exact"/>
        <w:ind w:left="0" w:right="0"/>
        <w:jc w:val="both"/>
      </w:pPr>
      <w:r>
        <w:rPr>
          <w:color w:val="000000"/>
          <w:spacing w:val="0"/>
          <w:w w:val="100"/>
          <w:position w:val="0"/>
          <w:sz w:val="24"/>
          <w:szCs w:val="24"/>
        </w:rPr>
        <w:t>报告期，一季度因疫情影响，造成出行需求受到抑制，阶段充电收入降低，但二季度后, 充电需求回升明显，至四季度，充电量已超出去年同期水平16.54%。报告期，充电桩销售收 入同比增长25.57%；公司根据不同的市场复苏情况，开展卓有成效的市场恢复策略，全年实 现充电量</w:t>
      </w:r>
      <w:r>
        <w:rPr>
          <w:color w:val="000000"/>
          <w:spacing w:val="0"/>
          <w:w w:val="100"/>
          <w:position w:val="0"/>
          <w:sz w:val="24"/>
          <w:szCs w:val="24"/>
        </w:rPr>
        <w:t>2.78</w:t>
      </w:r>
      <w:r>
        <w:rPr>
          <w:color w:val="000000"/>
          <w:spacing w:val="0"/>
          <w:w w:val="100"/>
          <w:position w:val="0"/>
          <w:sz w:val="24"/>
          <w:szCs w:val="24"/>
        </w:rPr>
        <w:t>亿度，同比增长13.18%；运营效率稳定，多个城市月均充电时长达4~5小时，成 都、西安、海南、深圳运营绩效突出。公司新能源板块近五年充电量增长情况及近五年售桩 情况：</w:t>
      </w:r>
    </w:p>
    <w:p>
      <w:pPr>
        <w:framePr w:w="9039" w:h="2707" w:vSpace="337" w:wrap="notBeside" w:vAnchor="text" w:hAnchor="text" w:x="380" w:y="1"/>
        <w:widowControl w:val="0"/>
        <w:rPr>
          <w:sz w:val="2"/>
          <w:szCs w:val="2"/>
        </w:rPr>
      </w:pPr>
      <w:r>
        <w:drawing>
          <wp:inline>
            <wp:extent cx="5742305" cy="171894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7"/>
                    <a:stretch/>
                  </pic:blipFill>
                  <pic:spPr>
                    <a:xfrm>
                      <a:ext cx="5742305" cy="1718945"/>
                    </a:xfrm>
                    <a:prstGeom prst="rect"/>
                  </pic:spPr>
                </pic:pic>
              </a:graphicData>
            </a:graphic>
          </wp:inline>
        </w:drawing>
      </w:r>
    </w:p>
    <w:p>
      <w:pPr>
        <w:widowControl w:val="0"/>
        <w:spacing w:line="1" w:lineRule="exact"/>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807" w:right="991" w:bottom="1522" w:left="1113" w:header="0" w:footer="3" w:gutter="0"/>
          <w:cols w:space="720"/>
          <w:noEndnote/>
          <w:rtlGutter w:val="0"/>
          <w:docGrid w:linePitch="360"/>
        </w:sectPr>
      </w:pPr>
      <w:r>
        <mc:AlternateContent>
          <mc:Choice Requires="wps">
            <w:drawing>
              <wp:anchor distT="0" distB="0" distL="240665" distR="3926840" simplePos="0" relativeHeight="125829378" behindDoc="0" locked="0" layoutInCell="1" allowOverlap="1">
                <wp:simplePos x="0" y="0"/>
                <wp:positionH relativeFrom="column">
                  <wp:posOffset>716280</wp:posOffset>
                </wp:positionH>
                <wp:positionV relativeFrom="paragraph">
                  <wp:posOffset>1803400</wp:posOffset>
                </wp:positionV>
                <wp:extent cx="2053590" cy="129540"/>
                <wp:wrapTopAndBottom/>
                <wp:docPr id="75" name="Shape 75"/>
                <a:graphic xmlns:a="http://schemas.openxmlformats.org/drawingml/2006/main">
                  <a:graphicData uri="http://schemas.microsoft.com/office/word/2010/wordprocessingShape">
                    <wps:wsp>
                      <wps:cNvSpPr txBox="1"/>
                      <wps:spPr>
                        <a:xfrm>
                          <a:ext cx="2053590" cy="1295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color w:val="000000"/>
                                <w:spacing w:val="0"/>
                                <w:w w:val="100"/>
                                <w:position w:val="0"/>
                                <w:sz w:val="16"/>
                                <w:szCs w:val="16"/>
                              </w:rPr>
                              <w:t>1：</w:t>
                            </w:r>
                            <w:r>
                              <w:rPr>
                                <w:color w:val="000000"/>
                                <w:spacing w:val="0"/>
                                <w:w w:val="100"/>
                                <w:position w:val="0"/>
                              </w:rPr>
                              <w:t>新能源板块最近五年充电量增长趋势）</w:t>
                            </w:r>
                          </w:p>
                        </w:txbxContent>
                      </wps:txbx>
                      <wps:bodyPr lIns="0" tIns="0" rIns="0" bIns="0">
                        <a:noAutoFit/>
                      </wps:bodyPr>
                    </wps:wsp>
                  </a:graphicData>
                </a:graphic>
              </wp:anchor>
            </w:drawing>
          </mc:Choice>
          <mc:Fallback>
            <w:pict>
              <v:shape id="_x0000_s1101" type="#_x0000_t202" style="position:absolute;margin-left:56.399999999999999pt;margin-top:142.pt;width:161.70000000000002pt;height:10.200000000000001pt;z-index:-125829375;mso-wrap-distance-left:18.949999999999999pt;mso-wrap-distance-right:309.19999999999999pt"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color w:val="000000"/>
                          <w:spacing w:val="0"/>
                          <w:w w:val="100"/>
                          <w:position w:val="0"/>
                          <w:sz w:val="16"/>
                          <w:szCs w:val="16"/>
                        </w:rPr>
                        <w:t>1：</w:t>
                      </w:r>
                      <w:r>
                        <w:rPr>
                          <w:color w:val="000000"/>
                          <w:spacing w:val="0"/>
                          <w:w w:val="100"/>
                          <w:position w:val="0"/>
                        </w:rPr>
                        <w:t>新能源板块最近五年充电量增长趋势）</w:t>
                      </w:r>
                    </w:p>
                  </w:txbxContent>
                </v:textbox>
                <w10:wrap type="topAndBottom"/>
              </v:shape>
            </w:pict>
          </mc:Fallback>
        </mc:AlternateContent>
      </w:r>
      <w:r>
        <mc:AlternateContent>
          <mc:Choice Requires="wps">
            <w:drawing>
              <wp:anchor distT="0" distB="0" distL="240665" distR="3605530" simplePos="0" relativeHeight="125829380" behindDoc="0" locked="0" layoutInCell="1" allowOverlap="1">
                <wp:simplePos x="0" y="0"/>
                <wp:positionH relativeFrom="column">
                  <wp:posOffset>3459480</wp:posOffset>
                </wp:positionH>
                <wp:positionV relativeFrom="paragraph">
                  <wp:posOffset>1797685</wp:posOffset>
                </wp:positionV>
                <wp:extent cx="2374900" cy="129540"/>
                <wp:wrapTopAndBottom/>
                <wp:docPr id="77" name="Shape 77"/>
                <a:graphic xmlns:a="http://schemas.openxmlformats.org/drawingml/2006/main">
                  <a:graphicData uri="http://schemas.microsoft.com/office/word/2010/wordprocessingShape">
                    <wps:wsp>
                      <wps:cNvSpPr txBox="1"/>
                      <wps:spPr>
                        <a:xfrm>
                          <a:ext cx="2374900" cy="1295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color w:val="000000"/>
                                <w:spacing w:val="0"/>
                                <w:w w:val="100"/>
                                <w:position w:val="0"/>
                                <w:sz w:val="16"/>
                                <w:szCs w:val="16"/>
                              </w:rPr>
                              <w:t>2：</w:t>
                            </w:r>
                            <w:r>
                              <w:rPr>
                                <w:color w:val="000000"/>
                                <w:spacing w:val="0"/>
                                <w:w w:val="100"/>
                                <w:position w:val="0"/>
                              </w:rPr>
                              <w:t>新能源板块最近五年充电桩销售收增长趋势）</w:t>
                            </w:r>
                          </w:p>
                        </w:txbxContent>
                      </wps:txbx>
                      <wps:bodyPr lIns="0" tIns="0" rIns="0" bIns="0">
                        <a:noAutoFit/>
                      </wps:bodyPr>
                    </wps:wsp>
                  </a:graphicData>
                </a:graphic>
              </wp:anchor>
            </w:drawing>
          </mc:Choice>
          <mc:Fallback>
            <w:pict>
              <v:shape id="_x0000_s1103" type="#_x0000_t202" style="position:absolute;margin-left:272.39999999999998pt;margin-top:141.55000000000001pt;width:187.pt;height:10.200000000000001pt;z-index:-125829373;mso-wrap-distance-left:18.949999999999999pt;mso-wrap-distance-right:283.90000000000003pt"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color w:val="000000"/>
                          <w:spacing w:val="0"/>
                          <w:w w:val="100"/>
                          <w:position w:val="0"/>
                          <w:sz w:val="16"/>
                          <w:szCs w:val="16"/>
                        </w:rPr>
                        <w:t>2：</w:t>
                      </w:r>
                      <w:r>
                        <w:rPr>
                          <w:color w:val="000000"/>
                          <w:spacing w:val="0"/>
                          <w:w w:val="100"/>
                          <w:position w:val="0"/>
                        </w:rPr>
                        <w:t>新能源板块最近五年充电桩销售收增长趋势）</w:t>
                      </w:r>
                    </w:p>
                  </w:txbxContent>
                </v:textbox>
                <w10:wrap type="topAndBottom"/>
              </v:shape>
            </w:pict>
          </mc:Fallback>
        </mc:AlternateContent>
      </w:r>
    </w:p>
    <w:p>
      <w:pPr>
        <w:widowControl w:val="0"/>
        <w:jc w:val="left"/>
        <w:rPr>
          <w:sz w:val="2"/>
          <w:szCs w:val="2"/>
        </w:rPr>
      </w:pPr>
      <w:r>
        <w:drawing>
          <wp:inline>
            <wp:extent cx="1731010" cy="323215"/>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3"/>
                    <a:stretch/>
                  </pic:blipFill>
                  <pic:spPr>
                    <a:xfrm>
                      <a:ext cx="1731010" cy="323215"/>
                    </a:xfrm>
                    <a:prstGeom prst="rect"/>
                  </pic:spPr>
                </pic:pic>
              </a:graphicData>
            </a:graphic>
          </wp:inline>
        </w:drawing>
      </w:r>
    </w:p>
    <w:p>
      <w:pPr>
        <w:widowControl w:val="0"/>
        <w:spacing w:after="159" w:line="1" w:lineRule="exact"/>
      </w:pPr>
    </w:p>
    <w:p>
      <w:pPr>
        <w:pStyle w:val="Style14"/>
        <w:keepNext w:val="0"/>
        <w:keepLines w:val="0"/>
        <w:widowControl w:val="0"/>
        <w:shd w:val="clear" w:color="auto" w:fill="auto"/>
        <w:bidi w:val="0"/>
        <w:spacing w:before="0" w:after="160" w:line="471" w:lineRule="exact"/>
        <w:ind w:left="0" w:right="0" w:firstLine="420"/>
        <w:jc w:val="both"/>
      </w:pPr>
      <w:r>
        <w:rPr>
          <w:color w:val="000000"/>
          <w:spacing w:val="0"/>
          <w:w w:val="100"/>
          <w:position w:val="0"/>
          <w:sz w:val="24"/>
          <w:szCs w:val="24"/>
        </w:rPr>
        <w:t>在与主机厂合作方面，报告期，万马爱充与广汽丰田达成协议，双方将基于电动汽车充 电服务展开深入合作，共同打造“桩-车-网”产业生态。双方已在北京东大停车场充电站中 设立“广汽丰田-万马爱充品牌形象站”，为广汽丰田新能源车主提供专属的充电服务。公司 将以品牌形象站为基础拓展合作模式，实现业务多元化发展。</w:t>
      </w:r>
    </w:p>
    <w:p>
      <w:pPr>
        <w:widowControl w:val="0"/>
        <w:jc w:val="center"/>
        <w:rPr>
          <w:sz w:val="2"/>
          <w:szCs w:val="2"/>
        </w:rPr>
      </w:pPr>
      <w:r>
        <w:drawing>
          <wp:inline>
            <wp:extent cx="6138545" cy="2115185"/>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5"/>
                    <a:stretch/>
                  </pic:blipFill>
                  <pic:spPr>
                    <a:xfrm>
                      <a:ext cx="6138545" cy="2115185"/>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color w:val="000000"/>
          <w:spacing w:val="0"/>
          <w:w w:val="100"/>
          <w:position w:val="0"/>
          <w:sz w:val="16"/>
          <w:szCs w:val="16"/>
        </w:rPr>
        <w:t>3：</w:t>
      </w:r>
      <w:r>
        <w:rPr>
          <w:color w:val="000000"/>
          <w:spacing w:val="0"/>
          <w:w w:val="100"/>
          <w:position w:val="0"/>
        </w:rPr>
        <w:t>万马爱充深圳东湖公园充电站，</w:t>
      </w:r>
      <w:r>
        <w:rPr>
          <w:color w:val="000000"/>
          <w:spacing w:val="0"/>
          <w:w w:val="100"/>
          <w:position w:val="0"/>
          <w:sz w:val="16"/>
          <w:szCs w:val="16"/>
        </w:rPr>
        <w:t>2020</w:t>
      </w:r>
      <w:r>
        <w:rPr>
          <w:color w:val="000000"/>
          <w:spacing w:val="0"/>
          <w:w w:val="100"/>
          <w:position w:val="0"/>
        </w:rPr>
        <w:t>年全年累计充电量达</w:t>
      </w:r>
      <w:r>
        <w:rPr>
          <w:color w:val="000000"/>
          <w:spacing w:val="0"/>
          <w:w w:val="100"/>
          <w:position w:val="0"/>
          <w:sz w:val="16"/>
          <w:szCs w:val="16"/>
        </w:rPr>
        <w:t>188</w:t>
      </w:r>
      <w:r>
        <w:rPr>
          <w:color w:val="000000"/>
          <w:spacing w:val="0"/>
          <w:w w:val="100"/>
          <w:position w:val="0"/>
        </w:rPr>
        <w:t>万度，平均单桩日充电时长</w:t>
      </w:r>
      <w:r>
        <w:rPr>
          <w:color w:val="000000"/>
          <w:spacing w:val="0"/>
          <w:w w:val="100"/>
          <w:position w:val="0"/>
          <w:sz w:val="16"/>
          <w:szCs w:val="16"/>
        </w:rPr>
        <w:t>6.7</w:t>
      </w:r>
      <w:r>
        <w:rPr>
          <w:color w:val="000000"/>
          <w:spacing w:val="0"/>
          <w:w w:val="100"/>
          <w:position w:val="0"/>
        </w:rPr>
        <w:t>小时）</w:t>
      </w:r>
    </w:p>
    <w:p>
      <w:pPr>
        <w:widowControl w:val="0"/>
        <w:spacing w:after="159" w:line="1" w:lineRule="exact"/>
      </w:pPr>
    </w:p>
    <w:p>
      <w:pPr>
        <w:pStyle w:val="Style14"/>
        <w:keepNext w:val="0"/>
        <w:keepLines w:val="0"/>
        <w:widowControl w:val="0"/>
        <w:shd w:val="clear" w:color="auto" w:fill="auto"/>
        <w:bidi w:val="0"/>
        <w:spacing w:before="0" w:after="160" w:line="469" w:lineRule="exact"/>
        <w:ind w:left="0" w:right="0" w:firstLine="420"/>
        <w:jc w:val="both"/>
      </w:pPr>
      <w:r>
        <w:rPr>
          <w:color w:val="000000"/>
          <w:spacing w:val="0"/>
          <w:w w:val="100"/>
          <w:position w:val="0"/>
          <w:sz w:val="24"/>
          <w:szCs w:val="24"/>
        </w:rPr>
        <w:t>爱充网着力建设城市智能充电网络，为城市交通作导向。万马智慧充电创新基地验收通 过，设立新能源创新发展中心，包括绿色电力大数据中心及监控中心、“爱充”全国指挥中 心、充电桩研究及发展中心。疫情期间，万马爱充全力保障武汉志愿车主免服务费充电，武 汉全市充电车辆春节期间在武汉市七个精品充电站享受服务费全免，且推出“无接触充电” 服务，保障车主健康。2。2。年8月，在第四届中国充电设施建设运营大会上，万马爱充荣获“行 业最具品牌影响力奖”。</w:t>
      </w:r>
    </w:p>
    <w:p>
      <w:pPr>
        <w:pStyle w:val="Style14"/>
        <w:keepNext w:val="0"/>
        <w:keepLines w:val="0"/>
        <w:widowControl w:val="0"/>
        <w:shd w:val="clear" w:color="auto" w:fill="auto"/>
        <w:bidi w:val="0"/>
        <w:spacing w:before="0" w:after="160" w:line="441" w:lineRule="exact"/>
        <w:ind w:left="0" w:right="0" w:firstLine="420"/>
        <w:jc w:val="both"/>
      </w:pPr>
      <w:bookmarkStart w:id="99" w:name="bookmark99"/>
      <w:r>
        <w:rPr>
          <w:b/>
          <w:bCs/>
          <w:color w:val="000000"/>
          <w:spacing w:val="0"/>
          <w:w w:val="100"/>
          <w:position w:val="0"/>
          <w:sz w:val="24"/>
          <w:szCs w:val="24"/>
        </w:rPr>
        <w:t>二</w:t>
      </w:r>
      <w:bookmarkEnd w:id="99"/>
      <w:r>
        <w:rPr>
          <w:b/>
          <w:bCs/>
          <w:color w:val="000000"/>
          <w:spacing w:val="0"/>
          <w:w w:val="100"/>
          <w:position w:val="0"/>
          <w:sz w:val="24"/>
          <w:szCs w:val="24"/>
        </w:rPr>
        <w:t>、国资助力，激发新活力。</w:t>
      </w:r>
    </w:p>
    <w:p>
      <w:pPr>
        <w:pStyle w:val="Style14"/>
        <w:keepNext w:val="0"/>
        <w:keepLines w:val="0"/>
        <w:widowControl w:val="0"/>
        <w:shd w:val="clear" w:color="auto" w:fill="auto"/>
        <w:bidi w:val="0"/>
        <w:spacing w:before="0" w:after="160" w:line="441" w:lineRule="exact"/>
        <w:ind w:left="0" w:right="0" w:firstLine="420"/>
        <w:jc w:val="both"/>
      </w:pPr>
      <w:r>
        <w:rPr>
          <w:color w:val="000000"/>
          <w:spacing w:val="0"/>
          <w:w w:val="100"/>
          <w:position w:val="0"/>
          <w:sz w:val="24"/>
          <w:szCs w:val="24"/>
        </w:rPr>
        <w:t>报告期，公司控制权发生变更。</w:t>
      </w:r>
    </w:p>
    <w:p>
      <w:pPr>
        <w:pStyle w:val="Style14"/>
        <w:keepNext w:val="0"/>
        <w:keepLines w:val="0"/>
        <w:widowControl w:val="0"/>
        <w:shd w:val="clear" w:color="auto" w:fill="auto"/>
        <w:bidi w:val="0"/>
        <w:spacing w:before="0" w:after="160" w:line="441" w:lineRule="exact"/>
        <w:ind w:left="0" w:right="0" w:firstLine="420"/>
        <w:jc w:val="both"/>
      </w:pPr>
      <w:r>
        <w:rPr>
          <w:color w:val="000000"/>
          <w:spacing w:val="0"/>
          <w:w w:val="100"/>
          <w:position w:val="0"/>
          <w:sz w:val="24"/>
          <w:szCs w:val="24"/>
        </w:rPr>
        <w:t>2020年6月，公司原控股股东智能科技集团、原实际控制人张德生及其一致行动人陆珍玉 与海控集团签署《股份转让框架协议》，2020年9月，双方签署《股份转让协议》，智能科技 集团、张德生、陆珍玉将其持有的公司258,975,823股股份（占公司总股本的25.01%）转让 给海控集团，股份过户登记日为2020年11月4日。本次协议转让完成后，海控集团成为公司 第一大股东，西海岸新区国资局成为公司实际控制人。</w:t>
      </w:r>
    </w:p>
    <w:p>
      <w:pPr>
        <w:pStyle w:val="Style14"/>
        <w:keepNext w:val="0"/>
        <w:keepLines w:val="0"/>
        <w:widowControl w:val="0"/>
        <w:shd w:val="clear" w:color="auto" w:fill="auto"/>
        <w:bidi w:val="0"/>
        <w:spacing w:before="0" w:after="160" w:line="441" w:lineRule="exact"/>
        <w:ind w:left="0" w:right="0" w:firstLine="420"/>
        <w:jc w:val="both"/>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891" w:right="1108" w:bottom="1164" w:left="1126" w:header="0" w:footer="3" w:gutter="0"/>
          <w:cols w:space="720"/>
          <w:noEndnote/>
          <w:rtlGutter w:val="0"/>
          <w:docGrid w:linePitch="360"/>
        </w:sectPr>
      </w:pPr>
      <w:r>
        <w:rPr>
          <w:color w:val="000000"/>
          <w:spacing w:val="0"/>
          <w:w w:val="100"/>
          <w:position w:val="0"/>
          <w:sz w:val="24"/>
          <w:szCs w:val="24"/>
        </w:rPr>
        <w:t>海控集团基于对万马股份价值的认同及发展前景的看好，和海控集团总体战略进行的决 策，旨在充分发挥资本优势和资源优势，通过整合和协同拓宽产业发展领域，有利于提升上 市公司资信及市场开拓能力，进一步优化上市公司业务结构，提升上市公司核心竞争力和价</w:t>
      </w:r>
    </w:p>
    <w:p>
      <w:pPr>
        <w:pStyle w:val="Style14"/>
        <w:keepNext w:val="0"/>
        <w:keepLines w:val="0"/>
        <w:widowControl w:val="0"/>
        <w:shd w:val="clear" w:color="auto" w:fill="auto"/>
        <w:bidi w:val="0"/>
        <w:spacing w:before="120" w:after="340" w:line="240" w:lineRule="auto"/>
        <w:ind w:left="0" w:right="0" w:firstLine="0"/>
        <w:jc w:val="both"/>
      </w:pPr>
      <w:r>
        <w:rPr>
          <w:color w:val="000000"/>
          <w:spacing w:val="0"/>
          <w:w w:val="100"/>
          <w:position w:val="0"/>
          <w:sz w:val="24"/>
          <w:szCs w:val="24"/>
        </w:rPr>
        <w:t>值。</w:t>
      </w:r>
    </w:p>
    <w:p>
      <w:pPr>
        <w:pStyle w:val="Style14"/>
        <w:keepNext w:val="0"/>
        <w:keepLines w:val="0"/>
        <w:widowControl w:val="0"/>
        <w:shd w:val="clear" w:color="auto" w:fill="auto"/>
        <w:bidi w:val="0"/>
        <w:spacing w:before="0" w:after="340" w:line="240" w:lineRule="auto"/>
        <w:ind w:left="0" w:right="0"/>
        <w:jc w:val="both"/>
      </w:pPr>
      <w:r>
        <w:rPr>
          <w:color w:val="000000"/>
          <w:spacing w:val="0"/>
          <w:w w:val="100"/>
          <w:position w:val="0"/>
          <w:sz w:val="24"/>
          <w:szCs w:val="24"/>
        </w:rPr>
        <w:t>新的征程，新的使命，公司将加快融合发展，创造共赢新篇章，激发发展新活力。</w:t>
      </w:r>
    </w:p>
    <w:p>
      <w:pPr>
        <w:pStyle w:val="Style26"/>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34"/>
        <w:keepNext/>
        <w:keepLines/>
        <w:widowControl w:val="0"/>
        <w:shd w:val="clear" w:color="auto" w:fill="auto"/>
        <w:tabs>
          <w:tab w:pos="368" w:val="left"/>
        </w:tabs>
        <w:bidi w:val="0"/>
        <w:spacing w:before="0" w:line="24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line="24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59"/>
        <w:keepNext/>
        <w:keepLines/>
        <w:widowControl w:val="0"/>
        <w:numPr>
          <w:ilvl w:val="0"/>
          <w:numId w:val="7"/>
        </w:numPr>
        <w:shd w:val="clear" w:color="auto" w:fill="auto"/>
        <w:bidi w:val="0"/>
        <w:spacing w:before="0" w:after="340" w:line="240" w:lineRule="auto"/>
        <w:ind w:left="0" w:right="0" w:firstLine="0"/>
        <w:jc w:val="both"/>
      </w:pPr>
      <w:bookmarkStart w:id="112" w:name="bookmark112"/>
      <w:bookmarkStart w:id="113" w:name="bookmark113"/>
      <w:bookmarkStart w:id="114" w:name="bookmark114"/>
      <w:bookmarkStart w:id="115" w:name="bookmark115"/>
      <w:bookmarkEnd w:id="114"/>
      <w:r>
        <w:rPr>
          <w:color w:val="000000"/>
          <w:spacing w:val="0"/>
          <w:w w:val="100"/>
          <w:position w:val="0"/>
        </w:rPr>
        <w:t>营业收入构成</w:t>
      </w:r>
      <w:bookmarkEnd w:id="112"/>
      <w:bookmarkEnd w:id="113"/>
      <w:bookmarkEnd w:id="1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33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同比增减</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9,321,789,268.60</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9,745,408,784.22</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-4.35%</w:t>
            </w:r>
          </w:p>
        </w:tc>
      </w:tr>
      <w:tr>
        <w:trPr>
          <w:trHeight w:val="322" w:hRule="exact"/>
        </w:trPr>
        <w:tc>
          <w:tcPr>
            <w:gridSpan w:val="6"/>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9,226,241,877.61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9,628,749,392.88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-4.18%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20,818,471.59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1,347,849.32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1,444.57%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74,728,919.40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115,311,542.02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-35.19%</w:t>
            </w:r>
          </w:p>
        </w:tc>
      </w:tr>
      <w:tr>
        <w:trPr>
          <w:trHeight w:val="326" w:hRule="exact"/>
        </w:trPr>
        <w:tc>
          <w:tcPr>
            <w:gridSpan w:val="6"/>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5,469,864,765.05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6,108,010,099.45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-10.45%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631,620,858.56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503,445,853.11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25.46%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2,891,692,242.66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2,772,553,600.48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贸易、服务及其他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328,611,402.33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361,399,231.18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-9.07%</w:t>
            </w:r>
          </w:p>
        </w:tc>
      </w:tr>
      <w:tr>
        <w:trPr>
          <w:trHeight w:val="322" w:hRule="exact"/>
        </w:trPr>
        <w:tc>
          <w:tcPr>
            <w:gridSpan w:val="6"/>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4,425,232,654.77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4,294,588,952.85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845,640,217.55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1,569,925,453.71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-46.14%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891,265,458.64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1,227,196,038.98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-27.37%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1,336,658,492.23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1,024,755,393.54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30.44%</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1,822,992,445.41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1,628,942,945.14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11.91%</w:t>
            </w:r>
          </w:p>
        </w:tc>
      </w:tr>
    </w:tbl>
    <w:p>
      <w:pPr>
        <w:widowControl w:val="0"/>
        <w:spacing w:after="339" w:line="1" w:lineRule="exact"/>
      </w:pPr>
    </w:p>
    <w:p>
      <w:pPr>
        <w:pStyle w:val="Style59"/>
        <w:keepNext/>
        <w:keepLines/>
        <w:widowControl w:val="0"/>
        <w:numPr>
          <w:ilvl w:val="0"/>
          <w:numId w:val="7"/>
        </w:numPr>
        <w:shd w:val="clear" w:color="auto" w:fill="auto"/>
        <w:bidi w:val="0"/>
        <w:spacing w:before="0" w:after="340" w:line="240" w:lineRule="auto"/>
        <w:ind w:left="0" w:right="0" w:firstLine="140"/>
        <w:jc w:val="left"/>
      </w:pPr>
      <w:bookmarkStart w:id="116" w:name="bookmark116"/>
      <w:bookmarkStart w:id="117" w:name="bookmark117"/>
      <w:bookmarkStart w:id="118" w:name="bookmark118"/>
      <w:bookmarkStart w:id="119" w:name="bookmark119"/>
      <w:bookmarkEnd w:id="11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6"/>
      <w:bookmarkEnd w:id="117"/>
      <w:bookmarkEnd w:id="11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88"/>
        <w:gridCol w:w="1608"/>
        <w:gridCol w:w="922"/>
        <w:gridCol w:w="1301"/>
        <w:gridCol w:w="1310"/>
        <w:gridCol w:w="1301"/>
      </w:tblGrid>
      <w:tr>
        <w:trPr>
          <w:trHeight w:val="65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毛利率比上</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年同期增减</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9,226,241,877.61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7,841,933,326.09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bl>
    <w:p>
      <w:pPr>
        <w:spacing w:lineRule="exact" w:line="1"/>
        <w:rPr>
          <w:sz w:val="2"/>
          <w:szCs w:val="2"/>
        </w:rPr>
      </w:pPr>
      <w:r>
        <w:br w:type="page"/>
      </w:r>
    </w:p>
    <w:tbl>
      <w:tblPr>
        <w:tblOverlap w:val="never"/>
        <w:jc w:val="center"/>
        <w:tblLayout w:type="fixed"/>
      </w:tblPr>
      <w:tblGrid>
        <w:gridCol w:w="1666"/>
        <w:gridCol w:w="1488"/>
        <w:gridCol w:w="1608"/>
        <w:gridCol w:w="922"/>
        <w:gridCol w:w="1301"/>
        <w:gridCol w:w="1310"/>
        <w:gridCol w:w="1296"/>
      </w:tblGrid>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9,226,241,877.61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7,841,933,326.09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-1.75%</w:t>
            </w:r>
          </w:p>
        </w:tc>
      </w:tr>
      <w:tr>
        <w:trPr>
          <w:trHeight w:val="322" w:hRule="exact"/>
        </w:trPr>
        <w:tc>
          <w:tcPr>
            <w:gridSpan w:val="7"/>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5,469,864,765.05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4,673,562,417.73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-0.99%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631,620,858.56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518,544,080.34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2,891,692,242.66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2,452,219,161.22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贸易、服务及其他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328,611,402.33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251,585,113.12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9,321,789,268.60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7,895,910,772.41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w:t>
            </w:r>
          </w:p>
        </w:tc>
      </w:tr>
      <w:tr>
        <w:trPr>
          <w:trHeight w:val="322" w:hRule="exact"/>
        </w:trPr>
        <w:tc>
          <w:tcPr>
            <w:gridSpan w:val="7"/>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4,425,232,654.77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3,712,819,536.65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1,336,658,492.23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1,170,380,451.70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1,822,992,445.41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1,521,990,816.55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1.37%</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7,584,883,592.41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6,405,190,804.90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-1.65%</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7"/>
        </w:numPr>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公司实物销售收入是否大于劳务收入</w:t>
      </w:r>
      <w:bookmarkEnd w:id="120"/>
      <w:bookmarkEnd w:id="121"/>
      <w:bookmarkEnd w:id="123"/>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"是□否</w:t>
      </w:r>
    </w:p>
    <w:tbl>
      <w:tblPr>
        <w:tblOverlap w:val="never"/>
        <w:jc w:val="center"/>
        <w:tblLayout w:type="fixed"/>
      </w:tblPr>
      <w:tblGrid>
        <w:gridCol w:w="1608"/>
        <w:gridCol w:w="1594"/>
        <w:gridCol w:w="1848"/>
        <w:gridCol w:w="1339"/>
        <w:gridCol w:w="1594"/>
        <w:gridCol w:w="1603"/>
      </w:tblGrid>
      <w:tr>
        <w:trPr>
          <w:trHeight w:val="34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94,345.8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92,540.22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3,148.72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52.91%</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491,272.62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27.12%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678,204.76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516,223.39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31.38%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62,696.35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33,310.42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88.22%</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313,065.51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307,325.42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328,242.85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320,828.44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5,972.66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4,631.15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28.97%</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贸易、服务及其他</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万度</w:t>
            </w:r>
            <w:r>
              <w:rPr>
                <w:color w:val="000000"/>
                <w:spacing w:val="0"/>
                <w:w w:val="100"/>
                <w:position w:val="0"/>
              </w:rPr>
              <w:t>/</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公里</w:t>
            </w:r>
            <w:r>
              <w:rPr>
                <w:color w:val="000000"/>
                <w:spacing w:val="0"/>
                <w:w w:val="100"/>
                <w:position w:val="0"/>
              </w:rPr>
              <w:t>/</w:t>
            </w:r>
            <w:r>
              <w:rPr>
                <w:rFonts w:ascii="SimSun" w:eastAsia="SimSun" w:hAnsi="SimSun" w:cs="SimSun"/>
                <w:color w:val="000000"/>
                <w:spacing w:val="0"/>
                <w:w w:val="100"/>
                <w:position w:val="0"/>
              </w:rPr>
              <w:t>件</w:t>
            </w:r>
            <w:r>
              <w:rPr>
                <w:color w:val="000000"/>
                <w:spacing w:val="0"/>
                <w:w w:val="100"/>
                <w:position w:val="0"/>
              </w:rPr>
              <w:t>/</w:t>
            </w:r>
            <w:r>
              <w:rPr>
                <w:rFonts w:ascii="SimSun" w:eastAsia="SimSun" w:hAnsi="SimSun" w:cs="SimSun"/>
                <w:color w:val="000000"/>
                <w:spacing w:val="0"/>
                <w:w w:val="100"/>
                <w:position w:val="0"/>
              </w:rPr>
              <w:t>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34,730.11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52,705.14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万度</w:t>
            </w:r>
            <w:r>
              <w:rPr>
                <w:color w:val="000000"/>
                <w:spacing w:val="0"/>
                <w:w w:val="100"/>
                <w:position w:val="0"/>
              </w:rPr>
              <w:t>/</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公里</w:t>
            </w:r>
            <w:r>
              <w:rPr>
                <w:color w:val="000000"/>
                <w:spacing w:val="0"/>
                <w:w w:val="100"/>
                <w:position w:val="0"/>
              </w:rPr>
              <w:t>/</w:t>
            </w:r>
            <w:r>
              <w:rPr>
                <w:rFonts w:ascii="SimSun" w:eastAsia="SimSun" w:hAnsi="SimSun" w:cs="SimSun"/>
                <w:color w:val="000000"/>
                <w:spacing w:val="0"/>
                <w:w w:val="100"/>
                <w:position w:val="0"/>
              </w:rPr>
              <w:t>件</w:t>
            </w:r>
            <w:r>
              <w:rPr>
                <w:color w:val="000000"/>
                <w:spacing w:val="0"/>
                <w:w w:val="100"/>
                <w:position w:val="0"/>
              </w:rPr>
              <w:t>/</w:t>
            </w:r>
            <w:r>
              <w:rPr>
                <w:rFonts w:ascii="SimSun" w:eastAsia="SimSun" w:hAnsi="SimSun" w:cs="SimSun"/>
                <w:color w:val="000000"/>
                <w:spacing w:val="0"/>
                <w:w w:val="100"/>
                <w:position w:val="0"/>
              </w:rPr>
              <w:t>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34,898.11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52,585.14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万度</w:t>
            </w:r>
            <w:r>
              <w:rPr>
                <w:color w:val="000000"/>
                <w:spacing w:val="0"/>
                <w:w w:val="100"/>
                <w:position w:val="0"/>
              </w:rPr>
              <w:t>/</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公里</w:t>
            </w:r>
            <w:r>
              <w:rPr>
                <w:color w:val="000000"/>
                <w:spacing w:val="0"/>
                <w:w w:val="100"/>
                <w:position w:val="0"/>
              </w:rPr>
              <w:t>/</w:t>
            </w:r>
            <w:r>
              <w:rPr>
                <w:rFonts w:ascii="SimSun" w:eastAsia="SimSun" w:hAnsi="SimSun" w:cs="SimSun"/>
                <w:color w:val="000000"/>
                <w:spacing w:val="0"/>
                <w:w w:val="100"/>
                <w:position w:val="0"/>
              </w:rPr>
              <w:t>件</w:t>
            </w:r>
            <w:r>
              <w:rPr>
                <w:color w:val="000000"/>
                <w:spacing w:val="0"/>
                <w:w w:val="100"/>
                <w:position w:val="0"/>
              </w:rPr>
              <w:t>/</w:t>
            </w: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6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注：通常在计算产品产销量时，存在以下公式：期末库存数量=期初库存数量+当期入库数量</w:t>
      </w:r>
      <w:r>
        <w:rPr>
          <w:rFonts w:ascii="Times New Roman" w:eastAsia="Times New Roman" w:hAnsi="Times New Roman" w:cs="Times New Roman"/>
          <w:color w:val="000000"/>
          <w:spacing w:val="0"/>
          <w:w w:val="100"/>
          <w:position w:val="0"/>
        </w:rPr>
        <w:t>-</w:t>
      </w:r>
      <w:r>
        <w:rPr>
          <w:color w:val="000000"/>
          <w:spacing w:val="0"/>
          <w:w w:val="100"/>
          <w:position w:val="0"/>
        </w:rPr>
        <w:t>当期出库数量。其中，当 期出库数量包括销售出库、自用出库(包括再加工领用、深加工领用和非生产领用)、报废出库等多种因素；上表当期 出库仅包含销售出库，所以直接用</w:t>
      </w:r>
      <w:r>
        <w:rPr>
          <w:rFonts w:ascii="Times New Roman" w:eastAsia="Times New Roman" w:hAnsi="Times New Roman" w:cs="Times New Roman"/>
          <w:color w:val="000000"/>
          <w:spacing w:val="0"/>
          <w:w w:val="100"/>
          <w:position w:val="0"/>
        </w:rPr>
        <w:t>“</w:t>
      </w:r>
      <w:r>
        <w:rPr>
          <w:color w:val="000000"/>
          <w:spacing w:val="0"/>
          <w:w w:val="100"/>
          <w:position w:val="0"/>
        </w:rPr>
        <w:t>期末库存数量=期初库存数量+本期生产数量</w:t>
      </w:r>
      <w:r>
        <w:rPr>
          <w:rFonts w:ascii="Times New Roman" w:eastAsia="Times New Roman" w:hAnsi="Times New Roman" w:cs="Times New Roman"/>
          <w:color w:val="000000"/>
          <w:spacing w:val="0"/>
          <w:w w:val="100"/>
          <w:position w:val="0"/>
        </w:rPr>
        <w:t>-</w:t>
      </w:r>
      <w:r>
        <w:rPr>
          <w:color w:val="000000"/>
          <w:spacing w:val="0"/>
          <w:w w:val="100"/>
          <w:position w:val="0"/>
        </w:rPr>
        <w:t>本期销售数量</w:t>
      </w:r>
      <w:r>
        <w:rPr>
          <w:rFonts w:ascii="Times New Roman" w:eastAsia="Times New Roman" w:hAnsi="Times New Roman" w:cs="Times New Roman"/>
          <w:color w:val="000000"/>
          <w:spacing w:val="0"/>
          <w:w w:val="100"/>
          <w:position w:val="0"/>
        </w:rPr>
        <w:t>”</w:t>
      </w:r>
      <w:r>
        <w:rPr>
          <w:color w:val="000000"/>
          <w:spacing w:val="0"/>
          <w:w w:val="100"/>
          <w:position w:val="0"/>
        </w:rPr>
        <w:t>作为计算的基础，会存在计 算结果与实际不符的情况。具体到公司的各类产品，存在的自用出库情况：</w:t>
      </w:r>
    </w:p>
    <w:p>
      <w:pPr>
        <w:pStyle w:val="Style31"/>
        <w:keepNext w:val="0"/>
        <w:keepLines w:val="0"/>
        <w:widowControl w:val="0"/>
        <w:numPr>
          <w:ilvl w:val="0"/>
          <w:numId w:val="9"/>
        </w:numPr>
        <w:shd w:val="clear" w:color="auto" w:fill="auto"/>
        <w:tabs>
          <w:tab w:pos="666" w:val="left"/>
        </w:tabs>
        <w:bidi w:val="0"/>
        <w:spacing w:before="0" w:after="0" w:line="314" w:lineRule="exact"/>
        <w:ind w:left="0" w:right="0" w:firstLine="360"/>
        <w:jc w:val="both"/>
      </w:pPr>
      <w:bookmarkStart w:id="124" w:name="bookmark124"/>
      <w:bookmarkEnd w:id="124"/>
      <w:r>
        <w:rPr>
          <w:color w:val="000000"/>
          <w:spacing w:val="0"/>
          <w:w w:val="100"/>
          <w:position w:val="0"/>
        </w:rPr>
        <w:t>高分子材料产品中自用及返工出库</w:t>
      </w:r>
      <w:r>
        <w:rPr>
          <w:color w:val="000000"/>
          <w:spacing w:val="0"/>
          <w:w w:val="100"/>
          <w:position w:val="0"/>
          <w:sz w:val="18"/>
          <w:szCs w:val="18"/>
        </w:rPr>
        <w:t xml:space="preserve">13, </w:t>
      </w:r>
      <w:r>
        <w:rPr>
          <w:color w:val="000000"/>
          <w:spacing w:val="0"/>
          <w:w w:val="100"/>
          <w:position w:val="0"/>
          <w:sz w:val="18"/>
          <w:szCs w:val="18"/>
        </w:rPr>
        <w:t xml:space="preserve">835. </w:t>
      </w:r>
      <w:r>
        <w:rPr>
          <w:color w:val="000000"/>
          <w:spacing w:val="0"/>
          <w:w w:val="100"/>
          <w:position w:val="0"/>
          <w:sz w:val="18"/>
          <w:szCs w:val="18"/>
        </w:rPr>
        <w:t>83</w:t>
      </w:r>
      <w:r>
        <w:rPr>
          <w:color w:val="000000"/>
          <w:spacing w:val="0"/>
          <w:w w:val="100"/>
          <w:position w:val="0"/>
        </w:rPr>
        <w:t>吨；</w:t>
      </w:r>
    </w:p>
    <w:p>
      <w:pPr>
        <w:pStyle w:val="Style31"/>
        <w:keepNext w:val="0"/>
        <w:keepLines w:val="0"/>
        <w:widowControl w:val="0"/>
        <w:numPr>
          <w:ilvl w:val="0"/>
          <w:numId w:val="11"/>
        </w:numPr>
        <w:shd w:val="clear" w:color="auto" w:fill="auto"/>
        <w:tabs>
          <w:tab w:pos="675" w:val="left"/>
        </w:tabs>
        <w:bidi w:val="0"/>
        <w:spacing w:before="0" w:after="240" w:line="314" w:lineRule="exact"/>
        <w:ind w:left="0" w:right="0" w:firstLine="360"/>
        <w:jc w:val="both"/>
      </w:pPr>
      <w:bookmarkStart w:id="125" w:name="bookmark125"/>
      <w:bookmarkEnd w:id="125"/>
      <w:r>
        <w:rPr>
          <w:color w:val="000000"/>
          <w:spacing w:val="0"/>
          <w:w w:val="100"/>
          <w:position w:val="0"/>
        </w:rPr>
        <w:t>通信产品中自用</w:t>
      </w:r>
      <w:r>
        <w:rPr>
          <w:color w:val="000000"/>
          <w:spacing w:val="0"/>
          <w:w w:val="100"/>
          <w:position w:val="0"/>
          <w:sz w:val="18"/>
          <w:szCs w:val="18"/>
        </w:rPr>
        <w:t xml:space="preserve">24, </w:t>
      </w:r>
      <w:r>
        <w:rPr>
          <w:color w:val="000000"/>
          <w:spacing w:val="0"/>
          <w:w w:val="100"/>
          <w:position w:val="0"/>
          <w:sz w:val="18"/>
          <w:szCs w:val="18"/>
        </w:rPr>
        <w:t xml:space="preserve">323. </w:t>
      </w:r>
      <w:r>
        <w:rPr>
          <w:color w:val="000000"/>
          <w:spacing w:val="0"/>
          <w:w w:val="100"/>
          <w:position w:val="0"/>
          <w:sz w:val="18"/>
          <w:szCs w:val="18"/>
        </w:rPr>
        <w:t>84</w:t>
      </w:r>
      <w:r>
        <w:rPr>
          <w:color w:val="000000"/>
          <w:spacing w:val="0"/>
          <w:w w:val="100"/>
          <w:position w:val="0"/>
        </w:rPr>
        <w:t>公里。</w:t>
      </w:r>
      <w:r>
        <w:br w:type="page"/>
      </w:r>
    </w:p>
    <w:p>
      <w:pPr>
        <w:pStyle w:val="Style59"/>
        <w:keepNext/>
        <w:keepLines/>
        <w:widowControl w:val="0"/>
        <w:numPr>
          <w:ilvl w:val="0"/>
          <w:numId w:val="7"/>
        </w:numPr>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公司已签订的重大销售合同截至本报告期的履行情况</w:t>
      </w:r>
      <w:bookmarkEnd w:id="126"/>
      <w:bookmarkEnd w:id="127"/>
      <w:bookmarkEnd w:id="129"/>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7"/>
        </w:numPr>
        <w:shd w:val="clear" w:color="auto" w:fill="auto"/>
        <w:bidi w:val="0"/>
        <w:spacing w:before="0" w:after="36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营业成本构成</w:t>
      </w:r>
      <w:bookmarkEnd w:id="130"/>
      <w:bookmarkEnd w:id="131"/>
      <w:bookmarkEnd w:id="133"/>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859"/>
        <w:gridCol w:w="1656"/>
        <w:gridCol w:w="1478"/>
        <w:gridCol w:w="1478"/>
        <w:gridCol w:w="1560"/>
        <w:gridCol w:w="1181"/>
      </w:tblGrid>
      <w:tr>
        <w:trPr>
          <w:trHeight w:val="34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同比增减</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7,841,933,326.09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8,016,504,863.24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19,098,628.63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943,470.61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34,878,817.69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94,825,669.64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7,895,910,772.41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8,112,274,003.49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-2.67%</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590"/>
        <w:gridCol w:w="1651"/>
        <w:gridCol w:w="1493"/>
        <w:gridCol w:w="1478"/>
        <w:gridCol w:w="1363"/>
        <w:gridCol w:w="1378"/>
      </w:tblGrid>
      <w:tr>
        <w:trPr>
          <w:trHeight w:val="33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63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4,673,562,417.73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5,158,121,908.83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-9.39%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518,544,080.34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397,234,766.08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30.54%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2,452,219,161.22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2,262,290,134.47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251,585,113.12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294,627,194.11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7,895,910,772.41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8,112,274,003.49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-2.67%</w:t>
            </w:r>
          </w:p>
        </w:tc>
      </w:tr>
    </w:tbl>
    <w:p>
      <w:pPr>
        <w:widowControl w:val="0"/>
        <w:spacing w:after="359" w:line="1" w:lineRule="exact"/>
      </w:pPr>
    </w:p>
    <w:tbl>
      <w:tblPr>
        <w:tblOverlap w:val="never"/>
        <w:jc w:val="center"/>
        <w:tblLayout w:type="fixed"/>
      </w:tblPr>
      <w:tblGrid>
        <w:gridCol w:w="1373"/>
        <w:gridCol w:w="2558"/>
        <w:gridCol w:w="1080"/>
        <w:gridCol w:w="1930"/>
        <w:gridCol w:w="1104"/>
        <w:gridCol w:w="1253"/>
      </w:tblGrid>
      <w:tr>
        <w:trPr>
          <w:trHeight w:val="355"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成本项目</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电力产品</w:t>
            </w:r>
          </w:p>
        </w:tc>
      </w:tr>
      <w:tr>
        <w:trPr>
          <w:trHeight w:val="341"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同比增减</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4,445,728,387.38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4,880,220,315.80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65,440,278.62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71,607,558.46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28,977,849.16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38,634,972.97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44,355,618.51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57,789,456.32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-23.25%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89,060,284.06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109,869,606.28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4,673,562,417.73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5,158,121,909.83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-9.39%</w:t>
            </w:r>
          </w:p>
        </w:tc>
      </w:tr>
      <w:tr>
        <w:trPr>
          <w:trHeight w:val="34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成本项目</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通信产品</w:t>
            </w:r>
          </w:p>
        </w:tc>
      </w:tr>
      <w:tr>
        <w:trPr>
          <w:trHeight w:val="346"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同比增减</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452,292,733.70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343,119,352.30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31.82%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30,250,856.71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22,722,116.95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33.13%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10,554,410.98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8,472,952.15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8,184,487.89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4,895,208.50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67.19%</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17,261,591.06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18,025,136.18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-4.24%</w:t>
            </w:r>
          </w:p>
        </w:tc>
      </w:tr>
    </w:tbl>
    <w:p>
      <w:pPr>
        <w:spacing w:lineRule="exact" w:line="1"/>
        <w:rPr>
          <w:sz w:val="2"/>
          <w:szCs w:val="2"/>
        </w:rPr>
      </w:pPr>
      <w:r>
        <w:br w:type="page"/>
      </w:r>
    </w:p>
    <w:tbl>
      <w:tblPr>
        <w:tblOverlap w:val="never"/>
        <w:jc w:val="center"/>
        <w:tblLayout w:type="fixed"/>
      </w:tblPr>
      <w:tblGrid>
        <w:gridCol w:w="1373"/>
        <w:gridCol w:w="2558"/>
        <w:gridCol w:w="1080"/>
        <w:gridCol w:w="1930"/>
        <w:gridCol w:w="1104"/>
        <w:gridCol w:w="1253"/>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518,544,080.34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397,234,766.08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30.54%</w:t>
            </w:r>
          </w:p>
        </w:tc>
      </w:tr>
      <w:tr>
        <w:trPr>
          <w:trHeight w:val="34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成本项目</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高分子材料</w:t>
            </w:r>
          </w:p>
        </w:tc>
      </w:tr>
      <w:tr>
        <w:trPr>
          <w:trHeight w:val="341"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同比增减</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2,234,597,481.18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2,075,669,915.88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42,041,012.22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32,976,230.02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27.49%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54,862,517.06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47,984,592.20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27,386,289.46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22,490,119.96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21.77%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93,331,861.30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83,169,276.41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12.22%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2,452,219,161.22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2,262,290,134.47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8.40%</w:t>
            </w:r>
          </w:p>
        </w:tc>
      </w:tr>
      <w:tr>
        <w:trPr>
          <w:trHeight w:val="34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成本项目</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贸易、服务及其他</w:t>
            </w:r>
          </w:p>
        </w:tc>
      </w:tr>
      <w:tr>
        <w:trPr>
          <w:trHeight w:val="346"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同比增减</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81,819,802.40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112,030,347.81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-26.97%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798,009.14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713,738.67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113,953,146.72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130,566,740.21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-12.72%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51,097,287.45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47,988,943.68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3,916,867.41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3,327,423.74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17.71%</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251,585,113.12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294,627,194.11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59"/>
        <w:keepNext/>
        <w:keepLines/>
        <w:widowControl w:val="0"/>
        <w:shd w:val="clear" w:color="auto" w:fill="auto"/>
        <w:bidi w:val="0"/>
        <w:spacing w:before="0" w:after="3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4"/>
      <w:bookmarkEnd w:id="135"/>
      <w:bookmarkEnd w:id="137"/>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360"/>
        <w:ind w:left="0" w:right="0" w:firstLine="460"/>
        <w:jc w:val="left"/>
      </w:pPr>
      <w:r>
        <w:rPr>
          <w:color w:val="000000"/>
          <w:spacing w:val="0"/>
          <w:w w:val="100"/>
          <w:position w:val="0"/>
        </w:rPr>
        <w:t>与上年相比，本年因新设湖州万马高分子材料有限公司增加</w:t>
      </w:r>
      <w:r>
        <w:rPr>
          <w:color w:val="000000"/>
          <w:spacing w:val="0"/>
          <w:w w:val="100"/>
          <w:position w:val="0"/>
          <w:sz w:val="18"/>
          <w:szCs w:val="18"/>
        </w:rPr>
        <w:t>1</w:t>
      </w:r>
      <w:r>
        <w:rPr>
          <w:color w:val="000000"/>
          <w:spacing w:val="0"/>
          <w:w w:val="100"/>
          <w:position w:val="0"/>
        </w:rPr>
        <w:t>家公司；因注销山西万马新能源科技有限公司减少</w:t>
      </w:r>
      <w:r>
        <w:rPr>
          <w:color w:val="000000"/>
          <w:spacing w:val="0"/>
          <w:w w:val="100"/>
          <w:position w:val="0"/>
          <w:sz w:val="18"/>
          <w:szCs w:val="18"/>
        </w:rPr>
        <w:t>1</w:t>
      </w:r>
      <w:r>
        <w:rPr>
          <w:color w:val="000000"/>
          <w:spacing w:val="0"/>
          <w:w w:val="100"/>
          <w:position w:val="0"/>
        </w:rPr>
        <w:t>家公 司，详见本附注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rPr>
        <w:t>”</w:t>
      </w:r>
      <w:r>
        <w:rPr>
          <w:color w:val="000000"/>
          <w:spacing w:val="0"/>
          <w:w w:val="100"/>
          <w:position w:val="0"/>
        </w:rPr>
        <w:t>及本附注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59"/>
        <w:keepNext/>
        <w:keepLines/>
        <w:widowControl w:val="0"/>
        <w:shd w:val="clear" w:color="auto" w:fill="auto"/>
        <w:tabs>
          <w:tab w:pos="493" w:val="left"/>
        </w:tabs>
        <w:bidi w:val="0"/>
        <w:spacing w:before="0" w:after="2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93" w:val="left"/>
        </w:tabs>
        <w:bidi w:val="0"/>
        <w:spacing w:before="0" w:after="2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31"/>
        <w:keepNext w:val="0"/>
        <w:keepLines w:val="0"/>
        <w:widowControl w:val="0"/>
        <w:shd w:val="clear" w:color="auto" w:fill="auto"/>
        <w:bidi w:val="0"/>
        <w:spacing w:before="0" w:after="80"/>
        <w:ind w:left="0" w:right="0" w:firstLine="0"/>
        <w:jc w:val="left"/>
      </w:pPr>
      <w:r>
        <w:rPr>
          <w:color w:val="000000"/>
          <w:spacing w:val="0"/>
          <w:w w:val="100"/>
          <w:position w:val="0"/>
        </w:rPr>
        <w:t>公司主要销售客户情况</w:t>
      </w:r>
    </w:p>
    <w:tbl>
      <w:tblPr>
        <w:tblOverlap w:val="never"/>
        <w:jc w:val="center"/>
        <w:tblLayout w:type="fixed"/>
      </w:tblPr>
      <w:tblGrid>
        <w:gridCol w:w="4824"/>
        <w:gridCol w:w="4766"/>
      </w:tblGrid>
      <w:tr>
        <w:trPr>
          <w:trHeight w:val="34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793,390,864.97</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r>
      <w:tr>
        <w:trPr>
          <w:trHeight w:val="341"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23"/>
        <w:gridCol w:w="3154"/>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341"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202,314,273.40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bl>
    <w:p>
      <w:pPr>
        <w:spacing w:lineRule="exact" w:line="1"/>
        <w:rPr>
          <w:sz w:val="2"/>
          <w:szCs w:val="2"/>
        </w:rPr>
      </w:pPr>
      <w:r>
        <w:br w:type="page"/>
      </w:r>
    </w:p>
    <w:tbl>
      <w:tblPr>
        <w:tblOverlap w:val="never"/>
        <w:jc w:val="center"/>
        <w:tblLayout w:type="fixed"/>
      </w:tblPr>
      <w:tblGrid>
        <w:gridCol w:w="811"/>
        <w:gridCol w:w="3302"/>
        <w:gridCol w:w="2323"/>
        <w:gridCol w:w="3154"/>
      </w:tblGrid>
      <w:tr>
        <w:trPr>
          <w:trHeight w:val="33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177,602,646.61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1.90%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149,640,535.33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1.61%</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139,685,040.02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1.50%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124,148,369.61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1.33%</w:t>
            </w:r>
          </w:p>
        </w:tc>
      </w:tr>
      <w:tr>
        <w:trPr>
          <w:trHeight w:val="33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793,390,864.97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8.51%</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8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834"/>
        <w:gridCol w:w="4757"/>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3,236,351,861.93</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w:t>
            </w:r>
          </w:p>
        </w:tc>
      </w:tr>
      <w:tr>
        <w:trPr>
          <w:trHeight w:val="33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23"/>
        <w:gridCol w:w="3154"/>
      </w:tblGrid>
      <w:tr>
        <w:trPr>
          <w:trHeight w:val="33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807,075,512.13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10.25%</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800,482,447.74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10.17%</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712,732,806.45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9.05%</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610,718,439.88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7.76%</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305,342,655.73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3.88%</w:t>
            </w:r>
          </w:p>
        </w:tc>
      </w:tr>
      <w:tr>
        <w:trPr>
          <w:trHeight w:val="33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3,236,351,861.93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41.11%</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397"/>
        <w:gridCol w:w="1392"/>
        <w:gridCol w:w="1128"/>
        <w:gridCol w:w="4608"/>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94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516,243,949.88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665,292,600.25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-22.40%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销售费用同比减少</w:t>
            </w:r>
            <w:r>
              <w:rPr>
                <w:color w:val="000000"/>
                <w:spacing w:val="0"/>
                <w:w w:val="100"/>
                <w:position w:val="0"/>
              </w:rPr>
              <w:t>1.49</w:t>
            </w:r>
            <w:r>
              <w:rPr>
                <w:rFonts w:ascii="SimSun" w:eastAsia="SimSun" w:hAnsi="SimSun" w:cs="SimSun"/>
                <w:color w:val="000000"/>
                <w:spacing w:val="0"/>
                <w:w w:val="100"/>
                <w:position w:val="0"/>
              </w:rPr>
              <w:t>亿元，主要系</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年执行新收 入准则，运费由销售费用重分类至营业成本所致；</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 xml:space="preserve">2020 </w:t>
            </w:r>
            <w:r>
              <w:rPr>
                <w:rFonts w:ascii="SimSun" w:eastAsia="SimSun" w:hAnsi="SimSun" w:cs="SimSun"/>
                <w:color w:val="000000"/>
                <w:spacing w:val="0"/>
                <w:w w:val="100"/>
                <w:position w:val="0"/>
              </w:rPr>
              <w:t>年受疫情影响，出差频次受限，差旅费同比减少。</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247,947,027.18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241,804,537.14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管理费用同比增加</w:t>
            </w:r>
            <w:r>
              <w:rPr>
                <w:color w:val="000000"/>
                <w:spacing w:val="0"/>
                <w:w w:val="100"/>
                <w:position w:val="0"/>
              </w:rPr>
              <w:t>614</w:t>
            </w:r>
            <w:r>
              <w:rPr>
                <w:rFonts w:ascii="SimSun" w:eastAsia="SimSun" w:hAnsi="SimSun" w:cs="SimSun"/>
                <w:color w:val="000000"/>
                <w:spacing w:val="0"/>
                <w:w w:val="100"/>
                <w:position w:val="0"/>
              </w:rPr>
              <w:t>万元，主要系公司折旧及摊销同 比增加所致。</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78,102,684.88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79,616,465.01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财务费用同比减少</w:t>
            </w:r>
            <w:r>
              <w:rPr>
                <w:color w:val="000000"/>
                <w:spacing w:val="0"/>
                <w:w w:val="100"/>
                <w:position w:val="0"/>
              </w:rPr>
              <w:t>151</w:t>
            </w:r>
            <w:r>
              <w:rPr>
                <w:rFonts w:ascii="SimSun" w:eastAsia="SimSun" w:hAnsi="SimSun" w:cs="SimSun"/>
                <w:color w:val="000000"/>
                <w:spacing w:val="0"/>
                <w:w w:val="100"/>
                <w:position w:val="0"/>
              </w:rPr>
              <w:t>万元，主要系</w:t>
            </w:r>
            <w:r>
              <w:rPr>
                <w:color w:val="000000"/>
                <w:spacing w:val="0"/>
                <w:w w:val="100"/>
                <w:position w:val="0"/>
              </w:rPr>
              <w:t>1.</w:t>
            </w:r>
            <w:r>
              <w:rPr>
                <w:rFonts w:ascii="SimSun" w:eastAsia="SimSun" w:hAnsi="SimSun" w:cs="SimSun"/>
                <w:color w:val="000000"/>
                <w:spacing w:val="0"/>
                <w:w w:val="100"/>
                <w:position w:val="0"/>
              </w:rPr>
              <w:t>受外汇汇率影响， 汇兑损失增加；</w:t>
            </w:r>
            <w:r>
              <w:rPr>
                <w:color w:val="000000"/>
                <w:spacing w:val="0"/>
                <w:w w:val="100"/>
                <w:position w:val="0"/>
              </w:rPr>
              <w:t>2.</w:t>
            </w:r>
            <w:r>
              <w:rPr>
                <w:rFonts w:ascii="SimSun" w:eastAsia="SimSun" w:hAnsi="SimSun" w:cs="SimSun"/>
                <w:color w:val="000000"/>
                <w:spacing w:val="0"/>
                <w:w w:val="100"/>
                <w:position w:val="0"/>
              </w:rPr>
              <w:t>借款规模下降，利息减少。</w:t>
            </w:r>
          </w:p>
        </w:tc>
      </w:tr>
      <w:tr>
        <w:trPr>
          <w:trHeight w:val="63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346,836,148.02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364,143,468.70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研发费用同比减少</w:t>
            </w:r>
            <w:r>
              <w:rPr>
                <w:color w:val="000000"/>
                <w:spacing w:val="0"/>
                <w:w w:val="100"/>
                <w:position w:val="0"/>
              </w:rPr>
              <w:t>1,731</w:t>
            </w:r>
            <w:r>
              <w:rPr>
                <w:rFonts w:ascii="SimSun" w:eastAsia="SimSun" w:hAnsi="SimSun" w:cs="SimSun"/>
                <w:color w:val="000000"/>
                <w:spacing w:val="0"/>
                <w:w w:val="100"/>
                <w:position w:val="0"/>
              </w:rPr>
              <w:t>万元，主要系公司对研发产品结 构优化。</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为不断创新产品，提高公司核心竞争力，报告期公司研发投入金额</w:t>
      </w:r>
      <w:r>
        <w:rPr>
          <w:color w:val="000000"/>
          <w:spacing w:val="0"/>
          <w:w w:val="100"/>
          <w:position w:val="0"/>
          <w:sz w:val="18"/>
          <w:szCs w:val="18"/>
        </w:rPr>
        <w:t>346, 836,</w:t>
      </w:r>
      <w:r>
        <w:rPr>
          <w:color w:val="000000"/>
          <w:spacing w:val="0"/>
          <w:w w:val="100"/>
          <w:position w:val="0"/>
          <w:sz w:val="18"/>
          <w:szCs w:val="18"/>
        </w:rPr>
        <w:t xml:space="preserve">148. </w:t>
      </w:r>
      <w:r>
        <w:rPr>
          <w:color w:val="000000"/>
          <w:spacing w:val="0"/>
          <w:w w:val="100"/>
          <w:position w:val="0"/>
          <w:sz w:val="18"/>
          <w:szCs w:val="18"/>
        </w:rPr>
        <w:t>02</w:t>
      </w:r>
      <w:r>
        <w:rPr>
          <w:color w:val="000000"/>
          <w:spacing w:val="0"/>
          <w:w w:val="100"/>
          <w:position w:val="0"/>
        </w:rPr>
        <w:t>元，同比减少</w:t>
      </w:r>
      <w:r>
        <w:rPr>
          <w:color w:val="000000"/>
          <w:spacing w:val="0"/>
          <w:w w:val="100"/>
          <w:position w:val="0"/>
          <w:sz w:val="18"/>
          <w:szCs w:val="18"/>
        </w:rPr>
        <w:t>4.75%</w:t>
      </w:r>
      <w:r>
        <w:rPr>
          <w:color w:val="000000"/>
          <w:spacing w:val="0"/>
          <w:w w:val="100"/>
          <w:position w:val="0"/>
        </w:rPr>
        <w:t>。</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302"/>
        <w:gridCol w:w="2237"/>
        <w:gridCol w:w="2026"/>
        <w:gridCol w:w="2016"/>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6.24%</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0.29%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346,836,148.02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364,143,468.70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r>
    </w:tbl>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050"/>
        <w:gridCol w:w="2390"/>
        <w:gridCol w:w="240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8,376,929,654.60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8,671,832,364.13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-3.40%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7,673,182,051.55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7,799,664,690.61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703,747,603.05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872,167,673.52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-19.31%</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9,223,202,739.32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8,109,944,619.20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13.73%</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9,216,028,239.54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8,198,730,198.29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12.41%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7,174,499.78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-88,785,579.09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108.08%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880,702,971.76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1,537,194,155.05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-42.71%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1,391,439,859.96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2,061,704,496.33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-32.51%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-510,736,888.20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-524,510,341.28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196,952,507.49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259,558,203.49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-24.12%</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8"/>
        <w:keepNext w:val="0"/>
        <w:keepLines w:val="0"/>
        <w:widowControl w:val="0"/>
        <w:numPr>
          <w:ilvl w:val="0"/>
          <w:numId w:val="13"/>
        </w:numPr>
        <w:shd w:val="clear" w:color="auto" w:fill="auto"/>
        <w:tabs>
          <w:tab w:pos="574" w:val="left"/>
        </w:tabs>
        <w:bidi w:val="0"/>
        <w:spacing w:before="0" w:after="0" w:line="322" w:lineRule="exact"/>
        <w:ind w:left="0" w:right="0" w:firstLine="0"/>
        <w:jc w:val="left"/>
      </w:pPr>
      <w:bookmarkStart w:id="158" w:name="bookmark158"/>
      <w:bookmarkEnd w:id="158"/>
      <w:r>
        <w:rPr>
          <w:color w:val="000000"/>
          <w:spacing w:val="0"/>
          <w:w w:val="100"/>
          <w:position w:val="0"/>
        </w:rPr>
        <w:t>经营活动产生的现金流量净额较上年同期下降</w:t>
      </w:r>
      <w:r>
        <w:rPr>
          <w:rFonts w:ascii="Times New Roman" w:eastAsia="Times New Roman" w:hAnsi="Times New Roman" w:cs="Times New Roman"/>
          <w:color w:val="000000"/>
          <w:spacing w:val="0"/>
          <w:w w:val="100"/>
          <w:position w:val="0"/>
        </w:rPr>
        <w:t>19.31%</w:t>
      </w:r>
      <w:r>
        <w:rPr>
          <w:color w:val="000000"/>
          <w:spacing w:val="0"/>
          <w:w w:val="100"/>
          <w:position w:val="0"/>
        </w:rPr>
        <w:t>,主要系受疫情影响，收入同比有所下降，销售收现 减少所致；</w:t>
      </w:r>
    </w:p>
    <w:p>
      <w:pPr>
        <w:pStyle w:val="Style38"/>
        <w:keepNext w:val="0"/>
        <w:keepLines w:val="0"/>
        <w:widowControl w:val="0"/>
        <w:numPr>
          <w:ilvl w:val="0"/>
          <w:numId w:val="13"/>
        </w:numPr>
        <w:shd w:val="clear" w:color="auto" w:fill="auto"/>
        <w:tabs>
          <w:tab w:pos="469" w:val="left"/>
        </w:tabs>
        <w:bidi w:val="0"/>
        <w:spacing w:before="0" w:after="0" w:line="322" w:lineRule="exact"/>
        <w:ind w:left="0" w:right="0" w:firstLine="0"/>
        <w:jc w:val="left"/>
      </w:pPr>
      <w:bookmarkStart w:id="159" w:name="bookmark159"/>
      <w:bookmarkEnd w:id="159"/>
      <w:r>
        <w:rPr>
          <w:color w:val="000000"/>
          <w:spacing w:val="0"/>
          <w:w w:val="100"/>
          <w:position w:val="0"/>
        </w:rPr>
        <w:t>投资活动产生的现金流量净额较上年同期上升</w:t>
      </w:r>
      <w:r>
        <w:rPr>
          <w:rFonts w:ascii="Times New Roman" w:eastAsia="Times New Roman" w:hAnsi="Times New Roman" w:cs="Times New Roman"/>
          <w:color w:val="000000"/>
          <w:spacing w:val="0"/>
          <w:w w:val="100"/>
          <w:position w:val="0"/>
        </w:rPr>
        <w:t>108.08%</w:t>
      </w:r>
      <w:r>
        <w:rPr>
          <w:color w:val="000000"/>
          <w:spacing w:val="0"/>
          <w:w w:val="100"/>
          <w:position w:val="0"/>
        </w:rPr>
        <w:t>,主要系本期期货套期收益增长；</w:t>
      </w:r>
    </w:p>
    <w:p>
      <w:pPr>
        <w:pStyle w:val="Style38"/>
        <w:keepNext w:val="0"/>
        <w:keepLines w:val="0"/>
        <w:widowControl w:val="0"/>
        <w:numPr>
          <w:ilvl w:val="0"/>
          <w:numId w:val="13"/>
        </w:numPr>
        <w:shd w:val="clear" w:color="auto" w:fill="auto"/>
        <w:tabs>
          <w:tab w:pos="469" w:val="left"/>
        </w:tabs>
        <w:bidi w:val="0"/>
        <w:spacing w:before="0" w:after="0" w:line="322" w:lineRule="exact"/>
        <w:ind w:left="0" w:right="0" w:firstLine="0"/>
        <w:jc w:val="left"/>
      </w:pPr>
      <w:bookmarkStart w:id="160" w:name="bookmark160"/>
      <w:bookmarkEnd w:id="160"/>
      <w:r>
        <w:rPr>
          <w:color w:val="000000"/>
          <w:spacing w:val="0"/>
          <w:w w:val="100"/>
          <w:position w:val="0"/>
        </w:rPr>
        <w:t>筹资活动现金流入较上年同期减少</w:t>
      </w:r>
      <w:r>
        <w:rPr>
          <w:rFonts w:ascii="Times New Roman" w:eastAsia="Times New Roman" w:hAnsi="Times New Roman" w:cs="Times New Roman"/>
          <w:color w:val="000000"/>
          <w:spacing w:val="0"/>
          <w:w w:val="100"/>
          <w:position w:val="0"/>
        </w:rPr>
        <w:t>42.71%</w:t>
      </w:r>
      <w:r>
        <w:rPr>
          <w:color w:val="000000"/>
          <w:spacing w:val="0"/>
          <w:w w:val="100"/>
          <w:position w:val="0"/>
        </w:rPr>
        <w:t>,主要系本期取得借款收到的现金减少所致；</w:t>
      </w:r>
    </w:p>
    <w:p>
      <w:pPr>
        <w:pStyle w:val="Style38"/>
        <w:keepNext w:val="0"/>
        <w:keepLines w:val="0"/>
        <w:widowControl w:val="0"/>
        <w:numPr>
          <w:ilvl w:val="0"/>
          <w:numId w:val="13"/>
        </w:numPr>
        <w:shd w:val="clear" w:color="auto" w:fill="auto"/>
        <w:tabs>
          <w:tab w:pos="469" w:val="left"/>
        </w:tabs>
        <w:bidi w:val="0"/>
        <w:spacing w:before="0" w:after="0" w:line="322" w:lineRule="exact"/>
        <w:ind w:left="0" w:right="0" w:firstLine="0"/>
        <w:jc w:val="left"/>
      </w:pPr>
      <w:bookmarkStart w:id="161" w:name="bookmark161"/>
      <w:bookmarkEnd w:id="161"/>
      <w:r>
        <w:rPr>
          <w:color w:val="000000"/>
          <w:spacing w:val="0"/>
          <w:w w:val="100"/>
          <w:position w:val="0"/>
        </w:rPr>
        <w:t>筹资活动现金流出较上年同期减少</w:t>
      </w:r>
      <w:r>
        <w:rPr>
          <w:rFonts w:ascii="Times New Roman" w:eastAsia="Times New Roman" w:hAnsi="Times New Roman" w:cs="Times New Roman"/>
          <w:color w:val="000000"/>
          <w:spacing w:val="0"/>
          <w:w w:val="100"/>
          <w:position w:val="0"/>
        </w:rPr>
        <w:t>32.51%</w:t>
      </w:r>
      <w:r>
        <w:rPr>
          <w:color w:val="000000"/>
          <w:spacing w:val="0"/>
          <w:w w:val="100"/>
          <w:position w:val="0"/>
        </w:rPr>
        <w:t>,主要系本期偿还债务支付的现金减少所致；</w:t>
      </w:r>
    </w:p>
    <w:p>
      <w:pPr>
        <w:pStyle w:val="Style38"/>
        <w:keepNext w:val="0"/>
        <w:keepLines w:val="0"/>
        <w:widowControl w:val="0"/>
        <w:numPr>
          <w:ilvl w:val="0"/>
          <w:numId w:val="13"/>
        </w:numPr>
        <w:shd w:val="clear" w:color="auto" w:fill="auto"/>
        <w:tabs>
          <w:tab w:pos="469" w:val="left"/>
        </w:tabs>
        <w:bidi w:val="0"/>
        <w:spacing w:before="0" w:after="360" w:line="322" w:lineRule="exact"/>
        <w:ind w:left="0" w:right="0" w:firstLine="0"/>
        <w:jc w:val="left"/>
      </w:pPr>
      <w:bookmarkStart w:id="162" w:name="bookmark162"/>
      <w:bookmarkEnd w:id="162"/>
      <w:r>
        <w:rPr>
          <w:color w:val="000000"/>
          <w:spacing w:val="0"/>
          <w:w w:val="100"/>
          <w:position w:val="0"/>
        </w:rPr>
        <w:t>现金及现金等价物净增加额较上年同期下降</w:t>
      </w:r>
      <w:r>
        <w:rPr>
          <w:rFonts w:ascii="Times New Roman" w:eastAsia="Times New Roman" w:hAnsi="Times New Roman" w:cs="Times New Roman"/>
          <w:color w:val="000000"/>
          <w:spacing w:val="0"/>
          <w:w w:val="100"/>
          <w:position w:val="0"/>
        </w:rPr>
        <w:t>24.12%</w:t>
      </w:r>
      <w:r>
        <w:rPr>
          <w:color w:val="000000"/>
          <w:spacing w:val="0"/>
          <w:w w:val="100"/>
          <w:position w:val="0"/>
        </w:rPr>
        <w:t>,主要系本期收入下降，销售收现减少所致。</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22" w:lineRule="exact"/>
        <w:ind w:left="0" w:right="0" w:firstLine="0"/>
        <w:jc w:val="both"/>
      </w:pPr>
      <w:r>
        <w:rPr>
          <w:color w:val="000000"/>
          <w:spacing w:val="0"/>
          <w:w w:val="100"/>
          <w:position w:val="0"/>
        </w:rPr>
        <w:t>主要系本期计提折旧和摊销</w:t>
      </w:r>
      <w:r>
        <w:rPr>
          <w:rFonts w:ascii="Times New Roman" w:eastAsia="Times New Roman" w:hAnsi="Times New Roman" w:cs="Times New Roman"/>
          <w:color w:val="000000"/>
          <w:spacing w:val="0"/>
          <w:w w:val="100"/>
          <w:position w:val="0"/>
        </w:rPr>
        <w:t>1.65</w:t>
      </w:r>
      <w:r>
        <w:rPr>
          <w:color w:val="000000"/>
          <w:spacing w:val="0"/>
          <w:w w:val="100"/>
          <w:position w:val="0"/>
        </w:rPr>
        <w:t>亿元，资产减值损失</w:t>
      </w:r>
      <w:r>
        <w:rPr>
          <w:rFonts w:ascii="Times New Roman" w:eastAsia="Times New Roman" w:hAnsi="Times New Roman" w:cs="Times New Roman"/>
          <w:color w:val="000000"/>
          <w:spacing w:val="0"/>
          <w:w w:val="100"/>
          <w:position w:val="0"/>
        </w:rPr>
        <w:t>8,769</w:t>
      </w:r>
      <w:r>
        <w:rPr>
          <w:color w:val="000000"/>
          <w:spacing w:val="0"/>
          <w:w w:val="100"/>
          <w:position w:val="0"/>
        </w:rPr>
        <w:t>万元，经营性应收应付项目净增加</w:t>
      </w:r>
      <w:r>
        <w:rPr>
          <w:rFonts w:ascii="Times New Roman" w:eastAsia="Times New Roman" w:hAnsi="Times New Roman" w:cs="Times New Roman"/>
          <w:color w:val="000000"/>
          <w:spacing w:val="0"/>
          <w:w w:val="100"/>
          <w:position w:val="0"/>
        </w:rPr>
        <w:t>4.35</w:t>
      </w:r>
      <w:r>
        <w:rPr>
          <w:color w:val="000000"/>
          <w:spacing w:val="0"/>
          <w:w w:val="100"/>
          <w:position w:val="0"/>
        </w:rPr>
        <w:t>亿元所致。</w:t>
      </w:r>
    </w:p>
    <w:p>
      <w:pPr>
        <w:pStyle w:val="Style26"/>
        <w:keepNext/>
        <w:keepLines/>
        <w:widowControl w:val="0"/>
        <w:shd w:val="clear" w:color="auto" w:fill="auto"/>
        <w:bidi w:val="0"/>
        <w:spacing w:before="0" w:after="36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、非主营业务分析</w:t>
      </w:r>
      <w:bookmarkEnd w:id="163"/>
      <w:bookmarkEnd w:id="164"/>
      <w:bookmarkEnd w:id="166"/>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、资产及负债状况分析</w:t>
      </w:r>
      <w:bookmarkEnd w:id="167"/>
      <w:bookmarkEnd w:id="168"/>
      <w:bookmarkEnd w:id="170"/>
    </w:p>
    <w:p>
      <w:pPr>
        <w:pStyle w:val="Style34"/>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1536"/>
        <w:gridCol w:w="811"/>
        <w:gridCol w:w="1517"/>
        <w:gridCol w:w="830"/>
        <w:gridCol w:w="869"/>
        <w:gridCol w:w="2674"/>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3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98" w:lineRule="exact"/>
              <w:ind w:left="0" w:right="0" w:firstLine="140"/>
              <w:jc w:val="both"/>
            </w:pPr>
            <w:r>
              <w:rPr>
                <w:rFonts w:ascii="SimSun" w:eastAsia="SimSun" w:hAnsi="SimSun" w:cs="SimSun"/>
                <w:color w:val="000000"/>
                <w:spacing w:val="0"/>
                <w:w w:val="100"/>
                <w:position w:val="0"/>
              </w:rPr>
              <w:t>占总资 产比例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98" w:lineRule="exact"/>
              <w:ind w:left="140" w:right="0" w:firstLine="20"/>
              <w:jc w:val="left"/>
            </w:pPr>
            <w:r>
              <w:rPr>
                <w:rFonts w:ascii="SimSun" w:eastAsia="SimSun" w:hAnsi="SimSun" w:cs="SimSun"/>
                <w:color w:val="000000"/>
                <w:spacing w:val="0"/>
                <w:w w:val="100"/>
                <w:position w:val="0"/>
              </w:rPr>
              <w:t>占总资 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4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1,514,791,414.58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1,167,696,694.63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主要系本期公司增加票据付款， 优化付款方式，提高资金使用效 率从而导致货币资金留存增加。</w:t>
            </w:r>
          </w:p>
        </w:tc>
      </w:tr>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2,686,794,928.65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2,491,322,574.41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主要系本期受疫情影响，回款有 所下降。</w:t>
            </w:r>
          </w:p>
        </w:tc>
      </w:tr>
      <w:tr>
        <w:trPr>
          <w:trHeight w:val="125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784,048,636.87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671,197,091.05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1.13</w:t>
            </w:r>
            <w:r>
              <w:rPr>
                <w:rFonts w:ascii="SimSun" w:eastAsia="SimSun" w:hAnsi="SimSun" w:cs="SimSun"/>
                <w:color w:val="000000"/>
                <w:spacing w:val="0"/>
                <w:w w:val="100"/>
                <w:position w:val="0"/>
              </w:rPr>
              <w:t>亿元，主要系</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本期铜、聚乙烯材料价格上升 带动存货金额增加；</w:t>
            </w:r>
            <w:r>
              <w:rPr>
                <w:color w:val="000000"/>
                <w:spacing w:val="0"/>
                <w:w w:val="100"/>
                <w:position w:val="0"/>
              </w:rPr>
              <w:t>2.</w:t>
            </w:r>
            <w:r>
              <w:rPr>
                <w:rFonts w:ascii="SimSun" w:eastAsia="SimSun" w:hAnsi="SimSun" w:cs="SimSun"/>
                <w:color w:val="000000"/>
                <w:spacing w:val="0"/>
                <w:w w:val="100"/>
                <w:position w:val="0"/>
              </w:rPr>
              <w:t>部分产品 备库。</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13,451,959.00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14,760,474.94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24,133,401.04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22,634,983.57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无重大变动</w:t>
            </w:r>
          </w:p>
        </w:tc>
      </w:tr>
      <w:tr>
        <w:trPr>
          <w:trHeight w:val="94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1,167,651,690.16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1,039,842,652.21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主要系本期万马智慧创新基地、 年产</w:t>
            </w:r>
            <w:r>
              <w:rPr>
                <w:color w:val="000000"/>
                <w:spacing w:val="0"/>
                <w:w w:val="100"/>
                <w:position w:val="0"/>
              </w:rPr>
              <w:t>7.5</w:t>
            </w:r>
            <w:r>
              <w:rPr>
                <w:rFonts w:ascii="SimSun" w:eastAsia="SimSun" w:hAnsi="SimSun" w:cs="SimSun"/>
                <w:color w:val="000000"/>
                <w:spacing w:val="0"/>
                <w:w w:val="100"/>
                <w:position w:val="0"/>
              </w:rPr>
              <w:t>万吨电缆料项目转入及 本期购入机器设备增加所致。</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80,015,549.90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168,907,354.22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主要系本期年产</w:t>
            </w:r>
            <w:r>
              <w:rPr>
                <w:color w:val="000000"/>
                <w:spacing w:val="0"/>
                <w:w w:val="100"/>
                <w:position w:val="0"/>
              </w:rPr>
              <w:t>7.5</w:t>
            </w:r>
            <w:r>
              <w:rPr>
                <w:rFonts w:ascii="SimSun" w:eastAsia="SimSun" w:hAnsi="SimSun" w:cs="SimSun"/>
                <w:color w:val="000000"/>
                <w:spacing w:val="0"/>
                <w:w w:val="100"/>
                <w:position w:val="0"/>
              </w:rPr>
              <w:t>万吨电缆料 项目、智慧创新基地转出。</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179,194,979.92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955,542,843.60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主要系本期优化融资结构，短期 借款偿还增加所致。</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300,371,799.96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114,584,137.97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主要系公司优化融资结构，长期 借款融资增加所致。</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512,488,491.98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361,455,996.63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主要系本期票据方式回款金额 增加。</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385,741,006.13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374,014,153.83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1,530,514,647.38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883,361,291.82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主要系本期优化付款方式，票据 支付增加所致。</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991,013,661.83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656,720,635.27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主要系本期采购付款账期变化 所致。</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181,807,565.11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主要系本期长期借款到期日短 于一年的金额增加。</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194,143,719.92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175,612,947.35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31"/>
        <w:keepNext w:val="0"/>
        <w:keepLines w:val="0"/>
        <w:widowControl w:val="0"/>
        <w:shd w:val="clear" w:color="auto" w:fill="auto"/>
        <w:bidi w:val="0"/>
        <w:spacing w:before="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1190"/>
        <w:gridCol w:w="1162"/>
        <w:gridCol w:w="1157"/>
        <w:gridCol w:w="672"/>
        <w:gridCol w:w="917"/>
        <w:gridCol w:w="1373"/>
        <w:gridCol w:w="389"/>
        <w:gridCol w:w="1262"/>
      </w:tblGrid>
      <w:tr>
        <w:trPr>
          <w:trHeight w:val="126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值变动损益</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本期 计提 的减 值</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本期购</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买金额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本期出售金额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 他 变 动</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4D4D4"/>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77,525,430.7</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-2,251,333.7</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82,377,873.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929,097,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948,883,306.50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56,383,738.48</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77,525,430.7</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-2,251,333.7</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82,377,873.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929,097,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948,883,306.50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56,383,738.48</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77,525,430.7</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-2,251,333.7</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82,377,873.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929,097,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948,883,306.50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56,383,738.48</w:t>
            </w:r>
          </w:p>
        </w:tc>
      </w:tr>
      <w:tr>
        <w:trPr>
          <w:trHeight w:val="63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2,594,373.26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2,594,373.2</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其他变动的内容</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口是"否</w:t>
      </w:r>
    </w:p>
    <w:p>
      <w:pPr>
        <w:pStyle w:val="Style34"/>
        <w:keepNext/>
        <w:keepLines/>
        <w:widowControl w:val="0"/>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详情请见第十二节财务报告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七、合并财务报表主要项目注释</w:t>
      </w:r>
      <w:r>
        <w:rPr>
          <w:color w:val="000000"/>
          <w:spacing w:val="0"/>
          <w:w w:val="100"/>
          <w:position w:val="0"/>
          <w:sz w:val="18"/>
          <w:szCs w:val="18"/>
        </w:rPr>
        <w:t>58</w:t>
      </w:r>
      <w:r>
        <w:rPr>
          <w:color w:val="000000"/>
          <w:spacing w:val="0"/>
          <w:w w:val="100"/>
          <w:position w:val="0"/>
        </w:rPr>
        <w:t>所有权或使用权受限制的资产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34"/>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258,290,000.00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325,330,722.12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30"/>
        <w:gridCol w:w="672"/>
        <w:gridCol w:w="432"/>
        <w:gridCol w:w="624"/>
        <w:gridCol w:w="619"/>
        <w:gridCol w:w="624"/>
        <w:gridCol w:w="614"/>
        <w:gridCol w:w="619"/>
        <w:gridCol w:w="619"/>
        <w:gridCol w:w="590"/>
        <w:gridCol w:w="590"/>
        <w:gridCol w:w="696"/>
        <w:gridCol w:w="686"/>
        <w:gridCol w:w="691"/>
        <w:gridCol w:w="672"/>
      </w:tblGrid>
      <w:tr>
        <w:trPr>
          <w:trHeight w:val="1579"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被投资 公司名 称</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主要 业务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 资 方 式</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 金额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持股 比例</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资金 来源</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合作 方</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投资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产品 类型</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截至 资产 负债 表日 的进</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 投资 盈亏</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160" w:right="0" w:firstLine="0"/>
              <w:jc w:val="left"/>
            </w:pPr>
            <w:r>
              <w:rPr>
                <w:rFonts w:ascii="SimSun" w:eastAsia="SimSun" w:hAnsi="SimSun" w:cs="SimSun"/>
                <w:color w:val="000000"/>
                <w:spacing w:val="0"/>
                <w:w w:val="100"/>
                <w:position w:val="0"/>
              </w:rPr>
              <w:t>是否 涉诉</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披露</w:t>
            </w:r>
          </w:p>
          <w:p>
            <w:pPr>
              <w:pStyle w:val="Style22"/>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日期</w:t>
            </w:r>
          </w:p>
          <w:p>
            <w:pPr>
              <w:pStyle w:val="Style22"/>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（如 有）</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披露 索引</w:t>
            </w:r>
          </w:p>
          <w:p>
            <w:pPr>
              <w:pStyle w:val="Style22"/>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（如 有）</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700" w:right="1053" w:bottom="1446" w:left="1056" w:header="0" w:footer="3" w:gutter="0"/>
          <w:cols w:space="720"/>
          <w:noEndnote/>
          <w:rtlGutter w:val="0"/>
          <w:docGrid w:linePitch="360"/>
        </w:sectPr>
      </w:pPr>
    </w:p>
    <w:tbl>
      <w:tblPr>
        <w:tblOverlap w:val="never"/>
        <w:jc w:val="center"/>
        <w:tblLayout w:type="fixed"/>
      </w:tblPr>
      <w:tblGrid>
        <w:gridCol w:w="830"/>
        <w:gridCol w:w="672"/>
        <w:gridCol w:w="432"/>
        <w:gridCol w:w="624"/>
        <w:gridCol w:w="619"/>
        <w:gridCol w:w="624"/>
        <w:gridCol w:w="614"/>
        <w:gridCol w:w="619"/>
        <w:gridCol w:w="619"/>
        <w:gridCol w:w="590"/>
        <w:gridCol w:w="590"/>
        <w:gridCol w:w="696"/>
        <w:gridCol w:w="686"/>
        <w:gridCol w:w="691"/>
        <w:gridCol w:w="672"/>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展情</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况</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ELLI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GEN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马海立</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ELE</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CTR</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斯新能</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直流</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,674.0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已过</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源有限</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ONI</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载充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SYS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TEM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浙江万</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马电缆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全部</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3kV</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已过</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838.6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以下</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浙江万</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马专用</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 全部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线缆科</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已过</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浙江万</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马天屹</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 全部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通信线</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已过</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0,237.</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42,36</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5,612.</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07"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、报告期内正在进行的重大的非股权投资情况</w:t>
      </w:r>
      <w:bookmarkEnd w:id="195"/>
      <w:bookmarkEnd w:id="196"/>
      <w:bookmarkEnd w:id="198"/>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、金融资产投资</w:t>
      </w:r>
      <w:bookmarkEnd w:id="199"/>
      <w:bookmarkEnd w:id="200"/>
      <w:bookmarkEnd w:id="202"/>
    </w:p>
    <w:p>
      <w:pPr>
        <w:pStyle w:val="Style59"/>
        <w:keepNext/>
        <w:keepLines/>
        <w:widowControl w:val="0"/>
        <w:numPr>
          <w:ilvl w:val="0"/>
          <w:numId w:val="15"/>
        </w:numPr>
        <w:shd w:val="clear" w:color="auto" w:fill="auto"/>
        <w:bidi w:val="0"/>
        <w:spacing w:before="0" w:after="340" w:line="240" w:lineRule="auto"/>
        <w:ind w:left="0" w:right="0" w:firstLine="0"/>
        <w:jc w:val="both"/>
      </w:pPr>
      <w:bookmarkStart w:id="203" w:name="bookmark203"/>
      <w:bookmarkStart w:id="204" w:name="bookmark204"/>
      <w:bookmarkStart w:id="205" w:name="bookmark205"/>
      <w:bookmarkStart w:id="206" w:name="bookmark206"/>
      <w:bookmarkEnd w:id="205"/>
      <w:r>
        <w:rPr>
          <w:color w:val="000000"/>
          <w:spacing w:val="0"/>
          <w:w w:val="100"/>
          <w:position w:val="0"/>
        </w:rPr>
        <w:t>证券投资情况</w:t>
      </w:r>
      <w:bookmarkEnd w:id="203"/>
      <w:bookmarkEnd w:id="204"/>
      <w:bookmarkEnd w:id="206"/>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公司报告期不存在证券投资。</w:t>
      </w:r>
      <w:r>
        <w:br w:type="page"/>
      </w:r>
    </w:p>
    <w:p>
      <w:pPr>
        <w:pStyle w:val="Style59"/>
        <w:keepNext/>
        <w:keepLines/>
        <w:widowControl w:val="0"/>
        <w:numPr>
          <w:ilvl w:val="0"/>
          <w:numId w:val="15"/>
        </w:numPr>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衍生品投资情况</w:t>
      </w:r>
      <w:bookmarkEnd w:id="207"/>
      <w:bookmarkEnd w:id="208"/>
      <w:bookmarkEnd w:id="21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1"/>
        <w:gridCol w:w="696"/>
        <w:gridCol w:w="691"/>
        <w:gridCol w:w="739"/>
        <w:gridCol w:w="691"/>
        <w:gridCol w:w="696"/>
        <w:gridCol w:w="691"/>
        <w:gridCol w:w="691"/>
        <w:gridCol w:w="691"/>
        <w:gridCol w:w="691"/>
        <w:gridCol w:w="691"/>
        <w:gridCol w:w="691"/>
        <w:gridCol w:w="691"/>
        <w:gridCol w:w="528"/>
      </w:tblGrid>
      <w:tr>
        <w:trPr>
          <w:trHeight w:val="1339"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衍生 品投 资操</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是否</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衍生 品投</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衍生 品投 资初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31" w:lineRule="exact"/>
              <w:ind w:left="160" w:right="0" w:firstLine="0"/>
              <w:jc w:val="left"/>
            </w:pPr>
            <w:r>
              <w:rPr>
                <w:rFonts w:ascii="SimSun" w:eastAsia="SimSun" w:hAnsi="SimSun" w:cs="SimSun"/>
                <w:color w:val="000000"/>
                <w:spacing w:val="0"/>
                <w:w w:val="100"/>
                <w:position w:val="0"/>
              </w:rPr>
              <w:t>报告 期内</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160"/>
              <w:jc w:val="left"/>
            </w:pPr>
            <w:r>
              <w:rPr>
                <w:rFonts w:ascii="SimSun" w:eastAsia="SimSun" w:hAnsi="SimSun" w:cs="SimSun"/>
                <w:color w:val="000000"/>
                <w:spacing w:val="0"/>
                <w:w w:val="100"/>
                <w:position w:val="0"/>
              </w:rPr>
              <w:t>报告 期内</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160" w:right="0" w:firstLine="0"/>
              <w:jc w:val="left"/>
            </w:pPr>
            <w:r>
              <w:rPr>
                <w:rFonts w:ascii="SimSun" w:eastAsia="SimSun" w:hAnsi="SimSun" w:cs="SimSun"/>
                <w:color w:val="000000"/>
                <w:spacing w:val="0"/>
                <w:w w:val="100"/>
                <w:position w:val="0"/>
              </w:rPr>
              <w:t>计提</w:t>
            </w:r>
          </w:p>
          <w:p>
            <w:pPr>
              <w:pStyle w:val="Style22"/>
              <w:keepNext w:val="0"/>
              <w:keepLines w:val="0"/>
              <w:widowControl w:val="0"/>
              <w:shd w:val="clear" w:color="auto" w:fill="auto"/>
              <w:bidi w:val="0"/>
              <w:spacing w:before="0" w:after="100" w:line="240" w:lineRule="auto"/>
              <w:ind w:left="160" w:right="0" w:firstLine="0"/>
              <w:jc w:val="left"/>
            </w:pPr>
            <w:r>
              <w:rPr>
                <w:rFonts w:ascii="SimSun" w:eastAsia="SimSun" w:hAnsi="SimSun" w:cs="SimSun"/>
                <w:color w:val="000000"/>
                <w:spacing w:val="0"/>
                <w:w w:val="100"/>
                <w:position w:val="0"/>
              </w:rPr>
              <w:t>减值</w:t>
            </w:r>
          </w:p>
          <w:p>
            <w:pPr>
              <w:pStyle w:val="Style22"/>
              <w:keepNext w:val="0"/>
              <w:keepLines w:val="0"/>
              <w:widowControl w:val="0"/>
              <w:shd w:val="clear" w:color="auto" w:fill="auto"/>
              <w:bidi w:val="0"/>
              <w:spacing w:before="0" w:after="100" w:line="240" w:lineRule="auto"/>
              <w:ind w:left="16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140"/>
              <w:jc w:val="left"/>
            </w:pPr>
            <w:r>
              <w:rPr>
                <w:rFonts w:ascii="SimSun" w:eastAsia="SimSun" w:hAnsi="SimSun" w:cs="SimSun"/>
                <w:color w:val="000000"/>
                <w:spacing w:val="0"/>
                <w:w w:val="100"/>
                <w:position w:val="0"/>
              </w:rPr>
              <w:t>期末 投资 金额 占公</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160"/>
              <w:jc w:val="both"/>
            </w:pPr>
            <w:r>
              <w:rPr>
                <w:rFonts w:ascii="SimSun" w:eastAsia="SimSun" w:hAnsi="SimSun" w:cs="SimSun"/>
                <w:color w:val="000000"/>
                <w:spacing w:val="0"/>
                <w:w w:val="100"/>
                <w:position w:val="0"/>
              </w:rPr>
              <w:t xml:space="preserve">报 </w:t>
            </w:r>
            <w:r>
              <w:rPr>
                <w:rFonts w:ascii="SimSun" w:eastAsia="SimSun" w:hAnsi="SimSun" w:cs="SimSun"/>
                <w:color w:val="000000"/>
                <w:spacing w:val="0"/>
                <w:w w:val="100"/>
                <w:position w:val="0"/>
                <w:vertAlign w:val="subscript"/>
              </w:rPr>
              <w:t xml:space="preserve">告 </w:t>
            </w:r>
            <w:r>
              <w:rPr>
                <w:rFonts w:ascii="SimSun" w:eastAsia="SimSun" w:hAnsi="SimSun" w:cs="SimSun"/>
                <w:color w:val="000000"/>
                <w:spacing w:val="0"/>
                <w:w w:val="100"/>
                <w:position w:val="0"/>
              </w:rPr>
              <w:t>期 实</w:t>
            </w:r>
          </w:p>
        </w:tc>
      </w:tr>
      <w:tr>
        <w:trPr>
          <w:trHeight w:val="154" w:hRule="exact"/>
        </w:trPr>
        <w:tc>
          <w:tcPr>
            <w:vMerge/>
            <w:tcBorders>
              <w:left w:val="single" w:sz="4"/>
            </w:tcBorders>
            <w:shd w:val="clear" w:color="auto" w:fill="D4D4D4"/>
            <w:vAlign w:val="bottom"/>
          </w:tcPr>
          <w:p>
            <w:pPr/>
          </w:p>
        </w:tc>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关系</w:t>
            </w: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司报 告期</w:t>
            </w:r>
          </w:p>
        </w:tc>
        <w:tc>
          <w:tcPr>
            <w:vMerge w:val="restart"/>
            <w:tcBorders>
              <w:left w:val="single" w:sz="4"/>
              <w:righ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160"/>
              <w:jc w:val="both"/>
            </w:pPr>
            <w:r>
              <w:rPr>
                <w:rFonts w:ascii="SimSun" w:eastAsia="SimSun" w:hAnsi="SimSun" w:cs="SimSun"/>
                <w:color w:val="000000"/>
                <w:spacing w:val="0"/>
                <w:w w:val="100"/>
                <w:position w:val="0"/>
              </w:rPr>
              <w:t>际 损</w:t>
            </w:r>
          </w:p>
        </w:tc>
      </w:tr>
      <w:tr>
        <w:trPr>
          <w:trHeight w:val="312"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作方</w:t>
            </w: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交易</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资类</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始投</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购入</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售出</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60" w:right="0" w:firstLine="0"/>
              <w:jc w:val="left"/>
            </w:pPr>
            <w:r>
              <w:rPr>
                <w:rFonts w:ascii="SimSun" w:eastAsia="SimSun" w:hAnsi="SimSun" w:cs="SimSun"/>
                <w:color w:val="000000"/>
                <w:spacing w:val="0"/>
                <w:w w:val="100"/>
                <w:position w:val="0"/>
              </w:rPr>
              <w:t>金额</w:t>
            </w:r>
          </w:p>
        </w:tc>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158" w:hRule="exact"/>
        </w:trPr>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名称</w:t>
            </w:r>
          </w:p>
        </w:tc>
        <w:tc>
          <w:tcPr>
            <w:vMerge w:val="restart"/>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型</w:t>
            </w: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资金 额</w:t>
            </w: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金额</w:t>
            </w: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(如 有)</w:t>
            </w: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val="restart"/>
            <w:tcBorders>
              <w:left w:val="single" w:sz="4"/>
              <w:righ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益</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r>
      <w:tr>
        <w:trPr>
          <w:trHeight w:val="154" w:hRule="exact"/>
        </w:trPr>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末净</w:t>
            </w:r>
          </w:p>
        </w:tc>
        <w:tc>
          <w:tcPr>
            <w:vMerge/>
            <w:tcBorders>
              <w:left w:val="single" w:sz="4"/>
              <w:right w:val="single" w:sz="4"/>
            </w:tcBorders>
            <w:shd w:val="clear" w:color="auto" w:fill="D4D4D4"/>
            <w:vAlign w:val="center"/>
          </w:tcPr>
          <w:p>
            <w:pPr/>
          </w:p>
        </w:tc>
      </w:tr>
      <w:tr>
        <w:trPr>
          <w:trHeight w:val="154" w:hRule="exact"/>
        </w:trPr>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center"/>
          </w:tcPr>
          <w:p>
            <w:pPr/>
          </w:p>
        </w:tc>
      </w:tr>
      <w:tr>
        <w:trPr>
          <w:trHeight w:val="23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vMerge/>
            <w:tcBorders>
              <w:left w:val="single" w:sz="4"/>
              <w:right w:val="single" w:sz="4"/>
            </w:tcBorders>
            <w:shd w:val="clear" w:color="auto" w:fill="D4D4D4"/>
            <w:vAlign w:val="center"/>
          </w:tcPr>
          <w:p>
            <w:pP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r>
      <w:tr>
        <w:trPr>
          <w:trHeight w:val="55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18,67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-72.64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02</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516.7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5,039.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54,69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56,13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0.49%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r>
      <w:tr>
        <w:trPr>
          <w:trHeight w:val="45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宝城</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19,53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17,85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 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浙江 省分</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结售</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6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宁波 银行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02</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286</w:t>
            </w: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 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结售</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54.31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0.01%</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4"/>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p>
        </w:tc>
      </w:tr>
      <w:tr>
        <w:trPr>
          <w:trHeight w:val="235" w:hRule="exact"/>
        </w:trPr>
        <w:tc>
          <w:tcPr>
            <w:gridSpan w:val="4"/>
            <w:vMerge/>
            <w:tcBorders>
              <w:left w:val="single" w:sz="4"/>
            </w:tcBorders>
            <w:shd w:val="clear" w:color="auto" w:fill="D4D4D4"/>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26" w:hRule="exact"/>
        </w:trPr>
        <w:tc>
          <w:tcPr>
            <w:gridSpan w:val="4"/>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衍生品投资资金来源</w:t>
            </w:r>
          </w:p>
        </w:tc>
        <w:tc>
          <w:tcPr>
            <w:gridSpan w:val="10"/>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700" w:right="1053" w:bottom="1446" w:left="1056" w:header="0" w:footer="3" w:gutter="0"/>
          <w:cols w:space="720"/>
          <w:noEndnote/>
          <w:rtlGutter w:val="0"/>
          <w:docGrid w:linePitch="360"/>
        </w:sectPr>
      </w:pPr>
    </w:p>
    <w:tbl>
      <w:tblPr>
        <w:tblOverlap w:val="never"/>
        <w:jc w:val="center"/>
        <w:tblLayout w:type="fixed"/>
      </w:tblPr>
      <w:tblGrid>
        <w:gridCol w:w="2827"/>
        <w:gridCol w:w="675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涉诉情况（如适用）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63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衍生品投资审批董事会公告披露 日期（如有</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衍生品投资审批股东会公告披露 日期（如有</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报告期衍生品持仓的风险分析及 控制措施说明（包括但不限于市 场风险、流动性风险、信用风险、 操作风险、法律风险等）</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针对铜套期保值业务，公司建立了完备的风险控制制度，根据业务实际需要，公司 在套期保值业务中投入的资金（保证金）总额不超过</w:t>
            </w:r>
            <w:r>
              <w:rPr>
                <w:color w:val="000000"/>
                <w:spacing w:val="0"/>
                <w:w w:val="100"/>
                <w:position w:val="0"/>
              </w:rPr>
              <w:t>18,000</w:t>
            </w:r>
            <w:r>
              <w:rPr>
                <w:rFonts w:ascii="SimSun" w:eastAsia="SimSun" w:hAnsi="SimSun" w:cs="SimSun"/>
                <w:color w:val="000000"/>
                <w:spacing w:val="0"/>
                <w:w w:val="100"/>
                <w:position w:val="0"/>
              </w:rPr>
              <w:t>万元，对可能出现的法 律风险、信用风险、操作风险以及现金流风险进行了充分的可行性分析和有效控制； 公司制定《期货套期保值内部控制制度》，规范履行审核、审批程序，严格按照审 核后的套保制度操作。</w:t>
            </w:r>
            <w:r>
              <w:rPr>
                <w:color w:val="000000"/>
                <w:spacing w:val="0"/>
                <w:w w:val="100"/>
                <w:position w:val="0"/>
              </w:rPr>
              <w:t>2.</w:t>
            </w:r>
            <w:r>
              <w:rPr>
                <w:rFonts w:ascii="SimSun" w:eastAsia="SimSun" w:hAnsi="SimSun" w:cs="SimSun"/>
                <w:color w:val="000000"/>
                <w:spacing w:val="0"/>
                <w:w w:val="100"/>
                <w:position w:val="0"/>
              </w:rPr>
              <w:t>针对外汇套期保值业务，根据实际需要，该项衍生品持仓 有一定汇率风险，但预计风险较小。</w:t>
            </w:r>
          </w:p>
        </w:tc>
      </w:tr>
      <w:tr>
        <w:trPr>
          <w:trHeight w:val="1570"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已投资衍生品报告期内市场价格 或产品公允价值变动的情况，对 衍生品公允价值的分析应披露具 体使用的方法及相关假设与参数 的设定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公司套期保值交易品种为国内主要期货市场主流品种保值型资金交易品种，市场透 明度大，成交活跃，成交价格和当日结算单价能充分反映衍生品的公允价值。</w:t>
            </w:r>
            <w:r>
              <w:rPr>
                <w:color w:val="000000"/>
                <w:spacing w:val="0"/>
                <w:w w:val="100"/>
                <w:position w:val="0"/>
              </w:rPr>
              <w:t>2.</w:t>
            </w:r>
            <w:r>
              <w:rPr>
                <w:rFonts w:ascii="SimSun" w:eastAsia="SimSun" w:hAnsi="SimSun" w:cs="SimSun"/>
                <w:color w:val="000000"/>
                <w:spacing w:val="0"/>
                <w:w w:val="100"/>
                <w:position w:val="0"/>
              </w:rPr>
              <w:t>公司 开展远期结售汇业务，公允价值按银行提供的年末金融市场业务市值重估通知书确 定。</w:t>
            </w: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报告期公司衍生品的会计政策及 会计核算具体原则与上一报告期 相比是否发生重大变化的说明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无变化</w:t>
            </w:r>
          </w:p>
        </w:tc>
      </w:tr>
      <w:tr>
        <w:trPr>
          <w:trHeight w:val="219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独立董事对公司衍生品投资及风 险控制情况的专项意见</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公司开展的衍生品业务与日常经营需求紧密相关，遵循了谨慎性原则，内部审批制 度及业务操作流程完备，操作过程合法、合规，风险控制是有效的。公司已制定《期 货套期保值内部控制制度》，通过加强内部控制，落实风险防范措施，为公司从事 套期保值业务制定了具体操作规程；公司开展套期保值业务，能有效的防范和化解 由于商品价格波动带来的经营风险，充分利用期货市场的套期保值功能，规避商品 价格大幅波动可能给其经营带来的不利影响。我们认为，公司开展套期保值业务不 存在损害公司及全体股东的利益，同意开展套期保值业务。</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、募集资金使用情况</w:t>
      </w:r>
      <w:bookmarkEnd w:id="211"/>
      <w:bookmarkEnd w:id="212"/>
      <w:bookmarkEnd w:id="21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9"/>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773"/>
        <w:gridCol w:w="1070"/>
        <w:gridCol w:w="773"/>
      </w:tblGrid>
      <w:tr>
        <w:trPr>
          <w:trHeight w:val="157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募集年 份</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金总额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本期已 使用募 集资金 总额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已累计 使用募 集资金 总额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报告期 内变更 用途的 募集资 金总额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累计变 更用途 的募集 资金总 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6" w:lineRule="exact"/>
              <w:ind w:left="160" w:right="0" w:firstLine="0"/>
              <w:jc w:val="both"/>
            </w:pPr>
            <w:r>
              <w:rPr>
                <w:rFonts w:ascii="SimSun" w:eastAsia="SimSun" w:hAnsi="SimSun" w:cs="SimSun"/>
                <w:color w:val="000000"/>
                <w:spacing w:val="0"/>
                <w:w w:val="100"/>
                <w:position w:val="0"/>
              </w:rPr>
              <w:t>累计变 更用途 的募集 资金总 额比例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尚未使 用募集 资金总 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尚未使用 募集资金 用途及去 向</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闲置两 年以上 募集资 金金额</w:t>
            </w:r>
          </w:p>
        </w:tc>
      </w:tr>
      <w:tr>
        <w:trPr>
          <w:trHeight w:val="9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20" w:line="298" w:lineRule="exact"/>
              <w:ind w:left="0" w:right="0" w:firstLine="0"/>
              <w:jc w:val="left"/>
            </w:pPr>
            <w:r>
              <w:rPr>
                <w:rFonts w:ascii="SimSun" w:eastAsia="SimSun" w:hAnsi="SimSun" w:cs="SimSun"/>
                <w:color w:val="000000"/>
                <w:spacing w:val="0"/>
                <w:w w:val="100"/>
                <w:position w:val="0"/>
              </w:rPr>
              <w:t>非公开 发行股</w:t>
            </w:r>
          </w:p>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16,314.1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75,777.6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12,179.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其中暂借 补流</w:t>
            </w:r>
            <w:r>
              <w:rPr>
                <w:color w:val="000000"/>
                <w:spacing w:val="0"/>
                <w:w w:val="100"/>
                <w:position w:val="0"/>
              </w:rPr>
              <w:t xml:space="preserve">5,000 </w:t>
            </w:r>
            <w:r>
              <w:rPr>
                <w:rFonts w:ascii="SimSun" w:eastAsia="SimSun" w:hAnsi="SimSun" w:cs="SimSun"/>
                <w:color w:val="000000"/>
                <w:spacing w:val="0"/>
                <w:w w:val="100"/>
                <w:position w:val="0"/>
              </w:rPr>
              <w:t>万元、理财</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74"/>
        <w:gridCol w:w="859"/>
        <w:gridCol w:w="878"/>
        <w:gridCol w:w="869"/>
        <w:gridCol w:w="874"/>
        <w:gridCol w:w="869"/>
        <w:gridCol w:w="869"/>
        <w:gridCol w:w="869"/>
        <w:gridCol w:w="773"/>
        <w:gridCol w:w="1070"/>
        <w:gridCol w:w="773"/>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余额</w:t>
            </w:r>
            <w:r>
              <w:rPr>
                <w:color w:val="000000"/>
                <w:spacing w:val="0"/>
                <w:w w:val="100"/>
                <w:position w:val="0"/>
              </w:rPr>
              <w:t xml:space="preserve">6,500 </w:t>
            </w:r>
            <w:r>
              <w:rPr>
                <w:rFonts w:ascii="SimSun" w:eastAsia="SimSun" w:hAnsi="SimSun" w:cs="SimSun"/>
                <w:color w:val="000000"/>
                <w:spacing w:val="0"/>
                <w:w w:val="100"/>
                <w:position w:val="0"/>
              </w:rPr>
              <w:t>万元，其余 为专户流 动资金。</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16,314.1</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75,777.6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12,179.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gridSpan w:val="11"/>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3758" w:hRule="exact"/>
        </w:trPr>
        <w:tc>
          <w:tcPr>
            <w:gridSpan w:val="11"/>
            <w:tcBorders>
              <w:top w:val="single" w:sz="4"/>
              <w:left w:val="single" w:sz="4"/>
              <w:bottom w:val="single" w:sz="4"/>
              <w:right w:val="single" w:sz="4"/>
            </w:tcBorders>
            <w:shd w:val="clear" w:color="auto" w:fill="FFFFFF"/>
            <w:vAlign w:val="top"/>
          </w:tcPr>
          <w:p>
            <w:pPr>
              <w:pStyle w:val="Style22"/>
              <w:keepNext w:val="0"/>
              <w:keepLines w:val="0"/>
              <w:widowControl w:val="0"/>
              <w:numPr>
                <w:ilvl w:val="0"/>
                <w:numId w:val="17"/>
              </w:numPr>
              <w:shd w:val="clear" w:color="auto" w:fill="auto"/>
              <w:tabs>
                <w:tab w:pos="594" w:val="left"/>
              </w:tabs>
              <w:bidi w:val="0"/>
              <w:spacing w:before="0" w:after="0" w:line="311" w:lineRule="exact"/>
              <w:ind w:left="0" w:right="0" w:firstLine="460"/>
              <w:jc w:val="both"/>
            </w:pPr>
            <w:r>
              <w:rPr>
                <w:rFonts w:ascii="SimSun" w:eastAsia="SimSun" w:hAnsi="SimSun" w:cs="SimSun"/>
                <w:b/>
                <w:bCs/>
                <w:color w:val="000000"/>
                <w:spacing w:val="0"/>
                <w:w w:val="100"/>
                <w:position w:val="0"/>
                <w:sz w:val="18"/>
                <w:szCs w:val="18"/>
              </w:rPr>
              <w:t>实际募集资金金额和资金到账时间</w:t>
            </w:r>
          </w:p>
          <w:p>
            <w:pPr>
              <w:pStyle w:val="Style22"/>
              <w:keepNext w:val="0"/>
              <w:keepLines w:val="0"/>
              <w:widowControl w:val="0"/>
              <w:shd w:val="clear" w:color="auto" w:fill="auto"/>
              <w:bidi w:val="0"/>
              <w:spacing w:before="0" w:after="0" w:line="311" w:lineRule="exact"/>
              <w:ind w:left="0" w:right="0" w:firstLine="460"/>
              <w:jc w:val="both"/>
            </w:pPr>
            <w:r>
              <w:rPr>
                <w:rFonts w:ascii="SimSun" w:eastAsia="SimSun" w:hAnsi="SimSun" w:cs="SimSun"/>
                <w:color w:val="000000"/>
                <w:spacing w:val="0"/>
                <w:w w:val="100"/>
                <w:position w:val="0"/>
              </w:rPr>
              <w:t>经中国证券监督管理委员会《关于核准浙江万马股份有限公司非公开发行股票的批复》（证监许可〔</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90</w:t>
            </w:r>
            <w:r>
              <w:rPr>
                <w:rFonts w:ascii="SimSun" w:eastAsia="SimSun" w:hAnsi="SimSun" w:cs="SimSun"/>
                <w:color w:val="000000"/>
                <w:spacing w:val="0"/>
                <w:w w:val="100"/>
                <w:position w:val="0"/>
              </w:rPr>
              <w:t>号文） 核准，并经深圳证券交易所同意，公司通过非公开发行方式向特定投资者发行人民币普通股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96,343,610</w:t>
            </w:r>
            <w:r>
              <w:rPr>
                <w:rFonts w:ascii="SimSun" w:eastAsia="SimSun" w:hAnsi="SimSun" w:cs="SimSun"/>
                <w:color w:val="000000"/>
                <w:spacing w:val="0"/>
                <w:w w:val="100"/>
                <w:position w:val="0"/>
              </w:rPr>
              <w:t>股， 每股发行价格</w:t>
            </w:r>
            <w:r>
              <w:rPr>
                <w:color w:val="000000"/>
                <w:spacing w:val="0"/>
                <w:w w:val="100"/>
                <w:position w:val="0"/>
              </w:rPr>
              <w:t>9.08</w:t>
            </w:r>
            <w:r>
              <w:rPr>
                <w:rFonts w:ascii="SimSun" w:eastAsia="SimSun" w:hAnsi="SimSun" w:cs="SimSun"/>
                <w:color w:val="000000"/>
                <w:spacing w:val="0"/>
                <w:w w:val="100"/>
                <w:position w:val="0"/>
              </w:rPr>
              <w:t>元，募集资金总额人民币</w:t>
            </w:r>
            <w:r>
              <w:rPr>
                <w:color w:val="000000"/>
                <w:spacing w:val="0"/>
                <w:w w:val="100"/>
                <w:position w:val="0"/>
              </w:rPr>
              <w:t>874,799,978.80</w:t>
            </w:r>
            <w:r>
              <w:rPr>
                <w:rFonts w:ascii="SimSun" w:eastAsia="SimSun" w:hAnsi="SimSun" w:cs="SimSun"/>
                <w:color w:val="000000"/>
                <w:spacing w:val="0"/>
                <w:w w:val="100"/>
                <w:position w:val="0"/>
              </w:rPr>
              <w:t>元，扣除发行费用</w:t>
            </w:r>
            <w:r>
              <w:rPr>
                <w:color w:val="000000"/>
                <w:spacing w:val="0"/>
                <w:w w:val="100"/>
                <w:position w:val="0"/>
              </w:rPr>
              <w:t>15,177,964.95</w:t>
            </w:r>
            <w:r>
              <w:rPr>
                <w:rFonts w:ascii="SimSun" w:eastAsia="SimSun" w:hAnsi="SimSun" w:cs="SimSun"/>
                <w:color w:val="000000"/>
                <w:spacing w:val="0"/>
                <w:w w:val="100"/>
                <w:position w:val="0"/>
              </w:rPr>
              <w:t xml:space="preserve">元后，募集资金净额为 </w:t>
            </w:r>
            <w:r>
              <w:rPr>
                <w:color w:val="000000"/>
                <w:spacing w:val="0"/>
                <w:w w:val="100"/>
                <w:position w:val="0"/>
              </w:rPr>
              <w:t>859,622,013.85</w:t>
            </w:r>
            <w:r>
              <w:rPr>
                <w:rFonts w:ascii="SimSun" w:eastAsia="SimSun" w:hAnsi="SimSun" w:cs="SimSun"/>
                <w:color w:val="000000"/>
                <w:spacing w:val="0"/>
                <w:w w:val="100"/>
                <w:position w:val="0"/>
              </w:rPr>
              <w:t>元。上述资金已于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日全部到位，并业经信永中和会计师事务所（特殊普通合伙）</w:t>
            </w:r>
            <w:r>
              <w:rPr>
                <w:color w:val="000000"/>
                <w:spacing w:val="0"/>
                <w:w w:val="100"/>
                <w:position w:val="0"/>
              </w:rPr>
              <w:t>2017</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 xml:space="preserve">日 </w:t>
            </w:r>
            <w:r>
              <w:rPr>
                <w:rFonts w:ascii="SimSun" w:eastAsia="SimSun" w:hAnsi="SimSun" w:cs="SimSun"/>
                <w:color w:val="000000"/>
                <w:spacing w:val="0"/>
                <w:w w:val="100"/>
                <w:position w:val="0"/>
              </w:rPr>
              <w:t>“</w:t>
            </w:r>
            <w:r>
              <w:rPr>
                <w:color w:val="000000"/>
                <w:spacing w:val="0"/>
                <w:w w:val="100"/>
                <w:position w:val="0"/>
              </w:rPr>
              <w:t>XYZH/2017SHA10222</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号报告审验。</w:t>
            </w:r>
          </w:p>
          <w:p>
            <w:pPr>
              <w:pStyle w:val="Style22"/>
              <w:keepNext w:val="0"/>
              <w:keepLines w:val="0"/>
              <w:widowControl w:val="0"/>
              <w:numPr>
                <w:ilvl w:val="0"/>
                <w:numId w:val="17"/>
              </w:numPr>
              <w:shd w:val="clear" w:color="auto" w:fill="auto"/>
              <w:tabs>
                <w:tab w:pos="604" w:val="left"/>
              </w:tabs>
              <w:bidi w:val="0"/>
              <w:spacing w:before="0" w:after="0" w:line="311" w:lineRule="exact"/>
              <w:ind w:left="0" w:right="0" w:firstLine="460"/>
              <w:jc w:val="both"/>
            </w:pPr>
            <w:r>
              <w:rPr>
                <w:rFonts w:ascii="SimSun" w:eastAsia="SimSun" w:hAnsi="SimSun" w:cs="SimSun"/>
                <w:b/>
                <w:bCs/>
                <w:color w:val="000000"/>
                <w:spacing w:val="0"/>
                <w:w w:val="100"/>
                <w:position w:val="0"/>
                <w:sz w:val="18"/>
                <w:szCs w:val="18"/>
              </w:rPr>
              <w:t>募集资金使用和结余情况</w:t>
            </w:r>
          </w:p>
          <w:p>
            <w:pPr>
              <w:pStyle w:val="Style22"/>
              <w:keepNext w:val="0"/>
              <w:keepLines w:val="0"/>
              <w:widowControl w:val="0"/>
              <w:shd w:val="clear" w:color="auto" w:fill="auto"/>
              <w:bidi w:val="0"/>
              <w:spacing w:before="0" w:after="0" w:line="311" w:lineRule="exact"/>
              <w:ind w:left="0" w:right="0" w:firstLine="460"/>
              <w:jc w:val="left"/>
            </w:pPr>
            <w:r>
              <w:rPr>
                <w:color w:val="000000"/>
                <w:spacing w:val="0"/>
                <w:w w:val="100"/>
                <w:position w:val="0"/>
              </w:rPr>
              <w:t>2020</w:t>
            </w:r>
            <w:r>
              <w:rPr>
                <w:rFonts w:ascii="SimSun" w:eastAsia="SimSun" w:hAnsi="SimSun" w:cs="SimSun"/>
                <w:color w:val="000000"/>
                <w:spacing w:val="0"/>
                <w:w w:val="100"/>
                <w:position w:val="0"/>
              </w:rPr>
              <w:t>年度本公司实际使用募集资金</w:t>
            </w:r>
            <w:r>
              <w:rPr>
                <w:color w:val="000000"/>
                <w:spacing w:val="0"/>
                <w:w w:val="100"/>
                <w:position w:val="0"/>
              </w:rPr>
              <w:t xml:space="preserve">163,141,199.29 </w:t>
            </w:r>
            <w:r>
              <w:rPr>
                <w:rFonts w:ascii="SimSun" w:eastAsia="SimSun" w:hAnsi="SimSun" w:cs="SimSun"/>
                <w:color w:val="000000"/>
                <w:spacing w:val="0"/>
                <w:w w:val="100"/>
                <w:position w:val="0"/>
              </w:rPr>
              <w:t xml:space="preserve">元, </w:t>
            </w:r>
            <w:r>
              <w:rPr>
                <w:color w:val="000000"/>
                <w:spacing w:val="0"/>
                <w:w w:val="100"/>
                <w:position w:val="0"/>
              </w:rPr>
              <w:t>2020</w:t>
            </w:r>
            <w:r>
              <w:rPr>
                <w:rFonts w:ascii="SimSun" w:eastAsia="SimSun" w:hAnsi="SimSun" w:cs="SimSun"/>
                <w:color w:val="000000"/>
                <w:spacing w:val="0"/>
                <w:w w:val="100"/>
                <w:position w:val="0"/>
              </w:rPr>
              <w:t xml:space="preserve">年度收到银行存款利息扣除银行手续费等净额为 </w:t>
            </w:r>
            <w:r>
              <w:rPr>
                <w:color w:val="000000"/>
                <w:spacing w:val="0"/>
                <w:w w:val="100"/>
                <w:position w:val="0"/>
              </w:rPr>
              <w:t>103,513.98</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年度使用募集资金滚动购买理财产品支出总计为</w:t>
            </w:r>
            <w:r>
              <w:rPr>
                <w:color w:val="000000"/>
                <w:spacing w:val="0"/>
                <w:w w:val="100"/>
                <w:position w:val="0"/>
              </w:rPr>
              <w:t>3.20</w:t>
            </w:r>
            <w:r>
              <w:rPr>
                <w:rFonts w:ascii="SimSun" w:eastAsia="SimSun" w:hAnsi="SimSun" w:cs="SimSun"/>
                <w:color w:val="000000"/>
                <w:spacing w:val="0"/>
                <w:w w:val="100"/>
                <w:position w:val="0"/>
              </w:rPr>
              <w:t>亿元，赎回理财本金</w:t>
            </w:r>
            <w:r>
              <w:rPr>
                <w:color w:val="000000"/>
                <w:spacing w:val="0"/>
                <w:w w:val="100"/>
                <w:position w:val="0"/>
              </w:rPr>
              <w:t>3.60</w:t>
            </w:r>
            <w:r>
              <w:rPr>
                <w:rFonts w:ascii="SimSun" w:eastAsia="SimSun" w:hAnsi="SimSun" w:cs="SimSun"/>
                <w:color w:val="000000"/>
                <w:spacing w:val="0"/>
                <w:w w:val="100"/>
                <w:position w:val="0"/>
              </w:rPr>
              <w:t>亿元，取得理财收 益</w:t>
            </w:r>
            <w:r>
              <w:rPr>
                <w:color w:val="000000"/>
                <w:spacing w:val="0"/>
                <w:w w:val="100"/>
                <w:position w:val="0"/>
              </w:rPr>
              <w:t>2,008,058.61</w:t>
            </w:r>
            <w:r>
              <w:rPr>
                <w:rFonts w:ascii="SimSun" w:eastAsia="SimSun" w:hAnsi="SimSun" w:cs="SimSun"/>
                <w:color w:val="000000"/>
                <w:spacing w:val="0"/>
                <w:w w:val="100"/>
                <w:position w:val="0"/>
              </w:rPr>
              <w:t>元，理财产品尚未到期金额为</w:t>
            </w:r>
            <w:r>
              <w:rPr>
                <w:color w:val="000000"/>
                <w:spacing w:val="0"/>
                <w:w w:val="100"/>
                <w:position w:val="0"/>
              </w:rPr>
              <w:t>6,500</w:t>
            </w:r>
            <w:r>
              <w:rPr>
                <w:rFonts w:ascii="SimSun" w:eastAsia="SimSun" w:hAnsi="SimSun" w:cs="SimSun"/>
                <w:color w:val="000000"/>
                <w:spacing w:val="0"/>
                <w:w w:val="100"/>
                <w:position w:val="0"/>
              </w:rPr>
              <w:t>万元。</w:t>
            </w:r>
          </w:p>
          <w:p>
            <w:pPr>
              <w:pStyle w:val="Style22"/>
              <w:keepNext w:val="0"/>
              <w:keepLines w:val="0"/>
              <w:widowControl w:val="0"/>
              <w:shd w:val="clear" w:color="auto" w:fill="auto"/>
              <w:bidi w:val="0"/>
              <w:spacing w:before="0" w:after="0" w:line="311" w:lineRule="exact"/>
              <w:ind w:left="0" w:right="0" w:firstLine="46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日，本公司募集资金余额为</w:t>
            </w:r>
            <w:r>
              <w:rPr>
                <w:color w:val="000000"/>
                <w:spacing w:val="0"/>
                <w:w w:val="100"/>
                <w:position w:val="0"/>
              </w:rPr>
              <w:t>12,179.02</w:t>
            </w:r>
            <w:r>
              <w:rPr>
                <w:rFonts w:ascii="SimSun" w:eastAsia="SimSun" w:hAnsi="SimSun" w:cs="SimSun"/>
                <w:color w:val="000000"/>
                <w:spacing w:val="0"/>
                <w:w w:val="100"/>
                <w:position w:val="0"/>
              </w:rPr>
              <w:t>万元（包括累计收到的银行存款利息扣除银行手续费 等的净额），其中银行存款</w:t>
            </w:r>
            <w:r>
              <w:rPr>
                <w:color w:val="000000"/>
                <w:spacing w:val="0"/>
                <w:w w:val="100"/>
                <w:position w:val="0"/>
              </w:rPr>
              <w:t>679.02</w:t>
            </w:r>
            <w:r>
              <w:rPr>
                <w:rFonts w:ascii="SimSun" w:eastAsia="SimSun" w:hAnsi="SimSun" w:cs="SimSun"/>
                <w:color w:val="000000"/>
                <w:spacing w:val="0"/>
                <w:w w:val="100"/>
                <w:position w:val="0"/>
              </w:rPr>
              <w:t>万元，银行理财产品</w:t>
            </w:r>
            <w:r>
              <w:rPr>
                <w:color w:val="000000"/>
                <w:spacing w:val="0"/>
                <w:w w:val="100"/>
                <w:position w:val="0"/>
              </w:rPr>
              <w:t>6,500.00</w:t>
            </w:r>
            <w:r>
              <w:rPr>
                <w:rFonts w:ascii="SimSun" w:eastAsia="SimSun" w:hAnsi="SimSun" w:cs="SimSun"/>
                <w:color w:val="000000"/>
                <w:spacing w:val="0"/>
                <w:w w:val="100"/>
                <w:position w:val="0"/>
              </w:rPr>
              <w:t>万元，暂时补充流动资金</w:t>
            </w:r>
            <w:r>
              <w:rPr>
                <w:color w:val="000000"/>
                <w:spacing w:val="0"/>
                <w:w w:val="100"/>
                <w:position w:val="0"/>
              </w:rPr>
              <w:t>5,000.00</w:t>
            </w:r>
            <w:r>
              <w:rPr>
                <w:rFonts w:ascii="SimSun" w:eastAsia="SimSun" w:hAnsi="SimSun" w:cs="SimSun"/>
                <w:color w:val="000000"/>
                <w:spacing w:val="0"/>
                <w:w w:val="100"/>
                <w:position w:val="0"/>
              </w:rPr>
              <w:t>万元。</w:t>
            </w:r>
          </w:p>
        </w:tc>
      </w:tr>
    </w:tbl>
    <w:p>
      <w:pPr>
        <w:widowControl w:val="0"/>
        <w:spacing w:after="299" w:line="1" w:lineRule="exact"/>
      </w:pPr>
    </w:p>
    <w:p>
      <w:pPr>
        <w:pStyle w:val="Style59"/>
        <w:keepNext/>
        <w:keepLines/>
        <w:widowControl w:val="0"/>
        <w:shd w:val="clear" w:color="auto" w:fill="auto"/>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9"/>
      <w:bookmarkEnd w:id="220"/>
      <w:bookmarkEnd w:id="222"/>
    </w:p>
    <w:p>
      <w:pPr>
        <w:pStyle w:val="Style31"/>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579"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承诺投资项目和超 募资金投向</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w:t>
            </w:r>
          </w:p>
          <w:p>
            <w:pPr>
              <w:pStyle w:val="Style2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募集资 金承诺 投资总 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调整后 投资总 额⑴</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截至期 末累计 投入金 额</w:t>
            </w:r>
            <w:r>
              <w:rPr>
                <w:color w:val="000000"/>
                <w:spacing w:val="0"/>
                <w:w w:val="100"/>
                <w:position w:val="0"/>
              </w:rPr>
              <w:t>（2）</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80" w:line="319" w:lineRule="exact"/>
              <w:ind w:left="0" w:right="0" w:firstLine="0"/>
              <w:jc w:val="center"/>
            </w:pPr>
            <w:r>
              <w:rPr>
                <w:rFonts w:ascii="SimSun" w:eastAsia="SimSun" w:hAnsi="SimSun" w:cs="SimSun"/>
                <w:color w:val="000000"/>
                <w:spacing w:val="0"/>
                <w:w w:val="100"/>
                <w:position w:val="0"/>
              </w:rPr>
              <w:t>截至期 末投资 进度</w:t>
            </w:r>
          </w:p>
          <w:p>
            <w:pPr>
              <w:pStyle w:val="Style22"/>
              <w:keepNext w:val="0"/>
              <w:keepLines w:val="0"/>
              <w:widowControl w:val="0"/>
              <w:shd w:val="clear" w:color="auto" w:fill="auto"/>
              <w:bidi w:val="0"/>
              <w:spacing w:before="0" w:after="0" w:line="360" w:lineRule="auto"/>
              <w:ind w:left="0" w:right="0" w:firstLine="180"/>
              <w:jc w:val="left"/>
            </w:pPr>
            <w:r>
              <w:rPr>
                <w:color w:val="000000"/>
                <w:spacing w:val="0"/>
                <w:w w:val="100"/>
                <w:position w:val="0"/>
              </w:rPr>
              <w:t>（3）</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（2）/（1）</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项目可 行性是 否发生 重大变</w:t>
            </w:r>
          </w:p>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化</w:t>
            </w:r>
          </w:p>
        </w:tc>
      </w:tr>
      <w:tr>
        <w:trPr>
          <w:trHeight w:val="322" w:hRule="exact"/>
        </w:trPr>
        <w:tc>
          <w:tcPr>
            <w:gridSpan w:val="11"/>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I-ChargeNet </w:t>
            </w:r>
            <w:r>
              <w:rPr>
                <w:rFonts w:ascii="SimSun" w:eastAsia="SimSun" w:hAnsi="SimSun" w:cs="SimSun"/>
                <w:color w:val="000000"/>
                <w:spacing w:val="0"/>
                <w:w w:val="100"/>
                <w:position w:val="0"/>
              </w:rPr>
              <w:t>智能充 电网络建设项目（一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56,162.</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6,314.1</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45,842.</w:t>
            </w:r>
          </w:p>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年产</w:t>
            </w:r>
            <w:r>
              <w:rPr>
                <w:color w:val="000000"/>
                <w:spacing w:val="0"/>
                <w:w w:val="100"/>
                <w:position w:val="0"/>
              </w:rPr>
              <w:t>56,000</w:t>
            </w:r>
            <w:r>
              <w:rPr>
                <w:rFonts w:ascii="SimSun" w:eastAsia="SimSun" w:hAnsi="SimSun" w:cs="SimSun"/>
                <w:color w:val="000000"/>
                <w:spacing w:val="0"/>
                <w:w w:val="100"/>
                <w:position w:val="0"/>
              </w:rPr>
              <w:t>吨新型 环保高分子材料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9,934.8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125,80</w:t>
            </w:r>
          </w:p>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85,962.</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75,777.</w:t>
            </w:r>
          </w:p>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22.67%</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11"/>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85,962.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75,777.</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22.67%</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76"/>
        <w:gridCol w:w="7805"/>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tabs>
                <w:tab w:pos="2133" w:val="left"/>
                <w:tab w:pos="2838" w:val="left"/>
                <w:tab w:pos="3606" w:val="left"/>
              </w:tabs>
              <w:bidi w:val="0"/>
              <w:spacing w:before="0" w:after="0" w:line="240" w:lineRule="auto"/>
              <w:ind w:left="1360" w:right="0" w:firstLine="0"/>
              <w:jc w:val="left"/>
            </w:pPr>
            <w:r>
              <w:rPr>
                <w:color w:val="000000"/>
                <w:spacing w:val="0"/>
                <w:w w:val="100"/>
                <w:position w:val="0"/>
              </w:rPr>
              <w:t>0</w:t>
              <w:tab/>
              <w:t>2</w:t>
              <w:tab/>
              <w:t>12</w:t>
              <w:tab/>
              <w:t>66</w:t>
            </w: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22"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 途及使用进展情况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22"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募集资金投资项目 实施地点变更情况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322"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以前年度发生</w:t>
            </w:r>
          </w:p>
        </w:tc>
      </w:tr>
      <w:tr>
        <w:trPr>
          <w:trHeight w:val="125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日，本公司第四届董事会第十七次会议和第四届监事会第十次会议审议通过了《关 于扩大</w:t>
            </w:r>
            <w:r>
              <w:rPr>
                <w:rFonts w:ascii="SimSun" w:eastAsia="SimSun" w:hAnsi="SimSun" w:cs="SimSun"/>
                <w:color w:val="000000"/>
                <w:spacing w:val="0"/>
                <w:w w:val="100"/>
                <w:position w:val="0"/>
              </w:rPr>
              <w:t>“</w:t>
            </w:r>
            <w:r>
              <w:rPr>
                <w:color w:val="000000"/>
                <w:spacing w:val="0"/>
                <w:w w:val="100"/>
                <w:position w:val="0"/>
              </w:rPr>
              <w:t>I-ChargeNet</w:t>
            </w:r>
            <w:r>
              <w:rPr>
                <w:rFonts w:ascii="SimSun" w:eastAsia="SimSun" w:hAnsi="SimSun" w:cs="SimSun"/>
                <w:color w:val="000000"/>
                <w:spacing w:val="0"/>
                <w:w w:val="100"/>
                <w:position w:val="0"/>
              </w:rPr>
              <w:t>智能充电网络”募投项目实施范围等的议案》，同意扩大</w:t>
            </w:r>
            <w:r>
              <w:rPr>
                <w:rFonts w:ascii="SimSun" w:eastAsia="SimSun" w:hAnsi="SimSun" w:cs="SimSun"/>
                <w:color w:val="000000"/>
                <w:spacing w:val="0"/>
                <w:w w:val="100"/>
                <w:position w:val="0"/>
              </w:rPr>
              <w:t>“</w:t>
            </w:r>
            <w:r>
              <w:rPr>
                <w:color w:val="000000"/>
                <w:spacing w:val="0"/>
                <w:w w:val="100"/>
                <w:position w:val="0"/>
              </w:rPr>
              <w:t>I-ChargeNet</w:t>
            </w:r>
            <w:r>
              <w:rPr>
                <w:rFonts w:ascii="SimSun" w:eastAsia="SimSun" w:hAnsi="SimSun" w:cs="SimSun"/>
                <w:color w:val="000000"/>
                <w:spacing w:val="0"/>
                <w:w w:val="100"/>
                <w:position w:val="0"/>
              </w:rPr>
              <w:t>智 能充电网络项目”募投项目实施范围，在原杭州、宁波、湖州等地的基础上扩大至全国各地主要 城市</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形成基本覆盖主要新能源试点城市的全国性的</w:t>
            </w:r>
            <w:r>
              <w:rPr>
                <w:color w:val="000000"/>
                <w:spacing w:val="0"/>
                <w:w w:val="100"/>
                <w:position w:val="0"/>
              </w:rPr>
              <w:t>I-ChargeNet</w:t>
            </w:r>
            <w:r>
              <w:rPr>
                <w:rFonts w:ascii="SimSun" w:eastAsia="SimSun" w:hAnsi="SimSun" w:cs="SimSun"/>
                <w:color w:val="000000"/>
                <w:spacing w:val="0"/>
                <w:w w:val="100"/>
                <w:position w:val="0"/>
              </w:rPr>
              <w:t>智能充电网络。</w:t>
            </w:r>
          </w:p>
        </w:tc>
      </w:tr>
      <w:tr>
        <w:trPr>
          <w:trHeight w:val="322"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募集资金投资项目 实施方式调整情况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322"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以前年度发生</w:t>
            </w:r>
          </w:p>
        </w:tc>
      </w:tr>
      <w:tr>
        <w:trPr>
          <w:trHeight w:val="157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日，本公司召开第四届董事会第十七次会议审议通过《关于扩大</w:t>
            </w:r>
            <w:r>
              <w:rPr>
                <w:rFonts w:ascii="SimSun" w:eastAsia="SimSun" w:hAnsi="SimSun" w:cs="SimSun"/>
                <w:color w:val="000000"/>
                <w:spacing w:val="0"/>
                <w:w w:val="100"/>
                <w:position w:val="0"/>
              </w:rPr>
              <w:t>“</w:t>
            </w:r>
            <w:r>
              <w:rPr>
                <w:color w:val="000000"/>
                <w:spacing w:val="0"/>
                <w:w w:val="100"/>
                <w:position w:val="0"/>
              </w:rPr>
              <w:t xml:space="preserve">I-ChargeNet </w:t>
            </w:r>
            <w:r>
              <w:rPr>
                <w:rFonts w:ascii="SimSun" w:eastAsia="SimSun" w:hAnsi="SimSun" w:cs="SimSun"/>
                <w:color w:val="000000"/>
                <w:spacing w:val="0"/>
                <w:w w:val="100"/>
                <w:position w:val="0"/>
              </w:rPr>
              <w:t>智能充电网络”募投项目实施范围等的议案》。根据电动车技术发展情况及趋势以及客户使用偏 好，由原来的慢充为主、快充为辅调整为快充为主，慢充为辅的产品使用方向。实施主体由原来 的爱充网络调整为控股子公司新能源投资公司，该调整是基于公司目前实际均以新能源投资公司 及其下属各地方城市公司为全国快充网络建设的投资主体。</w:t>
            </w:r>
          </w:p>
        </w:tc>
      </w:tr>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57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日，本公司第四届董事会第十一次会议和第四届监事会第六次会议审议通过了《关 于用募集资金置换先期投入的议案》，同意以募集资金置换以自筹资金预先投入募集资金投资项 目款项共计人民币</w:t>
            </w:r>
            <w:r>
              <w:rPr>
                <w:color w:val="000000"/>
                <w:spacing w:val="0"/>
                <w:w w:val="100"/>
                <w:position w:val="0"/>
              </w:rPr>
              <w:t>3,470.60</w:t>
            </w:r>
            <w:r>
              <w:rPr>
                <w:rFonts w:ascii="SimSun" w:eastAsia="SimSun" w:hAnsi="SimSun" w:cs="SimSun"/>
                <w:color w:val="000000"/>
                <w:spacing w:val="0"/>
                <w:w w:val="100"/>
                <w:position w:val="0"/>
              </w:rPr>
              <w:t xml:space="preserve">万元。信永中和会计师事务所（特殊普通合伙）对公司募集资金投资 项目实际使用自筹资金情况进行了专项鉴证，并出具了 </w:t>
            </w:r>
            <w:r>
              <w:rPr>
                <w:color w:val="000000"/>
                <w:spacing w:val="0"/>
                <w:w w:val="100"/>
                <w:position w:val="0"/>
              </w:rPr>
              <w:t>XYZH/2017SHA10234</w:t>
            </w:r>
            <w:r>
              <w:rPr>
                <w:rFonts w:ascii="SimSun" w:eastAsia="SimSun" w:hAnsi="SimSun" w:cs="SimSun"/>
                <w:color w:val="000000"/>
                <w:spacing w:val="0"/>
                <w:w w:val="100"/>
                <w:position w:val="0"/>
              </w:rPr>
              <w:t xml:space="preserve">号鉴证报告。截止 </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日，本公司已完成全部</w:t>
            </w:r>
            <w:r>
              <w:rPr>
                <w:color w:val="000000"/>
                <w:spacing w:val="0"/>
                <w:w w:val="100"/>
                <w:position w:val="0"/>
              </w:rPr>
              <w:t>3,470.60</w:t>
            </w:r>
            <w:r>
              <w:rPr>
                <w:rFonts w:ascii="SimSun" w:eastAsia="SimSun" w:hAnsi="SimSun" w:cs="SimSun"/>
                <w:color w:val="000000"/>
                <w:spacing w:val="0"/>
                <w:w w:val="100"/>
                <w:position w:val="0"/>
              </w:rPr>
              <w:t>万元预先投入募集资金投资项目自筹资金的置换。</w:t>
            </w:r>
          </w:p>
        </w:tc>
      </w:tr>
      <w:tr>
        <w:trPr>
          <w:trHeight w:val="322"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4690"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1.2017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日，本公司第四届董事会第十一次会议和第四届监事会第六次会议审议通过了《关 于使用部分暂时闲置募集资金暂时补充流动资金的议案》，同意公司使用人民币不超过</w:t>
            </w:r>
            <w:r>
              <w:rPr>
                <w:color w:val="000000"/>
                <w:spacing w:val="0"/>
                <w:w w:val="100"/>
                <w:position w:val="0"/>
              </w:rPr>
              <w:t>30,000</w:t>
            </w:r>
            <w:r>
              <w:rPr>
                <w:rFonts w:ascii="SimSun" w:eastAsia="SimSun" w:hAnsi="SimSun" w:cs="SimSun"/>
                <w:color w:val="000000"/>
                <w:spacing w:val="0"/>
                <w:w w:val="100"/>
                <w:position w:val="0"/>
              </w:rPr>
              <w:t>万 元的闲置募集资金暂时补充流动资金，截止</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日，已累计支付</w:t>
            </w:r>
            <w:r>
              <w:rPr>
                <w:color w:val="000000"/>
                <w:spacing w:val="0"/>
                <w:w w:val="100"/>
                <w:position w:val="0"/>
              </w:rPr>
              <w:t>30,000</w:t>
            </w:r>
            <w:r>
              <w:rPr>
                <w:rFonts w:ascii="SimSun" w:eastAsia="SimSun" w:hAnsi="SimSun" w:cs="SimSun"/>
                <w:color w:val="000000"/>
                <w:spacing w:val="0"/>
                <w:w w:val="100"/>
                <w:position w:val="0"/>
              </w:rPr>
              <w:t>万元。</w:t>
            </w: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日，本公司已将上述</w:t>
            </w:r>
            <w:r>
              <w:rPr>
                <w:color w:val="000000"/>
                <w:spacing w:val="0"/>
                <w:w w:val="100"/>
                <w:position w:val="0"/>
              </w:rPr>
              <w:t>30,000</w:t>
            </w:r>
            <w:r>
              <w:rPr>
                <w:rFonts w:ascii="SimSun" w:eastAsia="SimSun" w:hAnsi="SimSun" w:cs="SimSun"/>
                <w:color w:val="000000"/>
                <w:spacing w:val="0"/>
                <w:w w:val="100"/>
                <w:position w:val="0"/>
              </w:rPr>
              <w:t>万元资金全部归还至募集资金专用账户。</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2.2018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日，本公司第四届董事会第二十三次会议审议通过了《关于使用部分闲置募集资 金暂时补充流动资金的议案》，同意公司使用闲置募集资金人民币</w:t>
            </w:r>
            <w:r>
              <w:rPr>
                <w:color w:val="000000"/>
                <w:spacing w:val="0"/>
                <w:w w:val="100"/>
                <w:position w:val="0"/>
              </w:rPr>
              <w:t>20,000</w:t>
            </w:r>
            <w:r>
              <w:rPr>
                <w:rFonts w:ascii="SimSun" w:eastAsia="SimSun" w:hAnsi="SimSun" w:cs="SimSun"/>
                <w:color w:val="000000"/>
                <w:spacing w:val="0"/>
                <w:w w:val="100"/>
                <w:position w:val="0"/>
              </w:rPr>
              <w:t>万元暂时补充流动资金， 使用期限自董事会审议批准之日起不超过</w:t>
            </w:r>
            <w:r>
              <w:rPr>
                <w:color w:val="000000"/>
                <w:spacing w:val="0"/>
                <w:w w:val="100"/>
                <w:position w:val="0"/>
              </w:rPr>
              <w:t>12</w:t>
            </w:r>
            <w:r>
              <w:rPr>
                <w:rFonts w:ascii="SimSun" w:eastAsia="SimSun" w:hAnsi="SimSun" w:cs="SimSun"/>
                <w:color w:val="000000"/>
                <w:spacing w:val="0"/>
                <w:w w:val="100"/>
                <w:position w:val="0"/>
              </w:rPr>
              <w:t>个月，截止</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日，已累计支付</w:t>
            </w:r>
            <w:r>
              <w:rPr>
                <w:color w:val="000000"/>
                <w:spacing w:val="0"/>
                <w:w w:val="100"/>
                <w:position w:val="0"/>
              </w:rPr>
              <w:t xml:space="preserve">20,000 </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日，本公司已将上述</w:t>
            </w:r>
            <w:r>
              <w:rPr>
                <w:color w:val="000000"/>
                <w:spacing w:val="0"/>
                <w:w w:val="100"/>
                <w:position w:val="0"/>
              </w:rPr>
              <w:t>20,000</w:t>
            </w:r>
            <w:r>
              <w:rPr>
                <w:rFonts w:ascii="SimSun" w:eastAsia="SimSun" w:hAnsi="SimSun" w:cs="SimSun"/>
                <w:color w:val="000000"/>
                <w:spacing w:val="0"/>
                <w:w w:val="100"/>
                <w:position w:val="0"/>
              </w:rPr>
              <w:t>万元资金全部归还至募集资金专用账户。</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3.2019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日，本公司第四届董事会第三十一次会议及第四届监事会第十九次会议审议通过 《关于使用部分闲置募集资金暂时补充流动资金的议案》，同意公司使用闲置募集资金人民币</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15,000</w:t>
            </w:r>
            <w:r>
              <w:rPr>
                <w:rFonts w:ascii="SimSun" w:eastAsia="SimSun" w:hAnsi="SimSun" w:cs="SimSun"/>
                <w:color w:val="000000"/>
                <w:spacing w:val="0"/>
                <w:w w:val="100"/>
                <w:position w:val="0"/>
              </w:rPr>
              <w:t>万元暂时补充流动资金，使用期限自董事会审议批准之日起不超过</w:t>
            </w:r>
            <w:r>
              <w:rPr>
                <w:color w:val="000000"/>
                <w:spacing w:val="0"/>
                <w:w w:val="100"/>
                <w:position w:val="0"/>
              </w:rPr>
              <w:t>12</w:t>
            </w:r>
            <w:r>
              <w:rPr>
                <w:rFonts w:ascii="SimSun" w:eastAsia="SimSun" w:hAnsi="SimSun" w:cs="SimSun"/>
                <w:color w:val="000000"/>
                <w:spacing w:val="0"/>
                <w:w w:val="100"/>
                <w:position w:val="0"/>
              </w:rPr>
              <w:t>个月，截止</w:t>
            </w:r>
            <w:r>
              <w:rPr>
                <w:color w:val="000000"/>
                <w:spacing w:val="0"/>
                <w:w w:val="100"/>
                <w:position w:val="0"/>
              </w:rPr>
              <w:t>2019</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日已累计支付</w:t>
            </w:r>
            <w:r>
              <w:rPr>
                <w:color w:val="000000"/>
                <w:spacing w:val="0"/>
                <w:w w:val="100"/>
                <w:position w:val="0"/>
              </w:rPr>
              <w:t>15,000</w:t>
            </w:r>
            <w:r>
              <w:rPr>
                <w:rFonts w:ascii="SimSun" w:eastAsia="SimSun" w:hAnsi="SimSun" w:cs="SimSun"/>
                <w:color w:val="000000"/>
                <w:spacing w:val="0"/>
                <w:w w:val="100"/>
                <w:position w:val="0"/>
              </w:rPr>
              <w:t>万元。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日，本公司已将上述</w:t>
            </w:r>
            <w:r>
              <w:rPr>
                <w:color w:val="000000"/>
                <w:spacing w:val="0"/>
                <w:w w:val="100"/>
                <w:position w:val="0"/>
              </w:rPr>
              <w:t>15,000</w:t>
            </w:r>
            <w:r>
              <w:rPr>
                <w:rFonts w:ascii="SimSun" w:eastAsia="SimSun" w:hAnsi="SimSun" w:cs="SimSun"/>
                <w:color w:val="000000"/>
                <w:spacing w:val="0"/>
                <w:w w:val="100"/>
                <w:position w:val="0"/>
              </w:rPr>
              <w:t>万元资金全部归 还至募集资金专用账户。</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4.2020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日，公司第五届董事会第六次会议、第五届监事会第五次会议，审议通过《关于 使用部分闲置募集资金暂时补充流动资金的议案》，为提高募集资金使用效率，降低公司财务成</w:t>
            </w:r>
          </w:p>
        </w:tc>
      </w:tr>
    </w:tbl>
    <w:p>
      <w:pPr>
        <w:spacing w:lineRule="exact" w:line="1"/>
        <w:rPr>
          <w:sz w:val="2"/>
          <w:szCs w:val="2"/>
        </w:rPr>
      </w:pPr>
      <w:r>
        <w:br w:type="page"/>
      </w:r>
    </w:p>
    <w:tbl>
      <w:tblPr>
        <w:tblOverlap w:val="never"/>
        <w:jc w:val="center"/>
        <w:tblLayout w:type="fixed"/>
      </w:tblPr>
      <w:tblGrid>
        <w:gridCol w:w="1776"/>
        <w:gridCol w:w="7805"/>
      </w:tblGrid>
      <w:tr>
        <w:trPr>
          <w:trHeight w:val="126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本，在保证募集资金投资项目建设资金需求的前提下，根据相关法律法规和公司有关规定，公司 拟使用闲置募集资金人民币</w:t>
            </w:r>
            <w:r>
              <w:rPr>
                <w:color w:val="000000"/>
                <w:spacing w:val="0"/>
                <w:w w:val="100"/>
                <w:position w:val="0"/>
              </w:rPr>
              <w:t>5,000</w:t>
            </w:r>
            <w:r>
              <w:rPr>
                <w:rFonts w:ascii="SimSun" w:eastAsia="SimSun" w:hAnsi="SimSun" w:cs="SimSun"/>
                <w:color w:val="000000"/>
                <w:spacing w:val="0"/>
                <w:w w:val="100"/>
                <w:position w:val="0"/>
              </w:rPr>
              <w:t>万元暂时补充流动资金，用于公司主营业务相关的生产经营， 使用期限自董事会审议批准之日起不超过</w:t>
            </w:r>
            <w:r>
              <w:rPr>
                <w:color w:val="000000"/>
                <w:spacing w:val="0"/>
                <w:w w:val="100"/>
                <w:position w:val="0"/>
              </w:rPr>
              <w:t>12</w:t>
            </w:r>
            <w:r>
              <w:rPr>
                <w:rFonts w:ascii="SimSun" w:eastAsia="SimSun" w:hAnsi="SimSun" w:cs="SimSun"/>
                <w:color w:val="000000"/>
                <w:spacing w:val="0"/>
                <w:w w:val="100"/>
                <w:position w:val="0"/>
              </w:rPr>
              <w:t>个月</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本公司于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日实际使用募集资金 暂时性补充流动资金</w:t>
            </w:r>
            <w:r>
              <w:rPr>
                <w:color w:val="000000"/>
                <w:spacing w:val="0"/>
                <w:w w:val="100"/>
                <w:position w:val="0"/>
              </w:rPr>
              <w:t>5,000.00</w:t>
            </w:r>
            <w:r>
              <w:rPr>
                <w:rFonts w:ascii="SimSun" w:eastAsia="SimSun" w:hAnsi="SimSun" w:cs="SimSun"/>
                <w:color w:val="000000"/>
                <w:spacing w:val="0"/>
                <w:w w:val="100"/>
                <w:position w:val="0"/>
              </w:rPr>
              <w:t>万元。</w:t>
            </w:r>
          </w:p>
        </w:tc>
      </w:tr>
      <w:tr>
        <w:trPr>
          <w:trHeight w:val="322" w:hRule="exact"/>
        </w:trPr>
        <w:tc>
          <w:tcPr>
            <w:vMerge w:val="restart"/>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4D4D4"/>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87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尚未使用的募集资 金用途及去向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1.2017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日，公司第四届董事会第十一次会议审议通过《关于使用部分闲置募集资金进行 现金管理的议案》。为提高募集资金使用效率，在确保不影响募集资金投资项目建设和募集资金 使用的前提下，公司拟使用金额不超过人民币</w:t>
            </w:r>
            <w:r>
              <w:rPr>
                <w:color w:val="000000"/>
                <w:spacing w:val="0"/>
                <w:w w:val="100"/>
                <w:position w:val="0"/>
              </w:rPr>
              <w:t>3</w:t>
            </w:r>
            <w:r>
              <w:rPr>
                <w:rFonts w:ascii="SimSun" w:eastAsia="SimSun" w:hAnsi="SimSun" w:cs="SimSun"/>
                <w:color w:val="000000"/>
                <w:spacing w:val="0"/>
                <w:w w:val="100"/>
                <w:position w:val="0"/>
              </w:rPr>
              <w:t>亿元的闲置募集资金用于现金管理，适时购买保 本型银行理财产品。上述累计交易额度的使用期限为自公司本次董事会审议通过之日起</w:t>
            </w:r>
            <w:r>
              <w:rPr>
                <w:color w:val="000000"/>
                <w:spacing w:val="0"/>
                <w:w w:val="100"/>
                <w:position w:val="0"/>
              </w:rPr>
              <w:t>12</w:t>
            </w:r>
            <w:r>
              <w:rPr>
                <w:rFonts w:ascii="SimSun" w:eastAsia="SimSun" w:hAnsi="SimSun" w:cs="SimSun"/>
                <w:color w:val="000000"/>
                <w:spacing w:val="0"/>
                <w:w w:val="100"/>
                <w:position w:val="0"/>
              </w:rPr>
              <w:t>个月 内。在上述使用期限及累计交易额度范围内，资金可以滚动使用。</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日，公司第四届董事会第二十三次会议审议通过《关于使用部分闲置募集资金进 行现金管理的议案》。为提高募集资金使用效率，在确保不影响募集资金投资项目建设和募集资 金使用的前提下，公司拟使用在任意时点金额不超过人民币</w:t>
            </w:r>
            <w:r>
              <w:rPr>
                <w:color w:val="000000"/>
                <w:spacing w:val="0"/>
                <w:w w:val="100"/>
                <w:position w:val="0"/>
              </w:rPr>
              <w:t>2.5</w:t>
            </w:r>
            <w:r>
              <w:rPr>
                <w:rFonts w:ascii="SimSun" w:eastAsia="SimSun" w:hAnsi="SimSun" w:cs="SimSun"/>
                <w:color w:val="000000"/>
                <w:spacing w:val="0"/>
                <w:w w:val="100"/>
                <w:position w:val="0"/>
              </w:rPr>
              <w:t>亿元的闲置募集资金用于现金管 理，适时购买保本型银行理财产品。上述累计交易额度的使用期限为自公司本次董事会审议通过 之日起</w:t>
            </w:r>
            <w:r>
              <w:rPr>
                <w:color w:val="000000"/>
                <w:spacing w:val="0"/>
                <w:w w:val="100"/>
                <w:position w:val="0"/>
              </w:rPr>
              <w:t>12</w:t>
            </w:r>
            <w:r>
              <w:rPr>
                <w:rFonts w:ascii="SimSun" w:eastAsia="SimSun" w:hAnsi="SimSun" w:cs="SimSun"/>
                <w:color w:val="000000"/>
                <w:spacing w:val="0"/>
                <w:w w:val="100"/>
                <w:position w:val="0"/>
              </w:rPr>
              <w:t>个月内。在上述使用期限及累计交易额度范围内，资金可以滚动使用。</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3.2019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日，公司第四届董事会第三十一次会议审议通过《关于使用部分闲置募集资金进 行现金管理的议案》，为提高募集资金使用效率，在确保不影响募集资金投资项目建设和募集资 金使用的前提下，公司拟使用金额在任意时点不超过人民币</w:t>
            </w:r>
            <w:r>
              <w:rPr>
                <w:color w:val="000000"/>
                <w:spacing w:val="0"/>
                <w:w w:val="100"/>
                <w:position w:val="0"/>
              </w:rPr>
              <w:t>1.8</w:t>
            </w:r>
            <w:r>
              <w:rPr>
                <w:rFonts w:ascii="SimSun" w:eastAsia="SimSun" w:hAnsi="SimSun" w:cs="SimSun"/>
                <w:color w:val="000000"/>
                <w:spacing w:val="0"/>
                <w:w w:val="100"/>
                <w:position w:val="0"/>
              </w:rPr>
              <w:t>亿元的闲置募集资金用于现金管 理，适时购买保本型银行理财产品。上述累计交易额度的使用期限为自公司本次董事会审议通过 之日起</w:t>
            </w:r>
            <w:r>
              <w:rPr>
                <w:color w:val="000000"/>
                <w:spacing w:val="0"/>
                <w:w w:val="100"/>
                <w:position w:val="0"/>
              </w:rPr>
              <w:t>12</w:t>
            </w:r>
            <w:r>
              <w:rPr>
                <w:rFonts w:ascii="SimSun" w:eastAsia="SimSun" w:hAnsi="SimSun" w:cs="SimSun"/>
                <w:color w:val="000000"/>
                <w:spacing w:val="0"/>
                <w:w w:val="100"/>
                <w:position w:val="0"/>
              </w:rPr>
              <w:t>个月内。在上述使用期限及累计交易额度范围内，资金可以滚动使用。</w:t>
            </w:r>
          </w:p>
          <w:p>
            <w:pPr>
              <w:pStyle w:val="Style22"/>
              <w:keepNext w:val="0"/>
              <w:keepLines w:val="0"/>
              <w:widowControl w:val="0"/>
              <w:shd w:val="clear" w:color="auto" w:fill="auto"/>
              <w:bidi w:val="0"/>
              <w:spacing w:before="0" w:after="0" w:line="314" w:lineRule="exact"/>
              <w:ind w:left="0" w:right="0" w:firstLine="180"/>
              <w:jc w:val="both"/>
            </w:pPr>
            <w:r>
              <w:rPr>
                <w:color w:val="000000"/>
                <w:spacing w:val="0"/>
                <w:w w:val="100"/>
                <w:position w:val="0"/>
              </w:rPr>
              <w:t>4.2020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日，公司第五届董事会第六次会议、第五次监事会第五次会议审议通过了《关 于使用部分闲置募集资金进行现金管理的议案》</w:t>
            </w:r>
            <w:r>
              <w:rPr>
                <w:color w:val="000000"/>
                <w:spacing w:val="0"/>
                <w:w w:val="100"/>
                <w:position w:val="0"/>
              </w:rPr>
              <w:t xml:space="preserve">, </w:t>
            </w:r>
            <w:r>
              <w:rPr>
                <w:rFonts w:ascii="SimSun" w:eastAsia="SimSun" w:hAnsi="SimSun" w:cs="SimSun"/>
                <w:color w:val="000000"/>
                <w:spacing w:val="0"/>
                <w:w w:val="100"/>
                <w:position w:val="0"/>
              </w:rPr>
              <w:t>为提高募集资金使用效率，在确保不影响募集 资金投资项目建设和募集资金使用的前提下，公司拟使用在任意时点金额不超过人民币</w:t>
            </w:r>
            <w:r>
              <w:rPr>
                <w:color w:val="000000"/>
                <w:spacing w:val="0"/>
                <w:w w:val="100"/>
                <w:position w:val="0"/>
              </w:rPr>
              <w:t>8,000</w:t>
            </w:r>
            <w:r>
              <w:rPr>
                <w:rFonts w:ascii="SimSun" w:eastAsia="SimSun" w:hAnsi="SimSun" w:cs="SimSun"/>
                <w:color w:val="000000"/>
                <w:spacing w:val="0"/>
                <w:w w:val="100"/>
                <w:position w:val="0"/>
              </w:rPr>
              <w:t>万 元的闲置募集资金用于现金管理，适时购买保本型银行理财产品。上述累计交易额度的使用期限 为自公司本次董事会审议通过之日起</w:t>
            </w:r>
            <w:r>
              <w:rPr>
                <w:color w:val="000000"/>
                <w:spacing w:val="0"/>
                <w:w w:val="100"/>
                <w:position w:val="0"/>
              </w:rPr>
              <w:t>12</w:t>
            </w:r>
            <w:r>
              <w:rPr>
                <w:rFonts w:ascii="SimSun" w:eastAsia="SimSun" w:hAnsi="SimSun" w:cs="SimSun"/>
                <w:color w:val="000000"/>
                <w:spacing w:val="0"/>
                <w:w w:val="100"/>
                <w:position w:val="0"/>
              </w:rPr>
              <w:t>个月内。在上述使用期限及累计交易额度范围内，资金可 以滚动使用。</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日，公司募集资金专户购买理财产品余额</w:t>
            </w:r>
            <w:r>
              <w:rPr>
                <w:color w:val="000000"/>
                <w:spacing w:val="0"/>
                <w:w w:val="100"/>
                <w:position w:val="0"/>
              </w:rPr>
              <w:t>6,500</w:t>
            </w:r>
            <w:r>
              <w:rPr>
                <w:rFonts w:ascii="SimSun" w:eastAsia="SimSun" w:hAnsi="SimSun" w:cs="SimSun"/>
                <w:color w:val="000000"/>
                <w:spacing w:val="0"/>
                <w:w w:val="100"/>
                <w:position w:val="0"/>
              </w:rPr>
              <w:t>万元。</w:t>
            </w:r>
          </w:p>
        </w:tc>
      </w:tr>
      <w:tr>
        <w:trPr>
          <w:trHeight w:val="950"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39" w:line="1" w:lineRule="exact"/>
      </w:pPr>
    </w:p>
    <w:p>
      <w:pPr>
        <w:pStyle w:val="Style59"/>
        <w:keepNext/>
        <w:keepLines/>
        <w:widowControl w:val="0"/>
        <w:numPr>
          <w:ilvl w:val="0"/>
          <w:numId w:val="19"/>
        </w:numPr>
        <w:shd w:val="clear" w:color="auto" w:fill="auto"/>
        <w:bidi w:val="0"/>
        <w:spacing w:before="0" w:after="34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募集资金变更项目情况</w:t>
      </w:r>
      <w:bookmarkEnd w:id="223"/>
      <w:bookmarkEnd w:id="224"/>
      <w:bookmarkEnd w:id="22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六</w:t>
      </w:r>
      <w:bookmarkEnd w:id="229"/>
      <w:r>
        <w:rPr>
          <w:color w:val="000000"/>
          <w:spacing w:val="0"/>
          <w:w w:val="100"/>
          <w:position w:val="0"/>
          <w:sz w:val="24"/>
          <w:szCs w:val="24"/>
        </w:rPr>
        <w:t>、重大资产和股权出售</w:t>
      </w:r>
      <w:bookmarkEnd w:id="227"/>
      <w:bookmarkEnd w:id="228"/>
      <w:bookmarkEnd w:id="230"/>
    </w:p>
    <w:p>
      <w:pPr>
        <w:pStyle w:val="Style34"/>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、出售重大资产情况</w:t>
      </w:r>
      <w:bookmarkEnd w:id="231"/>
      <w:bookmarkEnd w:id="232"/>
      <w:bookmarkEnd w:id="23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、出售重大股权情况</w:t>
      </w:r>
      <w:bookmarkEnd w:id="235"/>
      <w:bookmarkEnd w:id="236"/>
      <w:bookmarkEnd w:id="23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七</w:t>
      </w:r>
      <w:bookmarkEnd w:id="241"/>
      <w:r>
        <w:rPr>
          <w:color w:val="000000"/>
          <w:spacing w:val="0"/>
          <w:w w:val="100"/>
          <w:position w:val="0"/>
          <w:sz w:val="24"/>
          <w:szCs w:val="24"/>
        </w:rPr>
        <w:t>、主要控股参股公司分析</w:t>
      </w:r>
      <w:bookmarkEnd w:id="239"/>
      <w:bookmarkEnd w:id="240"/>
      <w:bookmarkEnd w:id="24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600"/>
        <w:gridCol w:w="1363"/>
        <w:gridCol w:w="1042"/>
        <w:gridCol w:w="1046"/>
        <w:gridCol w:w="1046"/>
        <w:gridCol w:w="1046"/>
        <w:gridCol w:w="1042"/>
        <w:gridCol w:w="1051"/>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 类型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电线电缆用绝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子材料集团有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缘料、屏蔽料、</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22390.19 </w:t>
            </w:r>
            <w:r>
              <w:rPr>
                <w:rFonts w:ascii="SimSun" w:eastAsia="SimSun" w:hAnsi="SimSun" w:cs="SimSun"/>
                <w:color w:val="000000"/>
                <w:spacing w:val="0"/>
                <w:w w:val="100"/>
                <w:position w:val="0"/>
              </w:rPr>
              <w:t>万人民币</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2,256,068,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1,231,615,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3,068,677,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203,463,90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186,850,21</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802.15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267.72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护套料等</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同轴电缆、光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通信线缆有限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缆及光电复合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21000 </w:t>
            </w:r>
            <w:r>
              <w:rPr>
                <w:rFonts w:ascii="SimSun" w:eastAsia="SimSun" w:hAnsi="SimSun" w:cs="SimSun"/>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543,061,88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350,484,75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492,151,51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16,697,727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18,310,237</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缆</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w:t>
            </w:r>
          </w:p>
        </w:tc>
      </w:tr>
      <w:tr>
        <w:trPr>
          <w:trHeight w:val="55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浙江万马集团 特种电子电缆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卫星电视用同</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轴电缆</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万人</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514,171,25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425,089,01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201,822,85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69,365,552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65,042,528</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4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各类电力电 缆、特种电缆、 民用及电气装 备用线缆、电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浙江万马专用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线缆科技有限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子公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缆附件及成套 线缆、电子及</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w:t>
            </w:r>
            <w:r>
              <w:rPr>
                <w:rFonts w:ascii="SimSun" w:eastAsia="SimSun" w:hAnsi="SimSun" w:cs="SimSun"/>
                <w:color w:val="000000"/>
                <w:spacing w:val="0"/>
                <w:w w:val="100"/>
                <w:position w:val="0"/>
              </w:rPr>
              <w:t>万元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199,137,31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107,421,84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294,247,20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27,540,929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24,370,532</w:t>
            </w:r>
          </w:p>
        </w:tc>
      </w:tr>
      <w:tr>
        <w:trPr>
          <w:trHeight w:val="38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电气元器件、 电力及电气成 套设备的研 发、生产、加 工、销售</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w:t>
            </w: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3KV</w:t>
            </w:r>
            <w:r>
              <w:rPr>
                <w:rFonts w:ascii="SimSun" w:eastAsia="SimSun" w:hAnsi="SimSun" w:cs="SimSun"/>
                <w:color w:val="000000"/>
                <w:spacing w:val="0"/>
                <w:w w:val="100"/>
                <w:position w:val="0"/>
              </w:rPr>
              <w:t>及以下电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力电缆、控制</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30000 </w:t>
            </w:r>
            <w:r>
              <w:rPr>
                <w:rFonts w:ascii="SimSun" w:eastAsia="SimSun" w:hAnsi="SimSun" w:cs="SimSun"/>
                <w:color w:val="000000"/>
                <w:spacing w:val="0"/>
                <w:w w:val="100"/>
                <w:position w:val="0"/>
              </w:rPr>
              <w:t>万</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320,593,23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207,856,52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1,017,322,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2,293,069.</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2,046,838.</w:t>
            </w:r>
          </w:p>
        </w:tc>
      </w:tr>
      <w:tr>
        <w:trPr>
          <w:trHeight w:val="62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电缆和架空电</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缆等</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742.39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101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万马奔腾新能</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源产业集团有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光伏技术开 发、实业投资， 投资管理，投 资咨询；电动</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50000 </w:t>
            </w:r>
            <w:r>
              <w:rPr>
                <w:rFonts w:ascii="SimSun" w:eastAsia="SimSun" w:hAnsi="SimSun" w:cs="SimSun"/>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879,053,97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88,030,708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238,275,23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-99,433,49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-100,639,4</w:t>
            </w:r>
          </w:p>
        </w:tc>
      </w:tr>
      <w:tr>
        <w:trPr>
          <w:trHeight w:val="230"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w:t>
            </w: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汽车充电站的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系统设计、运</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700" w:right="1053" w:bottom="1446" w:left="1056" w:header="0" w:footer="3" w:gutter="0"/>
          <w:cols w:space="720"/>
          <w:noEndnote/>
          <w:titlePg/>
          <w:rtlGutter w:val="0"/>
          <w:docGrid w:linePitch="360"/>
        </w:sectPr>
      </w:pPr>
    </w:p>
    <w:tbl>
      <w:tblPr>
        <w:tblOverlap w:val="never"/>
        <w:jc w:val="center"/>
        <w:tblLayout w:type="fixed"/>
      </w:tblPr>
      <w:tblGrid>
        <w:gridCol w:w="1339"/>
        <w:gridCol w:w="600"/>
        <w:gridCol w:w="1363"/>
        <w:gridCol w:w="1042"/>
        <w:gridCol w:w="1046"/>
        <w:gridCol w:w="1046"/>
        <w:gridCol w:w="1046"/>
        <w:gridCol w:w="1042"/>
        <w:gridCol w:w="1051"/>
      </w:tblGrid>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主要控股参股公司情况说明</w:t>
      </w:r>
    </w:p>
    <w:p>
      <w:pPr>
        <w:pStyle w:val="Style31"/>
        <w:keepNext w:val="0"/>
        <w:keepLines w:val="0"/>
        <w:widowControl w:val="0"/>
        <w:numPr>
          <w:ilvl w:val="0"/>
          <w:numId w:val="21"/>
        </w:numPr>
        <w:shd w:val="clear" w:color="auto" w:fill="auto"/>
        <w:tabs>
          <w:tab w:pos="536" w:val="left"/>
        </w:tabs>
        <w:bidi w:val="0"/>
        <w:spacing w:before="0" w:after="0" w:line="319" w:lineRule="exact"/>
        <w:ind w:left="0" w:right="0" w:firstLine="0"/>
        <w:jc w:val="left"/>
      </w:pPr>
      <w:bookmarkStart w:id="243" w:name="bookmark243"/>
      <w:bookmarkEnd w:id="243"/>
      <w:r>
        <w:rPr>
          <w:color w:val="000000"/>
          <w:spacing w:val="0"/>
          <w:w w:val="100"/>
          <w:position w:val="0"/>
        </w:rPr>
        <w:t>天屹通信营业收入同比增长</w:t>
      </w:r>
      <w:r>
        <w:rPr>
          <w:color w:val="000000"/>
          <w:spacing w:val="0"/>
          <w:w w:val="100"/>
          <w:position w:val="0"/>
          <w:sz w:val="18"/>
          <w:szCs w:val="18"/>
        </w:rPr>
        <w:t xml:space="preserve">36. </w:t>
      </w:r>
      <w:r>
        <w:rPr>
          <w:color w:val="000000"/>
          <w:spacing w:val="0"/>
          <w:w w:val="100"/>
          <w:position w:val="0"/>
          <w:sz w:val="18"/>
          <w:szCs w:val="18"/>
        </w:rPr>
        <w:t>12%,</w:t>
      </w:r>
      <w:r>
        <w:rPr>
          <w:color w:val="000000"/>
          <w:spacing w:val="0"/>
          <w:w w:val="100"/>
          <w:position w:val="0"/>
        </w:rPr>
        <w:t>营业利润同比增长</w:t>
      </w:r>
      <w:r>
        <w:rPr>
          <w:color w:val="000000"/>
          <w:spacing w:val="0"/>
          <w:w w:val="100"/>
          <w:position w:val="0"/>
          <w:sz w:val="18"/>
          <w:szCs w:val="18"/>
        </w:rPr>
        <w:t xml:space="preserve">95. </w:t>
      </w:r>
      <w:r>
        <w:rPr>
          <w:color w:val="000000"/>
          <w:spacing w:val="0"/>
          <w:w w:val="100"/>
          <w:position w:val="0"/>
          <w:sz w:val="18"/>
          <w:szCs w:val="18"/>
        </w:rPr>
        <w:t>25%；</w:t>
      </w:r>
      <w:r>
        <w:rPr>
          <w:color w:val="000000"/>
          <w:spacing w:val="0"/>
          <w:w w:val="100"/>
          <w:position w:val="0"/>
        </w:rPr>
        <w:t>净利润同比增长</w:t>
      </w:r>
      <w:r>
        <w:rPr>
          <w:color w:val="000000"/>
          <w:spacing w:val="0"/>
          <w:w w:val="100"/>
          <w:position w:val="0"/>
          <w:sz w:val="18"/>
          <w:szCs w:val="18"/>
        </w:rPr>
        <w:t>101.65%,</w:t>
      </w:r>
      <w:r>
        <w:rPr>
          <w:color w:val="000000"/>
          <w:spacing w:val="0"/>
          <w:w w:val="100"/>
          <w:position w:val="0"/>
        </w:rPr>
        <w:t>主要系国外市场需求增加， 光缆及数据缆销售量增加所致；总资产较上年增长</w:t>
      </w:r>
      <w:r>
        <w:rPr>
          <w:color w:val="000000"/>
          <w:spacing w:val="0"/>
          <w:w w:val="100"/>
          <w:position w:val="0"/>
          <w:sz w:val="18"/>
          <w:szCs w:val="18"/>
        </w:rPr>
        <w:t xml:space="preserve">30. </w:t>
      </w:r>
      <w:r>
        <w:rPr>
          <w:color w:val="000000"/>
          <w:spacing w:val="0"/>
          <w:w w:val="100"/>
          <w:position w:val="0"/>
          <w:sz w:val="18"/>
          <w:szCs w:val="18"/>
        </w:rPr>
        <w:t>93%,</w:t>
      </w:r>
      <w:r>
        <w:rPr>
          <w:color w:val="000000"/>
          <w:spacing w:val="0"/>
          <w:w w:val="100"/>
          <w:position w:val="0"/>
        </w:rPr>
        <w:t>主要系本期收到增资款以及业务量增加，应收账款、存货备货及 设备投资增加所致；</w:t>
      </w:r>
    </w:p>
    <w:p>
      <w:pPr>
        <w:pStyle w:val="Style31"/>
        <w:keepNext w:val="0"/>
        <w:keepLines w:val="0"/>
        <w:widowControl w:val="0"/>
        <w:numPr>
          <w:ilvl w:val="0"/>
          <w:numId w:val="21"/>
        </w:numPr>
        <w:shd w:val="clear" w:color="auto" w:fill="auto"/>
        <w:tabs>
          <w:tab w:pos="440" w:val="left"/>
        </w:tabs>
        <w:bidi w:val="0"/>
        <w:spacing w:before="0" w:after="0"/>
        <w:ind w:left="0" w:right="0" w:firstLine="0"/>
        <w:jc w:val="left"/>
      </w:pPr>
      <w:bookmarkStart w:id="244" w:name="bookmark244"/>
      <w:bookmarkEnd w:id="244"/>
      <w:r>
        <w:rPr>
          <w:color w:val="000000"/>
          <w:spacing w:val="0"/>
          <w:w w:val="100"/>
          <w:position w:val="0"/>
        </w:rPr>
        <w:t>专用线缆净资产同比增长</w:t>
      </w:r>
      <w:r>
        <w:rPr>
          <w:color w:val="000000"/>
          <w:spacing w:val="0"/>
          <w:w w:val="100"/>
          <w:position w:val="0"/>
          <w:sz w:val="18"/>
          <w:szCs w:val="18"/>
        </w:rPr>
        <w:t xml:space="preserve">80. </w:t>
      </w:r>
      <w:r>
        <w:rPr>
          <w:color w:val="000000"/>
          <w:spacing w:val="0"/>
          <w:w w:val="100"/>
          <w:position w:val="0"/>
          <w:sz w:val="18"/>
          <w:szCs w:val="18"/>
        </w:rPr>
        <w:t>17%,</w:t>
      </w:r>
      <w:r>
        <w:rPr>
          <w:color w:val="000000"/>
          <w:spacing w:val="0"/>
          <w:w w:val="100"/>
          <w:position w:val="0"/>
        </w:rPr>
        <w:t>主要系本期期货铜套期公允价值期末浮盈以及本期利润增长所致；</w:t>
      </w:r>
    </w:p>
    <w:p>
      <w:pPr>
        <w:pStyle w:val="Style31"/>
        <w:keepNext w:val="0"/>
        <w:keepLines w:val="0"/>
        <w:widowControl w:val="0"/>
        <w:numPr>
          <w:ilvl w:val="0"/>
          <w:numId w:val="21"/>
        </w:numPr>
        <w:shd w:val="clear" w:color="auto" w:fill="auto"/>
        <w:tabs>
          <w:tab w:pos="536" w:val="left"/>
        </w:tabs>
        <w:bidi w:val="0"/>
        <w:spacing w:before="0" w:after="0"/>
        <w:ind w:left="0" w:right="0" w:firstLine="0"/>
        <w:jc w:val="left"/>
      </w:pPr>
      <w:bookmarkStart w:id="245" w:name="bookmark245"/>
      <w:bookmarkEnd w:id="245"/>
      <w:r>
        <w:rPr>
          <w:color w:val="000000"/>
          <w:spacing w:val="0"/>
          <w:w w:val="100"/>
          <w:position w:val="0"/>
        </w:rPr>
        <w:t>万马电缆总资产同比增长</w:t>
      </w:r>
      <w:r>
        <w:rPr>
          <w:color w:val="000000"/>
          <w:spacing w:val="0"/>
          <w:w w:val="100"/>
          <w:position w:val="0"/>
          <w:sz w:val="18"/>
          <w:szCs w:val="18"/>
        </w:rPr>
        <w:t xml:space="preserve">192. </w:t>
      </w:r>
      <w:r>
        <w:rPr>
          <w:color w:val="000000"/>
          <w:spacing w:val="0"/>
          <w:w w:val="100"/>
          <w:position w:val="0"/>
          <w:sz w:val="18"/>
          <w:szCs w:val="18"/>
        </w:rPr>
        <w:t>73%,</w:t>
      </w:r>
      <w:r>
        <w:rPr>
          <w:color w:val="000000"/>
          <w:spacing w:val="0"/>
          <w:w w:val="100"/>
          <w:position w:val="0"/>
        </w:rPr>
        <w:t>净资产同比增长</w:t>
      </w:r>
      <w:r>
        <w:rPr>
          <w:color w:val="000000"/>
          <w:spacing w:val="0"/>
          <w:w w:val="100"/>
          <w:position w:val="0"/>
          <w:sz w:val="18"/>
          <w:szCs w:val="18"/>
        </w:rPr>
        <w:t xml:space="preserve">3477. </w:t>
      </w:r>
      <w:r>
        <w:rPr>
          <w:color w:val="000000"/>
          <w:spacing w:val="0"/>
          <w:w w:val="100"/>
          <w:position w:val="0"/>
          <w:sz w:val="18"/>
          <w:szCs w:val="18"/>
        </w:rPr>
        <w:t>76%,</w:t>
      </w:r>
      <w:r>
        <w:rPr>
          <w:color w:val="000000"/>
          <w:spacing w:val="0"/>
          <w:w w:val="100"/>
          <w:position w:val="0"/>
        </w:rPr>
        <w:t>主要系本期收到增资款所致；营业利润同比增长</w:t>
      </w:r>
      <w:r>
        <w:rPr>
          <w:color w:val="000000"/>
          <w:spacing w:val="0"/>
          <w:w w:val="100"/>
          <w:position w:val="0"/>
          <w:sz w:val="18"/>
          <w:szCs w:val="18"/>
        </w:rPr>
        <w:t xml:space="preserve">326. </w:t>
      </w:r>
      <w:r>
        <w:rPr>
          <w:color w:val="000000"/>
          <w:spacing w:val="0"/>
          <w:w w:val="100"/>
          <w:position w:val="0"/>
          <w:sz w:val="18"/>
          <w:szCs w:val="18"/>
        </w:rPr>
        <w:t xml:space="preserve">34%, </w:t>
      </w:r>
      <w:r>
        <w:rPr>
          <w:color w:val="000000"/>
          <w:spacing w:val="0"/>
          <w:w w:val="100"/>
          <w:position w:val="0"/>
        </w:rPr>
        <w:t>净利润同比增长</w:t>
      </w:r>
      <w:r>
        <w:rPr>
          <w:color w:val="000000"/>
          <w:spacing w:val="0"/>
          <w:w w:val="100"/>
          <w:position w:val="0"/>
          <w:sz w:val="18"/>
          <w:szCs w:val="18"/>
        </w:rPr>
        <w:t xml:space="preserve">47. </w:t>
      </w:r>
      <w:r>
        <w:rPr>
          <w:color w:val="000000"/>
          <w:spacing w:val="0"/>
          <w:w w:val="100"/>
          <w:position w:val="0"/>
          <w:sz w:val="18"/>
          <w:szCs w:val="18"/>
        </w:rPr>
        <w:t>08%,</w:t>
      </w:r>
      <w:r>
        <w:rPr>
          <w:color w:val="000000"/>
          <w:spacing w:val="0"/>
          <w:w w:val="100"/>
          <w:position w:val="0"/>
        </w:rPr>
        <w:t>主要系电缆本期销售收入增长及坏账冲回所致；</w:t>
      </w:r>
    </w:p>
    <w:p>
      <w:pPr>
        <w:pStyle w:val="Style31"/>
        <w:keepNext w:val="0"/>
        <w:keepLines w:val="0"/>
        <w:widowControl w:val="0"/>
        <w:numPr>
          <w:ilvl w:val="0"/>
          <w:numId w:val="21"/>
        </w:numPr>
        <w:shd w:val="clear" w:color="auto" w:fill="auto"/>
        <w:tabs>
          <w:tab w:pos="440" w:val="left"/>
        </w:tabs>
        <w:bidi w:val="0"/>
        <w:spacing w:before="0" w:after="360"/>
        <w:ind w:left="0" w:right="0" w:firstLine="0"/>
        <w:jc w:val="left"/>
      </w:pPr>
      <w:bookmarkStart w:id="246" w:name="bookmark246"/>
      <w:bookmarkEnd w:id="246"/>
      <w:r>
        <w:rPr>
          <w:color w:val="000000"/>
          <w:spacing w:val="0"/>
          <w:w w:val="100"/>
          <w:position w:val="0"/>
        </w:rPr>
        <w:t>新能源产业集团净资产同比下降</w:t>
      </w:r>
      <w:r>
        <w:rPr>
          <w:color w:val="000000"/>
          <w:spacing w:val="0"/>
          <w:w w:val="100"/>
          <w:position w:val="0"/>
          <w:sz w:val="18"/>
          <w:szCs w:val="18"/>
        </w:rPr>
        <w:t xml:space="preserve">57. </w:t>
      </w:r>
      <w:r>
        <w:rPr>
          <w:color w:val="000000"/>
          <w:spacing w:val="0"/>
          <w:w w:val="100"/>
          <w:position w:val="0"/>
          <w:sz w:val="18"/>
          <w:szCs w:val="18"/>
        </w:rPr>
        <w:t>26%,</w:t>
      </w:r>
      <w:r>
        <w:rPr>
          <w:color w:val="000000"/>
          <w:spacing w:val="0"/>
          <w:w w:val="100"/>
          <w:position w:val="0"/>
        </w:rPr>
        <w:t>主要系新能源建站投入导致运营成本高。</w:t>
      </w:r>
    </w:p>
    <w:p>
      <w:pPr>
        <w:pStyle w:val="Style26"/>
        <w:keepNext/>
        <w:keepLines/>
        <w:widowControl w:val="0"/>
        <w:shd w:val="clear" w:color="auto" w:fill="auto"/>
        <w:tabs>
          <w:tab w:pos="512" w:val="left"/>
        </w:tabs>
        <w:bidi w:val="0"/>
        <w:spacing w:before="0" w:after="24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八</w:t>
      </w:r>
      <w:bookmarkEnd w:id="249"/>
      <w:r>
        <w:rPr>
          <w:color w:val="000000"/>
          <w:spacing w:val="0"/>
          <w:w w:val="100"/>
          <w:position w:val="0"/>
          <w:sz w:val="24"/>
          <w:szCs w:val="24"/>
        </w:rPr>
        <w:t>、</w:t>
        <w:tab/>
        <w:t>公司控制的结构化主体情况</w:t>
      </w:r>
      <w:bookmarkEnd w:id="247"/>
      <w:bookmarkEnd w:id="248"/>
      <w:bookmarkEnd w:id="250"/>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2" w:val="left"/>
        </w:tabs>
        <w:bidi w:val="0"/>
        <w:spacing w:before="0" w:after="12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九</w:t>
      </w:r>
      <w:bookmarkEnd w:id="253"/>
      <w:r>
        <w:rPr>
          <w:color w:val="000000"/>
          <w:spacing w:val="0"/>
          <w:w w:val="100"/>
          <w:position w:val="0"/>
          <w:sz w:val="24"/>
          <w:szCs w:val="24"/>
        </w:rPr>
        <w:t>、</w:t>
        <w:tab/>
        <w:t>公司未来发展的展望</w:t>
      </w:r>
      <w:bookmarkEnd w:id="251"/>
      <w:bookmarkEnd w:id="252"/>
      <w:bookmarkEnd w:id="254"/>
    </w:p>
    <w:p>
      <w:pPr>
        <w:pStyle w:val="Style38"/>
        <w:keepNext w:val="0"/>
        <w:keepLines w:val="0"/>
        <w:widowControl w:val="0"/>
        <w:numPr>
          <w:ilvl w:val="0"/>
          <w:numId w:val="23"/>
        </w:numPr>
        <w:shd w:val="clear" w:color="auto" w:fill="auto"/>
        <w:bidi w:val="0"/>
        <w:spacing w:before="0" w:after="80" w:line="468" w:lineRule="exact"/>
        <w:ind w:left="0" w:right="0" w:firstLine="440"/>
        <w:jc w:val="both"/>
      </w:pPr>
      <w:bookmarkStart w:id="255" w:name="bookmark255"/>
      <w:bookmarkEnd w:id="255"/>
      <w:r>
        <w:rPr>
          <w:b/>
          <w:bCs/>
          <w:color w:val="000000"/>
          <w:spacing w:val="0"/>
          <w:w w:val="100"/>
          <w:position w:val="0"/>
        </w:rPr>
        <w:t>行业格局和趋势</w:t>
      </w:r>
    </w:p>
    <w:p>
      <w:pPr>
        <w:pStyle w:val="Style3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党的十九届五中全会审议通过的《中共中央关于制定国民经济和社会发展第十四个五年规划和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 远景目标的建议》指出，我国将深入实施创新驱动发展战略、加快发展现代化产业体系，壮大新能源、新 材料、高端装备、新能源汽车和绿色环保等战略性新兴产业，同时立足国内大循环、促进国内国际双循环 的新发展格局推动产业高质量发展。在</w:t>
      </w:r>
      <w:r>
        <w:rPr>
          <w:rFonts w:ascii="Times New Roman" w:eastAsia="Times New Roman" w:hAnsi="Times New Roman" w:cs="Times New Roman"/>
          <w:color w:val="000000"/>
          <w:spacing w:val="0"/>
          <w:w w:val="100"/>
          <w:position w:val="0"/>
        </w:rPr>
        <w:t>2021</w:t>
      </w:r>
      <w:r>
        <w:rPr>
          <w:color w:val="000000"/>
          <w:spacing w:val="0"/>
          <w:w w:val="100"/>
          <w:position w:val="0"/>
        </w:rPr>
        <w:t>年全国两会中，碳达峰和碳中和被首次写入政府工作报告，新 能源技术的创新与推广是碳达峰碳中和行动的关键手段之一。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月，中共中央政治局常务委员会提 出加快新型基础设施建设进度，这主要包括</w:t>
      </w:r>
      <w:r>
        <w:rPr>
          <w:rFonts w:ascii="Times New Roman" w:eastAsia="Times New Roman" w:hAnsi="Times New Roman" w:cs="Times New Roman"/>
          <w:color w:val="000000"/>
          <w:spacing w:val="0"/>
          <w:w w:val="100"/>
          <w:position w:val="0"/>
        </w:rPr>
        <w:t>5G</w:t>
      </w:r>
      <w:r>
        <w:rPr>
          <w:color w:val="000000"/>
          <w:spacing w:val="0"/>
          <w:w w:val="100"/>
          <w:position w:val="0"/>
        </w:rPr>
        <w:t>基建、特高压、城际高速铁路和城际轨道交通、新能源汽车 充电桩、大数据中心、人工智能、工业互联网等七大领域。</w:t>
      </w:r>
    </w:p>
    <w:p>
      <w:pPr>
        <w:pStyle w:val="Style38"/>
        <w:keepNext w:val="0"/>
        <w:keepLines w:val="0"/>
        <w:widowControl w:val="0"/>
        <w:shd w:val="clear" w:color="auto" w:fill="auto"/>
        <w:bidi w:val="0"/>
        <w:spacing w:before="0" w:after="360" w:line="475" w:lineRule="exact"/>
        <w:ind w:left="0" w:right="0" w:firstLine="440"/>
        <w:jc w:val="both"/>
      </w:pPr>
      <w:r>
        <w:rPr>
          <w:color w:val="000000"/>
          <w:spacing w:val="0"/>
          <w:w w:val="100"/>
          <w:position w:val="0"/>
        </w:rPr>
        <w:t>万马股份的三大业务板块，电线电缆、高分子材料、充电桩作为战略性新兴产业和新型基础设施建设 的重要组成部分，面临着巨大的时代发展机遇。</w:t>
      </w:r>
    </w:p>
    <w:p>
      <w:pPr>
        <w:pStyle w:val="Style38"/>
        <w:keepNext w:val="0"/>
        <w:keepLines w:val="0"/>
        <w:widowControl w:val="0"/>
        <w:numPr>
          <w:ilvl w:val="0"/>
          <w:numId w:val="25"/>
        </w:numPr>
        <w:shd w:val="clear" w:color="auto" w:fill="auto"/>
        <w:bidi w:val="0"/>
        <w:spacing w:before="0" w:after="0" w:line="480" w:lineRule="auto"/>
        <w:ind w:left="0" w:right="0" w:firstLine="440"/>
        <w:jc w:val="both"/>
      </w:pPr>
      <w:bookmarkStart w:id="256" w:name="bookmark256"/>
      <w:bookmarkEnd w:id="256"/>
      <w:r>
        <w:rPr>
          <w:b/>
          <w:bCs/>
          <w:color w:val="000000"/>
          <w:spacing w:val="0"/>
          <w:w w:val="100"/>
          <w:position w:val="0"/>
        </w:rPr>
        <w:t>电线电缆</w:t>
      </w:r>
    </w:p>
    <w:p>
      <w:pPr>
        <w:pStyle w:val="Style38"/>
        <w:keepNext w:val="0"/>
        <w:keepLines w:val="0"/>
        <w:widowControl w:val="0"/>
        <w:numPr>
          <w:ilvl w:val="0"/>
          <w:numId w:val="27"/>
        </w:numPr>
        <w:shd w:val="clear" w:color="auto" w:fill="auto"/>
        <w:bidi w:val="0"/>
        <w:spacing w:before="0" w:after="120" w:line="468" w:lineRule="exact"/>
        <w:ind w:left="0" w:right="0" w:firstLine="440"/>
        <w:jc w:val="left"/>
      </w:pPr>
      <w:bookmarkStart w:id="257" w:name="bookmark257"/>
      <w:bookmarkEnd w:id="257"/>
      <w:r>
        <w:rPr>
          <w:b/>
          <w:bCs/>
          <w:color w:val="000000"/>
          <w:spacing w:val="0"/>
          <w:w w:val="100"/>
          <w:position w:val="0"/>
        </w:rPr>
        <w:t>电网投资持续高位运行，全面电能替代成为发展趋势。</w:t>
      </w:r>
    </w:p>
    <w:p>
      <w:pPr>
        <w:pStyle w:val="Style38"/>
        <w:keepNext w:val="0"/>
        <w:keepLines w:val="0"/>
        <w:widowControl w:val="0"/>
        <w:shd w:val="clear" w:color="auto" w:fill="auto"/>
        <w:bidi w:val="0"/>
        <w:spacing w:before="0" w:line="470" w:lineRule="exact"/>
        <w:ind w:left="0" w:right="0" w:firstLine="440"/>
        <w:jc w:val="both"/>
      </w:pPr>
      <w:r>
        <w:rPr>
          <w:color w:val="000000"/>
          <w:spacing w:val="0"/>
          <w:w w:val="100"/>
          <w:position w:val="0"/>
        </w:rPr>
        <w:t>据中电联数据显示，</w:t>
      </w:r>
      <w:r>
        <w:rPr>
          <w:rFonts w:ascii="Times New Roman" w:eastAsia="Times New Roman" w:hAnsi="Times New Roman" w:cs="Times New Roman"/>
          <w:color w:val="000000"/>
          <w:spacing w:val="0"/>
          <w:w w:val="100"/>
          <w:position w:val="0"/>
        </w:rPr>
        <w:t>2020</w:t>
      </w:r>
      <w:r>
        <w:rPr>
          <w:color w:val="000000"/>
          <w:spacing w:val="0"/>
          <w:w w:val="100"/>
          <w:position w:val="0"/>
        </w:rPr>
        <w:t>年，我国电网工程建设完成投资</w:t>
      </w:r>
      <w:r>
        <w:rPr>
          <w:rFonts w:ascii="Times New Roman" w:eastAsia="Times New Roman" w:hAnsi="Times New Roman" w:cs="Times New Roman"/>
          <w:color w:val="000000"/>
          <w:spacing w:val="0"/>
          <w:w w:val="100"/>
          <w:position w:val="0"/>
        </w:rPr>
        <w:t>4,699</w:t>
      </w:r>
      <w:r>
        <w:rPr>
          <w:color w:val="000000"/>
          <w:spacing w:val="0"/>
          <w:w w:val="100"/>
          <w:position w:val="0"/>
        </w:rPr>
        <w:t>亿元，已经连续七年保持</w:t>
      </w:r>
      <w:r>
        <w:rPr>
          <w:rFonts w:ascii="Times New Roman" w:eastAsia="Times New Roman" w:hAnsi="Times New Roman" w:cs="Times New Roman"/>
          <w:color w:val="000000"/>
          <w:spacing w:val="0"/>
          <w:w w:val="100"/>
          <w:position w:val="0"/>
        </w:rPr>
        <w:t>4,000</w:t>
      </w:r>
      <w:r>
        <w:rPr>
          <w:color w:val="000000"/>
          <w:spacing w:val="0"/>
          <w:w w:val="100"/>
          <w:position w:val="0"/>
        </w:rPr>
        <w:t xml:space="preserve">亿以上。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日，国家电网董事长在世界经济论坛</w:t>
      </w:r>
      <w:r>
        <w:rPr>
          <w:rFonts w:ascii="Times New Roman" w:eastAsia="Times New Roman" w:hAnsi="Times New Roman" w:cs="Times New Roman"/>
          <w:color w:val="000000"/>
          <w:spacing w:val="0"/>
          <w:w w:val="100"/>
          <w:position w:val="0"/>
        </w:rPr>
        <w:t>“</w:t>
      </w:r>
      <w:r>
        <w:rPr>
          <w:color w:val="000000"/>
          <w:spacing w:val="0"/>
          <w:w w:val="100"/>
          <w:position w:val="0"/>
        </w:rPr>
        <w:t>达沃斯议程</w:t>
      </w:r>
      <w:r>
        <w:rPr>
          <w:color w:val="000000"/>
          <w:spacing w:val="0"/>
          <w:w w:val="100"/>
          <w:position w:val="0"/>
        </w:rPr>
        <w:t>''</w:t>
      </w:r>
      <w:r>
        <w:rPr>
          <w:color w:val="000000"/>
          <w:spacing w:val="0"/>
          <w:w w:val="100"/>
          <w:position w:val="0"/>
        </w:rPr>
        <w:t>对话会上表示，未来</w:t>
      </w:r>
      <w:r>
        <w:rPr>
          <w:rFonts w:ascii="Times New Roman" w:eastAsia="Times New Roman" w:hAnsi="Times New Roman" w:cs="Times New Roman"/>
          <w:color w:val="000000"/>
          <w:spacing w:val="0"/>
          <w:w w:val="100"/>
          <w:position w:val="0"/>
        </w:rPr>
        <w:t>5</w:t>
      </w:r>
      <w:r>
        <w:rPr>
          <w:color w:val="000000"/>
          <w:spacing w:val="0"/>
          <w:w w:val="100"/>
          <w:position w:val="0"/>
        </w:rPr>
        <w:t>年，国家电网将年均 投入超过</w:t>
      </w:r>
      <w:r>
        <w:rPr>
          <w:rFonts w:ascii="Times New Roman" w:eastAsia="Times New Roman" w:hAnsi="Times New Roman" w:cs="Times New Roman"/>
          <w:color w:val="000000"/>
          <w:spacing w:val="0"/>
          <w:w w:val="100"/>
          <w:position w:val="0"/>
        </w:rPr>
        <w:t>700</w:t>
      </w:r>
      <w:r>
        <w:rPr>
          <w:color w:val="000000"/>
          <w:spacing w:val="0"/>
          <w:w w:val="100"/>
          <w:position w:val="0"/>
        </w:rPr>
        <w:t>亿美元，推动电网向能源互联网升级，促进能源清洁低碳转型，助力实现</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color w:val="000000"/>
          <w:spacing w:val="0"/>
          <w:w w:val="100"/>
          <w:position w:val="0"/>
        </w:rPr>
        <w:t xml:space="preserve">'' </w:t>
      </w:r>
      <w:r>
        <w:rPr>
          <w:color w:val="000000"/>
          <w:spacing w:val="0"/>
          <w:w w:val="100"/>
          <w:position w:val="0"/>
        </w:rPr>
        <w:t>目标。</w:t>
      </w:r>
    </w:p>
    <w:p>
      <w:pPr>
        <w:pStyle w:val="Style38"/>
        <w:keepNext w:val="0"/>
        <w:keepLines w:val="0"/>
        <w:widowControl w:val="0"/>
        <w:shd w:val="clear" w:color="auto" w:fill="auto"/>
        <w:tabs>
          <w:tab w:pos="928" w:val="left"/>
        </w:tabs>
        <w:bidi w:val="0"/>
        <w:spacing w:before="0" w:line="474" w:lineRule="exact"/>
        <w:ind w:left="0" w:right="0" w:firstLine="440"/>
        <w:jc w:val="left"/>
      </w:pPr>
      <w:bookmarkStart w:id="258" w:name="bookmark258"/>
      <w:r>
        <w:rPr>
          <w:b/>
          <w:bCs/>
          <w:color w:val="000000"/>
          <w:spacing w:val="0"/>
          <w:w w:val="100"/>
          <w:position w:val="0"/>
        </w:rPr>
        <w:t>（</w:t>
      </w:r>
      <w:bookmarkEnd w:id="2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碳达峰、碳中和</w:t>
      </w:r>
      <w:r>
        <w:rPr>
          <w:rFonts w:ascii="Times New Roman" w:eastAsia="Times New Roman" w:hAnsi="Times New Roman" w:cs="Times New Roman"/>
          <w:b/>
          <w:bCs/>
          <w:color w:val="000000"/>
          <w:spacing w:val="0"/>
          <w:w w:val="100"/>
          <w:position w:val="0"/>
        </w:rPr>
        <w:t>”</w:t>
      </w:r>
      <w:r>
        <w:rPr>
          <w:b/>
          <w:bCs/>
          <w:color w:val="000000"/>
          <w:spacing w:val="0"/>
          <w:w w:val="100"/>
          <w:position w:val="0"/>
        </w:rPr>
        <w:t>目标的提出，推动电线电缆需求进一步增加。</w:t>
      </w:r>
    </w:p>
    <w:p>
      <w:pPr>
        <w:pStyle w:val="Style38"/>
        <w:keepNext w:val="0"/>
        <w:keepLines w:val="0"/>
        <w:widowControl w:val="0"/>
        <w:shd w:val="clear" w:color="auto" w:fill="auto"/>
        <w:bidi w:val="0"/>
        <w:spacing w:before="0" w:line="47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月，国家主席习近平在气候雄心峰会上发表重要讲话宣布，到</w:t>
      </w:r>
      <w:r>
        <w:rPr>
          <w:rFonts w:ascii="Times New Roman" w:eastAsia="Times New Roman" w:hAnsi="Times New Roman" w:cs="Times New Roman"/>
          <w:color w:val="000000"/>
          <w:spacing w:val="0"/>
          <w:w w:val="100"/>
          <w:position w:val="0"/>
        </w:rPr>
        <w:t>2030</w:t>
      </w:r>
      <w:r>
        <w:rPr>
          <w:color w:val="000000"/>
          <w:spacing w:val="0"/>
          <w:w w:val="100"/>
          <w:position w:val="0"/>
        </w:rPr>
        <w:t>年，非化石能源占一次能 源消费比重将达到</w:t>
      </w:r>
      <w:r>
        <w:rPr>
          <w:rFonts w:ascii="Times New Roman" w:eastAsia="Times New Roman" w:hAnsi="Times New Roman" w:cs="Times New Roman"/>
          <w:color w:val="000000"/>
          <w:spacing w:val="0"/>
          <w:w w:val="100"/>
          <w:position w:val="0"/>
        </w:rPr>
        <w:t>25%</w:t>
      </w:r>
      <w:r>
        <w:rPr>
          <w:color w:val="000000"/>
          <w:spacing w:val="0"/>
          <w:w w:val="100"/>
          <w:position w:val="0"/>
        </w:rPr>
        <w:t>左右。随着光伏、风电、水电等清洁能源建设的持续推进，相关领域用电线电缆存 在巨大的市场空间。不仅如此，国家智能电网建设、核电战略的紧密实施、轨道交通、海底输电、新能源 汽车及充电桩等业态的发展，将为特种电缆的发展带来新的市场需求。</w:t>
      </w:r>
    </w:p>
    <w:p>
      <w:pPr>
        <w:pStyle w:val="Style38"/>
        <w:keepNext w:val="0"/>
        <w:keepLines w:val="0"/>
        <w:widowControl w:val="0"/>
        <w:shd w:val="clear" w:color="auto" w:fill="auto"/>
        <w:tabs>
          <w:tab w:pos="928" w:val="left"/>
        </w:tabs>
        <w:bidi w:val="0"/>
        <w:spacing w:before="0" w:line="474" w:lineRule="exact"/>
        <w:ind w:left="0" w:right="0" w:firstLine="440"/>
        <w:jc w:val="left"/>
      </w:pPr>
      <w:bookmarkStart w:id="259" w:name="bookmark259"/>
      <w:r>
        <w:rPr>
          <w:b/>
          <w:bCs/>
          <w:color w:val="000000"/>
          <w:spacing w:val="0"/>
          <w:w w:val="100"/>
          <w:position w:val="0"/>
        </w:rPr>
        <w:t>（</w:t>
      </w:r>
      <w:bookmarkEnd w:id="2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高质量共建</w:t>
      </w:r>
      <w:r>
        <w:rPr>
          <w:rFonts w:ascii="Times New Roman" w:eastAsia="Times New Roman" w:hAnsi="Times New Roman" w:cs="Times New Roman"/>
          <w:b/>
          <w:bCs/>
          <w:color w:val="000000"/>
          <w:spacing w:val="0"/>
          <w:w w:val="100"/>
          <w:position w:val="0"/>
        </w:rPr>
        <w:t>“</w:t>
      </w:r>
      <w:r>
        <w:rPr>
          <w:b/>
          <w:bCs/>
          <w:color w:val="000000"/>
          <w:spacing w:val="0"/>
          <w:w w:val="100"/>
          <w:position w:val="0"/>
        </w:rPr>
        <w:t>一带一路</w:t>
      </w:r>
      <w:r>
        <w:rPr>
          <w:rFonts w:ascii="Times New Roman" w:eastAsia="Times New Roman" w:hAnsi="Times New Roman" w:cs="Times New Roman"/>
          <w:b/>
          <w:bCs/>
          <w:color w:val="000000"/>
          <w:spacing w:val="0"/>
          <w:w w:val="100"/>
          <w:position w:val="0"/>
        </w:rPr>
        <w:t>”</w:t>
      </w:r>
      <w:r>
        <w:rPr>
          <w:b/>
          <w:bCs/>
          <w:color w:val="000000"/>
          <w:spacing w:val="0"/>
          <w:w w:val="100"/>
          <w:position w:val="0"/>
        </w:rPr>
        <w:t>发展要求持续为电线电缆行业带来更多的发展机遇。</w:t>
      </w:r>
    </w:p>
    <w:p>
      <w:pPr>
        <w:pStyle w:val="Style38"/>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年政府工作报告多次提及，要高质量共建</w:t>
      </w:r>
      <w:r>
        <w:rPr>
          <w:rFonts w:ascii="Times New Roman" w:eastAsia="Times New Roman" w:hAnsi="Times New Roman" w:cs="Times New Roman"/>
          <w:color w:val="000000"/>
          <w:spacing w:val="0"/>
          <w:w w:val="100"/>
          <w:position w:val="0"/>
        </w:rPr>
        <w:t>“</w:t>
      </w:r>
      <w:r>
        <w:rPr>
          <w:color w:val="000000"/>
          <w:spacing w:val="0"/>
          <w:w w:val="100"/>
          <w:position w:val="0"/>
        </w:rPr>
        <w:t>一带一路坚持共商共建共享，坚持以企业为主体、 遵循市场化原则，健全多元化投融资体系，有序推动重大项目合作，推进基础设施互联互通。随着国家</w:t>
      </w:r>
      <w:r>
        <w:rPr>
          <w:rFonts w:ascii="Times New Roman" w:eastAsia="Times New Roman" w:hAnsi="Times New Roman" w:cs="Times New Roman"/>
          <w:color w:val="000000"/>
          <w:spacing w:val="0"/>
          <w:w w:val="100"/>
          <w:position w:val="0"/>
        </w:rPr>
        <w:t>“</w:t>
      </w:r>
      <w:r>
        <w:rPr>
          <w:color w:val="000000"/>
          <w:spacing w:val="0"/>
          <w:w w:val="100"/>
          <w:position w:val="0"/>
        </w:rPr>
        <w:t>一 带一路</w:t>
      </w:r>
      <w:r>
        <w:rPr>
          <w:color w:val="000000"/>
          <w:spacing w:val="0"/>
          <w:w w:val="100"/>
          <w:position w:val="0"/>
        </w:rPr>
        <w:t>''</w:t>
      </w:r>
      <w:r>
        <w:rPr>
          <w:color w:val="000000"/>
          <w:spacing w:val="0"/>
          <w:w w:val="100"/>
          <w:position w:val="0"/>
        </w:rPr>
        <w:t>战略的实施，海外市场的拓展将迎来一个新的时期，电线电缆行业将获得更多新的发展机遇。</w:t>
      </w:r>
    </w:p>
    <w:p>
      <w:pPr>
        <w:pStyle w:val="Style38"/>
        <w:keepNext w:val="0"/>
        <w:keepLines w:val="0"/>
        <w:widowControl w:val="0"/>
        <w:shd w:val="clear" w:color="auto" w:fill="auto"/>
        <w:tabs>
          <w:tab w:pos="928" w:val="left"/>
        </w:tabs>
        <w:bidi w:val="0"/>
        <w:spacing w:before="0" w:line="474" w:lineRule="exact"/>
        <w:ind w:left="0" w:right="0" w:firstLine="440"/>
        <w:jc w:val="left"/>
      </w:pPr>
      <w:bookmarkStart w:id="260" w:name="bookmark260"/>
      <w:r>
        <w:rPr>
          <w:b/>
          <w:bCs/>
          <w:color w:val="000000"/>
          <w:spacing w:val="0"/>
          <w:w w:val="100"/>
          <w:position w:val="0"/>
        </w:rPr>
        <w:t>（</w:t>
      </w:r>
      <w:bookmarkEnd w:id="2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能源互联网建设的加快推动特高压建设需求持续提升</w:t>
      </w:r>
    </w:p>
    <w:p>
      <w:pPr>
        <w:pStyle w:val="Style38"/>
        <w:keepNext w:val="0"/>
        <w:keepLines w:val="0"/>
        <w:widowControl w:val="0"/>
        <w:shd w:val="clear" w:color="auto" w:fill="auto"/>
        <w:bidi w:val="0"/>
        <w:spacing w:before="0" w:line="4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日，国家电网发布的《碳达峰、碳中和行动方案》提出，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期间，国家电网规划建 成</w:t>
      </w:r>
      <w:r>
        <w:rPr>
          <w:rFonts w:ascii="Times New Roman" w:eastAsia="Times New Roman" w:hAnsi="Times New Roman" w:cs="Times New Roman"/>
          <w:color w:val="000000"/>
          <w:spacing w:val="0"/>
          <w:w w:val="100"/>
          <w:position w:val="0"/>
        </w:rPr>
        <w:t>7</w:t>
      </w:r>
      <w:r>
        <w:rPr>
          <w:color w:val="000000"/>
          <w:spacing w:val="0"/>
          <w:w w:val="100"/>
          <w:position w:val="0"/>
        </w:rPr>
        <w:t>回特高压直流，新增输电能力</w:t>
      </w:r>
      <w:r>
        <w:rPr>
          <w:rFonts w:ascii="Times New Roman" w:eastAsia="Times New Roman" w:hAnsi="Times New Roman" w:cs="Times New Roman"/>
          <w:color w:val="000000"/>
          <w:spacing w:val="0"/>
          <w:w w:val="100"/>
          <w:position w:val="0"/>
        </w:rPr>
        <w:t>5600</w:t>
      </w:r>
      <w:r>
        <w:rPr>
          <w:color w:val="000000"/>
          <w:spacing w:val="0"/>
          <w:w w:val="100"/>
          <w:position w:val="0"/>
        </w:rPr>
        <w:t>万千瓦。此外，根据国家电网官网资料显示，国家电网计划到</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年建成</w:t>
      </w:r>
      <w:r>
        <w:rPr>
          <w:rFonts w:ascii="Times New Roman" w:eastAsia="Times New Roman" w:hAnsi="Times New Roman" w:cs="Times New Roman"/>
          <w:color w:val="000000"/>
          <w:spacing w:val="0"/>
          <w:w w:val="100"/>
          <w:position w:val="0"/>
        </w:rPr>
        <w:t>9</w:t>
      </w:r>
      <w:r>
        <w:rPr>
          <w:color w:val="000000"/>
          <w:spacing w:val="0"/>
          <w:w w:val="100"/>
          <w:position w:val="0"/>
        </w:rPr>
        <w:t>条以特高压输电技术为核心的跨国输电工程。我国迎来特高压建设工程新一轮高峰期，将带动电 网投资。</w:t>
      </w:r>
    </w:p>
    <w:p>
      <w:pPr>
        <w:pStyle w:val="Style38"/>
        <w:keepNext w:val="0"/>
        <w:keepLines w:val="0"/>
        <w:widowControl w:val="0"/>
        <w:numPr>
          <w:ilvl w:val="0"/>
          <w:numId w:val="25"/>
        </w:numPr>
        <w:shd w:val="clear" w:color="auto" w:fill="auto"/>
        <w:bidi w:val="0"/>
        <w:spacing w:before="0" w:line="474" w:lineRule="exact"/>
        <w:ind w:left="0" w:right="0" w:firstLine="440"/>
        <w:jc w:val="left"/>
      </w:pPr>
      <w:bookmarkStart w:id="261" w:name="bookmark261"/>
      <w:bookmarkEnd w:id="261"/>
      <w:r>
        <w:rPr>
          <w:b/>
          <w:bCs/>
          <w:color w:val="000000"/>
          <w:spacing w:val="0"/>
          <w:w w:val="100"/>
          <w:position w:val="0"/>
        </w:rPr>
        <w:t>高分子材料</w:t>
      </w:r>
    </w:p>
    <w:p>
      <w:pPr>
        <w:pStyle w:val="Style38"/>
        <w:keepNext w:val="0"/>
        <w:keepLines w:val="0"/>
        <w:widowControl w:val="0"/>
        <w:shd w:val="clear" w:color="auto" w:fill="auto"/>
        <w:bidi w:val="0"/>
        <w:spacing w:before="0" w:line="474" w:lineRule="exact"/>
        <w:ind w:left="0" w:right="0" w:firstLine="440"/>
        <w:jc w:val="left"/>
      </w:pPr>
      <w:bookmarkStart w:id="262" w:name="bookmark262"/>
      <w:r>
        <w:rPr>
          <w:b/>
          <w:bCs/>
          <w:color w:val="000000"/>
          <w:spacing w:val="0"/>
          <w:w w:val="100"/>
          <w:position w:val="0"/>
        </w:rPr>
        <w:t>（</w:t>
      </w:r>
      <w:bookmarkEnd w:id="262"/>
      <w:r>
        <w:rPr>
          <w:rFonts w:ascii="Times New Roman" w:eastAsia="Times New Roman" w:hAnsi="Times New Roman" w:cs="Times New Roman"/>
          <w:b/>
          <w:bCs/>
          <w:color w:val="000000"/>
          <w:spacing w:val="0"/>
          <w:w w:val="100"/>
          <w:position w:val="0"/>
        </w:rPr>
        <w:t>1</w:t>
      </w:r>
      <w:r>
        <w:rPr>
          <w:b/>
          <w:bCs/>
          <w:color w:val="000000"/>
          <w:spacing w:val="0"/>
          <w:w w:val="100"/>
          <w:position w:val="0"/>
        </w:rPr>
        <w:t>）线缆材料</w:t>
      </w:r>
    </w:p>
    <w:p>
      <w:pPr>
        <w:pStyle w:val="Style38"/>
        <w:keepNext w:val="0"/>
        <w:keepLines w:val="0"/>
        <w:widowControl w:val="0"/>
        <w:shd w:val="clear" w:color="auto" w:fill="auto"/>
        <w:bidi w:val="0"/>
        <w:spacing w:before="0" w:line="461" w:lineRule="exact"/>
        <w:ind w:left="0" w:right="0" w:firstLine="440"/>
        <w:jc w:val="both"/>
      </w:pPr>
      <w:r>
        <w:rPr>
          <w:color w:val="000000"/>
          <w:spacing w:val="0"/>
          <w:w w:val="100"/>
          <w:position w:val="0"/>
        </w:rPr>
        <w:t>绿色环保成为线缆材料发展趋势，市场逐步接受并积极推广环保型线缆材料，环保型电力电缆的使用 率越来越高。无卤低烟阻燃聚烯烃线缆材料和交联聚乙烯线缆材料的市场份额持续提升。</w:t>
      </w:r>
    </w:p>
    <w:p>
      <w:pPr>
        <w:pStyle w:val="Style38"/>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高端产品市场空间大。超光滑屏蔽料、抗水树电缆料、超高压直流电缆料以及一些跨行业需求的高端 材料产品，国内只有少数厂家可以供货，大部分的市场份额还为国外厂商所占据。未来，我国在高端材料 研发方面的发展空间还很大。</w:t>
      </w:r>
    </w:p>
    <w:p>
      <w:pPr>
        <w:pStyle w:val="Style38"/>
        <w:keepNext w:val="0"/>
        <w:keepLines w:val="0"/>
        <w:widowControl w:val="0"/>
        <w:shd w:val="clear" w:color="auto" w:fill="auto"/>
        <w:bidi w:val="0"/>
        <w:spacing w:before="0" w:line="502" w:lineRule="exact"/>
        <w:ind w:left="0" w:right="0" w:firstLine="440"/>
        <w:jc w:val="both"/>
      </w:pPr>
      <w:r>
        <w:rPr>
          <w:color w:val="000000"/>
          <w:spacing w:val="0"/>
          <w:w w:val="100"/>
          <w:position w:val="0"/>
        </w:rPr>
        <w:t>特种线缆材料发展前景广阔。风电、智能装备线缆、核电、石油开采钻井、高速铁路、铁路信号电缆、 船用电缆、汽车电线、矿用电缆、飞机电缆等特种电缆，每年高速增长。特种电缆市场的高速发展，将带 动对特种线缆材料的大量需求。</w:t>
      </w:r>
    </w:p>
    <w:p>
      <w:pPr>
        <w:pStyle w:val="Style38"/>
        <w:keepNext w:val="0"/>
        <w:keepLines w:val="0"/>
        <w:widowControl w:val="0"/>
        <w:shd w:val="clear" w:color="auto" w:fill="auto"/>
        <w:bidi w:val="0"/>
        <w:spacing w:before="0" w:line="470" w:lineRule="exact"/>
        <w:ind w:left="0" w:right="0" w:firstLine="440"/>
        <w:jc w:val="both"/>
      </w:pPr>
      <w:bookmarkStart w:id="263" w:name="bookmark263"/>
      <w:r>
        <w:rPr>
          <w:b/>
          <w:bCs/>
          <w:color w:val="000000"/>
          <w:spacing w:val="0"/>
          <w:w w:val="100"/>
          <w:position w:val="0"/>
        </w:rPr>
        <w:t>（</w:t>
      </w:r>
      <w:bookmarkEnd w:id="263"/>
      <w:r>
        <w:rPr>
          <w:rFonts w:ascii="Times New Roman" w:eastAsia="Times New Roman" w:hAnsi="Times New Roman" w:cs="Times New Roman"/>
          <w:b/>
          <w:bCs/>
          <w:color w:val="000000"/>
          <w:spacing w:val="0"/>
          <w:w w:val="100"/>
          <w:position w:val="0"/>
        </w:rPr>
        <w:t>2</w:t>
      </w:r>
      <w:r>
        <w:rPr>
          <w:b/>
          <w:bCs/>
          <w:color w:val="000000"/>
          <w:spacing w:val="0"/>
          <w:w w:val="100"/>
          <w:position w:val="0"/>
        </w:rPr>
        <w:t>）其他新材料</w:t>
      </w:r>
    </w:p>
    <w:p>
      <w:pPr>
        <w:pStyle w:val="Style38"/>
        <w:keepNext w:val="0"/>
        <w:keepLines w:val="0"/>
        <w:widowControl w:val="0"/>
        <w:shd w:val="clear" w:color="auto" w:fill="auto"/>
        <w:bidi w:val="0"/>
        <w:spacing w:before="0" w:line="469" w:lineRule="exact"/>
        <w:ind w:left="0" w:right="0" w:firstLine="440"/>
        <w:jc w:val="both"/>
      </w:pPr>
      <w:r>
        <w:rPr>
          <w:color w:val="000000"/>
          <w:spacing w:val="0"/>
          <w:w w:val="100"/>
          <w:position w:val="0"/>
        </w:rPr>
        <w:t>改性塑料。《中国制造</w:t>
      </w:r>
      <w:r>
        <w:rPr>
          <w:rFonts w:ascii="Times New Roman" w:eastAsia="Times New Roman" w:hAnsi="Times New Roman" w:cs="Times New Roman"/>
          <w:color w:val="000000"/>
          <w:spacing w:val="0"/>
          <w:w w:val="100"/>
          <w:position w:val="0"/>
        </w:rPr>
        <w:t>2025</w:t>
      </w:r>
      <w:r>
        <w:rPr>
          <w:color w:val="000000"/>
          <w:spacing w:val="0"/>
          <w:w w:val="100"/>
          <w:position w:val="0"/>
        </w:rPr>
        <w:t>》把新材料行业列为大力推进的十大战略重点领域之一，以特种金属功能 材料、高性能结构材料、功能性高分子材料、特种无机非金属材料和先进复合材料为发展重点，加快研发 先进熔炼、凝固成型、气相沉积、型材加工、高效合成等新材料制备关键技术和装备，加强基础研究和体 系建设，突破产业化制备瓶颈，加快基础材料升级换代。作为塑料中的高端技术产品，近年来我国改性塑 料行业发展迅猛，产量、消费量年均增长分别达到</w:t>
      </w:r>
      <w:r>
        <w:rPr>
          <w:rFonts w:ascii="Times New Roman" w:eastAsia="Times New Roman" w:hAnsi="Times New Roman" w:cs="Times New Roman"/>
          <w:color w:val="000000"/>
          <w:spacing w:val="0"/>
          <w:w w:val="100"/>
          <w:position w:val="0"/>
        </w:rPr>
        <w:t>20%</w:t>
      </w:r>
      <w:r>
        <w:rPr>
          <w:color w:val="000000"/>
          <w:spacing w:val="0"/>
          <w:w w:val="100"/>
          <w:position w:val="0"/>
        </w:rPr>
        <w:t>和</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numPr>
          <w:ilvl w:val="0"/>
          <w:numId w:val="25"/>
        </w:numPr>
        <w:shd w:val="clear" w:color="auto" w:fill="auto"/>
        <w:bidi w:val="0"/>
        <w:spacing w:before="0" w:line="470" w:lineRule="exact"/>
        <w:ind w:left="0" w:right="0" w:firstLine="440"/>
        <w:jc w:val="both"/>
      </w:pPr>
      <w:bookmarkStart w:id="264" w:name="bookmark264"/>
      <w:bookmarkEnd w:id="264"/>
      <w:r>
        <w:rPr>
          <w:b/>
          <w:bCs/>
          <w:color w:val="000000"/>
          <w:spacing w:val="0"/>
          <w:w w:val="100"/>
          <w:position w:val="0"/>
        </w:rPr>
        <w:t>新能源领域</w:t>
      </w:r>
    </w:p>
    <w:p>
      <w:pPr>
        <w:pStyle w:val="Style38"/>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年，充电桩被纳入新基建，写入政府工作报告，成为发展新能源汽车、激发新消费需求、助力产 业升级的前置条件。充电桩开启发展新通道，迎来新机遇。我国的充电桩行业将有长足发展及较大的投资 机遇。</w:t>
      </w:r>
    </w:p>
    <w:p>
      <w:pPr>
        <w:pStyle w:val="Style38"/>
        <w:keepNext w:val="0"/>
        <w:keepLines w:val="0"/>
        <w:widowControl w:val="0"/>
        <w:shd w:val="clear" w:color="auto" w:fill="auto"/>
        <w:bidi w:val="0"/>
        <w:spacing w:before="0" w:line="469" w:lineRule="exact"/>
        <w:ind w:left="0" w:right="0" w:firstLine="440"/>
        <w:jc w:val="both"/>
      </w:pPr>
      <w:r>
        <w:rPr>
          <w:color w:val="000000"/>
          <w:spacing w:val="0"/>
          <w:w w:val="100"/>
          <w:position w:val="0"/>
        </w:rPr>
        <w:t>据中国汽车工业协会数据，</w:t>
      </w:r>
      <w:r>
        <w:rPr>
          <w:rFonts w:ascii="Times New Roman" w:eastAsia="Times New Roman" w:hAnsi="Times New Roman" w:cs="Times New Roman"/>
          <w:color w:val="000000"/>
          <w:spacing w:val="0"/>
          <w:w w:val="100"/>
          <w:position w:val="0"/>
        </w:rPr>
        <w:t>2020</w:t>
      </w:r>
      <w:r>
        <w:rPr>
          <w:color w:val="000000"/>
          <w:spacing w:val="0"/>
          <w:w w:val="100"/>
          <w:position w:val="0"/>
        </w:rPr>
        <w:t>年，受益于政策支持等因素，我国新能源汽车行业在疫情情况下仍实 现了产销</w:t>
      </w:r>
      <w:r>
        <w:rPr>
          <w:rFonts w:ascii="Times New Roman" w:eastAsia="Times New Roman" w:hAnsi="Times New Roman" w:cs="Times New Roman"/>
          <w:color w:val="000000"/>
          <w:spacing w:val="0"/>
          <w:w w:val="100"/>
          <w:position w:val="0"/>
        </w:rPr>
        <w:t>136.6</w:t>
      </w:r>
      <w:r>
        <w:rPr>
          <w:color w:val="000000"/>
          <w:spacing w:val="0"/>
          <w:w w:val="100"/>
          <w:position w:val="0"/>
        </w:rPr>
        <w:t>万辆和</w:t>
      </w:r>
      <w:r>
        <w:rPr>
          <w:rFonts w:ascii="Times New Roman" w:eastAsia="Times New Roman" w:hAnsi="Times New Roman" w:cs="Times New Roman"/>
          <w:color w:val="000000"/>
          <w:spacing w:val="0"/>
          <w:w w:val="100"/>
          <w:position w:val="0"/>
        </w:rPr>
        <w:t>136.7</w:t>
      </w:r>
      <w:r>
        <w:rPr>
          <w:color w:val="000000"/>
          <w:spacing w:val="0"/>
          <w:w w:val="100"/>
          <w:position w:val="0"/>
        </w:rPr>
        <w:t>万辆的成绩，同比分别增长</w:t>
      </w:r>
      <w:r>
        <w:rPr>
          <w:rFonts w:ascii="Times New Roman" w:eastAsia="Times New Roman" w:hAnsi="Times New Roman" w:cs="Times New Roman"/>
          <w:color w:val="000000"/>
          <w:spacing w:val="0"/>
          <w:w w:val="100"/>
          <w:position w:val="0"/>
        </w:rPr>
        <w:t>7.5%</w:t>
      </w:r>
      <w:r>
        <w:rPr>
          <w:color w:val="000000"/>
          <w:spacing w:val="0"/>
          <w:w w:val="100"/>
          <w:position w:val="0"/>
        </w:rPr>
        <w:t>和</w:t>
      </w:r>
      <w:r>
        <w:rPr>
          <w:rFonts w:ascii="Times New Roman" w:eastAsia="Times New Roman" w:hAnsi="Times New Roman" w:cs="Times New Roman"/>
          <w:color w:val="000000"/>
          <w:spacing w:val="0"/>
          <w:w w:val="100"/>
          <w:position w:val="0"/>
        </w:rPr>
        <w:t>10.9%</w:t>
      </w:r>
      <w:r>
        <w:rPr>
          <w:color w:val="000000"/>
          <w:spacing w:val="0"/>
          <w:w w:val="100"/>
          <w:position w:val="0"/>
        </w:rPr>
        <w:t>。根据公安部统计数据，截至</w:t>
      </w:r>
      <w:r>
        <w:rPr>
          <w:rFonts w:ascii="Times New Roman" w:eastAsia="Times New Roman" w:hAnsi="Times New Roman" w:cs="Times New Roman"/>
          <w:color w:val="000000"/>
          <w:spacing w:val="0"/>
          <w:w w:val="100"/>
          <w:position w:val="0"/>
        </w:rPr>
        <w:t>2020</w:t>
      </w:r>
      <w:r>
        <w:rPr>
          <w:color w:val="000000"/>
          <w:spacing w:val="0"/>
          <w:w w:val="100"/>
          <w:position w:val="0"/>
        </w:rPr>
        <w:t>年底， 我国新能源汽车保有量达</w:t>
      </w:r>
      <w:r>
        <w:rPr>
          <w:rFonts w:ascii="Times New Roman" w:eastAsia="Times New Roman" w:hAnsi="Times New Roman" w:cs="Times New Roman"/>
          <w:color w:val="000000"/>
          <w:spacing w:val="0"/>
          <w:w w:val="100"/>
          <w:position w:val="0"/>
        </w:rPr>
        <w:t>492</w:t>
      </w:r>
      <w:r>
        <w:rPr>
          <w:color w:val="000000"/>
          <w:spacing w:val="0"/>
          <w:w w:val="100"/>
          <w:position w:val="0"/>
        </w:rPr>
        <w:t>万辆，占汽车总量的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75%</w:t>
      </w:r>
      <w:r>
        <w:rPr>
          <w:color w:val="000000"/>
          <w:spacing w:val="0"/>
          <w:w w:val="100"/>
          <w:position w:val="0"/>
        </w:rPr>
        <w:t>，比</w:t>
      </w:r>
      <w:r>
        <w:rPr>
          <w:rFonts w:ascii="Times New Roman" w:eastAsia="Times New Roman" w:hAnsi="Times New Roman" w:cs="Times New Roman"/>
          <w:color w:val="000000"/>
          <w:spacing w:val="0"/>
          <w:w w:val="100"/>
          <w:position w:val="0"/>
        </w:rPr>
        <w:t>2019</w:t>
      </w:r>
      <w:r>
        <w:rPr>
          <w:color w:val="000000"/>
          <w:spacing w:val="0"/>
          <w:w w:val="100"/>
          <w:position w:val="0"/>
        </w:rPr>
        <w:t>年增加</w:t>
      </w:r>
      <w:r>
        <w:rPr>
          <w:rFonts w:ascii="Times New Roman" w:eastAsia="Times New Roman" w:hAnsi="Times New Roman" w:cs="Times New Roman"/>
          <w:color w:val="000000"/>
          <w:spacing w:val="0"/>
          <w:w w:val="100"/>
          <w:position w:val="0"/>
        </w:rPr>
        <w:t>111</w:t>
      </w:r>
      <w:r>
        <w:rPr>
          <w:color w:val="000000"/>
          <w:spacing w:val="0"/>
          <w:w w:val="100"/>
          <w:position w:val="0"/>
        </w:rPr>
        <w:t>万辆，增长</w:t>
      </w:r>
      <w:r>
        <w:rPr>
          <w:rFonts w:ascii="Times New Roman" w:eastAsia="Times New Roman" w:hAnsi="Times New Roman" w:cs="Times New Roman"/>
          <w:color w:val="000000"/>
          <w:spacing w:val="0"/>
          <w:w w:val="100"/>
          <w:position w:val="0"/>
        </w:rPr>
        <w:t>29.18%</w:t>
      </w:r>
      <w:r>
        <w:rPr>
          <w:color w:val="000000"/>
          <w:spacing w:val="0"/>
          <w:w w:val="100"/>
          <w:position w:val="0"/>
        </w:rPr>
        <w:t>。新能源汽 车增量连续</w:t>
      </w:r>
      <w:r>
        <w:rPr>
          <w:rFonts w:ascii="Times New Roman" w:eastAsia="Times New Roman" w:hAnsi="Times New Roman" w:cs="Times New Roman"/>
          <w:color w:val="000000"/>
          <w:spacing w:val="0"/>
          <w:w w:val="100"/>
          <w:position w:val="0"/>
        </w:rPr>
        <w:t>3</w:t>
      </w:r>
      <w:r>
        <w:rPr>
          <w:color w:val="000000"/>
          <w:spacing w:val="0"/>
          <w:w w:val="100"/>
          <w:position w:val="0"/>
        </w:rPr>
        <w:t>年超过</w:t>
      </w:r>
      <w:r>
        <w:rPr>
          <w:rFonts w:ascii="Times New Roman" w:eastAsia="Times New Roman" w:hAnsi="Times New Roman" w:cs="Times New Roman"/>
          <w:color w:val="000000"/>
          <w:spacing w:val="0"/>
          <w:w w:val="100"/>
          <w:position w:val="0"/>
        </w:rPr>
        <w:t>100</w:t>
      </w:r>
      <w:r>
        <w:rPr>
          <w:color w:val="000000"/>
          <w:spacing w:val="0"/>
          <w:w w:val="100"/>
          <w:position w:val="0"/>
        </w:rPr>
        <w:t>万辆，呈持续高速增长趋势。</w:t>
      </w:r>
    </w:p>
    <w:p>
      <w:pPr>
        <w:pStyle w:val="Style38"/>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 xml:space="preserve">年远景目标纲要》提出，聚焦新能 源汽车等战略性新兴产业，加快关键核心技术创新应用，增强要素保障能力，培育壮大产业发展新动能。 新能源汽车作为未来汽车发展趋势，同时出于碳中和等需求，有望持续快速发展。中国汽车工业协会预测， </w:t>
      </w:r>
      <w:r>
        <w:rPr>
          <w:rFonts w:ascii="Times New Roman" w:eastAsia="Times New Roman" w:hAnsi="Times New Roman" w:cs="Times New Roman"/>
          <w:color w:val="000000"/>
          <w:spacing w:val="0"/>
          <w:w w:val="100"/>
          <w:position w:val="0"/>
        </w:rPr>
        <w:t>2021</w:t>
      </w:r>
      <w:r>
        <w:rPr>
          <w:color w:val="000000"/>
          <w:spacing w:val="0"/>
          <w:w w:val="100"/>
          <w:position w:val="0"/>
        </w:rPr>
        <w:t>年新能源汽车销量有望达到</w:t>
      </w:r>
      <w:r>
        <w:rPr>
          <w:rFonts w:ascii="Times New Roman" w:eastAsia="Times New Roman" w:hAnsi="Times New Roman" w:cs="Times New Roman"/>
          <w:color w:val="000000"/>
          <w:spacing w:val="0"/>
          <w:w w:val="100"/>
          <w:position w:val="0"/>
        </w:rPr>
        <w:t>18 0</w:t>
      </w:r>
      <w:r>
        <w:rPr>
          <w:color w:val="000000"/>
          <w:spacing w:val="0"/>
          <w:w w:val="100"/>
          <w:position w:val="0"/>
        </w:rPr>
        <w:t>万辆，同比增长</w:t>
      </w:r>
      <w:r>
        <w:rPr>
          <w:rFonts w:ascii="Times New Roman" w:eastAsia="Times New Roman" w:hAnsi="Times New Roman" w:cs="Times New Roman"/>
          <w:color w:val="000000"/>
          <w:spacing w:val="0"/>
          <w:w w:val="100"/>
          <w:position w:val="0"/>
        </w:rPr>
        <w:t>40%</w:t>
      </w:r>
      <w:r>
        <w:rPr>
          <w:color w:val="000000"/>
          <w:spacing w:val="0"/>
          <w:w w:val="100"/>
          <w:position w:val="0"/>
        </w:rPr>
        <w:t>。据中汽协预测，到</w:t>
      </w:r>
      <w:r>
        <w:rPr>
          <w:rFonts w:ascii="Times New Roman" w:eastAsia="Times New Roman" w:hAnsi="Times New Roman" w:cs="Times New Roman"/>
          <w:color w:val="000000"/>
          <w:spacing w:val="0"/>
          <w:w w:val="100"/>
          <w:position w:val="0"/>
        </w:rPr>
        <w:t>2025</w:t>
      </w:r>
      <w:r>
        <w:rPr>
          <w:color w:val="000000"/>
          <w:spacing w:val="0"/>
          <w:w w:val="100"/>
          <w:position w:val="0"/>
        </w:rPr>
        <w:t>年我国汽车销量将达到</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万辆，按照《新能源汽车产业发展规划（</w:t>
      </w:r>
      <w:r>
        <w:rPr>
          <w:rFonts w:ascii="Times New Roman" w:eastAsia="Times New Roman" w:hAnsi="Times New Roman" w:cs="Times New Roman"/>
          <w:color w:val="000000"/>
          <w:spacing w:val="0"/>
          <w:w w:val="100"/>
          <w:position w:val="0"/>
        </w:rPr>
        <w:t>2021—2035</w:t>
      </w:r>
      <w:r>
        <w:rPr>
          <w:color w:val="000000"/>
          <w:spacing w:val="0"/>
          <w:w w:val="100"/>
          <w:position w:val="0"/>
        </w:rPr>
        <w:t>年）》的预测，届时我国新能源汽车销量将达到</w:t>
      </w:r>
      <w:r>
        <w:rPr>
          <w:rFonts w:ascii="Times New Roman" w:eastAsia="Times New Roman" w:hAnsi="Times New Roman" w:cs="Times New Roman"/>
          <w:color w:val="000000"/>
          <w:spacing w:val="0"/>
          <w:w w:val="100"/>
          <w:position w:val="0"/>
        </w:rPr>
        <w:t xml:space="preserve">600 </w:t>
      </w:r>
      <w:r>
        <w:rPr>
          <w:color w:val="000000"/>
          <w:spacing w:val="0"/>
          <w:w w:val="100"/>
          <w:position w:val="0"/>
        </w:rPr>
        <w:t>万辆，较</w:t>
      </w:r>
      <w:r>
        <w:rPr>
          <w:rFonts w:ascii="Times New Roman" w:eastAsia="Times New Roman" w:hAnsi="Times New Roman" w:cs="Times New Roman"/>
          <w:color w:val="000000"/>
          <w:spacing w:val="0"/>
          <w:w w:val="100"/>
          <w:position w:val="0"/>
        </w:rPr>
        <w:t>2020</w:t>
      </w:r>
      <w:r>
        <w:rPr>
          <w:color w:val="000000"/>
          <w:spacing w:val="0"/>
          <w:w w:val="100"/>
          <w:position w:val="0"/>
        </w:rPr>
        <w:t>年累计增长</w:t>
      </w:r>
      <w:r>
        <w:rPr>
          <w:rFonts w:ascii="Times New Roman" w:eastAsia="Times New Roman" w:hAnsi="Times New Roman" w:cs="Times New Roman"/>
          <w:color w:val="000000"/>
          <w:spacing w:val="0"/>
          <w:w w:val="100"/>
          <w:position w:val="0"/>
        </w:rPr>
        <w:t>3.39</w:t>
      </w:r>
      <w:r>
        <w:rPr>
          <w:color w:val="000000"/>
          <w:spacing w:val="0"/>
          <w:w w:val="100"/>
          <w:position w:val="0"/>
        </w:rPr>
        <w:t>倍，年复合增长率达</w:t>
      </w:r>
      <w:r>
        <w:rPr>
          <w:rFonts w:ascii="Times New Roman" w:eastAsia="Times New Roman" w:hAnsi="Times New Roman" w:cs="Times New Roman"/>
          <w:color w:val="000000"/>
          <w:spacing w:val="0"/>
          <w:w w:val="100"/>
          <w:position w:val="0"/>
        </w:rPr>
        <w:t>34.42%</w:t>
      </w:r>
      <w:r>
        <w:rPr>
          <w:color w:val="000000"/>
          <w:spacing w:val="0"/>
          <w:w w:val="100"/>
          <w:position w:val="0"/>
        </w:rPr>
        <w:t>。新能源汽车的快速发展，将有效带动充电桩需 求的增长。据中国充电联盟信息部主任仝宗旗预测，</w:t>
      </w:r>
      <w:r>
        <w:rPr>
          <w:rFonts w:ascii="Times New Roman" w:eastAsia="Times New Roman" w:hAnsi="Times New Roman" w:cs="Times New Roman"/>
          <w:color w:val="000000"/>
          <w:spacing w:val="0"/>
          <w:w w:val="100"/>
          <w:position w:val="0"/>
        </w:rPr>
        <w:t>2021</w:t>
      </w:r>
      <w:r>
        <w:rPr>
          <w:color w:val="000000"/>
          <w:spacing w:val="0"/>
          <w:w w:val="100"/>
          <w:position w:val="0"/>
        </w:rPr>
        <w:t>年车桩比将由</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左右降至</w:t>
      </w:r>
      <w:r>
        <w:rPr>
          <w:rFonts w:ascii="Times New Roman" w:eastAsia="Times New Roman" w:hAnsi="Times New Roman" w:cs="Times New Roman"/>
          <w:color w:val="000000"/>
          <w:spacing w:val="0"/>
          <w:w w:val="100"/>
          <w:position w:val="0"/>
        </w:rPr>
        <w:t xml:space="preserve">2.7 </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,进 一步缓解电动汽车充电难的问题。</w:t>
      </w:r>
    </w:p>
    <w:p>
      <w:pPr>
        <w:pStyle w:val="Style38"/>
        <w:keepNext w:val="0"/>
        <w:keepLines w:val="0"/>
        <w:widowControl w:val="0"/>
        <w:shd w:val="clear" w:color="auto" w:fill="auto"/>
        <w:bidi w:val="0"/>
        <w:spacing w:before="0" w:line="470" w:lineRule="exact"/>
        <w:ind w:left="0" w:right="0" w:firstLine="440"/>
        <w:jc w:val="both"/>
      </w:pPr>
      <w:bookmarkStart w:id="265" w:name="bookmark265"/>
      <w:r>
        <w:rPr>
          <w:b/>
          <w:bCs/>
          <w:color w:val="000000"/>
          <w:spacing w:val="0"/>
          <w:w w:val="100"/>
          <w:position w:val="0"/>
        </w:rPr>
        <w:t>（</w:t>
      </w:r>
      <w:bookmarkEnd w:id="265"/>
      <w:r>
        <w:rPr>
          <w:b/>
          <w:bCs/>
          <w:color w:val="000000"/>
          <w:spacing w:val="0"/>
          <w:w w:val="100"/>
          <w:position w:val="0"/>
        </w:rPr>
        <w:t>二）公司发展战略</w:t>
      </w:r>
    </w:p>
    <w:p>
      <w:pPr>
        <w:pStyle w:val="Style38"/>
        <w:keepNext w:val="0"/>
        <w:keepLines w:val="0"/>
        <w:widowControl w:val="0"/>
        <w:shd w:val="clear" w:color="auto" w:fill="auto"/>
        <w:bidi w:val="0"/>
        <w:spacing w:before="0" w:line="470" w:lineRule="exact"/>
        <w:ind w:left="0" w:right="0" w:firstLine="440"/>
        <w:jc w:val="both"/>
        <w:sectPr>
          <w:headerReference w:type="default" r:id="rId65"/>
          <w:footerReference w:type="default" r:id="rId66"/>
          <w:headerReference w:type="even" r:id="rId67"/>
          <w:footerReference w:type="even" r:id="rId68"/>
          <w:footnotePr>
            <w:pos w:val="pageBottom"/>
            <w:numFmt w:val="decimal"/>
            <w:numRestart w:val="continuous"/>
          </w:footnotePr>
          <w:type w:val="continuous"/>
          <w:pgSz w:w="11900" w:h="16840"/>
          <w:pgMar w:top="1700" w:right="1053" w:bottom="1446" w:left="1056" w:header="0" w:footer="3" w:gutter="0"/>
          <w:cols w:space="720"/>
          <w:noEndnote/>
          <w:rtlGutter w:val="0"/>
          <w:docGrid w:linePitch="360"/>
        </w:sectPr>
      </w:pPr>
      <w:r>
        <w:rPr>
          <w:color w:val="000000"/>
          <w:spacing w:val="0"/>
          <w:w w:val="100"/>
          <w:position w:val="0"/>
        </w:rPr>
        <w:t>公司发展战略：以</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战略为指引，以</w:t>
      </w:r>
      <w:r>
        <w:rPr>
          <w:rFonts w:ascii="Times New Roman" w:eastAsia="Times New Roman" w:hAnsi="Times New Roman" w:cs="Times New Roman"/>
          <w:color w:val="000000"/>
          <w:spacing w:val="0"/>
          <w:w w:val="100"/>
          <w:position w:val="0"/>
        </w:rPr>
        <w:t>“</w:t>
      </w:r>
      <w:r>
        <w:rPr>
          <w:color w:val="000000"/>
          <w:spacing w:val="0"/>
          <w:w w:val="100"/>
          <w:position w:val="0"/>
        </w:rPr>
        <w:t>南北联动</w:t>
      </w:r>
      <w:r>
        <w:rPr>
          <w:rFonts w:ascii="Times New Roman" w:eastAsia="Times New Roman" w:hAnsi="Times New Roman" w:cs="Times New Roman"/>
          <w:color w:val="000000"/>
          <w:spacing w:val="0"/>
          <w:w w:val="100"/>
          <w:position w:val="0"/>
        </w:rPr>
        <w:t>”</w:t>
      </w:r>
      <w:r>
        <w:rPr>
          <w:color w:val="000000"/>
          <w:spacing w:val="0"/>
          <w:w w:val="100"/>
          <w:position w:val="0"/>
        </w:rPr>
        <w:t>杭州和青岛为引擎，践行</w:t>
      </w:r>
      <w:r>
        <w:rPr>
          <w:rFonts w:ascii="Times New Roman" w:eastAsia="Times New Roman" w:hAnsi="Times New Roman" w:cs="Times New Roman"/>
          <w:color w:val="000000"/>
          <w:spacing w:val="0"/>
          <w:w w:val="100"/>
          <w:position w:val="0"/>
        </w:rPr>
        <w:t>“</w:t>
      </w:r>
      <w:r>
        <w:rPr>
          <w:color w:val="000000"/>
          <w:spacing w:val="0"/>
          <w:w w:val="100"/>
          <w:position w:val="0"/>
        </w:rPr>
        <w:t>正人、正事、正品</w:t>
      </w:r>
      <w:r>
        <w:rPr>
          <w:rFonts w:ascii="Times New Roman" w:eastAsia="Times New Roman" w:hAnsi="Times New Roman" w:cs="Times New Roman"/>
          <w:color w:val="000000"/>
          <w:spacing w:val="0"/>
          <w:w w:val="100"/>
          <w:position w:val="0"/>
        </w:rPr>
        <w:t xml:space="preserve">” </w:t>
      </w:r>
      <w:r>
        <w:rPr>
          <w:color w:val="000000"/>
          <w:spacing w:val="0"/>
          <w:w w:val="100"/>
          <w:position w:val="0"/>
        </w:rPr>
        <w:t>价值观，实现</w:t>
      </w:r>
      <w:r>
        <w:rPr>
          <w:rFonts w:ascii="Times New Roman" w:eastAsia="Times New Roman" w:hAnsi="Times New Roman" w:cs="Times New Roman"/>
          <w:color w:val="000000"/>
          <w:spacing w:val="0"/>
          <w:w w:val="100"/>
          <w:position w:val="0"/>
        </w:rPr>
        <w:t>“</w:t>
      </w:r>
      <w:r>
        <w:rPr>
          <w:color w:val="000000"/>
          <w:spacing w:val="0"/>
          <w:w w:val="100"/>
          <w:position w:val="0"/>
        </w:rPr>
        <w:t>打造国内完整电缆及材料产业链的行业领军企业</w:t>
      </w:r>
      <w:r>
        <w:rPr>
          <w:color w:val="000000"/>
          <w:spacing w:val="0"/>
          <w:w w:val="100"/>
          <w:position w:val="0"/>
        </w:rPr>
        <w:t>''</w:t>
      </w:r>
      <w:r>
        <w:rPr>
          <w:color w:val="000000"/>
          <w:spacing w:val="0"/>
          <w:w w:val="100"/>
          <w:position w:val="0"/>
        </w:rPr>
        <w:t>愿景，实现</w:t>
      </w:r>
      <w:r>
        <w:rPr>
          <w:rFonts w:ascii="Times New Roman" w:eastAsia="Times New Roman" w:hAnsi="Times New Roman" w:cs="Times New Roman"/>
          <w:color w:val="000000"/>
          <w:spacing w:val="0"/>
          <w:w w:val="100"/>
          <w:position w:val="0"/>
        </w:rPr>
        <w:t>“</w:t>
      </w:r>
      <w:r>
        <w:rPr>
          <w:color w:val="000000"/>
          <w:spacing w:val="0"/>
          <w:w w:val="100"/>
          <w:position w:val="0"/>
        </w:rPr>
        <w:t>绿色能源的传输者，智慧能源 的提供者</w:t>
      </w:r>
      <w:r>
        <w:rPr>
          <w:color w:val="000000"/>
          <w:spacing w:val="0"/>
          <w:w w:val="100"/>
          <w:position w:val="0"/>
        </w:rPr>
        <w:t>''</w:t>
      </w:r>
      <w:r>
        <w:rPr>
          <w:color w:val="000000"/>
          <w:spacing w:val="0"/>
          <w:w w:val="100"/>
          <w:position w:val="0"/>
        </w:rPr>
        <w:t>使命。</w:t>
      </w:r>
    </w:p>
    <w:p>
      <w:pPr>
        <w:pStyle w:val="Style38"/>
        <w:keepNext w:val="0"/>
        <w:keepLines w:val="0"/>
        <w:widowControl w:val="0"/>
        <w:numPr>
          <w:ilvl w:val="0"/>
          <w:numId w:val="29"/>
        </w:numPr>
        <w:shd w:val="clear" w:color="auto" w:fill="auto"/>
        <w:tabs>
          <w:tab w:pos="697" w:val="left"/>
        </w:tabs>
        <w:bidi w:val="0"/>
        <w:spacing w:before="0" w:line="467" w:lineRule="exact"/>
        <w:ind w:left="0" w:right="0" w:firstLine="440"/>
        <w:jc w:val="both"/>
      </w:pPr>
      <w:bookmarkStart w:id="266" w:name="bookmark266"/>
      <w:bookmarkEnd w:id="266"/>
      <w:r>
        <w:rPr>
          <w:b/>
          <w:bCs/>
          <w:color w:val="000000"/>
          <w:spacing w:val="0"/>
          <w:w w:val="100"/>
          <w:position w:val="0"/>
        </w:rPr>
        <w:t>电线电缆板块：</w:t>
      </w:r>
      <w:r>
        <w:rPr>
          <w:color w:val="000000"/>
          <w:spacing w:val="0"/>
          <w:w w:val="100"/>
          <w:position w:val="0"/>
        </w:rPr>
        <w:t>提升产品市场占有率：直销聚焦重点客户做大规模；分销快速拓展空白区域，提升 覆盖率；直接出口重点拓展东南亚，大力发展间接出口；通过新建生产基地和设备技改提升产能，满足订 单需求，提升交付速度，提高客户满意度；建设以客户需求为导向的质量保障体系，匠心造精品；全面推 进生产单元的自主经营模式，提升产品价格竞争力。</w:t>
      </w:r>
    </w:p>
    <w:p>
      <w:pPr>
        <w:pStyle w:val="Style38"/>
        <w:keepNext w:val="0"/>
        <w:keepLines w:val="0"/>
        <w:widowControl w:val="0"/>
        <w:numPr>
          <w:ilvl w:val="0"/>
          <w:numId w:val="29"/>
        </w:numPr>
        <w:shd w:val="clear" w:color="auto" w:fill="auto"/>
        <w:tabs>
          <w:tab w:pos="697" w:val="left"/>
        </w:tabs>
        <w:bidi w:val="0"/>
        <w:spacing w:before="0" w:line="469" w:lineRule="exact"/>
        <w:ind w:left="0" w:right="0" w:firstLine="440"/>
        <w:jc w:val="both"/>
      </w:pPr>
      <w:bookmarkStart w:id="267" w:name="bookmark267"/>
      <w:bookmarkEnd w:id="267"/>
      <w:r>
        <w:rPr>
          <w:b/>
          <w:bCs/>
          <w:color w:val="000000"/>
          <w:spacing w:val="0"/>
          <w:w w:val="100"/>
          <w:position w:val="0"/>
        </w:rPr>
        <w:t>新材料板块：</w:t>
      </w:r>
      <w:r>
        <w:rPr>
          <w:color w:val="000000"/>
          <w:spacing w:val="0"/>
          <w:w w:val="100"/>
          <w:position w:val="0"/>
        </w:rPr>
        <w:t>持续深耕电线电缆材料行业，保持电力电缆、线缆材料行业领先地位，贯彻公司</w:t>
      </w:r>
      <w:r>
        <w:rPr>
          <w:rFonts w:ascii="Times New Roman" w:eastAsia="Times New Roman" w:hAnsi="Times New Roman" w:cs="Times New Roman"/>
          <w:color w:val="000000"/>
          <w:spacing w:val="0"/>
          <w:w w:val="100"/>
          <w:position w:val="0"/>
        </w:rPr>
        <w:t>“</w:t>
      </w:r>
      <w:r>
        <w:rPr>
          <w:color w:val="000000"/>
          <w:spacing w:val="0"/>
          <w:w w:val="100"/>
          <w:position w:val="0"/>
        </w:rPr>
        <w:t>总成 本领先、规模化发展</w:t>
      </w:r>
      <w:r>
        <w:rPr>
          <w:color w:val="000000"/>
          <w:spacing w:val="0"/>
          <w:w w:val="100"/>
          <w:position w:val="0"/>
        </w:rPr>
        <w:t>''</w:t>
      </w:r>
      <w:r>
        <w:rPr>
          <w:color w:val="000000"/>
          <w:spacing w:val="0"/>
          <w:w w:val="100"/>
          <w:position w:val="0"/>
        </w:rPr>
        <w:t>的战略规划；立足主业和化学交联、硅烷交联材料，引导行业从价格竞争向品质优 先转变，形成有质量、规模化发展，持续保持与强化公司在国内线绝缘材料领域的主导地位；重点发展超 高压、低烟无卤、非力缆</w:t>
      </w:r>
      <w:r>
        <w:rPr>
          <w:rFonts w:ascii="Times New Roman" w:eastAsia="Times New Roman" w:hAnsi="Times New Roman" w:cs="Times New Roman"/>
          <w:color w:val="000000"/>
          <w:spacing w:val="0"/>
          <w:w w:val="100"/>
          <w:position w:val="0"/>
        </w:rPr>
        <w:t>PVC</w:t>
      </w:r>
      <w:r>
        <w:rPr>
          <w:color w:val="000000"/>
          <w:spacing w:val="0"/>
          <w:w w:val="100"/>
          <w:position w:val="0"/>
        </w:rPr>
        <w:t>和</w:t>
      </w:r>
      <w:r>
        <w:rPr>
          <w:rFonts w:ascii="Times New Roman" w:eastAsia="Times New Roman" w:hAnsi="Times New Roman" w:cs="Times New Roman"/>
          <w:color w:val="000000"/>
          <w:spacing w:val="0"/>
          <w:w w:val="100"/>
          <w:position w:val="0"/>
        </w:rPr>
        <w:t>TPE</w:t>
      </w:r>
      <w:r>
        <w:rPr>
          <w:color w:val="000000"/>
          <w:spacing w:val="0"/>
          <w:w w:val="100"/>
          <w:position w:val="0"/>
        </w:rPr>
        <w:t>弹性体，通过引进升级国外先进装备，发展高压绝缘材料品类，提升 公司在高端材料领域的技术实力，实现产品结构的优化调整；巩固华东市场的领导地位，通过四川子公司 的精耕细作、华南子公司的异地布局，形成产销本地化；持续提高公司的竞争力和盈利能力。</w:t>
      </w:r>
    </w:p>
    <w:p>
      <w:pPr>
        <w:pStyle w:val="Style38"/>
        <w:keepNext w:val="0"/>
        <w:keepLines w:val="0"/>
        <w:widowControl w:val="0"/>
        <w:numPr>
          <w:ilvl w:val="0"/>
          <w:numId w:val="29"/>
        </w:numPr>
        <w:shd w:val="clear" w:color="auto" w:fill="auto"/>
        <w:tabs>
          <w:tab w:pos="697" w:val="left"/>
        </w:tabs>
        <w:bidi w:val="0"/>
        <w:spacing w:before="0" w:line="470" w:lineRule="exact"/>
        <w:ind w:left="0" w:right="0" w:firstLine="440"/>
        <w:jc w:val="both"/>
      </w:pPr>
      <w:bookmarkStart w:id="268" w:name="bookmark268"/>
      <w:bookmarkEnd w:id="268"/>
      <w:r>
        <w:rPr>
          <w:b/>
          <w:bCs/>
          <w:color w:val="000000"/>
          <w:spacing w:val="0"/>
          <w:w w:val="100"/>
          <w:position w:val="0"/>
        </w:rPr>
        <w:t>新能源板块：</w:t>
      </w:r>
      <w:r>
        <w:rPr>
          <w:color w:val="000000"/>
          <w:spacing w:val="0"/>
          <w:w w:val="100"/>
          <w:position w:val="0"/>
        </w:rPr>
        <w:t>继续搭建和优化以直流快充为核心的城市智能充电网络。通过持续发展充电基础设施 网络建设、运营业务、搭建相关能源管理运营系统，稳步培育以充电桩为终端的电能使用客户群，并在此 基础上尝试电力储存转零售等商业服务业务，致力于成为智慧能源的提供者。</w:t>
      </w:r>
    </w:p>
    <w:p>
      <w:pPr>
        <w:pStyle w:val="Style38"/>
        <w:keepNext w:val="0"/>
        <w:keepLines w:val="0"/>
        <w:widowControl w:val="0"/>
        <w:shd w:val="clear" w:color="auto" w:fill="auto"/>
        <w:bidi w:val="0"/>
        <w:spacing w:before="0" w:line="469" w:lineRule="exact"/>
        <w:ind w:left="0" w:right="0" w:firstLine="440"/>
        <w:jc w:val="both"/>
      </w:pPr>
      <w:bookmarkStart w:id="269" w:name="bookmark269"/>
      <w:r>
        <w:rPr>
          <w:b/>
          <w:bCs/>
          <w:color w:val="000000"/>
          <w:spacing w:val="0"/>
          <w:w w:val="100"/>
          <w:position w:val="0"/>
        </w:rPr>
        <w:t>（</w:t>
      </w:r>
      <w:bookmarkEnd w:id="269"/>
      <w:r>
        <w:rPr>
          <w:b/>
          <w:bCs/>
          <w:color w:val="000000"/>
          <w:spacing w:val="0"/>
          <w:w w:val="100"/>
          <w:position w:val="0"/>
        </w:rPr>
        <w:t>三）经营计划</w:t>
      </w:r>
    </w:p>
    <w:p>
      <w:pPr>
        <w:pStyle w:val="Style38"/>
        <w:keepNext w:val="0"/>
        <w:keepLines w:val="0"/>
        <w:widowControl w:val="0"/>
        <w:shd w:val="clear" w:color="auto" w:fill="auto"/>
        <w:bidi w:val="0"/>
        <w:spacing w:before="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22"/>
          <w:szCs w:val="22"/>
        </w:rPr>
        <w:t>93.2</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亿元，完成年度预算目标的</w:t>
      </w:r>
      <w:r>
        <w:rPr>
          <w:rFonts w:ascii="Times New Roman" w:eastAsia="Times New Roman" w:hAnsi="Times New Roman" w:cs="Times New Roman"/>
          <w:color w:val="000000"/>
          <w:spacing w:val="0"/>
          <w:w w:val="100"/>
          <w:position w:val="0"/>
        </w:rPr>
        <w:t>93.22%</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sz w:val="22"/>
          <w:szCs w:val="22"/>
        </w:rPr>
        <w:t>2.23</w:t>
      </w:r>
      <w:r>
        <w:rPr>
          <w:color w:val="000000"/>
          <w:spacing w:val="0"/>
          <w:w w:val="100"/>
          <w:position w:val="0"/>
        </w:rPr>
        <w:t>亿元，经营业绩略有增长。</w:t>
      </w:r>
    </w:p>
    <w:p>
      <w:pPr>
        <w:pStyle w:val="Style38"/>
        <w:keepNext w:val="0"/>
        <w:keepLines w:val="0"/>
        <w:widowControl w:val="0"/>
        <w:shd w:val="clear" w:color="auto" w:fill="auto"/>
        <w:bidi w:val="0"/>
        <w:spacing w:before="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年，根据公司战略目标，结合新的经济形势和公司经营实际，力争实现营业收入</w:t>
      </w:r>
      <w:r>
        <w:rPr>
          <w:rFonts w:ascii="Times New Roman" w:eastAsia="Times New Roman" w:hAnsi="Times New Roman" w:cs="Times New Roman"/>
          <w:color w:val="000000"/>
          <w:spacing w:val="0"/>
          <w:w w:val="100"/>
          <w:position w:val="0"/>
        </w:rPr>
        <w:t>110</w:t>
      </w:r>
      <w:r>
        <w:rPr>
          <w:color w:val="000000"/>
          <w:spacing w:val="0"/>
          <w:w w:val="100"/>
          <w:position w:val="0"/>
        </w:rPr>
        <w:t>亿元的目标 （该经营目标并不代表公司对</w:t>
      </w:r>
      <w:r>
        <w:rPr>
          <w:rFonts w:ascii="Times New Roman" w:eastAsia="Times New Roman" w:hAnsi="Times New Roman" w:cs="Times New Roman"/>
          <w:color w:val="000000"/>
          <w:spacing w:val="0"/>
          <w:w w:val="100"/>
          <w:position w:val="0"/>
        </w:rPr>
        <w:t>2021</w:t>
      </w:r>
      <w:r>
        <w:rPr>
          <w:color w:val="000000"/>
          <w:spacing w:val="0"/>
          <w:w w:val="100"/>
          <w:position w:val="0"/>
        </w:rPr>
        <w:t>年度的盈利预测，能否实现取决于市场状况变化、经营团队的业绩等多 种因素，存在不确定性，请投资者特别注意）。</w:t>
      </w:r>
    </w:p>
    <w:p>
      <w:pPr>
        <w:pStyle w:val="Style38"/>
        <w:keepNext w:val="0"/>
        <w:keepLines w:val="0"/>
        <w:widowControl w:val="0"/>
        <w:numPr>
          <w:ilvl w:val="0"/>
          <w:numId w:val="31"/>
        </w:numPr>
        <w:shd w:val="clear" w:color="auto" w:fill="auto"/>
        <w:tabs>
          <w:tab w:pos="687" w:val="left"/>
        </w:tabs>
        <w:bidi w:val="0"/>
        <w:spacing w:before="0" w:line="467" w:lineRule="exact"/>
        <w:ind w:left="0" w:right="0" w:firstLine="440"/>
        <w:jc w:val="both"/>
      </w:pPr>
      <w:bookmarkStart w:id="270" w:name="bookmark270"/>
      <w:bookmarkEnd w:id="270"/>
      <w:r>
        <w:rPr>
          <w:color w:val="000000"/>
          <w:spacing w:val="0"/>
          <w:w w:val="100"/>
          <w:position w:val="0"/>
        </w:rPr>
        <w:t>电线电缆板块，落实新厂投建，规划新增产能，快速提升产能；推进生产单元的自主经营和精益生 产，重视产品质量，提升交付速度，提升经营效益。销售策略：稳步发展直接销售模式，优化调整客户结 构；快速拓展渠道分销，积极培育国际贸易。产品定位：做大中低压，做强高压，做专特缆，为客户提供 一体化绿色传输解决方案。</w:t>
      </w:r>
    </w:p>
    <w:p>
      <w:pPr>
        <w:pStyle w:val="Style38"/>
        <w:keepNext w:val="0"/>
        <w:keepLines w:val="0"/>
        <w:widowControl w:val="0"/>
        <w:numPr>
          <w:ilvl w:val="0"/>
          <w:numId w:val="31"/>
        </w:numPr>
        <w:shd w:val="clear" w:color="auto" w:fill="auto"/>
        <w:tabs>
          <w:tab w:pos="687" w:val="left"/>
        </w:tabs>
        <w:bidi w:val="0"/>
        <w:spacing w:before="0" w:line="473" w:lineRule="exact"/>
        <w:ind w:left="0" w:right="0" w:firstLine="440"/>
        <w:jc w:val="both"/>
      </w:pPr>
      <w:bookmarkStart w:id="271" w:name="bookmark271"/>
      <w:bookmarkEnd w:id="271"/>
      <w:r>
        <w:rPr>
          <w:color w:val="000000"/>
          <w:spacing w:val="0"/>
          <w:w w:val="100"/>
          <w:position w:val="0"/>
        </w:rPr>
        <w:t>新材料板块，践行</w:t>
      </w:r>
      <w:r>
        <w:rPr>
          <w:rFonts w:ascii="Times New Roman" w:eastAsia="Times New Roman" w:hAnsi="Times New Roman" w:cs="Times New Roman"/>
          <w:color w:val="000000"/>
          <w:spacing w:val="0"/>
          <w:w w:val="100"/>
          <w:position w:val="0"/>
        </w:rPr>
        <w:t>“</w:t>
      </w:r>
      <w:r>
        <w:rPr>
          <w:color w:val="000000"/>
          <w:spacing w:val="0"/>
          <w:w w:val="100"/>
          <w:position w:val="0"/>
        </w:rPr>
        <w:t>本地化、精细化、专业化、国际化</w:t>
      </w:r>
      <w:r>
        <w:rPr>
          <w:rFonts w:ascii="Times New Roman" w:eastAsia="Times New Roman" w:hAnsi="Times New Roman" w:cs="Times New Roman"/>
          <w:color w:val="000000"/>
          <w:spacing w:val="0"/>
          <w:w w:val="100"/>
          <w:position w:val="0"/>
        </w:rPr>
        <w:t>”</w:t>
      </w:r>
      <w:r>
        <w:rPr>
          <w:color w:val="000000"/>
          <w:spacing w:val="0"/>
          <w:w w:val="100"/>
          <w:position w:val="0"/>
        </w:rPr>
        <w:t>经营策略，着力拓展国际市场和细分领域， 重视研发投入，实施产品品类差异化策略，精细客户管理与服务，完善客户信用评价体系，推动营销体系 革新，推动贴近市场的组织变革。</w:t>
      </w:r>
    </w:p>
    <w:p>
      <w:pPr>
        <w:pStyle w:val="Style38"/>
        <w:keepNext w:val="0"/>
        <w:keepLines w:val="0"/>
        <w:widowControl w:val="0"/>
        <w:numPr>
          <w:ilvl w:val="0"/>
          <w:numId w:val="31"/>
        </w:numPr>
        <w:shd w:val="clear" w:color="auto" w:fill="auto"/>
        <w:bidi w:val="0"/>
        <w:spacing w:before="0" w:line="470" w:lineRule="exact"/>
        <w:ind w:left="0" w:right="0" w:firstLine="440"/>
        <w:jc w:val="both"/>
      </w:pPr>
      <w:bookmarkStart w:id="272" w:name="bookmark272"/>
      <w:bookmarkEnd w:id="272"/>
      <w:r>
        <w:rPr>
          <w:color w:val="000000"/>
          <w:spacing w:val="0"/>
          <w:w w:val="100"/>
          <w:position w:val="0"/>
        </w:rPr>
        <w:t>新能源板块，深耕</w:t>
      </w:r>
      <w:r>
        <w:rPr>
          <w:rFonts w:ascii="Times New Roman" w:eastAsia="Times New Roman" w:hAnsi="Times New Roman" w:cs="Times New Roman"/>
          <w:color w:val="000000"/>
          <w:spacing w:val="0"/>
          <w:w w:val="100"/>
          <w:position w:val="0"/>
        </w:rPr>
        <w:t>“</w:t>
      </w:r>
      <w:r>
        <w:rPr>
          <w:color w:val="000000"/>
          <w:spacing w:val="0"/>
          <w:w w:val="100"/>
          <w:position w:val="0"/>
        </w:rPr>
        <w:t>充电设备制造</w:t>
      </w:r>
      <w:r>
        <w:rPr>
          <w:rFonts w:ascii="Times New Roman" w:eastAsia="Times New Roman" w:hAnsi="Times New Roman" w:cs="Times New Roman"/>
          <w:color w:val="000000"/>
          <w:spacing w:val="0"/>
          <w:w w:val="100"/>
          <w:position w:val="0"/>
        </w:rPr>
        <w:t>+</w:t>
      </w:r>
      <w:r>
        <w:rPr>
          <w:color w:val="000000"/>
          <w:spacing w:val="0"/>
          <w:w w:val="100"/>
          <w:position w:val="0"/>
        </w:rPr>
        <w:t>全国充电场站投建</w:t>
      </w:r>
      <w:r>
        <w:rPr>
          <w:rFonts w:ascii="Times New Roman" w:eastAsia="Times New Roman" w:hAnsi="Times New Roman" w:cs="Times New Roman"/>
          <w:color w:val="000000"/>
          <w:spacing w:val="0"/>
          <w:w w:val="100"/>
          <w:position w:val="0"/>
        </w:rPr>
        <w:t>+</w:t>
      </w:r>
      <w:r>
        <w:rPr>
          <w:color w:val="000000"/>
          <w:spacing w:val="0"/>
          <w:w w:val="100"/>
          <w:position w:val="0"/>
        </w:rPr>
        <w:t>充电网络运营服务平台''三大主业，做强业务 竞争力，做大产业规模。在加强存量场站运营管理、提升运营效率和完善现有城市智能充电网络的基础上, 加大场站投建力度；有序推进场站投建，提升快充网的城市覆盖；加强运营服务水平及生态圈的深入合作； 加强研发实力，提升产品及技术的市场竞争力。</w:t>
      </w:r>
    </w:p>
    <w:p>
      <w:pPr>
        <w:pStyle w:val="Style38"/>
        <w:keepNext w:val="0"/>
        <w:keepLines w:val="0"/>
        <w:widowControl w:val="0"/>
        <w:shd w:val="clear" w:color="auto" w:fill="auto"/>
        <w:tabs>
          <w:tab w:pos="992" w:val="left"/>
        </w:tabs>
        <w:bidi w:val="0"/>
        <w:spacing w:before="0" w:line="470" w:lineRule="exact"/>
        <w:ind w:left="0" w:right="0" w:firstLine="440"/>
        <w:jc w:val="both"/>
      </w:pPr>
      <w:bookmarkStart w:id="273" w:name="bookmark273"/>
      <w:r>
        <w:rPr>
          <w:b/>
          <w:bCs/>
          <w:color w:val="000000"/>
          <w:spacing w:val="0"/>
          <w:w w:val="100"/>
          <w:position w:val="0"/>
        </w:rPr>
        <w:t>（</w:t>
      </w:r>
      <w:bookmarkEnd w:id="273"/>
      <w:r>
        <w:rPr>
          <w:b/>
          <w:bCs/>
          <w:color w:val="000000"/>
          <w:spacing w:val="0"/>
          <w:w w:val="100"/>
          <w:position w:val="0"/>
        </w:rPr>
        <w:t>四）</w:t>
        <w:tab/>
        <w:t>因维持当前业务并完成在建投资项目的资金需求</w:t>
      </w:r>
    </w:p>
    <w:p>
      <w:pPr>
        <w:pStyle w:val="Style38"/>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年度，为满足公司经营发展和资本支出的需要，并结合企业年度经营计划，公司将积极采取诸如 银行债务融资、银行间交易市场融资和债券融资等多种短长融资方式相结合的形式，取得资金成本较低的 外部资金，更好的满足企业持续发展的需要。除此之外，公司将继续加强对下属公司的财务管理和风险控 制，全面实现预算管理的各项指标并优化，进一步加强应收账款管理，运用合适的供应链金融工具，提高 资金使用效率，降低融资成本，改善经营性现金流，优化企业债务结构，确保公司全年生产经营目标的顺 利实现。公司的资金成本受国家货币政策、本单位资信状况、银行关系以及融资方式等多种因素的影响， 存在一定的不确定性，敬请投资者关注风险。</w:t>
      </w:r>
    </w:p>
    <w:p>
      <w:pPr>
        <w:pStyle w:val="Style38"/>
        <w:keepNext w:val="0"/>
        <w:keepLines w:val="0"/>
        <w:widowControl w:val="0"/>
        <w:shd w:val="clear" w:color="auto" w:fill="auto"/>
        <w:tabs>
          <w:tab w:pos="992" w:val="left"/>
        </w:tabs>
        <w:bidi w:val="0"/>
        <w:spacing w:before="0" w:line="470" w:lineRule="exact"/>
        <w:ind w:left="0" w:right="0" w:firstLine="440"/>
        <w:jc w:val="both"/>
      </w:pPr>
      <w:bookmarkStart w:id="274" w:name="bookmark274"/>
      <w:r>
        <w:rPr>
          <w:b/>
          <w:bCs/>
          <w:color w:val="000000"/>
          <w:spacing w:val="0"/>
          <w:w w:val="100"/>
          <w:position w:val="0"/>
        </w:rPr>
        <w:t>（</w:t>
      </w:r>
      <w:bookmarkEnd w:id="274"/>
      <w:r>
        <w:rPr>
          <w:b/>
          <w:bCs/>
          <w:color w:val="000000"/>
          <w:spacing w:val="0"/>
          <w:w w:val="100"/>
          <w:position w:val="0"/>
        </w:rPr>
        <w:t>五）</w:t>
        <w:tab/>
        <w:t>风险因素</w:t>
      </w:r>
    </w:p>
    <w:p>
      <w:pPr>
        <w:pStyle w:val="Style38"/>
        <w:keepNext w:val="0"/>
        <w:keepLines w:val="0"/>
        <w:widowControl w:val="0"/>
        <w:numPr>
          <w:ilvl w:val="0"/>
          <w:numId w:val="33"/>
        </w:numPr>
        <w:shd w:val="clear" w:color="auto" w:fill="auto"/>
        <w:tabs>
          <w:tab w:pos="733" w:val="left"/>
        </w:tabs>
        <w:bidi w:val="0"/>
        <w:spacing w:before="0" w:line="470" w:lineRule="exact"/>
        <w:ind w:left="0" w:right="0" w:firstLine="440"/>
        <w:jc w:val="both"/>
      </w:pPr>
      <w:bookmarkStart w:id="275" w:name="bookmark275"/>
      <w:bookmarkEnd w:id="275"/>
      <w:r>
        <w:rPr>
          <w:b/>
          <w:bCs/>
          <w:color w:val="000000"/>
          <w:spacing w:val="0"/>
          <w:w w:val="100"/>
          <w:position w:val="0"/>
        </w:rPr>
        <w:t>行业政策性风险</w:t>
      </w:r>
    </w:p>
    <w:p>
      <w:pPr>
        <w:pStyle w:val="Style38"/>
        <w:keepNext w:val="0"/>
        <w:keepLines w:val="0"/>
        <w:widowControl w:val="0"/>
        <w:shd w:val="clear" w:color="auto" w:fill="auto"/>
        <w:bidi w:val="0"/>
        <w:spacing w:before="0" w:line="467" w:lineRule="exact"/>
        <w:ind w:left="0" w:right="0" w:firstLine="440"/>
        <w:jc w:val="both"/>
      </w:pPr>
      <w:r>
        <w:rPr>
          <w:color w:val="000000"/>
          <w:spacing w:val="0"/>
          <w:w w:val="100"/>
          <w:position w:val="0"/>
        </w:rPr>
        <w:t>公司主要涉及电线电缆行业、新材料行业、电动汽车充电桩行业等。各行业的发展受到国家宏观政策 的影响。国务院、国家发改委等相关部门发布政策继续优化产业结构，强力推进节能减排工作，加快发展 低碳经济，大力发展新能源、智能电网、电动汽车、能源互联网等战略性新兴产业。国家政策为公司发展 带来机遇，同时也带来一定的政策变动的风险。</w:t>
      </w:r>
    </w:p>
    <w:p>
      <w:pPr>
        <w:pStyle w:val="Style38"/>
        <w:keepNext w:val="0"/>
        <w:keepLines w:val="0"/>
        <w:widowControl w:val="0"/>
        <w:numPr>
          <w:ilvl w:val="0"/>
          <w:numId w:val="33"/>
        </w:numPr>
        <w:shd w:val="clear" w:color="auto" w:fill="auto"/>
        <w:tabs>
          <w:tab w:pos="742" w:val="left"/>
        </w:tabs>
        <w:bidi w:val="0"/>
        <w:spacing w:before="0" w:line="470" w:lineRule="exact"/>
        <w:ind w:left="0" w:right="0" w:firstLine="440"/>
        <w:jc w:val="both"/>
      </w:pPr>
      <w:bookmarkStart w:id="276" w:name="bookmark276"/>
      <w:bookmarkEnd w:id="276"/>
      <w:r>
        <w:rPr>
          <w:b/>
          <w:bCs/>
          <w:color w:val="000000"/>
          <w:spacing w:val="0"/>
          <w:w w:val="100"/>
          <w:position w:val="0"/>
        </w:rPr>
        <w:t>原材料价格大幅波动带来的经营风险</w:t>
      </w:r>
    </w:p>
    <w:p>
      <w:pPr>
        <w:pStyle w:val="Style38"/>
        <w:keepNext w:val="0"/>
        <w:keepLines w:val="0"/>
        <w:widowControl w:val="0"/>
        <w:shd w:val="clear" w:color="auto" w:fill="auto"/>
        <w:bidi w:val="0"/>
        <w:spacing w:before="0" w:line="469" w:lineRule="exact"/>
        <w:ind w:left="0" w:right="0" w:firstLine="440"/>
        <w:jc w:val="both"/>
      </w:pPr>
      <w:r>
        <w:rPr>
          <w:color w:val="000000"/>
          <w:spacing w:val="0"/>
          <w:w w:val="100"/>
          <w:position w:val="0"/>
        </w:rPr>
        <w:t xml:space="preserve">电线电缆的最主要原材料为铜材，公司与客户签订的销售合同通常为闭口合同，即在签订合同时便锁 定销货价格，铜价格波动会直接影响到公司经营业绩。尽管公司通过定价机制（依据当前铜价，通过公司 </w:t>
      </w:r>
      <w:r>
        <w:rPr>
          <w:rFonts w:ascii="Times New Roman" w:eastAsia="Times New Roman" w:hAnsi="Times New Roman" w:cs="Times New Roman"/>
          <w:color w:val="000000"/>
          <w:spacing w:val="0"/>
          <w:w w:val="100"/>
          <w:position w:val="0"/>
        </w:rPr>
        <w:t>ERP</w:t>
      </w:r>
      <w:r>
        <w:rPr>
          <w:color w:val="000000"/>
          <w:spacing w:val="0"/>
          <w:w w:val="100"/>
          <w:position w:val="0"/>
        </w:rPr>
        <w:t>系统快速调整对外报价）、锁铜（与铜材供应商签订远期合约）、套期保值、按订单生产等方式，有 效地降低了铜价波动带来的经营风险，并且公司始终坚持</w:t>
      </w:r>
      <w:r>
        <w:rPr>
          <w:rFonts w:ascii="Times New Roman" w:eastAsia="Times New Roman" w:hAnsi="Times New Roman" w:cs="Times New Roman"/>
          <w:color w:val="000000"/>
          <w:spacing w:val="0"/>
          <w:w w:val="100"/>
          <w:position w:val="0"/>
        </w:rPr>
        <w:t>“</w:t>
      </w:r>
      <w:r>
        <w:rPr>
          <w:color w:val="000000"/>
          <w:spacing w:val="0"/>
          <w:w w:val="100"/>
          <w:position w:val="0"/>
        </w:rPr>
        <w:t>获取经营利润、远离铜材投机</w:t>
      </w:r>
      <w:r>
        <w:rPr>
          <w:color w:val="000000"/>
          <w:spacing w:val="0"/>
          <w:w w:val="100"/>
          <w:position w:val="0"/>
        </w:rPr>
        <w:t>''</w:t>
      </w:r>
      <w:r>
        <w:rPr>
          <w:color w:val="000000"/>
          <w:spacing w:val="0"/>
          <w:w w:val="100"/>
          <w:position w:val="0"/>
        </w:rPr>
        <w:t>的原则，但是铜 材价格大幅波动仍可能对本公司产生不利影响。</w:t>
      </w:r>
    </w:p>
    <w:p>
      <w:pPr>
        <w:pStyle w:val="Style38"/>
        <w:keepNext w:val="0"/>
        <w:keepLines w:val="0"/>
        <w:widowControl w:val="0"/>
        <w:numPr>
          <w:ilvl w:val="0"/>
          <w:numId w:val="33"/>
        </w:numPr>
        <w:shd w:val="clear" w:color="auto" w:fill="auto"/>
        <w:tabs>
          <w:tab w:pos="742" w:val="left"/>
        </w:tabs>
        <w:bidi w:val="0"/>
        <w:spacing w:before="0" w:line="470" w:lineRule="exact"/>
        <w:ind w:left="0" w:right="0" w:firstLine="440"/>
        <w:jc w:val="both"/>
      </w:pPr>
      <w:bookmarkStart w:id="277" w:name="bookmark277"/>
      <w:bookmarkEnd w:id="277"/>
      <w:r>
        <w:rPr>
          <w:b/>
          <w:bCs/>
          <w:color w:val="000000"/>
          <w:spacing w:val="0"/>
          <w:w w:val="100"/>
          <w:position w:val="0"/>
        </w:rPr>
        <w:t>应收账款余额较高带来的财务风险</w:t>
      </w:r>
    </w:p>
    <w:p>
      <w:pPr>
        <w:pStyle w:val="Style38"/>
        <w:keepNext w:val="0"/>
        <w:keepLines w:val="0"/>
        <w:widowControl w:val="0"/>
        <w:shd w:val="clear" w:color="auto" w:fill="auto"/>
        <w:bidi w:val="0"/>
        <w:spacing w:before="0" w:line="470" w:lineRule="exact"/>
        <w:ind w:left="0" w:right="0" w:firstLine="440"/>
        <w:jc w:val="both"/>
      </w:pPr>
      <w:r>
        <w:rPr>
          <w:color w:val="000000"/>
          <w:spacing w:val="0"/>
          <w:w w:val="100"/>
          <w:position w:val="0"/>
        </w:rPr>
        <w:t xml:space="preserve">公司应收账款余额及占流动资产的比重较高。虽然主要客户的信用状况良好，公司历史产生的坏账较 </w:t>
      </w:r>
      <w:r>
        <w:rPr>
          <w:color w:val="000000"/>
          <w:spacing w:val="0"/>
          <w:w w:val="100"/>
          <w:position w:val="0"/>
        </w:rPr>
        <w:t>少，但一旦客户的财务状况恶化或信用状况发生重大变化，将对公司的生产经营及未来偿债能力产生不利 影响。公司将采取有效措施以加强应收账款回收、控制应收账款金额。</w:t>
      </w:r>
    </w:p>
    <w:p>
      <w:pPr>
        <w:pStyle w:val="Style38"/>
        <w:keepNext w:val="0"/>
        <w:keepLines w:val="0"/>
        <w:widowControl w:val="0"/>
        <w:numPr>
          <w:ilvl w:val="0"/>
          <w:numId w:val="33"/>
        </w:numPr>
        <w:shd w:val="clear" w:color="auto" w:fill="auto"/>
        <w:tabs>
          <w:tab w:pos="784" w:val="left"/>
        </w:tabs>
        <w:bidi w:val="0"/>
        <w:spacing w:before="0" w:line="468" w:lineRule="exact"/>
        <w:ind w:left="0" w:right="0" w:firstLine="440"/>
        <w:jc w:val="both"/>
      </w:pPr>
      <w:bookmarkStart w:id="278" w:name="bookmark278"/>
      <w:bookmarkEnd w:id="278"/>
      <w:r>
        <w:rPr>
          <w:b/>
          <w:bCs/>
          <w:color w:val="000000"/>
          <w:spacing w:val="0"/>
          <w:w w:val="100"/>
          <w:position w:val="0"/>
        </w:rPr>
        <w:t>产品质量风险</w:t>
      </w:r>
    </w:p>
    <w:p>
      <w:pPr>
        <w:pStyle w:val="Style38"/>
        <w:keepNext w:val="0"/>
        <w:keepLines w:val="0"/>
        <w:widowControl w:val="0"/>
        <w:shd w:val="clear" w:color="auto" w:fill="auto"/>
        <w:bidi w:val="0"/>
        <w:spacing w:before="0" w:line="468" w:lineRule="exact"/>
        <w:ind w:left="0" w:right="0" w:firstLine="440"/>
        <w:jc w:val="both"/>
      </w:pPr>
      <w:r>
        <w:rPr>
          <w:color w:val="000000"/>
          <w:spacing w:val="0"/>
          <w:w w:val="100"/>
          <w:position w:val="0"/>
        </w:rPr>
        <w:t>公司主要产品为电线电缆产品，产品质量非常关键，一旦出现故障，有可能造成用户电力系统严重事 故，甚至危及电网的安全，给公司信誉带来重大损害，影响公司生产经营。公司产品出厂后，如果下游用 户在安装检验过程中发现质量问题，要求公司返工或退货，将会直接影响公司的经济效益。公司一贯重视 产品质量，对客户提供安全承诺，报告期内未因产品质量问题与客户发生诉讼纠纷。但是，如果公司产品 出现质量缺陷，将会对公司生产经营产生不利影响。</w:t>
      </w:r>
    </w:p>
    <w:p>
      <w:pPr>
        <w:pStyle w:val="Style38"/>
        <w:keepNext w:val="0"/>
        <w:keepLines w:val="0"/>
        <w:widowControl w:val="0"/>
        <w:numPr>
          <w:ilvl w:val="0"/>
          <w:numId w:val="33"/>
        </w:numPr>
        <w:shd w:val="clear" w:color="auto" w:fill="auto"/>
        <w:tabs>
          <w:tab w:pos="784" w:val="left"/>
        </w:tabs>
        <w:bidi w:val="0"/>
        <w:spacing w:before="0" w:line="468" w:lineRule="exact"/>
        <w:ind w:left="0" w:right="0" w:firstLine="440"/>
        <w:jc w:val="both"/>
      </w:pPr>
      <w:bookmarkStart w:id="279" w:name="bookmark279"/>
      <w:bookmarkEnd w:id="279"/>
      <w:r>
        <w:rPr>
          <w:b/>
          <w:bCs/>
          <w:color w:val="000000"/>
          <w:spacing w:val="0"/>
          <w:w w:val="100"/>
          <w:position w:val="0"/>
        </w:rPr>
        <w:t>后疫情时期和国际形势风险</w:t>
      </w:r>
    </w:p>
    <w:p>
      <w:pPr>
        <w:pStyle w:val="Style38"/>
        <w:keepNext w:val="0"/>
        <w:keepLines w:val="0"/>
        <w:widowControl w:val="0"/>
        <w:shd w:val="clear" w:color="auto" w:fill="auto"/>
        <w:bidi w:val="0"/>
        <w:spacing w:before="0" w:after="440" w:line="461" w:lineRule="exact"/>
        <w:ind w:left="0" w:right="0" w:firstLine="440"/>
        <w:jc w:val="both"/>
      </w:pPr>
      <w:r>
        <w:rPr>
          <w:color w:val="000000"/>
          <w:spacing w:val="0"/>
          <w:w w:val="100"/>
          <w:position w:val="0"/>
        </w:rPr>
        <w:t>肺炎疫情目前虽然得到总体控制，但国内经济情况尚未完全恢复，国际形势存在不稳定不确定因素， 对企业的影响尚存在一定不确定性风险。</w:t>
      </w:r>
    </w:p>
    <w:p>
      <w:pPr>
        <w:pStyle w:val="Style26"/>
        <w:keepNext/>
        <w:keepLines/>
        <w:widowControl w:val="0"/>
        <w:shd w:val="clear" w:color="auto" w:fill="auto"/>
        <w:bidi w:val="0"/>
        <w:spacing w:before="0" w:after="140" w:line="240" w:lineRule="auto"/>
        <w:ind w:left="0" w:right="0" w:firstLine="0"/>
        <w:jc w:val="left"/>
      </w:pPr>
      <w:bookmarkStart w:id="280" w:name="bookmark280"/>
      <w:bookmarkStart w:id="281" w:name="bookmark281"/>
      <w:bookmarkStart w:id="282" w:name="bookmark282"/>
      <w:r>
        <w:rPr>
          <w:color w:val="000000"/>
          <w:spacing w:val="0"/>
          <w:w w:val="100"/>
          <w:position w:val="0"/>
          <w:sz w:val="24"/>
          <w:szCs w:val="24"/>
        </w:rPr>
        <w:t>十、接待调研、沟通、采访等活动</w:t>
      </w:r>
      <w:bookmarkEnd w:id="280"/>
      <w:bookmarkEnd w:id="281"/>
      <w:bookmarkEnd w:id="282"/>
    </w:p>
    <w:p>
      <w:pPr>
        <w:pStyle w:val="Style34"/>
        <w:keepNext/>
        <w:keepLines/>
        <w:widowControl w:val="0"/>
        <w:shd w:val="clear" w:color="auto" w:fill="auto"/>
        <w:bidi w:val="0"/>
        <w:spacing w:before="0" w:after="360" w:line="468"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、报告期内接待调研、沟通、采访等活动登记表</w:t>
      </w:r>
      <w:bookmarkEnd w:id="283"/>
      <w:bookmarkEnd w:id="284"/>
      <w:bookmarkEnd w:id="28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744"/>
        <w:gridCol w:w="907"/>
        <w:gridCol w:w="706"/>
        <w:gridCol w:w="2558"/>
        <w:gridCol w:w="1560"/>
        <w:gridCol w:w="1805"/>
      </w:tblGrid>
      <w:tr>
        <w:trPr>
          <w:trHeight w:val="95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180" w:right="0" w:firstLine="0"/>
              <w:jc w:val="left"/>
            </w:pPr>
            <w:r>
              <w:rPr>
                <w:rFonts w:ascii="SimSun" w:eastAsia="SimSun" w:hAnsi="SimSun" w:cs="SimSun"/>
                <w:color w:val="000000"/>
                <w:spacing w:val="0"/>
                <w:w w:val="100"/>
                <w:position w:val="0"/>
              </w:rPr>
              <w:t>接待 地点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接待方 式</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接待 对象 类型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谈论的主要内容 及提供的资料</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调研的基本情况索</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引</w:t>
            </w: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英大保险资产管理有限公司： 张成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公司发展战略及 电线电缆、新材 料、新能源三大 业务板块发展情 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310"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www. cninfo .com.cn</w:t>
            </w:r>
          </w:p>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20200109</w:t>
            </w:r>
            <w:r>
              <w:rPr>
                <w:rFonts w:ascii="SimSun" w:eastAsia="SimSun" w:hAnsi="SimSun" w:cs="SimSun"/>
                <w:color w:val="000000"/>
                <w:spacing w:val="0"/>
                <w:w w:val="100"/>
                <w:position w:val="0"/>
              </w:rPr>
              <w:t>》</w:t>
            </w: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平安证券：朱栋、王霖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公司发展战略及 电线电缆、新材 料、新能源三大 业务板块发展情 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310"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20200521</w:t>
            </w:r>
            <w:r>
              <w:rPr>
                <w:rFonts w:ascii="SimSun" w:eastAsia="SimSun" w:hAnsi="SimSun" w:cs="SimSun"/>
                <w:color w:val="000000"/>
                <w:spacing w:val="0"/>
                <w:w w:val="100"/>
                <w:position w:val="0"/>
              </w:rPr>
              <w:t>》</w:t>
            </w:r>
          </w:p>
        </w:tc>
      </w:tr>
      <w:tr>
        <w:trPr>
          <w:trHeight w:val="12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、群益投信</w:t>
            </w:r>
            <w:r>
              <w:rPr>
                <w:color w:val="000000"/>
                <w:spacing w:val="0"/>
                <w:w w:val="100"/>
                <w:position w:val="0"/>
              </w:rPr>
              <w:t>CapitalAM</w:t>
            </w:r>
            <w:r>
              <w:rPr>
                <w:rFonts w:ascii="SimSun" w:eastAsia="SimSun" w:hAnsi="SimSun" w:cs="SimSun"/>
                <w:color w:val="000000"/>
                <w:spacing w:val="0"/>
                <w:w w:val="100"/>
                <w:position w:val="0"/>
              </w:rPr>
              <w:t xml:space="preserve">洪玉 婷 </w:t>
            </w:r>
            <w:r>
              <w:rPr>
                <w:color w:val="000000"/>
                <w:spacing w:val="0"/>
                <w:w w:val="100"/>
                <w:position w:val="0"/>
              </w:rPr>
              <w:t>Jocerly2</w:t>
            </w:r>
            <w:r>
              <w:rPr>
                <w:rFonts w:ascii="SimSun" w:eastAsia="SimSun" w:hAnsi="SimSun" w:cs="SimSun"/>
                <w:color w:val="000000"/>
                <w:spacing w:val="0"/>
                <w:w w:val="100"/>
                <w:position w:val="0"/>
              </w:rPr>
              <w:t>、</w:t>
            </w:r>
            <w:r>
              <w:rPr>
                <w:color w:val="000000"/>
                <w:spacing w:val="0"/>
                <w:w w:val="100"/>
                <w:position w:val="0"/>
              </w:rPr>
              <w:t xml:space="preserve">China Everbright Asset Management TJ Hsu </w:t>
            </w:r>
            <w:r>
              <w:rPr>
                <w:rFonts w:ascii="SimSun" w:eastAsia="SimSun" w:hAnsi="SimSun" w:cs="SimSun"/>
                <w:color w:val="000000"/>
                <w:spacing w:val="0"/>
                <w:w w:val="100"/>
                <w:position w:val="0"/>
              </w:rPr>
              <w:t xml:space="preserve">徐 德仁 </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 xml:space="preserve">IGWT Investment </w:t>
            </w:r>
            <w:r>
              <w:rPr>
                <w:rFonts w:ascii="SimSun" w:eastAsia="SimSun" w:hAnsi="SimSun" w:cs="SimSun"/>
                <w:color w:val="000000"/>
                <w:spacing w:val="0"/>
                <w:w w:val="100"/>
                <w:position w:val="0"/>
              </w:rPr>
              <w:t>廖</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公司发展战略及 电线电缆、新材 料、新能源三大 业务板块发展情</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rFonts w:ascii="SimSun" w:eastAsia="SimSun" w:hAnsi="SimSun" w:cs="SimSun"/>
                <w:color w:val="000000"/>
                <w:spacing w:val="0"/>
                <w:w w:val="100"/>
                <w:position w:val="0"/>
              </w:rPr>
              <w:t>《万马股份：</w:t>
            </w:r>
            <w:r>
              <w:rPr>
                <w:color w:val="000000"/>
                <w:spacing w:val="0"/>
                <w:w w:val="100"/>
                <w:position w:val="0"/>
              </w:rPr>
              <w:t>002276</w:t>
            </w:r>
          </w:p>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万马股份投资者关</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type w:val="continuous"/>
          <w:pgSz w:w="11900" w:h="16840"/>
          <w:pgMar w:top="1700" w:right="1053" w:bottom="1446" w:left="1056" w:header="0" w:footer="3" w:gutter="0"/>
          <w:cols w:space="720"/>
          <w:noEndnote/>
          <w:rtlGutter w:val="0"/>
          <w:docGrid w:linePitch="360"/>
        </w:sectPr>
      </w:pPr>
    </w:p>
    <w:tbl>
      <w:tblPr>
        <w:tblOverlap w:val="never"/>
        <w:jc w:val="center"/>
        <w:tblLayout w:type="fixed"/>
      </w:tblPr>
      <w:tblGrid>
        <w:gridCol w:w="1301"/>
        <w:gridCol w:w="744"/>
        <w:gridCol w:w="907"/>
        <w:gridCol w:w="706"/>
        <w:gridCol w:w="2558"/>
        <w:gridCol w:w="1560"/>
        <w:gridCol w:w="180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克金名</w:t>
            </w:r>
            <w:r>
              <w:rPr>
                <w:color w:val="000000"/>
                <w:spacing w:val="0"/>
                <w:w w:val="100"/>
                <w:position w:val="0"/>
              </w:rPr>
              <w:t xml:space="preserve">Kevin Liao </w:t>
            </w:r>
            <w:r>
              <w:rPr>
                <w:color w:val="000000"/>
                <w:spacing w:val="0"/>
                <w:w w:val="100"/>
                <w:position w:val="0"/>
              </w:rPr>
              <w:t>4</w:t>
            </w:r>
            <w:r>
              <w:rPr>
                <w:rFonts w:ascii="SimSun" w:eastAsia="SimSun" w:hAnsi="SimSun" w:cs="SimSun"/>
                <w:color w:val="000000"/>
                <w:spacing w:val="0"/>
                <w:w w:val="100"/>
                <w:position w:val="0"/>
              </w:rPr>
              <w:t>^阈|泰涂券 丁慧瑜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系管理档案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20200601</w:t>
            </w:r>
            <w:r>
              <w:rPr>
                <w:rFonts w:ascii="SimSun" w:eastAsia="SimSun" w:hAnsi="SimSun" w:cs="SimSun"/>
                <w:color w:val="000000"/>
                <w:spacing w:val="0"/>
                <w:w w:val="100"/>
                <w:position w:val="0"/>
              </w:rPr>
              <w:t>》</w:t>
            </w:r>
          </w:p>
        </w:tc>
      </w:tr>
      <w:tr>
        <w:trPr>
          <w:trHeight w:val="28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万马 创新 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、成都美创医疗科技股份有限 公司王帝钧</w:t>
            </w:r>
            <w:r>
              <w:rPr>
                <w:color w:val="000000"/>
                <w:spacing w:val="0"/>
                <w:w w:val="100"/>
                <w:position w:val="0"/>
              </w:rPr>
              <w:t>2</w:t>
            </w:r>
            <w:r>
              <w:rPr>
                <w:rFonts w:ascii="SimSun" w:eastAsia="SimSun" w:hAnsi="SimSun" w:cs="SimSun"/>
                <w:color w:val="000000"/>
                <w:spacing w:val="0"/>
                <w:w w:val="100"/>
                <w:position w:val="0"/>
              </w:rPr>
              <w:t>、深圳牛鼎投资 有限公司庄海燕</w:t>
            </w:r>
            <w:r>
              <w:rPr>
                <w:color w:val="000000"/>
                <w:spacing w:val="0"/>
                <w:w w:val="100"/>
                <w:position w:val="0"/>
              </w:rPr>
              <w:t>3</w:t>
            </w:r>
            <w:r>
              <w:rPr>
                <w:rFonts w:ascii="SimSun" w:eastAsia="SimSun" w:hAnsi="SimSun" w:cs="SimSun"/>
                <w:color w:val="000000"/>
                <w:spacing w:val="0"/>
                <w:w w:val="100"/>
                <w:position w:val="0"/>
              </w:rPr>
              <w:t>、南通通州 江华纺织有限公司朱晨萍</w:t>
            </w:r>
            <w:r>
              <w:rPr>
                <w:color w:val="000000"/>
                <w:spacing w:val="0"/>
                <w:w w:val="100"/>
                <w:position w:val="0"/>
              </w:rPr>
              <w:t>4</w:t>
            </w:r>
            <w:r>
              <w:rPr>
                <w:rFonts w:ascii="SimSun" w:eastAsia="SimSun" w:hAnsi="SimSun" w:cs="SimSun"/>
                <w:color w:val="000000"/>
                <w:spacing w:val="0"/>
                <w:w w:val="100"/>
                <w:position w:val="0"/>
              </w:rPr>
              <w:t>、 雪松国际信托钟隆翔</w:t>
            </w:r>
            <w:r>
              <w:rPr>
                <w:color w:val="000000"/>
                <w:spacing w:val="0"/>
                <w:w w:val="100"/>
                <w:position w:val="0"/>
              </w:rPr>
              <w:t>5</w:t>
            </w:r>
            <w:r>
              <w:rPr>
                <w:rFonts w:ascii="SimSun" w:eastAsia="SimSun" w:hAnsi="SimSun" w:cs="SimSun"/>
                <w:color w:val="000000"/>
                <w:spacing w:val="0"/>
                <w:w w:val="100"/>
                <w:position w:val="0"/>
              </w:rPr>
              <w:t>、浙江 温州华艺激光有限公司董会 平</w:t>
            </w:r>
            <w:r>
              <w:rPr>
                <w:color w:val="000000"/>
                <w:spacing w:val="0"/>
                <w:w w:val="100"/>
                <w:position w:val="0"/>
              </w:rPr>
              <w:t>6</w:t>
            </w:r>
            <w:r>
              <w:rPr>
                <w:rFonts w:ascii="SimSun" w:eastAsia="SimSun" w:hAnsi="SimSun" w:cs="SimSun"/>
                <w:color w:val="000000"/>
                <w:spacing w:val="0"/>
                <w:w w:val="100"/>
                <w:position w:val="0"/>
              </w:rPr>
              <w:t>、杭州象树资产管理有限 公司方万里</w:t>
            </w:r>
            <w:r>
              <w:rPr>
                <w:color w:val="000000"/>
                <w:spacing w:val="0"/>
                <w:w w:val="100"/>
                <w:position w:val="0"/>
              </w:rPr>
              <w:t>7</w:t>
            </w:r>
            <w:r>
              <w:rPr>
                <w:rFonts w:ascii="SimSun" w:eastAsia="SimSun" w:hAnsi="SimSun" w:cs="SimSun"/>
                <w:color w:val="000000"/>
                <w:spacing w:val="0"/>
                <w:w w:val="100"/>
                <w:position w:val="0"/>
              </w:rPr>
              <w:t>、上海檀香文化 咨询有限公司柳长青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公司发展战略及 电线电缆、新材 料、新能源三大 业务板块发展情 况，参观调研公 司展厅、万马智 能充电示范站及 新能源生产车间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310"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www. cninfo .com.cn</w:t>
            </w:r>
          </w:p>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20200623</w:t>
            </w:r>
            <w:r>
              <w:rPr>
                <w:rFonts w:ascii="SimSun" w:eastAsia="SimSun" w:hAnsi="SimSun" w:cs="SimSun"/>
                <w:color w:val="000000"/>
                <w:spacing w:val="0"/>
                <w:w w:val="100"/>
                <w:position w:val="0"/>
              </w:rPr>
              <w:t>》</w:t>
            </w: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实地调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财通证券研究员：龚斯闻、林 煜、邹一瑜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公司发展战略及 电线电缆、新材 料、新能源三大 业务板块发展情 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20200728</w:t>
            </w:r>
            <w:r>
              <w:rPr>
                <w:rFonts w:ascii="SimSun" w:eastAsia="SimSun" w:hAnsi="SimSun" w:cs="SimSun"/>
                <w:color w:val="000000"/>
                <w:spacing w:val="0"/>
                <w:w w:val="100"/>
                <w:position w:val="0"/>
              </w:rPr>
              <w:t>》</w:t>
            </w:r>
          </w:p>
        </w:tc>
      </w:tr>
      <w:tr>
        <w:trPr>
          <w:trHeight w:val="81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ALLIANCE BERNSTEIN</w:t>
            </w:r>
            <w:r>
              <w:rPr>
                <w:rFonts w:ascii="SimSun" w:eastAsia="SimSun" w:hAnsi="SimSun" w:cs="SimSun"/>
                <w:color w:val="000000"/>
                <w:spacing w:val="0"/>
                <w:w w:val="100"/>
                <w:position w:val="0"/>
              </w:rPr>
              <w:t xml:space="preserve">： </w:t>
            </w:r>
            <w:r>
              <w:rPr>
                <w:color w:val="000000"/>
                <w:spacing w:val="0"/>
                <w:w w:val="100"/>
                <w:position w:val="0"/>
              </w:rPr>
              <w:t>MUTIANYANG2</w:t>
            </w:r>
            <w:r>
              <w:rPr>
                <w:rFonts w:ascii="SimSun" w:eastAsia="SimSun" w:hAnsi="SimSun" w:cs="SimSun"/>
                <w:color w:val="000000"/>
                <w:spacing w:val="0"/>
                <w:w w:val="100"/>
                <w:position w:val="0"/>
              </w:rPr>
              <w:t>、</w:t>
            </w:r>
            <w:r>
              <w:rPr>
                <w:color w:val="000000"/>
                <w:spacing w:val="0"/>
                <w:w w:val="100"/>
                <w:position w:val="0"/>
              </w:rPr>
              <w:t>ASPEX MANAGEMENT</w:t>
            </w:r>
            <w:r>
              <w:rPr>
                <w:rFonts w:ascii="SimSun" w:eastAsia="SimSun" w:hAnsi="SimSun" w:cs="SimSun"/>
                <w:color w:val="000000"/>
                <w:spacing w:val="0"/>
                <w:w w:val="100"/>
                <w:position w:val="0"/>
              </w:rPr>
              <w:t xml:space="preserve">： </w:t>
            </w:r>
            <w:r>
              <w:rPr>
                <w:color w:val="000000"/>
                <w:spacing w:val="0"/>
                <w:w w:val="100"/>
                <w:position w:val="0"/>
              </w:rPr>
              <w:t>WEI CHEN 3</w:t>
            </w:r>
            <w:r>
              <w:rPr>
                <w:rFonts w:ascii="SimSun" w:eastAsia="SimSun" w:hAnsi="SimSun" w:cs="SimSun"/>
                <w:color w:val="000000"/>
                <w:spacing w:val="0"/>
                <w:w w:val="100"/>
                <w:position w:val="0"/>
              </w:rPr>
              <w:t>、</w:t>
            </w:r>
            <w:r>
              <w:rPr>
                <w:color w:val="000000"/>
                <w:spacing w:val="0"/>
                <w:w w:val="100"/>
                <w:position w:val="0"/>
              </w:rPr>
              <w:t>BNP PARIBAS INVESTMENT PARTNERS</w:t>
            </w:r>
            <w:r>
              <w:rPr>
                <w:rFonts w:ascii="SimSun" w:eastAsia="SimSun" w:hAnsi="SimSun" w:cs="SimSun"/>
                <w:color w:val="000000"/>
                <w:spacing w:val="0"/>
                <w:w w:val="100"/>
                <w:position w:val="0"/>
              </w:rPr>
              <w:t xml:space="preserve">： </w:t>
            </w:r>
            <w:r>
              <w:rPr>
                <w:color w:val="000000"/>
                <w:spacing w:val="0"/>
                <w:w w:val="100"/>
                <w:position w:val="0"/>
              </w:rPr>
              <w:t>DAVID CHOA4</w:t>
            </w:r>
            <w:r>
              <w:rPr>
                <w:rFonts w:ascii="SimSun" w:eastAsia="SimSun" w:hAnsi="SimSun" w:cs="SimSun"/>
                <w:color w:val="000000"/>
                <w:spacing w:val="0"/>
                <w:w w:val="100"/>
                <w:position w:val="0"/>
              </w:rPr>
              <w:t xml:space="preserve">、 </w:t>
            </w:r>
            <w:r>
              <w:rPr>
                <w:color w:val="000000"/>
                <w:spacing w:val="0"/>
                <w:w w:val="100"/>
                <w:position w:val="0"/>
              </w:rPr>
              <w:t>CONFIDENTIAL</w:t>
            </w:r>
            <w:r>
              <w:rPr>
                <w:rFonts w:ascii="SimSun" w:eastAsia="SimSun" w:hAnsi="SimSun" w:cs="SimSun"/>
                <w:color w:val="000000"/>
                <w:spacing w:val="0"/>
                <w:w w:val="100"/>
                <w:position w:val="0"/>
              </w:rPr>
              <w:t xml:space="preserve">： </w:t>
            </w:r>
            <w:r>
              <w:rPr>
                <w:color w:val="000000"/>
                <w:spacing w:val="0"/>
                <w:w w:val="100"/>
                <w:position w:val="0"/>
              </w:rPr>
              <w:t>RUDA YANG5</w:t>
            </w:r>
            <w:r>
              <w:rPr>
                <w:rFonts w:ascii="SimSun" w:eastAsia="SimSun" w:hAnsi="SimSun" w:cs="SimSun"/>
                <w:color w:val="000000"/>
                <w:spacing w:val="0"/>
                <w:w w:val="100"/>
                <w:position w:val="0"/>
              </w:rPr>
              <w:t>、</w:t>
            </w:r>
            <w:r>
              <w:rPr>
                <w:color w:val="000000"/>
                <w:spacing w:val="0"/>
                <w:w w:val="100"/>
                <w:position w:val="0"/>
              </w:rPr>
              <w:t>DYMONASIA CAPITAL LTD</w:t>
            </w:r>
            <w:r>
              <w:rPr>
                <w:rFonts w:ascii="SimSun" w:eastAsia="SimSun" w:hAnsi="SimSun" w:cs="SimSun"/>
                <w:color w:val="000000"/>
                <w:spacing w:val="0"/>
                <w:w w:val="100"/>
                <w:position w:val="0"/>
              </w:rPr>
              <w:t>：</w:t>
            </w:r>
            <w:r>
              <w:rPr>
                <w:color w:val="000000"/>
                <w:spacing w:val="0"/>
                <w:w w:val="100"/>
                <w:position w:val="0"/>
              </w:rPr>
              <w:t>CHI HO WONG 6</w:t>
            </w:r>
            <w:r>
              <w:rPr>
                <w:rFonts w:ascii="SimSun" w:eastAsia="SimSun" w:hAnsi="SimSun" w:cs="SimSun"/>
                <w:color w:val="000000"/>
                <w:spacing w:val="0"/>
                <w:w w:val="100"/>
                <w:position w:val="0"/>
              </w:rPr>
              <w:t>、</w:t>
            </w:r>
            <w:r>
              <w:rPr>
                <w:color w:val="000000"/>
                <w:spacing w:val="0"/>
                <w:w w:val="100"/>
                <w:position w:val="0"/>
              </w:rPr>
              <w:t>EASTSPRING INVESTMENTS</w:t>
            </w:r>
            <w:r>
              <w:rPr>
                <w:rFonts w:ascii="SimSun" w:eastAsia="SimSun" w:hAnsi="SimSun" w:cs="SimSun"/>
                <w:color w:val="000000"/>
                <w:spacing w:val="0"/>
                <w:w w:val="100"/>
                <w:position w:val="0"/>
              </w:rPr>
              <w:t>：</w:t>
            </w:r>
            <w:r>
              <w:rPr>
                <w:color w:val="000000"/>
                <w:spacing w:val="0"/>
                <w:w w:val="100"/>
                <w:position w:val="0"/>
              </w:rPr>
              <w:t>NATHAN YU 7</w:t>
            </w:r>
            <w:r>
              <w:rPr>
                <w:rFonts w:ascii="SimSun" w:eastAsia="SimSun" w:hAnsi="SimSun" w:cs="SimSun"/>
                <w:color w:val="000000"/>
                <w:spacing w:val="0"/>
                <w:w w:val="100"/>
                <w:position w:val="0"/>
              </w:rPr>
              <w:t>、</w:t>
            </w:r>
            <w:r>
              <w:rPr>
                <w:color w:val="000000"/>
                <w:spacing w:val="0"/>
                <w:w w:val="100"/>
                <w:position w:val="0"/>
              </w:rPr>
              <w:t>FIDELITY MANAGEMENT AND RESEARCH (FMR)</w:t>
            </w:r>
            <w:r>
              <w:rPr>
                <w:rFonts w:ascii="SimSun" w:eastAsia="SimSun" w:hAnsi="SimSun" w:cs="SimSun"/>
                <w:color w:val="000000"/>
                <w:spacing w:val="0"/>
                <w:w w:val="100"/>
                <w:position w:val="0"/>
              </w:rPr>
              <w:t xml:space="preserve">： </w:t>
            </w:r>
            <w:r>
              <w:rPr>
                <w:color w:val="000000"/>
                <w:spacing w:val="0"/>
                <w:w w:val="100"/>
                <w:position w:val="0"/>
              </w:rPr>
              <w:t>IVAN XIE 8</w:t>
            </w:r>
            <w:r>
              <w:rPr>
                <w:rFonts w:ascii="SimSun" w:eastAsia="SimSun" w:hAnsi="SimSun" w:cs="SimSun"/>
                <w:color w:val="000000"/>
                <w:spacing w:val="0"/>
                <w:w w:val="100"/>
                <w:position w:val="0"/>
              </w:rPr>
              <w:t>、</w:t>
            </w:r>
            <w:r>
              <w:rPr>
                <w:color w:val="000000"/>
                <w:spacing w:val="0"/>
                <w:w w:val="100"/>
                <w:position w:val="0"/>
              </w:rPr>
              <w:t>GOLDMAN SACHS ASSET MANAGEMENT</w:t>
            </w:r>
            <w:r>
              <w:rPr>
                <w:rFonts w:ascii="SimSun" w:eastAsia="SimSun" w:hAnsi="SimSun" w:cs="SimSun"/>
                <w:color w:val="000000"/>
                <w:spacing w:val="0"/>
                <w:w w:val="100"/>
                <w:position w:val="0"/>
              </w:rPr>
              <w:t xml:space="preserve">： </w:t>
            </w:r>
            <w:r>
              <w:rPr>
                <w:color w:val="000000"/>
                <w:spacing w:val="0"/>
                <w:w w:val="100"/>
                <w:position w:val="0"/>
              </w:rPr>
              <w:t xml:space="preserve">AMY JI </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MANULIFE ASSET MANAGEMENT</w:t>
            </w:r>
            <w:r>
              <w:rPr>
                <w:rFonts w:ascii="SimSun" w:eastAsia="SimSun" w:hAnsi="SimSun" w:cs="SimSun"/>
                <w:color w:val="000000"/>
                <w:spacing w:val="0"/>
                <w:w w:val="100"/>
                <w:position w:val="0"/>
              </w:rPr>
              <w:t>：</w:t>
            </w:r>
            <w:r>
              <w:rPr>
                <w:color w:val="000000"/>
                <w:spacing w:val="0"/>
                <w:w w:val="100"/>
                <w:position w:val="0"/>
              </w:rPr>
              <w:t>DORIS WANG</w:t>
            </w:r>
            <w:r>
              <w:rPr>
                <w:rFonts w:ascii="SimSun" w:eastAsia="SimSun" w:hAnsi="SimSun" w:cs="SimSun"/>
                <w:color w:val="000000"/>
                <w:spacing w:val="0"/>
                <w:w w:val="100"/>
                <w:position w:val="0"/>
              </w:rPr>
              <w:t>、</w:t>
            </w:r>
            <w:r>
              <w:rPr>
                <w:color w:val="000000"/>
                <w:spacing w:val="0"/>
                <w:w w:val="100"/>
                <w:position w:val="0"/>
              </w:rPr>
              <w:t>WENLIN LI 10</w:t>
            </w:r>
            <w:r>
              <w:rPr>
                <w:rFonts w:ascii="SimSun" w:eastAsia="SimSun" w:hAnsi="SimSun" w:cs="SimSun"/>
                <w:color w:val="000000"/>
                <w:spacing w:val="0"/>
                <w:w w:val="100"/>
                <w:position w:val="0"/>
              </w:rPr>
              <w:t xml:space="preserve">、 </w:t>
            </w:r>
            <w:r>
              <w:rPr>
                <w:color w:val="000000"/>
                <w:spacing w:val="0"/>
                <w:w w:val="100"/>
                <w:position w:val="0"/>
              </w:rPr>
              <w:t>NBIM</w:t>
            </w:r>
            <w:r>
              <w:rPr>
                <w:rFonts w:ascii="SimSun" w:eastAsia="SimSun" w:hAnsi="SimSun" w:cs="SimSun"/>
                <w:color w:val="000000"/>
                <w:spacing w:val="0"/>
                <w:w w:val="100"/>
                <w:position w:val="0"/>
              </w:rPr>
              <w:t>：</w:t>
            </w:r>
            <w:r>
              <w:rPr>
                <w:color w:val="000000"/>
                <w:spacing w:val="0"/>
                <w:w w:val="100"/>
                <w:position w:val="0"/>
              </w:rPr>
              <w:t>CEDRIC SHI 11</w:t>
            </w:r>
            <w:r>
              <w:rPr>
                <w:rFonts w:ascii="SimSun" w:eastAsia="SimSun" w:hAnsi="SimSun" w:cs="SimSun"/>
                <w:color w:val="000000"/>
                <w:spacing w:val="0"/>
                <w:w w:val="100"/>
                <w:position w:val="0"/>
              </w:rPr>
              <w:t>、</w:t>
            </w:r>
            <w:r>
              <w:rPr>
                <w:color w:val="000000"/>
                <w:spacing w:val="0"/>
                <w:w w:val="100"/>
                <w:position w:val="0"/>
              </w:rPr>
              <w:t>SB SCHONFELD FUND ADVISORS LLC</w:t>
            </w:r>
            <w:r>
              <w:rPr>
                <w:rFonts w:ascii="SimSun" w:eastAsia="SimSun" w:hAnsi="SimSun" w:cs="SimSun"/>
                <w:color w:val="000000"/>
                <w:spacing w:val="0"/>
                <w:w w:val="100"/>
                <w:position w:val="0"/>
              </w:rPr>
              <w:t>：</w:t>
            </w:r>
            <w:r>
              <w:rPr>
                <w:color w:val="000000"/>
                <w:spacing w:val="0"/>
                <w:w w:val="100"/>
                <w:position w:val="0"/>
              </w:rPr>
              <w:t>BENSON CHEN 12</w:t>
            </w:r>
            <w:r>
              <w:rPr>
                <w:rFonts w:ascii="SimSun" w:eastAsia="SimSun" w:hAnsi="SimSun" w:cs="SimSun"/>
                <w:color w:val="000000"/>
                <w:spacing w:val="0"/>
                <w:w w:val="100"/>
                <w:position w:val="0"/>
              </w:rPr>
              <w:t>、</w:t>
            </w:r>
            <w:r>
              <w:rPr>
                <w:color w:val="000000"/>
                <w:spacing w:val="0"/>
                <w:w w:val="100"/>
                <w:position w:val="0"/>
              </w:rPr>
              <w:t>TAIKANG ASSET MGT</w:t>
            </w:r>
            <w:r>
              <w:rPr>
                <w:rFonts w:ascii="SimSun" w:eastAsia="SimSun" w:hAnsi="SimSun" w:cs="SimSun"/>
                <w:color w:val="000000"/>
                <w:spacing w:val="0"/>
                <w:w w:val="100"/>
                <w:position w:val="0"/>
              </w:rPr>
              <w:t>：</w:t>
            </w:r>
            <w:r>
              <w:rPr>
                <w:color w:val="000000"/>
                <w:spacing w:val="0"/>
                <w:w w:val="100"/>
                <w:position w:val="0"/>
              </w:rPr>
              <w:t>JIM CHEN</w:t>
            </w:r>
            <w:r>
              <w:rPr>
                <w:rFonts w:ascii="SimSun" w:eastAsia="SimSun" w:hAnsi="SimSun" w:cs="SimSun"/>
                <w:color w:val="000000"/>
                <w:spacing w:val="0"/>
                <w:w w:val="100"/>
                <w:position w:val="0"/>
              </w:rPr>
              <w:t>、</w:t>
            </w:r>
            <w:r>
              <w:rPr>
                <w:color w:val="000000"/>
                <w:spacing w:val="0"/>
                <w:w w:val="100"/>
                <w:position w:val="0"/>
              </w:rPr>
              <w:t>JOE WONG 13</w:t>
            </w:r>
            <w:r>
              <w:rPr>
                <w:rFonts w:ascii="SimSun" w:eastAsia="SimSun" w:hAnsi="SimSun" w:cs="SimSun"/>
                <w:color w:val="000000"/>
                <w:spacing w:val="0"/>
                <w:w w:val="100"/>
                <w:position w:val="0"/>
              </w:rPr>
              <w:t>、</w:t>
            </w:r>
            <w:r>
              <w:rPr>
                <w:color w:val="000000"/>
                <w:spacing w:val="0"/>
                <w:w w:val="100"/>
                <w:position w:val="0"/>
              </w:rPr>
              <w:t>THE CARAVEL GROUP LIMITED</w:t>
            </w:r>
            <w:r>
              <w:rPr>
                <w:rFonts w:ascii="SimSun" w:eastAsia="SimSun" w:hAnsi="SimSun" w:cs="SimSun"/>
                <w:color w:val="000000"/>
                <w:spacing w:val="0"/>
                <w:w w:val="100"/>
                <w:position w:val="0"/>
              </w:rPr>
              <w:t>：</w:t>
            </w:r>
            <w:r>
              <w:rPr>
                <w:color w:val="000000"/>
                <w:spacing w:val="0"/>
                <w:w w:val="100"/>
                <w:position w:val="0"/>
              </w:rPr>
              <w:t>STEPHEN WEI 14</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公司发展战略及 电线电缆、新材 料、新能源三大 业务板块发展情 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20200903</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1"/>
        <w:gridCol w:w="744"/>
        <w:gridCol w:w="907"/>
        <w:gridCol w:w="706"/>
        <w:gridCol w:w="2558"/>
        <w:gridCol w:w="1560"/>
        <w:gridCol w:w="180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ASSET MANAGEMENT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r>
              <w:rPr>
                <w:rFonts w:ascii="SimSun" w:eastAsia="SimSun" w:hAnsi="SimSun" w:cs="SimSun"/>
                <w:color w:val="000000"/>
                <w:spacing w:val="0"/>
                <w:w w:val="100"/>
                <w:position w:val="0"/>
              </w:rPr>
              <w:t xml:space="preserve">： </w:t>
            </w:r>
            <w:r>
              <w:rPr>
                <w:color w:val="000000"/>
                <w:spacing w:val="0"/>
                <w:w w:val="100"/>
                <w:position w:val="0"/>
              </w:rPr>
              <w:t>NORMANYE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color w:val="000000"/>
                <w:spacing w:val="0"/>
                <w:w w:val="100"/>
                <w:position w:val="0"/>
              </w:rPr>
              <w:t>.</w:t>
            </w:r>
            <w:r>
              <w:rPr>
                <w:rFonts w:ascii="SimSun" w:eastAsia="SimSun" w:hAnsi="SimSun" w:cs="SimSun"/>
                <w:color w:val="000000"/>
                <w:spacing w:val="0"/>
                <w:w w:val="100"/>
                <w:position w:val="0"/>
              </w:rPr>
              <w:t>华西证券李唯嘉</w:t>
            </w:r>
            <w:r>
              <w:rPr>
                <w:color w:val="000000"/>
                <w:spacing w:val="0"/>
                <w:w w:val="100"/>
                <w:position w:val="0"/>
              </w:rPr>
              <w:t>2.</w:t>
            </w:r>
            <w:r>
              <w:rPr>
                <w:rFonts w:ascii="SimSun" w:eastAsia="SimSun" w:hAnsi="SimSun" w:cs="SimSun"/>
                <w:color w:val="000000"/>
                <w:spacing w:val="0"/>
                <w:w w:val="100"/>
                <w:position w:val="0"/>
              </w:rPr>
              <w:t>国泰君 安石岩</w:t>
            </w:r>
            <w:r>
              <w:rPr>
                <w:color w:val="000000"/>
                <w:spacing w:val="0"/>
                <w:w w:val="100"/>
                <w:position w:val="0"/>
              </w:rPr>
              <w:t>3.</w:t>
            </w:r>
            <w:r>
              <w:rPr>
                <w:rFonts w:ascii="SimSun" w:eastAsia="SimSun" w:hAnsi="SimSun" w:cs="SimSun"/>
                <w:color w:val="000000"/>
                <w:spacing w:val="0"/>
                <w:w w:val="100"/>
                <w:position w:val="0"/>
              </w:rPr>
              <w:t>建投资管刘石</w:t>
            </w:r>
            <w:r>
              <w:rPr>
                <w:color w:val="000000"/>
                <w:spacing w:val="0"/>
                <w:w w:val="100"/>
                <w:position w:val="0"/>
              </w:rPr>
              <w:t xml:space="preserve">4. </w:t>
            </w:r>
            <w:r>
              <w:rPr>
                <w:rFonts w:ascii="SimSun" w:eastAsia="SimSun" w:hAnsi="SimSun" w:cs="SimSun"/>
                <w:color w:val="000000"/>
                <w:spacing w:val="0"/>
                <w:w w:val="100"/>
                <w:position w:val="0"/>
              </w:rPr>
              <w:t>中信证券林劼</w:t>
            </w:r>
            <w:r>
              <w:rPr>
                <w:color w:val="000000"/>
                <w:spacing w:val="0"/>
                <w:w w:val="100"/>
                <w:position w:val="0"/>
              </w:rPr>
              <w:t>5.</w:t>
            </w:r>
            <w:r>
              <w:rPr>
                <w:rFonts w:ascii="SimSun" w:eastAsia="SimSun" w:hAnsi="SimSun" w:cs="SimSun"/>
                <w:color w:val="000000"/>
                <w:spacing w:val="0"/>
                <w:w w:val="100"/>
                <w:position w:val="0"/>
              </w:rPr>
              <w:t>中金公司 赵宇辰</w:t>
            </w:r>
            <w:r>
              <w:rPr>
                <w:color w:val="000000"/>
                <w:spacing w:val="0"/>
                <w:w w:val="100"/>
                <w:position w:val="0"/>
              </w:rPr>
              <w:t>6.</w:t>
            </w:r>
            <w:r>
              <w:rPr>
                <w:rFonts w:ascii="SimSun" w:eastAsia="SimSun" w:hAnsi="SimSun" w:cs="SimSun"/>
                <w:color w:val="000000"/>
                <w:spacing w:val="0"/>
                <w:w w:val="100"/>
                <w:position w:val="0"/>
              </w:rPr>
              <w:t>华商基金梁勤之</w:t>
            </w:r>
            <w:r>
              <w:rPr>
                <w:color w:val="000000"/>
                <w:spacing w:val="0"/>
                <w:w w:val="100"/>
                <w:position w:val="0"/>
              </w:rPr>
              <w:t xml:space="preserve">7. </w:t>
            </w:r>
            <w:r>
              <w:rPr>
                <w:rFonts w:ascii="SimSun" w:eastAsia="SimSun" w:hAnsi="SimSun" w:cs="SimSun"/>
                <w:color w:val="000000"/>
                <w:spacing w:val="0"/>
                <w:w w:val="100"/>
                <w:position w:val="0"/>
              </w:rPr>
              <w:t>河南金冠邢涛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公司发展战略及 电线电缆、新材 料、新能源三大 业务板块发展情 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310"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www. cninfo .com.cn</w:t>
            </w:r>
          </w:p>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20200918</w:t>
            </w:r>
            <w:r>
              <w:rPr>
                <w:rFonts w:ascii="SimSun" w:eastAsia="SimSun" w:hAnsi="SimSun" w:cs="SimSun"/>
                <w:color w:val="000000"/>
                <w:spacing w:val="0"/>
                <w:w w:val="100"/>
                <w:position w:val="0"/>
              </w:rPr>
              <w:t>》</w:t>
            </w:r>
          </w:p>
        </w:tc>
      </w:tr>
      <w:tr>
        <w:trPr>
          <w:trHeight w:val="18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实地调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财通证券：林煜</w:t>
            </w:r>
            <w:r>
              <w:rPr>
                <w:color w:val="000000"/>
                <w:spacing w:val="0"/>
                <w:w w:val="100"/>
                <w:position w:val="0"/>
              </w:rPr>
              <w:t>.</w:t>
            </w:r>
            <w:r>
              <w:rPr>
                <w:rFonts w:ascii="SimSun" w:eastAsia="SimSun" w:hAnsi="SimSun" w:cs="SimSun"/>
                <w:color w:val="000000"/>
                <w:spacing w:val="0"/>
                <w:w w:val="100"/>
                <w:position w:val="0"/>
              </w:rPr>
              <w:t>周淼顺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公司发展战略及 电线电缆、新材 料、新能源三大 业务板块发展情 况</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《万马股份：</w:t>
            </w:r>
            <w:r>
              <w:rPr>
                <w:color w:val="000000"/>
                <w:spacing w:val="0"/>
                <w:w w:val="100"/>
                <w:position w:val="0"/>
              </w:rPr>
              <w:t xml:space="preserve">002276 </w:t>
            </w:r>
            <w:r>
              <w:rPr>
                <w:rFonts w:ascii="SimSun" w:eastAsia="SimSun" w:hAnsi="SimSun" w:cs="SimSun"/>
                <w:color w:val="000000"/>
                <w:spacing w:val="0"/>
                <w:w w:val="100"/>
                <w:position w:val="0"/>
              </w:rPr>
              <w:t xml:space="preserve">万马股份投资者关 系管理档案 </w:t>
            </w:r>
            <w:r>
              <w:rPr>
                <w:color w:val="000000"/>
                <w:spacing w:val="0"/>
                <w:w w:val="100"/>
                <w:position w:val="0"/>
              </w:rPr>
              <w:t>20201009</w:t>
            </w:r>
            <w:r>
              <w:rPr>
                <w:rFonts w:ascii="SimSun" w:eastAsia="SimSun" w:hAnsi="SimSun" w:cs="SimSun"/>
                <w:color w:val="000000"/>
                <w:spacing w:val="0"/>
                <w:w w:val="100"/>
                <w:position w:val="0"/>
              </w:rPr>
              <w:t>》</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700" w:right="1053" w:bottom="1446" w:left="1056" w:header="0" w:footer="3" w:gutter="0"/>
          <w:cols w:space="720"/>
          <w:noEndnote/>
          <w:rtlGutter w:val="0"/>
          <w:docGrid w:linePitch="360"/>
        </w:sectPr>
      </w:pPr>
    </w:p>
    <w:p>
      <w:pPr>
        <w:pStyle w:val="Style9"/>
        <w:keepNext/>
        <w:keepLines/>
        <w:widowControl w:val="0"/>
        <w:shd w:val="clear" w:color="auto" w:fill="auto"/>
        <w:bidi w:val="0"/>
        <w:spacing w:before="540" w:after="540" w:line="240" w:lineRule="auto"/>
        <w:ind w:left="0" w:right="0" w:firstLine="0"/>
        <w:jc w:val="center"/>
      </w:pPr>
      <w:bookmarkStart w:id="287" w:name="bookmark287"/>
      <w:bookmarkStart w:id="288" w:name="bookmark288"/>
      <w:bookmarkStart w:id="289" w:name="bookmark289"/>
      <w:bookmarkStart w:id="290" w:name="bookmark290"/>
      <w:r>
        <w:rPr>
          <w:color w:val="000000"/>
          <w:spacing w:val="0"/>
          <w:w w:val="100"/>
          <w:position w:val="0"/>
        </w:rPr>
        <w:t>第五节重要事项</w:t>
      </w:r>
      <w:bookmarkEnd w:id="288"/>
      <w:bookmarkEnd w:id="289"/>
      <w:bookmarkEnd w:id="290"/>
      <w:bookmarkEnd w:id="287"/>
    </w:p>
    <w:p>
      <w:pPr>
        <w:pStyle w:val="Style26"/>
        <w:keepNext/>
        <w:keepLines/>
        <w:widowControl w:val="0"/>
        <w:shd w:val="clear" w:color="auto" w:fill="auto"/>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一</w:t>
      </w:r>
      <w:bookmarkEnd w:id="293"/>
      <w:r>
        <w:rPr>
          <w:color w:val="000000"/>
          <w:spacing w:val="0"/>
          <w:w w:val="100"/>
          <w:position w:val="0"/>
          <w:sz w:val="24"/>
          <w:szCs w:val="24"/>
        </w:rPr>
        <w:t>、公司普通股利润分配及资本公积金转增股本情况</w:t>
      </w:r>
      <w:bookmarkEnd w:id="291"/>
      <w:bookmarkEnd w:id="292"/>
      <w:bookmarkEnd w:id="29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8"/>
        <w:keepNext w:val="0"/>
        <w:keepLines w:val="0"/>
        <w:widowControl w:val="0"/>
        <w:shd w:val="clear" w:color="auto" w:fill="auto"/>
        <w:tabs>
          <w:tab w:pos="928" w:val="left"/>
        </w:tabs>
        <w:bidi w:val="0"/>
        <w:spacing w:before="0" w:line="313" w:lineRule="exact"/>
        <w:ind w:left="0" w:right="0" w:firstLine="440"/>
        <w:jc w:val="both"/>
      </w:pPr>
      <w:bookmarkStart w:id="295" w:name="bookmark295"/>
      <w:r>
        <w:rPr>
          <w:b/>
          <w:bCs/>
          <w:color w:val="000000"/>
          <w:spacing w:val="0"/>
          <w:w w:val="100"/>
          <w:position w:val="0"/>
        </w:rPr>
        <w:t>（</w:t>
      </w:r>
      <w:bookmarkEnd w:id="29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年度利润分配预案</w:t>
      </w:r>
    </w:p>
    <w:p>
      <w:pPr>
        <w:pStyle w:val="Style38"/>
        <w:keepNext w:val="0"/>
        <w:keepLines w:val="0"/>
        <w:widowControl w:val="0"/>
        <w:shd w:val="clear" w:color="auto" w:fill="auto"/>
        <w:bidi w:val="0"/>
        <w:spacing w:before="0" w:line="310" w:lineRule="exact"/>
        <w:ind w:left="0" w:right="0" w:firstLine="480"/>
        <w:jc w:val="both"/>
      </w:pPr>
      <w:r>
        <w:rPr>
          <w:color w:val="000000"/>
          <w:spacing w:val="0"/>
          <w:w w:val="100"/>
          <w:position w:val="0"/>
        </w:rPr>
        <w:t xml:space="preserve">经信永中和会计师事务所审计，公司2020年度实现归属于上市公司股东的净利润223, 052, </w:t>
      </w:r>
      <w:r>
        <w:rPr>
          <w:color w:val="000000"/>
          <w:spacing w:val="0"/>
          <w:w w:val="100"/>
          <w:position w:val="0"/>
        </w:rPr>
        <w:t xml:space="preserve">864. </w:t>
      </w:r>
      <w:r>
        <w:rPr>
          <w:color w:val="000000"/>
          <w:spacing w:val="0"/>
          <w:w w:val="100"/>
          <w:position w:val="0"/>
        </w:rPr>
        <w:t xml:space="preserve">45元， 提取法定盈余公积44, 459, </w:t>
      </w:r>
      <w:r>
        <w:rPr>
          <w:color w:val="000000"/>
          <w:spacing w:val="0"/>
          <w:w w:val="100"/>
          <w:position w:val="0"/>
        </w:rPr>
        <w:t xml:space="preserve">034. </w:t>
      </w:r>
      <w:r>
        <w:rPr>
          <w:color w:val="000000"/>
          <w:spacing w:val="0"/>
          <w:w w:val="100"/>
          <w:position w:val="0"/>
        </w:rPr>
        <w:t xml:space="preserve">46元后，减去应付普通股股利36, 242, </w:t>
      </w:r>
      <w:r>
        <w:rPr>
          <w:color w:val="000000"/>
          <w:spacing w:val="0"/>
          <w:w w:val="100"/>
          <w:position w:val="0"/>
        </w:rPr>
        <w:t>118.43</w:t>
      </w:r>
      <w:r>
        <w:rPr>
          <w:color w:val="000000"/>
          <w:spacing w:val="0"/>
          <w:w w:val="100"/>
          <w:position w:val="0"/>
        </w:rPr>
        <w:t xml:space="preserve">元，加上上年结存未分配利润 1, 400, 735, </w:t>
      </w:r>
      <w:r>
        <w:rPr>
          <w:color w:val="000000"/>
          <w:spacing w:val="0"/>
          <w:w w:val="100"/>
          <w:position w:val="0"/>
        </w:rPr>
        <w:t xml:space="preserve">829. </w:t>
      </w:r>
      <w:r>
        <w:rPr>
          <w:color w:val="000000"/>
          <w:spacing w:val="0"/>
          <w:w w:val="100"/>
          <w:position w:val="0"/>
        </w:rPr>
        <w:t xml:space="preserve">60元,本年度末可供投资者分配的利润1, 543, 087, </w:t>
      </w:r>
      <w:r>
        <w:rPr>
          <w:color w:val="000000"/>
          <w:spacing w:val="0"/>
          <w:w w:val="100"/>
          <w:position w:val="0"/>
        </w:rPr>
        <w:t xml:space="preserve">541. </w:t>
      </w:r>
      <w:r>
        <w:rPr>
          <w:color w:val="000000"/>
          <w:spacing w:val="0"/>
          <w:w w:val="100"/>
          <w:position w:val="0"/>
        </w:rPr>
        <w:t>16元。</w:t>
      </w:r>
    </w:p>
    <w:p>
      <w:pPr>
        <w:pStyle w:val="Style38"/>
        <w:keepNext w:val="0"/>
        <w:keepLines w:val="0"/>
        <w:widowControl w:val="0"/>
        <w:shd w:val="clear" w:color="auto" w:fill="auto"/>
        <w:bidi w:val="0"/>
        <w:spacing w:before="0" w:line="302" w:lineRule="exact"/>
        <w:ind w:left="0" w:right="0" w:firstLine="480"/>
        <w:jc w:val="both"/>
      </w:pPr>
      <w:r>
        <w:rPr>
          <w:color w:val="000000"/>
          <w:spacing w:val="0"/>
          <w:w w:val="100"/>
          <w:position w:val="0"/>
        </w:rPr>
        <w:t>以未来实施分配方案时股权登记日的总股本扣除公司回购专户上已回购股份后的总股本为基数，向全 体股东每10股派发现金红利人民币</w:t>
      </w:r>
      <w:r>
        <w:rPr>
          <w:color w:val="000000"/>
          <w:spacing w:val="0"/>
          <w:w w:val="100"/>
          <w:position w:val="0"/>
        </w:rPr>
        <w:t>0.35</w:t>
      </w:r>
      <w:r>
        <w:rPr>
          <w:color w:val="000000"/>
          <w:spacing w:val="0"/>
          <w:w w:val="100"/>
          <w:position w:val="0"/>
        </w:rPr>
        <w:t>元（含税），不送红股，不以公积金转增股本。</w:t>
      </w:r>
    </w:p>
    <w:p>
      <w:pPr>
        <w:pStyle w:val="Style38"/>
        <w:keepNext w:val="0"/>
        <w:keepLines w:val="0"/>
        <w:widowControl w:val="0"/>
        <w:shd w:val="clear" w:color="auto" w:fill="auto"/>
        <w:bidi w:val="0"/>
        <w:spacing w:before="0" w:after="280" w:line="314" w:lineRule="exact"/>
        <w:ind w:left="0" w:right="0" w:firstLine="480"/>
        <w:jc w:val="both"/>
      </w:pPr>
      <w:r>
        <w:rPr>
          <w:color w:val="000000"/>
          <w:spacing w:val="0"/>
          <w:w w:val="100"/>
          <w:position w:val="0"/>
        </w:rPr>
        <w:t>根据《深圳证券交易所上市公司回购股份实施细则》，回购专用证券账户中的股份不享有参与利润分 配的权利，鉴于公司目前尚未完成股份回购，公司将按照权益分派股权登记日公司总股数扣除回购专户股 数的股本为分配基数，分配比例不变。</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296" w:name="bookmark296"/>
      <w:r>
        <w:rPr>
          <w:b/>
          <w:bCs/>
          <w:color w:val="000000"/>
          <w:spacing w:val="0"/>
          <w:w w:val="100"/>
          <w:position w:val="0"/>
        </w:rPr>
        <w:t>（</w:t>
      </w:r>
      <w:bookmarkEnd w:id="296"/>
      <w:r>
        <w:rPr>
          <w:b/>
          <w:bCs/>
          <w:color w:val="000000"/>
          <w:spacing w:val="0"/>
          <w:w w:val="100"/>
          <w:position w:val="0"/>
        </w:rPr>
        <w:t>2）</w:t>
        <w:tab/>
        <w:t>2019年度利润分配方案</w:t>
      </w:r>
    </w:p>
    <w:p>
      <w:pPr>
        <w:pStyle w:val="Style3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 xml:space="preserve">经信永中和会计师事务所审计，公司2019年度实现归属于上市公司股东的净利润220, 879, </w:t>
      </w:r>
      <w:r>
        <w:rPr>
          <w:color w:val="000000"/>
          <w:spacing w:val="0"/>
          <w:w w:val="100"/>
          <w:position w:val="0"/>
        </w:rPr>
        <w:t xml:space="preserve">359. </w:t>
      </w:r>
      <w:r>
        <w:rPr>
          <w:color w:val="000000"/>
          <w:spacing w:val="0"/>
          <w:w w:val="100"/>
          <w:position w:val="0"/>
        </w:rPr>
        <w:t xml:space="preserve">32元， 提取法定盈余公积36, 944, </w:t>
      </w:r>
      <w:r>
        <w:rPr>
          <w:color w:val="000000"/>
          <w:spacing w:val="0"/>
          <w:w w:val="100"/>
          <w:position w:val="0"/>
        </w:rPr>
        <w:t xml:space="preserve">075. </w:t>
      </w:r>
      <w:r>
        <w:rPr>
          <w:color w:val="000000"/>
          <w:spacing w:val="0"/>
          <w:w w:val="100"/>
          <w:position w:val="0"/>
        </w:rPr>
        <w:t xml:space="preserve">43元后，减去应付普通股股利20, 709, </w:t>
      </w:r>
      <w:r>
        <w:rPr>
          <w:color w:val="000000"/>
          <w:spacing w:val="0"/>
          <w:w w:val="100"/>
          <w:position w:val="0"/>
        </w:rPr>
        <w:t xml:space="preserve">781. </w:t>
      </w:r>
      <w:r>
        <w:rPr>
          <w:color w:val="000000"/>
          <w:spacing w:val="0"/>
          <w:w w:val="100"/>
          <w:position w:val="0"/>
        </w:rPr>
        <w:t xml:space="preserve">96元，加上上年结存未分配利润 1,237,510, </w:t>
      </w:r>
      <w:r>
        <w:rPr>
          <w:color w:val="000000"/>
          <w:spacing w:val="0"/>
          <w:w w:val="100"/>
          <w:position w:val="0"/>
        </w:rPr>
        <w:t>327.6</w:t>
      </w:r>
      <w:r>
        <w:rPr>
          <w:color w:val="000000"/>
          <w:spacing w:val="0"/>
          <w:w w:val="100"/>
          <w:position w:val="0"/>
        </w:rPr>
        <w:t xml:space="preserve">7元,本年度可供分配的利润1, 400, 735, </w:t>
      </w:r>
      <w:r>
        <w:rPr>
          <w:color w:val="000000"/>
          <w:spacing w:val="0"/>
          <w:w w:val="100"/>
          <w:position w:val="0"/>
        </w:rPr>
        <w:t xml:space="preserve">829. </w:t>
      </w:r>
      <w:r>
        <w:rPr>
          <w:color w:val="000000"/>
          <w:spacing w:val="0"/>
          <w:w w:val="100"/>
          <w:position w:val="0"/>
        </w:rPr>
        <w:t xml:space="preserve">60元。母公司2019年度实现净利润 143, 226, </w:t>
      </w:r>
      <w:r>
        <w:rPr>
          <w:color w:val="000000"/>
          <w:spacing w:val="0"/>
          <w:w w:val="100"/>
          <w:position w:val="0"/>
        </w:rPr>
        <w:t xml:space="preserve">092. </w:t>
      </w:r>
      <w:r>
        <w:rPr>
          <w:color w:val="000000"/>
          <w:spacing w:val="0"/>
          <w:w w:val="100"/>
          <w:position w:val="0"/>
        </w:rPr>
        <w:t xml:space="preserve">06元，提取法定盈余公积14, 322, </w:t>
      </w:r>
      <w:r>
        <w:rPr>
          <w:color w:val="000000"/>
          <w:spacing w:val="0"/>
          <w:w w:val="100"/>
          <w:position w:val="0"/>
        </w:rPr>
        <w:t xml:space="preserve">609. </w:t>
      </w:r>
      <w:r>
        <w:rPr>
          <w:color w:val="000000"/>
          <w:spacing w:val="0"/>
          <w:w w:val="100"/>
          <w:position w:val="0"/>
        </w:rPr>
        <w:t xml:space="preserve">21元后，减去应付普通股股利20, 709, </w:t>
      </w:r>
      <w:r>
        <w:rPr>
          <w:color w:val="000000"/>
          <w:spacing w:val="0"/>
          <w:w w:val="100"/>
          <w:position w:val="0"/>
        </w:rPr>
        <w:t xml:space="preserve">781. </w:t>
      </w:r>
      <w:r>
        <w:rPr>
          <w:color w:val="000000"/>
          <w:spacing w:val="0"/>
          <w:w w:val="100"/>
          <w:position w:val="0"/>
        </w:rPr>
        <w:t xml:space="preserve">96元，加上 上年结存未分配利润657, 286, </w:t>
      </w:r>
      <w:r>
        <w:rPr>
          <w:color w:val="000000"/>
          <w:spacing w:val="0"/>
          <w:w w:val="100"/>
          <w:position w:val="0"/>
        </w:rPr>
        <w:t xml:space="preserve">101. </w:t>
      </w:r>
      <w:r>
        <w:rPr>
          <w:color w:val="000000"/>
          <w:spacing w:val="0"/>
          <w:w w:val="100"/>
          <w:position w:val="0"/>
        </w:rPr>
        <w:t xml:space="preserve">07元，本年度可供分配的利润765, 479, </w:t>
      </w:r>
      <w:r>
        <w:rPr>
          <w:color w:val="000000"/>
          <w:spacing w:val="0"/>
          <w:w w:val="100"/>
          <w:position w:val="0"/>
        </w:rPr>
        <w:t xml:space="preserve">801. </w:t>
      </w:r>
      <w:r>
        <w:rPr>
          <w:color w:val="000000"/>
          <w:spacing w:val="0"/>
          <w:w w:val="100"/>
          <w:position w:val="0"/>
        </w:rPr>
        <w:t>96元。</w:t>
      </w:r>
    </w:p>
    <w:p>
      <w:pPr>
        <w:pStyle w:val="Style38"/>
        <w:keepNext w:val="0"/>
        <w:keepLines w:val="0"/>
        <w:widowControl w:val="0"/>
        <w:shd w:val="clear" w:color="auto" w:fill="auto"/>
        <w:bidi w:val="0"/>
        <w:spacing w:before="0" w:after="280" w:line="313" w:lineRule="exact"/>
        <w:ind w:left="0" w:right="0" w:firstLine="480"/>
        <w:jc w:val="left"/>
      </w:pPr>
      <w:r>
        <w:rPr>
          <w:color w:val="000000"/>
          <w:spacing w:val="0"/>
          <w:w w:val="100"/>
          <w:position w:val="0"/>
        </w:rPr>
        <w:t>公司2019年度利润分配方案：以公司总股本1, 035, 489, 098股为基数向全体股东每10股派发现金股利 人民币</w:t>
      </w:r>
      <w:r>
        <w:rPr>
          <w:color w:val="000000"/>
          <w:spacing w:val="0"/>
          <w:w w:val="100"/>
          <w:position w:val="0"/>
        </w:rPr>
        <w:t>0.35</w:t>
      </w:r>
      <w:r>
        <w:rPr>
          <w:color w:val="000000"/>
          <w:spacing w:val="0"/>
          <w:w w:val="100"/>
          <w:position w:val="0"/>
        </w:rPr>
        <w:t xml:space="preserve">元（含税），合计派发现金红利36, 242, </w:t>
      </w:r>
      <w:r>
        <w:rPr>
          <w:color w:val="000000"/>
          <w:spacing w:val="0"/>
          <w:w w:val="100"/>
          <w:position w:val="0"/>
        </w:rPr>
        <w:t xml:space="preserve">118. </w:t>
      </w:r>
      <w:r>
        <w:rPr>
          <w:color w:val="000000"/>
          <w:spacing w:val="0"/>
          <w:w w:val="100"/>
          <w:position w:val="0"/>
        </w:rPr>
        <w:t>43元，不送红股，不以公积金转增股本，其余未分 配利润结转以后年度进行分配。若分红派息方案实施时公司总股本发生变化，将按照分配总额不变的原则 对分配比例进行调整。</w:t>
      </w:r>
    </w:p>
    <w:p>
      <w:pPr>
        <w:pStyle w:val="Style38"/>
        <w:keepNext w:val="0"/>
        <w:keepLines w:val="0"/>
        <w:widowControl w:val="0"/>
        <w:shd w:val="clear" w:color="auto" w:fill="auto"/>
        <w:tabs>
          <w:tab w:pos="968" w:val="left"/>
        </w:tabs>
        <w:bidi w:val="0"/>
        <w:spacing w:before="0" w:after="0" w:line="310" w:lineRule="exact"/>
        <w:ind w:left="0" w:right="0" w:firstLine="480"/>
        <w:jc w:val="left"/>
      </w:pPr>
      <w:bookmarkStart w:id="297" w:name="bookmark297"/>
      <w:r>
        <w:rPr>
          <w:b/>
          <w:bCs/>
          <w:color w:val="000000"/>
          <w:spacing w:val="0"/>
          <w:w w:val="100"/>
          <w:position w:val="0"/>
        </w:rPr>
        <w:t>（</w:t>
      </w:r>
      <w:bookmarkEnd w:id="297"/>
      <w:r>
        <w:rPr>
          <w:b/>
          <w:bCs/>
          <w:color w:val="000000"/>
          <w:spacing w:val="0"/>
          <w:w w:val="100"/>
          <w:position w:val="0"/>
        </w:rPr>
        <w:t>3）</w:t>
        <w:tab/>
        <w:t>2018年度利润分配方案</w:t>
      </w:r>
    </w:p>
    <w:p>
      <w:pPr>
        <w:pStyle w:val="Style38"/>
        <w:keepNext w:val="0"/>
        <w:keepLines w:val="0"/>
        <w:widowControl w:val="0"/>
        <w:shd w:val="clear" w:color="auto" w:fill="auto"/>
        <w:bidi w:val="0"/>
        <w:spacing w:before="0" w:after="0" w:line="310" w:lineRule="exact"/>
        <w:ind w:left="0" w:right="0" w:firstLine="480"/>
        <w:jc w:val="left"/>
      </w:pPr>
      <w:r>
        <w:rPr>
          <w:color w:val="000000"/>
          <w:spacing w:val="0"/>
          <w:w w:val="100"/>
          <w:position w:val="0"/>
        </w:rPr>
        <w:t xml:space="preserve">经信永中和会计师事务所审计，公司2018年度实现归属于上市公司股东的净利润111, 714, </w:t>
      </w:r>
      <w:r>
        <w:rPr>
          <w:color w:val="000000"/>
          <w:spacing w:val="0"/>
          <w:w w:val="100"/>
          <w:position w:val="0"/>
        </w:rPr>
        <w:t xml:space="preserve">711. </w:t>
      </w:r>
      <w:r>
        <w:rPr>
          <w:color w:val="000000"/>
          <w:spacing w:val="0"/>
          <w:w w:val="100"/>
          <w:position w:val="0"/>
        </w:rPr>
        <w:t xml:space="preserve">22元， 提取法定盈余公积21, 922, </w:t>
      </w:r>
      <w:r>
        <w:rPr>
          <w:color w:val="000000"/>
          <w:spacing w:val="0"/>
          <w:w w:val="100"/>
          <w:position w:val="0"/>
        </w:rPr>
        <w:t xml:space="preserve">726. </w:t>
      </w:r>
      <w:r>
        <w:rPr>
          <w:color w:val="000000"/>
          <w:spacing w:val="0"/>
          <w:w w:val="100"/>
          <w:position w:val="0"/>
        </w:rPr>
        <w:t xml:space="preserve">66元后，加上上年结存未分配利润1, 148, 281, </w:t>
      </w:r>
      <w:r>
        <w:rPr>
          <w:color w:val="000000"/>
          <w:spacing w:val="0"/>
          <w:w w:val="100"/>
          <w:position w:val="0"/>
        </w:rPr>
        <w:t xml:space="preserve">471. </w:t>
      </w:r>
      <w:r>
        <w:rPr>
          <w:color w:val="000000"/>
          <w:spacing w:val="0"/>
          <w:w w:val="100"/>
          <w:position w:val="0"/>
        </w:rPr>
        <w:t xml:space="preserve">50元，本年度可供投资 者分配的利润1, 238, 073, </w:t>
      </w:r>
      <w:r>
        <w:rPr>
          <w:color w:val="000000"/>
          <w:spacing w:val="0"/>
          <w:w w:val="100"/>
          <w:position w:val="0"/>
        </w:rPr>
        <w:t xml:space="preserve">456. </w:t>
      </w:r>
      <w:r>
        <w:rPr>
          <w:color w:val="000000"/>
          <w:spacing w:val="0"/>
          <w:w w:val="100"/>
          <w:position w:val="0"/>
        </w:rPr>
        <w:t>06元。</w:t>
      </w:r>
    </w:p>
    <w:p>
      <w:pPr>
        <w:pStyle w:val="Style38"/>
        <w:keepNext w:val="0"/>
        <w:keepLines w:val="0"/>
        <w:widowControl w:val="0"/>
        <w:shd w:val="clear" w:color="auto" w:fill="auto"/>
        <w:bidi w:val="0"/>
        <w:spacing w:before="0" w:line="310" w:lineRule="exact"/>
        <w:ind w:left="0" w:right="0" w:firstLine="480"/>
        <w:jc w:val="left"/>
      </w:pPr>
      <w:r>
        <w:rPr>
          <w:color w:val="000000"/>
          <w:spacing w:val="0"/>
          <w:w w:val="100"/>
          <w:position w:val="0"/>
        </w:rPr>
        <w:t>公司2018年度利润分配预案：以公司总股本1, 035, 489, 098股为基数向全体股东每10股派发现金股利 人民币</w:t>
      </w:r>
      <w:r>
        <w:rPr>
          <w:color w:val="000000"/>
          <w:spacing w:val="0"/>
          <w:w w:val="100"/>
          <w:position w:val="0"/>
        </w:rPr>
        <w:t>0.20</w:t>
      </w:r>
      <w:r>
        <w:rPr>
          <w:color w:val="000000"/>
          <w:spacing w:val="0"/>
          <w:w w:val="100"/>
          <w:position w:val="0"/>
        </w:rPr>
        <w:t xml:space="preserve">元（含税），合计派发现金红利20, 709, </w:t>
      </w:r>
      <w:r>
        <w:rPr>
          <w:color w:val="000000"/>
          <w:spacing w:val="0"/>
          <w:w w:val="100"/>
          <w:position w:val="0"/>
        </w:rPr>
        <w:t xml:space="preserve">781. </w:t>
      </w:r>
      <w:r>
        <w:rPr>
          <w:color w:val="000000"/>
          <w:spacing w:val="0"/>
          <w:w w:val="100"/>
          <w:position w:val="0"/>
        </w:rPr>
        <w:t>96元，其余未分配利润结转以后年度进行分配。</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0"/>
        <w:gridCol w:w="1310"/>
        <w:gridCol w:w="1339"/>
        <w:gridCol w:w="1051"/>
        <w:gridCol w:w="1195"/>
        <w:gridCol w:w="1114"/>
        <w:gridCol w:w="1277"/>
        <w:gridCol w:w="1205"/>
      </w:tblGrid>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现金分红金额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分红年度合并</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以其他方式</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以其他方</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现金分红总</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现金分红总</w:t>
            </w:r>
          </w:p>
        </w:tc>
      </w:tr>
    </w:tbl>
    <w:p>
      <w:pPr>
        <w:sectPr>
          <w:footnotePr>
            <w:pos w:val="pageBottom"/>
            <w:numFmt w:val="decimal"/>
            <w:numRestart w:val="continuous"/>
          </w:footnotePr>
          <w:pgSz w:w="11900" w:h="16840"/>
          <w:pgMar w:top="1633" w:right="505" w:bottom="1470" w:left="1023" w:header="0" w:footer="3" w:gutter="0"/>
          <w:cols w:space="720"/>
          <w:noEndnote/>
          <w:rtlGutter w:val="0"/>
          <w:docGrid w:linePitch="360"/>
        </w:sectPr>
      </w:pPr>
    </w:p>
    <w:tbl>
      <w:tblPr>
        <w:tblOverlap w:val="never"/>
        <w:jc w:val="center"/>
        <w:tblLayout w:type="fixed"/>
      </w:tblPr>
      <w:tblGrid>
        <w:gridCol w:w="1090"/>
        <w:gridCol w:w="1310"/>
        <w:gridCol w:w="1339"/>
        <w:gridCol w:w="1051"/>
        <w:gridCol w:w="1195"/>
        <w:gridCol w:w="1114"/>
        <w:gridCol w:w="1277"/>
        <w:gridCol w:w="1205"/>
      </w:tblGrid>
      <w:tr>
        <w:trPr>
          <w:trHeight w:val="254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（含税）</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报表中归属于 上市公司普通 股股东的净利 润</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金额占合 并报表中 归属于上 市公司普 通股股东 的净利润 的比率</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（如回购股 份）现金分</w:t>
            </w:r>
          </w:p>
          <w:p>
            <w:pPr>
              <w:pStyle w:val="Style22"/>
              <w:keepNext w:val="0"/>
              <w:keepLines w:val="0"/>
              <w:widowControl w:val="0"/>
              <w:shd w:val="clear" w:color="auto" w:fill="auto"/>
              <w:bidi w:val="0"/>
              <w:spacing w:before="0" w:after="0" w:line="317" w:lineRule="exact"/>
              <w:ind w:left="0" w:right="0" w:firstLine="240"/>
              <w:jc w:val="left"/>
            </w:pPr>
            <w:r>
              <w:rPr>
                <w:rFonts w:ascii="SimSun" w:eastAsia="SimSun" w:hAnsi="SimSun" w:cs="SimSun"/>
                <w:color w:val="000000"/>
                <w:spacing w:val="0"/>
                <w:w w:val="100"/>
                <w:position w:val="0"/>
              </w:rPr>
              <w:t>红的金额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180" w:right="0" w:firstLine="0"/>
              <w:jc w:val="both"/>
            </w:pPr>
            <w:r>
              <w:rPr>
                <w:rFonts w:ascii="SimSun" w:eastAsia="SimSun" w:hAnsi="SimSun" w:cs="SimSun"/>
                <w:color w:val="000000"/>
                <w:spacing w:val="0"/>
                <w:w w:val="100"/>
                <w:position w:val="0"/>
              </w:rPr>
              <w:t>式现金分 红金额占 合并报表 中归属于 上市公司 普通股股 东的净利 润的比例</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额（含其他方 式）</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额（含其他 方式）占合 并报表中归 属于上市公 司普通股股 东的净利润 的比率</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35,617,682.21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223,052,864.45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35,617,682.21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15.97%</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36,242,118.43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220,879,359.32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36,242,118.43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16.41%</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20,709,781.96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111,714,711.22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20,709,781.96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18.54%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二</w:t>
      </w:r>
      <w:bookmarkEnd w:id="300"/>
      <w:r>
        <w:rPr>
          <w:color w:val="000000"/>
          <w:spacing w:val="0"/>
          <w:w w:val="100"/>
          <w:position w:val="0"/>
          <w:sz w:val="24"/>
          <w:szCs w:val="24"/>
        </w:rPr>
        <w:t>、本报告期利润分配及资本公积金转增股本情况</w:t>
      </w:r>
      <w:bookmarkEnd w:id="298"/>
      <w:bookmarkEnd w:id="299"/>
      <w:bookmarkEnd w:id="301"/>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512"/>
        <w:gridCol w:w="5069"/>
      </w:tblGrid>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1,017,648,063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35,617,682.21</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35,617,682.21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178,630,389.20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322" w:hRule="exact"/>
        </w:trPr>
        <w:tc>
          <w:tcPr>
            <w:gridSpan w:val="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634"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w:t>
            </w:r>
          </w:p>
        </w:tc>
      </w:tr>
      <w:tr>
        <w:trPr>
          <w:trHeight w:val="322" w:hRule="exact"/>
        </w:trPr>
        <w:tc>
          <w:tcPr>
            <w:gridSpan w:val="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407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460"/>
              <w:jc w:val="both"/>
            </w:pPr>
            <w:r>
              <w:rPr>
                <w:rFonts w:ascii="SimSun" w:eastAsia="SimSun" w:hAnsi="SimSun" w:cs="SimSun"/>
                <w:color w:val="000000"/>
                <w:spacing w:val="0"/>
                <w:w w:val="100"/>
                <w:position w:val="0"/>
              </w:rPr>
              <w:t>根据信永中和会计师事务所出具的</w:t>
            </w:r>
            <w:r>
              <w:rPr>
                <w:color w:val="000000"/>
                <w:spacing w:val="0"/>
                <w:w w:val="100"/>
                <w:position w:val="0"/>
              </w:rPr>
              <w:t>XYZH/2021SHAA10022</w:t>
            </w:r>
            <w:r>
              <w:rPr>
                <w:rFonts w:ascii="SimSun" w:eastAsia="SimSun" w:hAnsi="SimSun" w:cs="SimSun"/>
                <w:color w:val="000000"/>
                <w:spacing w:val="0"/>
                <w:w w:val="100"/>
                <w:position w:val="0"/>
              </w:rPr>
              <w:t>号标准无保留意见的审计报告，公司</w:t>
            </w:r>
            <w:r>
              <w:rPr>
                <w:color w:val="000000"/>
                <w:spacing w:val="0"/>
                <w:w w:val="100"/>
                <w:position w:val="0"/>
              </w:rPr>
              <w:t>2020</w:t>
            </w:r>
            <w:r>
              <w:rPr>
                <w:rFonts w:ascii="SimSun" w:eastAsia="SimSun" w:hAnsi="SimSun" w:cs="SimSun"/>
                <w:color w:val="000000"/>
                <w:spacing w:val="0"/>
                <w:w w:val="100"/>
                <w:position w:val="0"/>
              </w:rPr>
              <w:t>年度实现归属 于上市公司股东的净利润</w:t>
            </w:r>
            <w:r>
              <w:rPr>
                <w:color w:val="000000"/>
                <w:spacing w:val="0"/>
                <w:w w:val="100"/>
                <w:position w:val="0"/>
              </w:rPr>
              <w:t>223,052,864.45</w:t>
            </w:r>
            <w:r>
              <w:rPr>
                <w:rFonts w:ascii="SimSun" w:eastAsia="SimSun" w:hAnsi="SimSun" w:cs="SimSun"/>
                <w:color w:val="000000"/>
                <w:spacing w:val="0"/>
                <w:w w:val="100"/>
                <w:position w:val="0"/>
              </w:rPr>
              <w:t>元，提取法定盈余公积</w:t>
            </w:r>
            <w:r>
              <w:rPr>
                <w:color w:val="000000"/>
                <w:spacing w:val="0"/>
                <w:w w:val="100"/>
                <w:position w:val="0"/>
              </w:rPr>
              <w:t>44,459,034.46</w:t>
            </w:r>
            <w:r>
              <w:rPr>
                <w:rFonts w:ascii="SimSun" w:eastAsia="SimSun" w:hAnsi="SimSun" w:cs="SimSun"/>
                <w:color w:val="000000"/>
                <w:spacing w:val="0"/>
                <w:w w:val="100"/>
                <w:position w:val="0"/>
              </w:rPr>
              <w:t>元后，减去应付普通股股利</w:t>
            </w:r>
            <w:r>
              <w:rPr>
                <w:color w:val="000000"/>
                <w:spacing w:val="0"/>
                <w:w w:val="100"/>
                <w:position w:val="0"/>
              </w:rPr>
              <w:t xml:space="preserve">36,242,118.43 </w:t>
            </w:r>
            <w:r>
              <w:rPr>
                <w:rFonts w:ascii="SimSun" w:eastAsia="SimSun" w:hAnsi="SimSun" w:cs="SimSun"/>
                <w:color w:val="000000"/>
                <w:spacing w:val="0"/>
                <w:w w:val="100"/>
                <w:position w:val="0"/>
              </w:rPr>
              <w:t>元，加上上年结存未分配利润</w:t>
            </w:r>
            <w:r>
              <w:rPr>
                <w:color w:val="000000"/>
                <w:spacing w:val="0"/>
                <w:w w:val="100"/>
                <w:position w:val="0"/>
              </w:rPr>
              <w:t>1,400,735,829.60</w:t>
            </w:r>
            <w:r>
              <w:rPr>
                <w:rFonts w:ascii="SimSun" w:eastAsia="SimSun" w:hAnsi="SimSun" w:cs="SimSun"/>
                <w:color w:val="000000"/>
                <w:spacing w:val="0"/>
                <w:w w:val="100"/>
                <w:position w:val="0"/>
              </w:rPr>
              <w:t>元，本年度末可供投资者分配的利润</w:t>
            </w:r>
            <w:r>
              <w:rPr>
                <w:color w:val="000000"/>
                <w:spacing w:val="0"/>
                <w:w w:val="100"/>
                <w:position w:val="0"/>
              </w:rPr>
              <w:t>1,543,087,541.16</w:t>
            </w:r>
            <w:r>
              <w:rPr>
                <w:rFonts w:ascii="SimSun" w:eastAsia="SimSun" w:hAnsi="SimSun" w:cs="SimSun"/>
                <w:color w:val="000000"/>
                <w:spacing w:val="0"/>
                <w:w w:val="100"/>
                <w:position w:val="0"/>
              </w:rPr>
              <w:t>元。</w:t>
            </w:r>
          </w:p>
          <w:p>
            <w:pPr>
              <w:pStyle w:val="Style22"/>
              <w:keepNext w:val="0"/>
              <w:keepLines w:val="0"/>
              <w:widowControl w:val="0"/>
              <w:shd w:val="clear" w:color="auto" w:fill="auto"/>
              <w:bidi w:val="0"/>
              <w:spacing w:before="0" w:after="0" w:line="313" w:lineRule="exact"/>
              <w:ind w:left="0" w:right="0" w:firstLine="460"/>
              <w:jc w:val="both"/>
            </w:pPr>
            <w:r>
              <w:rPr>
                <w:rFonts w:ascii="SimSun" w:eastAsia="SimSun" w:hAnsi="SimSun" w:cs="SimSun"/>
                <w:color w:val="000000"/>
                <w:spacing w:val="0"/>
                <w:w w:val="100"/>
                <w:position w:val="0"/>
              </w:rPr>
              <w:t>根据证监会《关于进一步落实上市公司现金分红有关事项的通知》、《上市公司监管指引第</w:t>
            </w:r>
            <w:r>
              <w:rPr>
                <w:color w:val="000000"/>
                <w:spacing w:val="0"/>
                <w:w w:val="100"/>
                <w:position w:val="0"/>
              </w:rPr>
              <w:t>3</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上市公司现金分 红》及《公司章程》等规定，结合公司</w:t>
            </w:r>
            <w:r>
              <w:rPr>
                <w:color w:val="000000"/>
                <w:spacing w:val="0"/>
                <w:w w:val="100"/>
                <w:position w:val="0"/>
              </w:rPr>
              <w:t>2020</w:t>
            </w:r>
            <w:r>
              <w:rPr>
                <w:rFonts w:ascii="SimSun" w:eastAsia="SimSun" w:hAnsi="SimSun" w:cs="SimSun"/>
                <w:color w:val="000000"/>
                <w:spacing w:val="0"/>
                <w:w w:val="100"/>
                <w:position w:val="0"/>
              </w:rPr>
              <w:t>年度实际生产经营情况及未来发展前景，公司拟定</w:t>
            </w:r>
            <w:r>
              <w:rPr>
                <w:color w:val="000000"/>
                <w:spacing w:val="0"/>
                <w:w w:val="100"/>
                <w:position w:val="0"/>
              </w:rPr>
              <w:t>2020</w:t>
            </w:r>
            <w:r>
              <w:rPr>
                <w:rFonts w:ascii="SimSun" w:eastAsia="SimSun" w:hAnsi="SimSun" w:cs="SimSun"/>
                <w:color w:val="000000"/>
                <w:spacing w:val="0"/>
                <w:w w:val="100"/>
                <w:position w:val="0"/>
              </w:rPr>
              <w:t>年度利润分配预案 如下：以未来实施分配方案时股权登记日的总股本扣除公司回购专户上已回购股份后的总股本为基数，向全体股东每</w:t>
            </w:r>
            <w:r>
              <w:rPr>
                <w:color w:val="000000"/>
                <w:spacing w:val="0"/>
                <w:w w:val="100"/>
                <w:position w:val="0"/>
              </w:rPr>
              <w:t xml:space="preserve">10 </w:t>
            </w:r>
            <w:r>
              <w:rPr>
                <w:rFonts w:ascii="SimSun" w:eastAsia="SimSun" w:hAnsi="SimSun" w:cs="SimSun"/>
                <w:color w:val="000000"/>
                <w:spacing w:val="0"/>
                <w:w w:val="100"/>
                <w:position w:val="0"/>
              </w:rPr>
              <w:t>股派发现金红利人民币</w:t>
            </w:r>
            <w:r>
              <w:rPr>
                <w:color w:val="000000"/>
                <w:spacing w:val="0"/>
                <w:w w:val="100"/>
                <w:position w:val="0"/>
              </w:rPr>
              <w:t>0.35</w:t>
            </w:r>
            <w:r>
              <w:rPr>
                <w:rFonts w:ascii="SimSun" w:eastAsia="SimSun" w:hAnsi="SimSun" w:cs="SimSun"/>
                <w:color w:val="000000"/>
                <w:spacing w:val="0"/>
                <w:w w:val="100"/>
                <w:position w:val="0"/>
              </w:rPr>
              <w:t>元（含税），不送红股，不以公积金转增股本。</w:t>
            </w:r>
          </w:p>
          <w:p>
            <w:pPr>
              <w:pStyle w:val="Style22"/>
              <w:keepNext w:val="0"/>
              <w:keepLines w:val="0"/>
              <w:widowControl w:val="0"/>
              <w:shd w:val="clear" w:color="auto" w:fill="auto"/>
              <w:bidi w:val="0"/>
              <w:spacing w:before="0" w:after="0" w:line="313" w:lineRule="exact"/>
              <w:ind w:left="0" w:right="0" w:firstLine="46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日，公司通过股份回购证券专用账户以集中竞价交易方式累计回购公司股份</w:t>
            </w:r>
            <w:r>
              <w:rPr>
                <w:color w:val="000000"/>
                <w:spacing w:val="0"/>
                <w:w w:val="100"/>
                <w:position w:val="0"/>
              </w:rPr>
              <w:t>17,841,035</w:t>
            </w:r>
            <w:r>
              <w:rPr>
                <w:rFonts w:ascii="SimSun" w:eastAsia="SimSun" w:hAnsi="SimSun" w:cs="SimSun"/>
                <w:color w:val="000000"/>
                <w:spacing w:val="0"/>
                <w:w w:val="100"/>
                <w:position w:val="0"/>
              </w:rPr>
              <w:t>股，根 据《深圳证券交易所上市公司回购股份实施细则》，回购专用证券账户中的股份不享有参与利润分配的权利，鉴于公司 目前尚未完成股份回购，公司将按照权益分派股权登记日公司总股数扣除回购专户股数的股本为分配基数，分配比例不 变。</w:t>
            </w:r>
          </w:p>
          <w:p>
            <w:pPr>
              <w:pStyle w:val="Style2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年利润分配预案有益于公司持续稳定发展，且符合《公司法》、《公司章程》等相关规定，不存在损害 投资者利益的情况。</w:t>
            </w:r>
          </w:p>
        </w:tc>
      </w:tr>
    </w:tbl>
    <w:p>
      <w:pPr>
        <w:spacing w:lineRule="exact" w:line="1"/>
        <w:rPr>
          <w:sz w:val="2"/>
          <w:szCs w:val="2"/>
        </w:rPr>
      </w:pPr>
      <w:r>
        <w:br w:type="page"/>
      </w:r>
    </w:p>
    <w:p>
      <w:pPr>
        <w:pStyle w:val="Style26"/>
        <w:keepNext/>
        <w:keepLines/>
        <w:widowControl w:val="0"/>
        <w:shd w:val="clear" w:color="auto" w:fill="auto"/>
        <w:bidi w:val="0"/>
        <w:spacing w:before="0" w:after="2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三</w:t>
      </w:r>
      <w:bookmarkEnd w:id="304"/>
      <w:r>
        <w:rPr>
          <w:color w:val="000000"/>
          <w:spacing w:val="0"/>
          <w:w w:val="100"/>
          <w:position w:val="0"/>
          <w:sz w:val="24"/>
          <w:szCs w:val="24"/>
        </w:rPr>
        <w:t>、承诺事项履行情况</w:t>
      </w:r>
      <w:bookmarkEnd w:id="302"/>
      <w:bookmarkEnd w:id="303"/>
      <w:bookmarkEnd w:id="305"/>
    </w:p>
    <w:p>
      <w:pPr>
        <w:pStyle w:val="Style34"/>
        <w:keepNext/>
        <w:keepLines/>
        <w:widowControl w:val="0"/>
        <w:shd w:val="clear" w:color="auto" w:fill="auto"/>
        <w:bidi w:val="0"/>
        <w:spacing w:before="0" w:after="360" w:line="317" w:lineRule="exact"/>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、公司实际控制人、股东、关联方、收购人以及公司等承诺相关方在报告期内履行完毕及截至报告期末 尚未履行完毕的承诺事项</w:t>
      </w:r>
      <w:bookmarkEnd w:id="306"/>
      <w:bookmarkEnd w:id="307"/>
      <w:bookmarkEnd w:id="309"/>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83"/>
        <w:gridCol w:w="878"/>
        <w:gridCol w:w="1358"/>
        <w:gridCol w:w="2501"/>
        <w:gridCol w:w="1320"/>
        <w:gridCol w:w="989"/>
        <w:gridCol w:w="1046"/>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634"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海控集</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保持上市公司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独立性的承诺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《关于保持上市公司独立性 的承诺函》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严格履行 承诺</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海控集</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避免同业竞争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《关于避免同业竞争的承诺 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严格履行 承诺</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海控集</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规范关联交易 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《关于规范关联交易的承诺 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严格履行 承诺</w:t>
            </w:r>
          </w:p>
        </w:tc>
      </w:tr>
      <w:tr>
        <w:trPr>
          <w:trHeight w:val="94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资产重组时所</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智能科 技集团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规范关联交易 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《关于规范与浙江万马电缆 股份有限公司关联交易承诺 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严格履行 承诺</w:t>
            </w:r>
          </w:p>
        </w:tc>
      </w:tr>
      <w:tr>
        <w:trPr>
          <w:trHeight w:val="94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智能科 技集团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避免同业竞争 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《关于避免与浙江万马电缆 股份有限公司同业竞争的声 明与承诺函》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严格履行 承诺</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智能科 技集团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保障上市公司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独立性的承诺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《关于保障浙江万马电缆股 份有限公司独立性的承诺函》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严格履行 承诺</w:t>
            </w:r>
          </w:p>
        </w:tc>
      </w:tr>
      <w:tr>
        <w:trPr>
          <w:trHeight w:val="250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首次公开发行</w:t>
            </w:r>
          </w:p>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或再融资时所</w:t>
            </w:r>
          </w:p>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智能科 技集团、 实际控 制人张 德生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避免同业竞争 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本公司、本人及本公司、本人 控制的其他企业目前没有、将 来也不直接或间接从事与万 马电缆及其控股子公司现有 及将来从事的业务构成同业 竞争的任何活动，并愿意对违 反上述承诺而给万马电缆造 成的经济损失承担赔偿责任。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严格履行 承诺</w:t>
            </w:r>
          </w:p>
        </w:tc>
      </w:tr>
      <w:tr>
        <w:trPr>
          <w:trHeight w:val="281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万马股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现金分红规划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原则上公司每年以现金方式 分配的利润不低于当年实现 的可供分配利润的</w:t>
            </w:r>
            <w:r>
              <w:rPr>
                <w:color w:val="000000"/>
                <w:spacing w:val="0"/>
                <w:w w:val="100"/>
                <w:position w:val="0"/>
              </w:rPr>
              <w:t>15%</w:t>
            </w:r>
            <w:r>
              <w:rPr>
                <w:rFonts w:ascii="SimSun" w:eastAsia="SimSun" w:hAnsi="SimSun" w:cs="SimSun"/>
                <w:color w:val="000000"/>
                <w:spacing w:val="0"/>
                <w:w w:val="100"/>
                <w:position w:val="0"/>
              </w:rPr>
              <w:t>,并且 连续三年以现金方式累计分 配的利润不少于该三年实现 的年均可供分配利润的</w:t>
            </w:r>
            <w:r>
              <w:rPr>
                <w:color w:val="000000"/>
                <w:spacing w:val="0"/>
                <w:w w:val="100"/>
                <w:position w:val="0"/>
              </w:rPr>
              <w:t>45%</w:t>
            </w:r>
            <w:r>
              <w:rPr>
                <w:rFonts w:ascii="SimSun" w:eastAsia="SimSun" w:hAnsi="SimSun" w:cs="SimSun"/>
                <w:color w:val="000000"/>
                <w:spacing w:val="0"/>
                <w:w w:val="100"/>
                <w:position w:val="0"/>
              </w:rPr>
              <w:t>。 详见公司</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日披 露的“未来三年（</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-2020 </w:t>
            </w:r>
            <w:r>
              <w:rPr>
                <w:rFonts w:ascii="SimSun" w:eastAsia="SimSun" w:hAnsi="SimSun" w:cs="SimSun"/>
                <w:color w:val="000000"/>
                <w:spacing w:val="0"/>
                <w:w w:val="100"/>
                <w:position w:val="0"/>
              </w:rPr>
              <w:t>年）股东回报规划”。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2018-1-1</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2020-12-3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严格履行 承诺</w:t>
            </w:r>
          </w:p>
        </w:tc>
      </w:tr>
      <w:tr>
        <w:trPr>
          <w:trHeight w:val="638"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承诺是否按时</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955"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如承诺超期未</w:t>
            </w:r>
          </w:p>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履行完毕的，应</w:t>
            </w:r>
          </w:p>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当详细说明未</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tbl>
      <w:tblPr>
        <w:tblOverlap w:val="never"/>
        <w:jc w:val="center"/>
        <w:tblLayout w:type="fixed"/>
      </w:tblPr>
      <w:tblGrid>
        <w:gridCol w:w="1483"/>
        <w:gridCol w:w="8093"/>
      </w:tblGrid>
      <w:tr>
        <w:trPr>
          <w:trHeight w:val="955"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完成履行的具</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体原因及下一</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keepLines/>
        <w:widowControl w:val="0"/>
        <w:shd w:val="clear" w:color="auto" w:fill="auto"/>
        <w:bidi w:val="0"/>
        <w:spacing w:before="0" w:line="317"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、公司资产或项目存在盈利预测，且报告期仍处在盈利预测期间，公司就资产或项目达到原盈利预测及 其原因做出说明</w:t>
      </w:r>
      <w:bookmarkEnd w:id="310"/>
      <w:bookmarkEnd w:id="311"/>
      <w:bookmarkEnd w:id="31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93" w:val="left"/>
        </w:tabs>
        <w:bidi w:val="0"/>
        <w:spacing w:before="0" w:line="326"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四</w:t>
      </w:r>
      <w:bookmarkEnd w:id="316"/>
      <w:r>
        <w:rPr>
          <w:color w:val="000000"/>
          <w:spacing w:val="0"/>
          <w:w w:val="100"/>
          <w:position w:val="0"/>
          <w:sz w:val="24"/>
          <w:szCs w:val="24"/>
        </w:rPr>
        <w:t>、</w:t>
        <w:tab/>
        <w:t>控股股东及其关联方对上市公司的非经营性占用资金情况</w:t>
      </w:r>
      <w:bookmarkEnd w:id="314"/>
      <w:bookmarkEnd w:id="315"/>
      <w:bookmarkEnd w:id="31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326"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五</w:t>
      </w:r>
      <w:bookmarkEnd w:id="320"/>
      <w:r>
        <w:rPr>
          <w:color w:val="000000"/>
          <w:spacing w:val="0"/>
          <w:w w:val="100"/>
          <w:position w:val="0"/>
          <w:sz w:val="24"/>
          <w:szCs w:val="24"/>
        </w:rPr>
        <w:t>、</w:t>
        <w:tab/>
        <w:t>董事会、监事会、独立董事（如有）对会计师事务所本报告期“非标准审计报告”的说 明</w:t>
      </w:r>
      <w:bookmarkEnd w:id="318"/>
      <w:bookmarkEnd w:id="319"/>
      <w:bookmarkEnd w:id="32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326"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六</w:t>
      </w:r>
      <w:bookmarkEnd w:id="324"/>
      <w:r>
        <w:rPr>
          <w:color w:val="000000"/>
          <w:spacing w:val="0"/>
          <w:w w:val="100"/>
          <w:position w:val="0"/>
          <w:sz w:val="24"/>
          <w:szCs w:val="24"/>
        </w:rPr>
        <w:t>、</w:t>
        <w:tab/>
        <w:t>与上年度财务报告相比，会计政策、会计估计和核算方法发生变化的情况说明</w:t>
      </w:r>
      <w:bookmarkEnd w:id="322"/>
      <w:bookmarkEnd w:id="323"/>
      <w:bookmarkEnd w:id="32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详见：第十二节财务报告五、重要会计政策及会计估计</w:t>
      </w:r>
      <w:r>
        <w:rPr>
          <w:color w:val="000000"/>
          <w:spacing w:val="0"/>
          <w:w w:val="100"/>
          <w:position w:val="0"/>
          <w:sz w:val="18"/>
          <w:szCs w:val="18"/>
        </w:rPr>
        <w:t>45</w:t>
      </w:r>
      <w:r>
        <w:rPr>
          <w:color w:val="000000"/>
          <w:spacing w:val="0"/>
          <w:w w:val="100"/>
          <w:position w:val="0"/>
        </w:rPr>
        <w:t>.重要会计政策和会计估计变更。</w:t>
      </w:r>
    </w:p>
    <w:p>
      <w:pPr>
        <w:pStyle w:val="Style26"/>
        <w:keepNext/>
        <w:keepLines/>
        <w:widowControl w:val="0"/>
        <w:shd w:val="clear" w:color="auto" w:fill="auto"/>
        <w:tabs>
          <w:tab w:pos="517" w:val="left"/>
        </w:tabs>
        <w:bidi w:val="0"/>
        <w:spacing w:before="0" w:line="326" w:lineRule="exact"/>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七</w:t>
      </w:r>
      <w:bookmarkEnd w:id="328"/>
      <w:r>
        <w:rPr>
          <w:color w:val="000000"/>
          <w:spacing w:val="0"/>
          <w:w w:val="100"/>
          <w:position w:val="0"/>
          <w:sz w:val="24"/>
          <w:szCs w:val="24"/>
        </w:rPr>
        <w:t>、</w:t>
        <w:tab/>
        <w:t>报告期内发生重大会计差错更正需追溯重述的情况说明</w:t>
      </w:r>
      <w:bookmarkEnd w:id="326"/>
      <w:bookmarkEnd w:id="327"/>
      <w:bookmarkEnd w:id="32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17" w:val="left"/>
        </w:tabs>
        <w:bidi w:val="0"/>
        <w:spacing w:before="0" w:line="326" w:lineRule="exact"/>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八</w:t>
      </w:r>
      <w:bookmarkEnd w:id="332"/>
      <w:r>
        <w:rPr>
          <w:color w:val="000000"/>
          <w:spacing w:val="0"/>
          <w:w w:val="100"/>
          <w:position w:val="0"/>
          <w:sz w:val="24"/>
          <w:szCs w:val="24"/>
        </w:rPr>
        <w:t>、</w:t>
        <w:tab/>
        <w:t>与上年度财务报告相比，合并报表范围发生变化的情况说明</w:t>
      </w:r>
      <w:bookmarkEnd w:id="330"/>
      <w:bookmarkEnd w:id="331"/>
      <w:bookmarkEnd w:id="333"/>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详见本报告“第四节经营情况讨论与分析二、主营业务分析</w:t>
      </w:r>
      <w:r>
        <w:rPr>
          <w:color w:val="000000"/>
          <w:spacing w:val="0"/>
          <w:w w:val="100"/>
          <w:position w:val="0"/>
          <w:sz w:val="20"/>
          <w:szCs w:val="20"/>
        </w:rPr>
        <w:t>2.</w:t>
      </w:r>
      <w:r>
        <w:rPr>
          <w:color w:val="000000"/>
          <w:spacing w:val="0"/>
          <w:w w:val="100"/>
          <w:position w:val="0"/>
        </w:rPr>
        <w:t>收入与成本</w:t>
      </w:r>
      <w:r>
        <w:rPr>
          <w:color w:val="000000"/>
          <w:spacing w:val="0"/>
          <w:w w:val="100"/>
          <w:position w:val="0"/>
          <w:sz w:val="20"/>
          <w:szCs w:val="20"/>
        </w:rPr>
        <w:t>（6）</w:t>
      </w:r>
      <w:r>
        <w:rPr>
          <w:color w:val="000000"/>
          <w:spacing w:val="0"/>
          <w:w w:val="100"/>
          <w:position w:val="0"/>
        </w:rPr>
        <w:t>报告期内合并范</w:t>
      </w:r>
    </w:p>
    <w:p>
      <w:pPr>
        <w:pStyle w:val="Style38"/>
        <w:keepNext w:val="0"/>
        <w:keepLines w:val="0"/>
        <w:widowControl w:val="0"/>
        <w:shd w:val="clear" w:color="auto" w:fill="auto"/>
        <w:bidi w:val="0"/>
        <w:spacing w:before="0" w:after="620" w:line="317" w:lineRule="exact"/>
        <w:ind w:left="0" w:right="0" w:firstLine="0"/>
        <w:jc w:val="both"/>
      </w:pPr>
      <w:r>
        <w:rPr>
          <w:color w:val="000000"/>
          <w:spacing w:val="0"/>
          <w:w w:val="100"/>
          <w:position w:val="0"/>
        </w:rPr>
        <w:t>围是否发生变动”</w:t>
      </w:r>
    </w:p>
    <w:p>
      <w:pPr>
        <w:pStyle w:val="Style26"/>
        <w:keepNext/>
        <w:keepLines/>
        <w:widowControl w:val="0"/>
        <w:shd w:val="clear" w:color="auto" w:fill="auto"/>
        <w:tabs>
          <w:tab w:pos="517" w:val="left"/>
        </w:tabs>
        <w:bidi w:val="0"/>
        <w:spacing w:before="0" w:line="326" w:lineRule="exact"/>
        <w:ind w:left="0" w:right="0" w:firstLine="0"/>
        <w:jc w:val="both"/>
      </w:pPr>
      <w:bookmarkStart w:id="334" w:name="bookmark334"/>
      <w:bookmarkStart w:id="335" w:name="bookmark335"/>
      <w:bookmarkStart w:id="336" w:name="bookmark336"/>
      <w:bookmarkStart w:id="337" w:name="bookmark337"/>
      <w:r>
        <w:rPr>
          <w:color w:val="000000"/>
          <w:spacing w:val="0"/>
          <w:w w:val="100"/>
          <w:position w:val="0"/>
          <w:sz w:val="24"/>
          <w:szCs w:val="24"/>
        </w:rPr>
        <w:t>九</w:t>
      </w:r>
      <w:bookmarkEnd w:id="336"/>
      <w:r>
        <w:rPr>
          <w:color w:val="000000"/>
          <w:spacing w:val="0"/>
          <w:w w:val="100"/>
          <w:position w:val="0"/>
          <w:sz w:val="24"/>
          <w:szCs w:val="24"/>
        </w:rPr>
        <w:t>、</w:t>
        <w:tab/>
        <w:t>聘任、解聘会计师事务所情况</w:t>
      </w:r>
      <w:bookmarkEnd w:id="334"/>
      <w:bookmarkEnd w:id="335"/>
      <w:bookmarkEnd w:id="33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tbl>
      <w:tblPr>
        <w:tblOverlap w:val="never"/>
        <w:jc w:val="left"/>
        <w:tblLayout w:type="fixed"/>
      </w:tblPr>
      <w:tblGrid>
        <w:gridCol w:w="4795"/>
        <w:gridCol w:w="4786"/>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叶胜平、提汝明</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年</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十、年度报告披露后面临退市情况</w:t>
      </w:r>
      <w:bookmarkEnd w:id="338"/>
      <w:bookmarkEnd w:id="339"/>
      <w:bookmarkEnd w:id="34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十一、破产重整相关事项</w:t>
      </w:r>
      <w:bookmarkEnd w:id="341"/>
      <w:bookmarkEnd w:id="342"/>
      <w:bookmarkEnd w:id="34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十二、重大诉讼、仲裁事项</w:t>
      </w:r>
      <w:bookmarkEnd w:id="344"/>
      <w:bookmarkEnd w:id="345"/>
      <w:bookmarkEnd w:id="34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十三、处罚及整改情况</w:t>
      </w:r>
      <w:bookmarkEnd w:id="347"/>
      <w:bookmarkEnd w:id="348"/>
      <w:bookmarkEnd w:id="34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十四、公司及其控股股东、实际控制人的诚信状况</w:t>
      </w:r>
      <w:bookmarkEnd w:id="350"/>
      <w:bookmarkEnd w:id="351"/>
      <w:bookmarkEnd w:id="35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十五、公司股权激励计划、员工持股计划或其他员工激励措施的实施情况</w:t>
      </w:r>
      <w:bookmarkEnd w:id="353"/>
      <w:bookmarkEnd w:id="354"/>
      <w:bookmarkEnd w:id="35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十六、重大关联交易</w:t>
      </w:r>
      <w:bookmarkEnd w:id="356"/>
      <w:bookmarkEnd w:id="357"/>
      <w:bookmarkEnd w:id="358"/>
    </w:p>
    <w:p>
      <w:pPr>
        <w:pStyle w:val="Style34"/>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、与日常经营相关的关联交易</w:t>
      </w:r>
      <w:bookmarkEnd w:id="359"/>
      <w:bookmarkEnd w:id="360"/>
      <w:bookmarkEnd w:id="36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633" w:right="505" w:bottom="1470" w:left="1023" w:header="0" w:footer="3" w:gutter="0"/>
          <w:cols w:space="720"/>
          <w:noEndnote/>
          <w:rtlGutter w:val="0"/>
          <w:docGrid w:linePitch="360"/>
        </w:sectPr>
      </w:pPr>
      <w:r>
        <w:rPr>
          <w:color w:val="000000"/>
          <w:spacing w:val="0"/>
          <w:w w:val="100"/>
          <w:position w:val="0"/>
        </w:rPr>
        <w:t>公司报告期未发生与日常经营相关的关联交易。</w:t>
      </w:r>
    </w:p>
    <w:p>
      <w:pPr>
        <w:pStyle w:val="Style34"/>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、资产或股权收购、出售发生的关联交易</w:t>
      </w:r>
      <w:bookmarkEnd w:id="363"/>
      <w:bookmarkEnd w:id="364"/>
      <w:bookmarkEnd w:id="36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34"/>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、共同对外投资的关联交易</w:t>
      </w:r>
      <w:bookmarkEnd w:id="367"/>
      <w:bookmarkEnd w:id="368"/>
      <w:bookmarkEnd w:id="370"/>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公司报告期未发生共同对外投资的关联交易。</w:t>
      </w:r>
    </w:p>
    <w:tbl>
      <w:tblPr>
        <w:tblOverlap w:val="never"/>
        <w:jc w:val="center"/>
        <w:tblLayout w:type="fixed"/>
      </w:tblPr>
      <w:tblGrid>
        <w:gridCol w:w="1766"/>
        <w:gridCol w:w="1070"/>
        <w:gridCol w:w="922"/>
        <w:gridCol w:w="1541"/>
        <w:gridCol w:w="1008"/>
        <w:gridCol w:w="1262"/>
        <w:gridCol w:w="1344"/>
        <w:gridCol w:w="1358"/>
      </w:tblGrid>
      <w:tr>
        <w:trPr>
          <w:trHeight w:val="1128"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280" w:after="0" w:line="240" w:lineRule="auto"/>
              <w:ind w:left="0" w:right="0" w:firstLine="180"/>
              <w:jc w:val="left"/>
            </w:pPr>
            <w:r>
              <w:rPr>
                <w:rFonts w:ascii="SimSun" w:eastAsia="SimSun" w:hAnsi="SimSun" w:cs="SimSun"/>
                <w:color w:val="000000"/>
                <w:spacing w:val="0"/>
                <w:w w:val="100"/>
                <w:position w:val="0"/>
              </w:rPr>
              <w:t>共同投资方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被投资</w:t>
            </w:r>
          </w:p>
          <w:p>
            <w:pPr>
              <w:pStyle w:val="Style2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企业的</w:t>
            </w:r>
          </w:p>
          <w:p>
            <w:pPr>
              <w:pStyle w:val="Style2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60" w:line="240" w:lineRule="auto"/>
              <w:ind w:left="0" w:right="0" w:firstLine="0"/>
              <w:jc w:val="center"/>
            </w:pPr>
            <w:r>
              <w:rPr>
                <w:rFonts w:ascii="SimSun" w:eastAsia="SimSun" w:hAnsi="SimSun" w:cs="SimSun"/>
                <w:color w:val="000000"/>
                <w:spacing w:val="0"/>
                <w:w w:val="100"/>
                <w:position w:val="0"/>
              </w:rPr>
              <w:t>被投资企业的主</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被投资企 业的注册 资本</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被投资企业 的总资产（万 元）</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被投资企业的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净资产（万元）</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79" w:lineRule="exact"/>
              <w:ind w:left="0" w:right="0" w:firstLine="0"/>
              <w:jc w:val="left"/>
            </w:pPr>
            <w:r>
              <w:rPr>
                <w:rFonts w:ascii="SimSun" w:eastAsia="SimSun" w:hAnsi="SimSun" w:cs="SimSun"/>
                <w:color w:val="000000"/>
                <w:spacing w:val="0"/>
                <w:w w:val="100"/>
                <w:position w:val="0"/>
              </w:rPr>
              <w:t>被投资企业的 净利润（万元）</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浙江万马智能科技集 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原控股股东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山东万恩新 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设备及设施的设计、 研发、销售；电动车 充电设备及设施项 目的建设与运营； 销 售汽车、汽车配 件等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 xml:space="preserve">5,500.00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153.54</w:t>
            </w:r>
          </w:p>
        </w:tc>
      </w:tr>
      <w:tr>
        <w:trPr>
          <w:trHeight w:val="667" w:hRule="exact"/>
        </w:trPr>
        <w:tc>
          <w:tcPr>
            <w:gridSpan w:val="2"/>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被投资企业的重大在建 项目的进展情况（如有）</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59" w:line="1" w:lineRule="exact"/>
      </w:pPr>
    </w:p>
    <w:p>
      <w:pPr>
        <w:pStyle w:val="Style34"/>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、关联债权债务往来</w:t>
      </w:r>
      <w:bookmarkEnd w:id="371"/>
      <w:bookmarkEnd w:id="372"/>
      <w:bookmarkEnd w:id="37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公司报告期不存在关联债权债务往来。</w:t>
      </w:r>
    </w:p>
    <w:p>
      <w:pPr>
        <w:pStyle w:val="Style34"/>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、其他重大关联交易</w:t>
      </w:r>
      <w:bookmarkEnd w:id="375"/>
      <w:bookmarkEnd w:id="376"/>
      <w:bookmarkEnd w:id="37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十七、重大合同及其履行情况</w:t>
      </w:r>
      <w:bookmarkEnd w:id="379"/>
      <w:bookmarkEnd w:id="380"/>
      <w:bookmarkEnd w:id="381"/>
    </w:p>
    <w:p>
      <w:pPr>
        <w:pStyle w:val="Style34"/>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、托管、承包、租赁事项情况</w:t>
      </w:r>
      <w:bookmarkEnd w:id="382"/>
      <w:bookmarkEnd w:id="383"/>
      <w:bookmarkEnd w:id="385"/>
    </w:p>
    <w:p>
      <w:pPr>
        <w:pStyle w:val="Style59"/>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86"/>
      <w:bookmarkEnd w:id="387"/>
      <w:bookmarkEnd w:id="38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公司报告期不存在托管情况。</w:t>
      </w:r>
    </w:p>
    <w:p>
      <w:pPr>
        <w:pStyle w:val="Style59"/>
        <w:keepNext/>
        <w:keepLines/>
        <w:widowControl w:val="0"/>
        <w:shd w:val="clear" w:color="auto" w:fill="auto"/>
        <w:tabs>
          <w:tab w:pos="493" w:val="left"/>
        </w:tabs>
        <w:bidi w:val="0"/>
        <w:spacing w:before="0" w:after="36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0"/>
      <w:bookmarkEnd w:id="391"/>
      <w:bookmarkEnd w:id="393"/>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59"/>
        <w:keepNext/>
        <w:keepLines/>
        <w:widowControl w:val="0"/>
        <w:shd w:val="clear" w:color="auto" w:fill="auto"/>
        <w:tabs>
          <w:tab w:pos="493" w:val="left"/>
        </w:tabs>
        <w:bidi w:val="0"/>
        <w:spacing w:before="0" w:after="36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4"/>
      <w:bookmarkEnd w:id="395"/>
      <w:bookmarkEnd w:id="397"/>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bidi w:val="0"/>
        <w:spacing w:before="0" w:after="36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、重大担保</w:t>
      </w:r>
      <w:bookmarkEnd w:id="398"/>
      <w:bookmarkEnd w:id="399"/>
      <w:bookmarkEnd w:id="401"/>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59"/>
        <w:keepNext/>
        <w:keepLines/>
        <w:widowControl w:val="0"/>
        <w:shd w:val="clear" w:color="auto" w:fill="auto"/>
        <w:bidi w:val="0"/>
        <w:spacing w:before="0" w:after="360" w:line="240" w:lineRule="auto"/>
        <w:ind w:left="0" w:right="0" w:firstLine="14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2"/>
      <w:bookmarkEnd w:id="403"/>
      <w:bookmarkEnd w:id="405"/>
    </w:p>
    <w:p>
      <w:pPr>
        <w:pStyle w:val="Style29"/>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714"/>
        <w:gridCol w:w="926"/>
        <w:gridCol w:w="922"/>
        <w:gridCol w:w="1291"/>
        <w:gridCol w:w="1066"/>
        <w:gridCol w:w="1037"/>
        <w:gridCol w:w="1042"/>
        <w:gridCol w:w="797"/>
        <w:gridCol w:w="787"/>
      </w:tblGrid>
      <w:tr>
        <w:trPr>
          <w:trHeight w:val="254" w:hRule="exact"/>
        </w:trPr>
        <w:tc>
          <w:tcPr>
            <w:gridSpan w:val="9"/>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97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实际发生日 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是否为 关联方 担保</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公司对子公司</w:t>
            </w:r>
          </w:p>
        </w:tc>
        <w:tc>
          <w:tcPr>
            <w:gridSpan w:val="5"/>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的担保情况</w:t>
            </w:r>
          </w:p>
        </w:tc>
      </w:tr>
      <w:tr>
        <w:trPr>
          <w:trHeight w:val="97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5"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实际发生日期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是否为 关联方 担保</w:t>
            </w:r>
          </w:p>
        </w:tc>
      </w:tr>
      <w:tr>
        <w:trPr>
          <w:trHeight w:val="9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浙江万马高分子材 料集团有限公司</w:t>
            </w:r>
          </w:p>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（中国银行浙江省 分行</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9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浙江万马高分子材 料集团有限公司</w:t>
            </w:r>
          </w:p>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（上海浦东发展银 行杭州中山支行</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9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浙江万马高分子材 料集团有限公司</w:t>
            </w:r>
          </w:p>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（交通银行杭州临 安支行</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9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浙江万马高分子材 料集团有限公司</w:t>
            </w:r>
          </w:p>
          <w:p>
            <w:pPr>
              <w:pStyle w:val="Style22"/>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（兴业银行杭州临 安支行</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9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浙江万马天屹通信 线缆有限公司（浦 发银行杭州临安支 行</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浙江万马新能源有 限公司（浦发银行 杭州临安支行</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709"/>
        <w:gridCol w:w="926"/>
        <w:gridCol w:w="912"/>
        <w:gridCol w:w="1310"/>
        <w:gridCol w:w="1046"/>
        <w:gridCol w:w="1051"/>
        <w:gridCol w:w="1042"/>
        <w:gridCol w:w="787"/>
        <w:gridCol w:w="797"/>
      </w:tblGrid>
      <w:tr>
        <w:trPr>
          <w:trHeight w:val="7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浙江万马新能源有 限公司（宁波银行 杭州分行</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90" w:hRule="exact"/>
        </w:trPr>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70,100</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报告期内对子公司担保 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15,664</w:t>
            </w:r>
          </w:p>
        </w:tc>
      </w:tr>
      <w:tr>
        <w:trPr>
          <w:trHeight w:val="490" w:hRule="exact"/>
        </w:trPr>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报告期末已审批的对子公司担 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70,100</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报告期末对子公司实际 担保余额合计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15,664</w:t>
            </w:r>
          </w:p>
        </w:tc>
      </w:tr>
      <w:tr>
        <w:trPr>
          <w:trHeight w:val="250" w:hRule="exact"/>
        </w:trPr>
        <w:tc>
          <w:tcPr>
            <w:gridSpan w:val="9"/>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97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是否为 关联方 担保</w:t>
            </w:r>
          </w:p>
        </w:tc>
      </w:tr>
      <w:tr>
        <w:trPr>
          <w:trHeight w:val="250" w:hRule="exact"/>
        </w:trPr>
        <w:tc>
          <w:tcPr>
            <w:gridSpan w:val="9"/>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490" w:hRule="exact"/>
        </w:trPr>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70,100</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15,664</w:t>
            </w:r>
          </w:p>
        </w:tc>
      </w:tr>
      <w:tr>
        <w:trPr>
          <w:trHeight w:val="490" w:hRule="exact"/>
        </w:trPr>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70,100</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15,664</w:t>
            </w:r>
          </w:p>
        </w:tc>
      </w:tr>
      <w:tr>
        <w:trPr>
          <w:trHeight w:val="25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250" w:hRule="exact"/>
        </w:trPr>
        <w:tc>
          <w:tcPr>
            <w:gridSpan w:val="9"/>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5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494"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 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25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254" w:hRule="exact"/>
        </w:trPr>
        <w:tc>
          <w:tcPr>
            <w:gridSpan w:val="4"/>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5"/>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6"/>
      <w:bookmarkEnd w:id="407"/>
      <w:bookmarkEnd w:id="40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、委托他人进行现金资产管理情况</w:t>
      </w:r>
      <w:bookmarkEnd w:id="410"/>
      <w:bookmarkEnd w:id="411"/>
      <w:bookmarkEnd w:id="413"/>
    </w:p>
    <w:p>
      <w:pPr>
        <w:pStyle w:val="Style59"/>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4"/>
      <w:bookmarkEnd w:id="415"/>
      <w:bookmarkEnd w:id="41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10"/>
        <w:gridCol w:w="1853"/>
      </w:tblGrid>
      <w:tr>
        <w:trPr>
          <w:trHeight w:val="41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自有资金、募集资金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73,130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73,130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按银行分列理财产品明细表</w:t>
      </w:r>
    </w:p>
    <w:tbl>
      <w:tblPr>
        <w:tblOverlap w:val="never"/>
        <w:jc w:val="left"/>
        <w:tblLayout w:type="fixed"/>
      </w:tblPr>
      <w:tblGrid>
        <w:gridCol w:w="1267"/>
        <w:gridCol w:w="413"/>
        <w:gridCol w:w="931"/>
        <w:gridCol w:w="1138"/>
        <w:gridCol w:w="792"/>
        <w:gridCol w:w="850"/>
        <w:gridCol w:w="523"/>
        <w:gridCol w:w="1166"/>
        <w:gridCol w:w="989"/>
        <w:gridCol w:w="461"/>
        <w:gridCol w:w="562"/>
      </w:tblGrid>
      <w:tr>
        <w:trPr>
          <w:trHeight w:val="1406"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受托人名称</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 关联 交易</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产品类型</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委托理财金额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（单位：元）</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起始日期</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终止日期</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报酬确</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定方式</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本期实际收回 本金金额（元</w:t>
            </w:r>
            <w:r>
              <w:rPr>
                <w:color w:val="000000"/>
                <w:spacing w:val="0"/>
                <w:w w:val="100"/>
                <w:position w:val="0"/>
              </w:rPr>
              <w:t>）</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120" w:line="322" w:lineRule="exact"/>
              <w:ind w:left="0" w:right="0" w:firstLine="0"/>
              <w:jc w:val="left"/>
            </w:pPr>
            <w:r>
              <w:rPr>
                <w:rFonts w:ascii="SimSun" w:eastAsia="SimSun" w:hAnsi="SimSun" w:cs="SimSun"/>
                <w:color w:val="000000"/>
                <w:spacing w:val="0"/>
                <w:w w:val="100"/>
                <w:position w:val="0"/>
              </w:rPr>
              <w:t>报告期实 际损益金额</w:t>
            </w:r>
          </w:p>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C0C0C0"/>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平均 理财 天数</w:t>
            </w:r>
          </w:p>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（天</w:t>
            </w:r>
          </w:p>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C0C0C0"/>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平均年 化收益 率（</w:t>
            </w:r>
            <w:r>
              <w:rPr>
                <w:color w:val="000000"/>
                <w:spacing w:val="0"/>
                <w:w w:val="100"/>
                <w:position w:val="0"/>
              </w:rPr>
              <w:t>%</w:t>
            </w:r>
            <w:r>
              <w:rPr>
                <w:rFonts w:ascii="SimSun" w:eastAsia="SimSun" w:hAnsi="SimSun" w:cs="SimSun"/>
                <w:color w:val="000000"/>
                <w:spacing w:val="0"/>
                <w:w w:val="100"/>
                <w:position w:val="0"/>
              </w:rPr>
              <w:t>）</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1900" w:h="16840"/>
          <w:pgMar w:top="1633" w:right="505" w:bottom="1470" w:left="1023" w:header="0" w:footer="3" w:gutter="0"/>
          <w:cols w:space="720"/>
          <w:noEndnote/>
          <w:rtlGutter w:val="0"/>
          <w:docGrid w:linePitch="360"/>
        </w:sectPr>
      </w:pPr>
    </w:p>
    <w:tbl>
      <w:tblPr>
        <w:tblOverlap w:val="never"/>
        <w:jc w:val="left"/>
        <w:tblLayout w:type="fixed"/>
      </w:tblPr>
      <w:tblGrid>
        <w:gridCol w:w="1267"/>
        <w:gridCol w:w="413"/>
        <w:gridCol w:w="931"/>
        <w:gridCol w:w="1138"/>
        <w:gridCol w:w="792"/>
        <w:gridCol w:w="850"/>
        <w:gridCol w:w="523"/>
        <w:gridCol w:w="1166"/>
        <w:gridCol w:w="989"/>
        <w:gridCol w:w="461"/>
        <w:gridCol w:w="562"/>
      </w:tblGrid>
      <w:tr>
        <w:trPr>
          <w:trHeight w:val="8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工商银行募集 资金专户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到期 还本 付息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1,326,568.79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恒生杭州支行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到期 还本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223,900.00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w:t>
            </w:r>
          </w:p>
        </w:tc>
      </w:tr>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华夏银行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到期 还本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187,030.50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3.08%</w:t>
            </w:r>
          </w:p>
        </w:tc>
      </w:tr>
      <w:tr>
        <w:trPr>
          <w:trHeight w:val="61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汇丰银行杭州 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到期 还本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313,152.78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r>
      <w:tr>
        <w:trPr>
          <w:trHeight w:val="8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交通银行临安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到期 还本 付期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344,967.81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w:t>
            </w: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南京银行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到期 还本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70,316.79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10,000,000</w:t>
            </w:r>
          </w:p>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到期 还本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34,838.81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w:t>
            </w:r>
          </w:p>
        </w:tc>
      </w:tr>
      <w:tr>
        <w:trPr>
          <w:trHeight w:val="6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浦发银行临安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766,660,000.00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付</w:t>
            </w:r>
            <w:r>
              <w:rPr>
                <w:rFonts w:ascii="SimSun" w:eastAsia="SimSun" w:hAnsi="SimSun" w:cs="SimSun"/>
                <w:color w:val="000000"/>
                <w:spacing w:val="0"/>
                <w:w w:val="100"/>
                <w:position w:val="0"/>
                <w:vertAlign w:val="subscript"/>
              </w:rPr>
              <w:t>到</w:t>
            </w:r>
            <w:r>
              <w:rPr>
                <w:rFonts w:ascii="SimSun" w:eastAsia="SimSun" w:hAnsi="SimSun" w:cs="SimSun"/>
                <w:color w:val="000000"/>
                <w:spacing w:val="0"/>
                <w:w w:val="100"/>
                <w:position w:val="0"/>
              </w:rPr>
              <w:t>期</w:t>
            </w:r>
            <w:r>
              <w:rPr>
                <w:rFonts w:ascii="SimSun" w:eastAsia="SimSun" w:hAnsi="SimSun" w:cs="SimSun"/>
                <w:color w:val="000000"/>
                <w:spacing w:val="0"/>
                <w:w w:val="100"/>
                <w:position w:val="0"/>
                <w:vertAlign w:val="subscript"/>
              </w:rPr>
              <w:t>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还本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766,660,000.00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932,061.18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w:t>
            </w:r>
          </w:p>
        </w:tc>
      </w:tr>
      <w:tr>
        <w:trPr>
          <w:trHeight w:val="6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兴业银行临安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4,575,850,000.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付</w:t>
            </w:r>
            <w:r>
              <w:rPr>
                <w:rFonts w:ascii="SimSun" w:eastAsia="SimSun" w:hAnsi="SimSun" w:cs="SimSun"/>
                <w:color w:val="000000"/>
                <w:spacing w:val="0"/>
                <w:w w:val="100"/>
                <w:position w:val="0"/>
                <w:vertAlign w:val="subscript"/>
              </w:rPr>
              <w:t>到</w:t>
            </w:r>
            <w:r>
              <w:rPr>
                <w:rFonts w:ascii="SimSun" w:eastAsia="SimSun" w:hAnsi="SimSun" w:cs="SimSun"/>
                <w:color w:val="000000"/>
                <w:spacing w:val="0"/>
                <w:w w:val="100"/>
                <w:position w:val="0"/>
              </w:rPr>
              <w:t>期</w:t>
            </w:r>
            <w:r>
              <w:rPr>
                <w:rFonts w:ascii="SimSun" w:eastAsia="SimSun" w:hAnsi="SimSun" w:cs="SimSun"/>
                <w:color w:val="000000"/>
                <w:spacing w:val="0"/>
                <w:w w:val="100"/>
                <w:position w:val="0"/>
                <w:vertAlign w:val="subscript"/>
              </w:rPr>
              <w:t>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还本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4,575,850,000.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4,530,215.74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1,964,870,000.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付</w:t>
            </w:r>
            <w:r>
              <w:rPr>
                <w:rFonts w:ascii="SimSun" w:eastAsia="SimSun" w:hAnsi="SimSun" w:cs="SimSun"/>
                <w:color w:val="000000"/>
                <w:spacing w:val="0"/>
                <w:w w:val="100"/>
                <w:position w:val="0"/>
                <w:vertAlign w:val="subscript"/>
              </w:rPr>
              <w:t>到</w:t>
            </w:r>
            <w:r>
              <w:rPr>
                <w:rFonts w:ascii="SimSun" w:eastAsia="SimSun" w:hAnsi="SimSun" w:cs="SimSun"/>
                <w:color w:val="000000"/>
                <w:spacing w:val="0"/>
                <w:w w:val="100"/>
                <w:position w:val="0"/>
              </w:rPr>
              <w:t>期</w:t>
            </w:r>
            <w:r>
              <w:rPr>
                <w:rFonts w:ascii="SimSun" w:eastAsia="SimSun" w:hAnsi="SimSun" w:cs="SimSun"/>
                <w:color w:val="000000"/>
                <w:spacing w:val="0"/>
                <w:w w:val="100"/>
                <w:position w:val="0"/>
                <w:vertAlign w:val="subscript"/>
              </w:rPr>
              <w:t>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还本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1,964,870,000.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1,710,021.94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中国银行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保本浮动收 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14,500,0</w:t>
            </w:r>
            <w:r>
              <w:rPr>
                <w:b/>
                <w:bCs/>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付</w:t>
            </w:r>
            <w:r>
              <w:rPr>
                <w:rFonts w:ascii="SimSun" w:eastAsia="SimSun" w:hAnsi="SimSun" w:cs="SimSun"/>
                <w:color w:val="000000"/>
                <w:spacing w:val="0"/>
                <w:w w:val="100"/>
                <w:position w:val="0"/>
                <w:vertAlign w:val="subscript"/>
              </w:rPr>
              <w:t>到</w:t>
            </w:r>
            <w:r>
              <w:rPr>
                <w:rFonts w:ascii="SimSun" w:eastAsia="SimSun" w:hAnsi="SimSun" w:cs="SimSun"/>
                <w:color w:val="000000"/>
                <w:spacing w:val="0"/>
                <w:w w:val="100"/>
                <w:position w:val="0"/>
              </w:rPr>
              <w:t>期</w:t>
            </w:r>
            <w:r>
              <w:rPr>
                <w:rFonts w:ascii="SimSun" w:eastAsia="SimSun" w:hAnsi="SimSun" w:cs="SimSun"/>
                <w:color w:val="000000"/>
                <w:spacing w:val="0"/>
                <w:w w:val="100"/>
                <w:position w:val="0"/>
                <w:vertAlign w:val="subscript"/>
              </w:rPr>
              <w:t>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还本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14,500,0</w:t>
            </w:r>
            <w:r>
              <w:rPr>
                <w:b/>
                <w:bCs/>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54,111.40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27"/>
        </w:numPr>
        <w:shd w:val="clear" w:color="auto" w:fill="auto"/>
        <w:bidi w:val="0"/>
        <w:spacing w:before="0" w:after="240" w:line="240" w:lineRule="auto"/>
        <w:ind w:left="0" w:right="0" w:firstLine="0"/>
        <w:jc w:val="left"/>
      </w:pPr>
      <w:bookmarkStart w:id="418" w:name="bookmark418"/>
      <w:bookmarkStart w:id="419" w:name="bookmark419"/>
      <w:bookmarkStart w:id="420" w:name="bookmark420"/>
      <w:bookmarkStart w:id="421" w:name="bookmark421"/>
      <w:bookmarkEnd w:id="420"/>
      <w:r>
        <w:rPr>
          <w:color w:val="000000"/>
          <w:spacing w:val="0"/>
          <w:w w:val="100"/>
          <w:position w:val="0"/>
        </w:rPr>
        <w:t>委托贷款情况</w:t>
      </w:r>
      <w:bookmarkEnd w:id="418"/>
      <w:bookmarkEnd w:id="419"/>
      <w:bookmarkEnd w:id="421"/>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4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日常经营重大合同</w:t>
      </w:r>
      <w:bookmarkEnd w:id="422"/>
      <w:bookmarkEnd w:id="423"/>
      <w:bookmarkEnd w:id="425"/>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4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5</w:t>
      </w:r>
      <w:bookmarkEnd w:id="428"/>
      <w:r>
        <w:rPr>
          <w:color w:val="000000"/>
          <w:spacing w:val="0"/>
          <w:w w:val="100"/>
          <w:position w:val="0"/>
        </w:rPr>
        <w:t>、</w:t>
        <w:tab/>
        <w:t>其他重大合同</w:t>
      </w:r>
      <w:bookmarkEnd w:id="426"/>
      <w:bookmarkEnd w:id="427"/>
      <w:bookmarkEnd w:id="429"/>
    </w:p>
    <w:p>
      <w:pPr>
        <w:pStyle w:val="Style31"/>
        <w:keepNext w:val="0"/>
        <w:keepLines w:val="0"/>
        <w:widowControl w:val="0"/>
        <w:shd w:val="clear" w:color="auto" w:fill="auto"/>
        <w:bidi w:val="0"/>
        <w:spacing w:before="0" w:after="10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643"/>
        <w:gridCol w:w="638"/>
        <w:gridCol w:w="638"/>
        <w:gridCol w:w="638"/>
        <w:gridCol w:w="638"/>
        <w:gridCol w:w="643"/>
        <w:gridCol w:w="638"/>
        <w:gridCol w:w="638"/>
        <w:gridCol w:w="638"/>
        <w:gridCol w:w="634"/>
        <w:gridCol w:w="638"/>
        <w:gridCol w:w="638"/>
        <w:gridCol w:w="638"/>
        <w:gridCol w:w="528"/>
        <w:gridCol w:w="754"/>
      </w:tblGrid>
      <w:tr>
        <w:trPr>
          <w:trHeight w:val="370"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评估</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评估</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定价</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截至</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w:t>
            </w:r>
          </w:p>
        </w:tc>
      </w:tr>
    </w:tbl>
    <w:tbl>
      <w:tblPr>
        <w:tblOverlap w:val="never"/>
        <w:jc w:val="left"/>
        <w:tblLayout w:type="fixed"/>
      </w:tblPr>
      <w:tblGrid>
        <w:gridCol w:w="643"/>
        <w:gridCol w:w="638"/>
        <w:gridCol w:w="638"/>
        <w:gridCol w:w="638"/>
        <w:gridCol w:w="638"/>
        <w:gridCol w:w="643"/>
        <w:gridCol w:w="638"/>
        <w:gridCol w:w="638"/>
        <w:gridCol w:w="638"/>
        <w:gridCol w:w="634"/>
        <w:gridCol w:w="638"/>
        <w:gridCol w:w="638"/>
        <w:gridCol w:w="638"/>
        <w:gridCol w:w="528"/>
        <w:gridCol w:w="754"/>
      </w:tblGrid>
      <w:tr>
        <w:trPr>
          <w:trHeight w:val="286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订立 公司 方名 称</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订立 对方 名称</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标的</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签订 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涉及 资产 的账 面价 值</w:t>
            </w:r>
          </w:p>
          <w:p>
            <w:pPr>
              <w:pStyle w:val="Style22"/>
              <w:keepNext w:val="0"/>
              <w:keepLines w:val="0"/>
              <w:widowControl w:val="0"/>
              <w:shd w:val="clear" w:color="auto" w:fill="auto"/>
              <w:bidi w:val="0"/>
              <w:spacing w:before="0" w:after="0" w:line="314" w:lineRule="exact"/>
              <w:ind w:left="140" w:right="0" w:firstLine="0"/>
              <w:jc w:val="both"/>
            </w:pPr>
            <w:r>
              <w:rPr>
                <w:rFonts w:ascii="SimSun" w:eastAsia="SimSun" w:hAnsi="SimSun" w:cs="SimSun"/>
                <w:color w:val="000000"/>
                <w:spacing w:val="0"/>
                <w:w w:val="100"/>
                <w:position w:val="0"/>
              </w:rPr>
              <w:t>（万 元）</w:t>
            </w:r>
          </w:p>
          <w:p>
            <w:pPr>
              <w:pStyle w:val="Style22"/>
              <w:keepNext w:val="0"/>
              <w:keepLines w:val="0"/>
              <w:widowControl w:val="0"/>
              <w:shd w:val="clear" w:color="auto" w:fill="auto"/>
              <w:bidi w:val="0"/>
              <w:spacing w:before="0" w:after="0" w:line="314" w:lineRule="exact"/>
              <w:ind w:left="140" w:right="0" w:firstLine="0"/>
              <w:jc w:val="both"/>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涉及 资产 的评 估价 值</w:t>
            </w:r>
          </w:p>
          <w:p>
            <w:pPr>
              <w:pStyle w:val="Style22"/>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（万 元）</w:t>
            </w:r>
          </w:p>
          <w:p>
            <w:pPr>
              <w:pStyle w:val="Style22"/>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机构 名称</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基准 日</w:t>
            </w:r>
          </w:p>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（如</w:t>
            </w:r>
          </w:p>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有）</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原则</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价格</w:t>
            </w:r>
          </w:p>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（万 元）</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关联 交易</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关系</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报告 期末 的执 行情 况</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露 日 期</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索引</w:t>
            </w:r>
          </w:p>
        </w:tc>
      </w:tr>
      <w:tr>
        <w:trPr>
          <w:trHeight w:val="321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 万马 股份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国家 电网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电力 电缆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招投</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07</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om.cn</w:t>
            </w:r>
          </w:p>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《国 家电 网中 标的 提示 性公 告》</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十八、社会责任情况</w:t>
      </w:r>
      <w:bookmarkEnd w:id="430"/>
      <w:bookmarkEnd w:id="431"/>
      <w:bookmarkEnd w:id="432"/>
    </w:p>
    <w:p>
      <w:pPr>
        <w:pStyle w:val="Style34"/>
        <w:keepNext/>
        <w:keepLines/>
        <w:widowControl w:val="0"/>
        <w:shd w:val="clear" w:color="auto" w:fill="auto"/>
        <w:bidi w:val="0"/>
        <w:spacing w:before="0" w:after="26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、履行社会责任情况</w:t>
      </w:r>
      <w:bookmarkEnd w:id="433"/>
      <w:bookmarkEnd w:id="434"/>
      <w:bookmarkEnd w:id="436"/>
    </w:p>
    <w:p>
      <w:pPr>
        <w:pStyle w:val="Style31"/>
        <w:keepNext w:val="0"/>
        <w:keepLines w:val="0"/>
        <w:widowControl w:val="0"/>
        <w:shd w:val="clear" w:color="auto" w:fill="auto"/>
        <w:tabs>
          <w:tab w:pos="902" w:val="left"/>
        </w:tabs>
        <w:bidi w:val="0"/>
        <w:spacing w:before="0" w:after="0" w:line="314" w:lineRule="exact"/>
        <w:ind w:left="0" w:right="0" w:firstLine="380"/>
        <w:jc w:val="both"/>
      </w:pPr>
      <w:bookmarkStart w:id="437" w:name="bookmark437"/>
      <w:r>
        <w:rPr>
          <w:b/>
          <w:bCs/>
          <w:color w:val="000000"/>
          <w:spacing w:val="0"/>
          <w:w w:val="100"/>
          <w:position w:val="0"/>
          <w:sz w:val="18"/>
          <w:szCs w:val="18"/>
        </w:rPr>
        <w:t>（</w:t>
      </w:r>
      <w:bookmarkEnd w:id="437"/>
      <w:r>
        <w:rPr>
          <w:b/>
          <w:bCs/>
          <w:color w:val="000000"/>
          <w:spacing w:val="0"/>
          <w:w w:val="100"/>
          <w:position w:val="0"/>
          <w:sz w:val="18"/>
          <w:szCs w:val="18"/>
        </w:rPr>
        <w:t>一）</w:t>
        <w:tab/>
        <w:t>股东和债权人权益保护</w:t>
      </w:r>
    </w:p>
    <w:p>
      <w:pPr>
        <w:pStyle w:val="Style31"/>
        <w:keepNext w:val="0"/>
        <w:keepLines w:val="0"/>
        <w:widowControl w:val="0"/>
        <w:numPr>
          <w:ilvl w:val="0"/>
          <w:numId w:val="35"/>
        </w:numPr>
        <w:shd w:val="clear" w:color="auto" w:fill="auto"/>
        <w:tabs>
          <w:tab w:pos="652" w:val="left"/>
        </w:tabs>
        <w:bidi w:val="0"/>
        <w:spacing w:before="0" w:after="0" w:line="314" w:lineRule="exact"/>
        <w:ind w:left="0" w:right="0" w:firstLine="380"/>
        <w:jc w:val="both"/>
      </w:pPr>
      <w:bookmarkStart w:id="438" w:name="bookmark438"/>
      <w:bookmarkEnd w:id="438"/>
      <w:r>
        <w:rPr>
          <w:color w:val="000000"/>
          <w:spacing w:val="0"/>
          <w:w w:val="100"/>
          <w:position w:val="0"/>
        </w:rPr>
        <w:t>完善治理结构，维护投资者利益。建立健全股东大会、董事会、监事会在内的法人治理结构，并在董事会下设立战略 与投资、审计、薪酬与考核、提名等专业委员会，设有内部审计部门。公司规范运作，内控制度不断完善。</w:t>
      </w:r>
    </w:p>
    <w:p>
      <w:pPr>
        <w:pStyle w:val="Style31"/>
        <w:keepNext w:val="0"/>
        <w:keepLines w:val="0"/>
        <w:widowControl w:val="0"/>
        <w:numPr>
          <w:ilvl w:val="0"/>
          <w:numId w:val="35"/>
        </w:numPr>
        <w:shd w:val="clear" w:color="auto" w:fill="auto"/>
        <w:tabs>
          <w:tab w:pos="661" w:val="left"/>
        </w:tabs>
        <w:bidi w:val="0"/>
        <w:spacing w:before="0" w:after="0" w:line="314" w:lineRule="exact"/>
        <w:ind w:left="0" w:right="0" w:firstLine="380"/>
        <w:jc w:val="both"/>
      </w:pPr>
      <w:bookmarkStart w:id="439" w:name="bookmark439"/>
      <w:bookmarkEnd w:id="439"/>
      <w:r>
        <w:rPr>
          <w:color w:val="000000"/>
          <w:spacing w:val="0"/>
          <w:w w:val="100"/>
          <w:position w:val="0"/>
        </w:rPr>
        <w:t>规范议事程序，保证股东权利。公司严格履行股东大会议事程序，保证股东及中小投资者的合法权益，切实保障中小 股东在审议重大事项方面的表决权；对影响中小投资者利益的重大事项实行单独计票，充分保障中小投资者股东权益。</w:t>
      </w:r>
    </w:p>
    <w:p>
      <w:pPr>
        <w:pStyle w:val="Style31"/>
        <w:keepNext w:val="0"/>
        <w:keepLines w:val="0"/>
        <w:widowControl w:val="0"/>
        <w:numPr>
          <w:ilvl w:val="0"/>
          <w:numId w:val="35"/>
        </w:numPr>
        <w:shd w:val="clear" w:color="auto" w:fill="auto"/>
        <w:tabs>
          <w:tab w:pos="656" w:val="left"/>
        </w:tabs>
        <w:bidi w:val="0"/>
        <w:spacing w:before="0" w:after="0" w:line="314" w:lineRule="exact"/>
        <w:ind w:left="0" w:right="0" w:firstLine="380"/>
        <w:jc w:val="both"/>
      </w:pPr>
      <w:bookmarkStart w:id="440" w:name="bookmark440"/>
      <w:bookmarkEnd w:id="440"/>
      <w:r>
        <w:rPr>
          <w:color w:val="000000"/>
          <w:spacing w:val="0"/>
          <w:w w:val="100"/>
          <w:position w:val="0"/>
        </w:rPr>
        <w:t>遵守法律法规，履行信披义务。依法按时完成各项信息的披露，信披过程严格遵循公平、公正、公开、真实、准确、 完整的原则，保证投资者对公司重大事项和经营情况的知情权，维护投资者的合法权益。报告期内未发生内幕信息泄露事件, 也未受到证券监管部门的处罚。</w:t>
      </w:r>
    </w:p>
    <w:p>
      <w:pPr>
        <w:pStyle w:val="Style31"/>
        <w:keepNext w:val="0"/>
        <w:keepLines w:val="0"/>
        <w:widowControl w:val="0"/>
        <w:numPr>
          <w:ilvl w:val="0"/>
          <w:numId w:val="35"/>
        </w:numPr>
        <w:shd w:val="clear" w:color="auto" w:fill="auto"/>
        <w:tabs>
          <w:tab w:pos="656" w:val="left"/>
        </w:tabs>
        <w:bidi w:val="0"/>
        <w:spacing w:before="0" w:after="0" w:line="314" w:lineRule="exact"/>
        <w:ind w:left="0" w:right="0" w:firstLine="380"/>
        <w:jc w:val="both"/>
      </w:pPr>
      <w:bookmarkStart w:id="441" w:name="bookmark441"/>
      <w:bookmarkEnd w:id="441"/>
      <w:r>
        <w:rPr>
          <w:color w:val="000000"/>
          <w:spacing w:val="0"/>
          <w:w w:val="100"/>
          <w:position w:val="0"/>
        </w:rPr>
        <w:t>重视股东回报，持续现金分红。自上市以来，公司一直重视对投资者合理回报，结合公司所属行业、发展阶段、投资 状态等实际情况，持续稳健地实施利润分配政策，切实履行现金分红承诺。自上市以来，除两个年度因定增等因素未实施现 金分红外，每年均实施现金分红。</w:t>
      </w:r>
    </w:p>
    <w:p>
      <w:pPr>
        <w:pStyle w:val="Style31"/>
        <w:keepNext w:val="0"/>
        <w:keepLines w:val="0"/>
        <w:widowControl w:val="0"/>
        <w:numPr>
          <w:ilvl w:val="0"/>
          <w:numId w:val="35"/>
        </w:numPr>
        <w:shd w:val="clear" w:color="auto" w:fill="auto"/>
        <w:tabs>
          <w:tab w:pos="661" w:val="left"/>
        </w:tabs>
        <w:bidi w:val="0"/>
        <w:spacing w:before="0" w:after="260" w:line="314" w:lineRule="exact"/>
        <w:ind w:left="0" w:right="0" w:firstLine="380"/>
        <w:jc w:val="both"/>
      </w:pPr>
      <w:bookmarkStart w:id="442" w:name="bookmark442"/>
      <w:bookmarkEnd w:id="442"/>
      <w:r>
        <w:rPr>
          <w:color w:val="000000"/>
          <w:spacing w:val="0"/>
          <w:w w:val="100"/>
          <w:position w:val="0"/>
        </w:rPr>
        <w:t>架起沟通桥梁，建立投资者互动。在投资者关系工作中公司秉承尊重与坦诚的态度对待每一位投资者。并积极维护与 证券监管机构、股东及实际控制人、证券中介机构、媒体等之间的关系，严格按照交易所的指导文件开展投资者关系管理工 作，同时公司设有投资者咨询电话以及电子邮箱，并设立专员对投资者和媒体关心的问题及时向相关各方进行沟通，及时答 复</w:t>
      </w:r>
      <w:r>
        <w:rPr>
          <w:color w:val="000000"/>
          <w:spacing w:val="0"/>
          <w:w w:val="100"/>
          <w:position w:val="0"/>
        </w:rPr>
        <w:t>"</w:t>
      </w:r>
      <w:r>
        <w:rPr>
          <w:color w:val="000000"/>
          <w:spacing w:val="0"/>
          <w:w w:val="100"/>
          <w:position w:val="0"/>
        </w:rPr>
        <w:t>互动易”平台的提问。</w:t>
      </w:r>
    </w:p>
    <w:p>
      <w:pPr>
        <w:pStyle w:val="Style31"/>
        <w:keepNext w:val="0"/>
        <w:keepLines w:val="0"/>
        <w:widowControl w:val="0"/>
        <w:shd w:val="clear" w:color="auto" w:fill="auto"/>
        <w:tabs>
          <w:tab w:pos="902" w:val="left"/>
        </w:tabs>
        <w:bidi w:val="0"/>
        <w:spacing w:before="0" w:after="0" w:line="322" w:lineRule="exact"/>
        <w:ind w:left="0" w:right="0" w:firstLine="380"/>
        <w:jc w:val="both"/>
      </w:pPr>
      <w:bookmarkStart w:id="443" w:name="bookmark443"/>
      <w:r>
        <w:rPr>
          <w:b/>
          <w:bCs/>
          <w:color w:val="000000"/>
          <w:spacing w:val="0"/>
          <w:w w:val="100"/>
          <w:position w:val="0"/>
          <w:sz w:val="18"/>
          <w:szCs w:val="18"/>
        </w:rPr>
        <w:t>（</w:t>
      </w:r>
      <w:bookmarkEnd w:id="443"/>
      <w:r>
        <w:rPr>
          <w:b/>
          <w:bCs/>
          <w:color w:val="000000"/>
          <w:spacing w:val="0"/>
          <w:w w:val="100"/>
          <w:position w:val="0"/>
          <w:sz w:val="18"/>
          <w:szCs w:val="18"/>
        </w:rPr>
        <w:t>二）</w:t>
        <w:tab/>
        <w:t>供应商、客户和消费者权益保护</w:t>
      </w:r>
    </w:p>
    <w:p>
      <w:pPr>
        <w:pStyle w:val="Style31"/>
        <w:keepNext w:val="0"/>
        <w:keepLines w:val="0"/>
        <w:widowControl w:val="0"/>
        <w:numPr>
          <w:ilvl w:val="0"/>
          <w:numId w:val="37"/>
        </w:numPr>
        <w:shd w:val="clear" w:color="auto" w:fill="auto"/>
        <w:bidi w:val="0"/>
        <w:spacing w:before="0" w:after="0" w:line="322" w:lineRule="exact"/>
        <w:ind w:left="0" w:right="0" w:firstLine="380"/>
        <w:jc w:val="both"/>
      </w:pPr>
      <w:bookmarkStart w:id="444" w:name="bookmark444"/>
      <w:bookmarkEnd w:id="444"/>
      <w:r>
        <w:rPr>
          <w:color w:val="000000"/>
          <w:spacing w:val="0"/>
          <w:w w:val="100"/>
          <w:position w:val="0"/>
        </w:rPr>
        <w:t xml:space="preserve">互惠互利，合作共赢。公司制定供应商准入制度，主要原材料采购通过公开招投标的方式，积累了一批产品与服务均 优的合作伙伴。公司践行与合作伙伴共同成长的理念，经过多年的积淀，公司逐步与信誉良好的供应商建立战略合作关系， </w:t>
      </w:r>
      <w:r>
        <w:rPr>
          <w:color w:val="000000"/>
          <w:spacing w:val="0"/>
          <w:w w:val="100"/>
          <w:position w:val="0"/>
        </w:rPr>
        <w:t>有力地保证了公司供应链安全和稳定。</w:t>
      </w:r>
    </w:p>
    <w:p>
      <w:pPr>
        <w:pStyle w:val="Style31"/>
        <w:keepNext w:val="0"/>
        <w:keepLines w:val="0"/>
        <w:widowControl w:val="0"/>
        <w:numPr>
          <w:ilvl w:val="0"/>
          <w:numId w:val="37"/>
        </w:numPr>
        <w:shd w:val="clear" w:color="auto" w:fill="auto"/>
        <w:tabs>
          <w:tab w:pos="615" w:val="left"/>
        </w:tabs>
        <w:bidi w:val="0"/>
        <w:spacing w:before="0" w:after="0" w:line="311" w:lineRule="exact"/>
        <w:ind w:left="0" w:right="0" w:firstLine="380"/>
        <w:jc w:val="both"/>
      </w:pPr>
      <w:bookmarkStart w:id="445" w:name="bookmark445"/>
      <w:bookmarkEnd w:id="445"/>
      <w:r>
        <w:rPr>
          <w:color w:val="000000"/>
          <w:spacing w:val="0"/>
          <w:w w:val="100"/>
          <w:position w:val="0"/>
        </w:rPr>
        <w:t>质量为本，高品质产品。公司严格控制产品质量，对产品品质要求精益求精。优良的品质赢得客户的信赖，公司始终 践行以客户为中心的管理理念，将客户需求放在首位，用过硬的产品质量、专业的销售服务、真诚的售后服务赢得客户的肯 定。号召全体员工始终秉承“正人、正事、正品”的核心价值观，公司尊重并保护供应商、客户的著作权、商标权、专利权 等知识产权和商业机密，合理正当地使用相关方信息。</w:t>
      </w:r>
    </w:p>
    <w:p>
      <w:pPr>
        <w:pStyle w:val="Style31"/>
        <w:keepNext w:val="0"/>
        <w:keepLines w:val="0"/>
        <w:widowControl w:val="0"/>
        <w:numPr>
          <w:ilvl w:val="0"/>
          <w:numId w:val="37"/>
        </w:numPr>
        <w:shd w:val="clear" w:color="auto" w:fill="auto"/>
        <w:tabs>
          <w:tab w:pos="615" w:val="left"/>
        </w:tabs>
        <w:bidi w:val="0"/>
        <w:spacing w:before="0" w:after="300" w:line="311" w:lineRule="exact"/>
        <w:ind w:left="0" w:right="0" w:firstLine="380"/>
        <w:jc w:val="both"/>
      </w:pPr>
      <w:bookmarkStart w:id="446" w:name="bookmark446"/>
      <w:bookmarkEnd w:id="446"/>
      <w:r>
        <w:rPr>
          <w:color w:val="000000"/>
          <w:spacing w:val="0"/>
          <w:w w:val="100"/>
          <w:position w:val="0"/>
        </w:rPr>
        <w:t>优质服务，赢得市场认可。为了给广大消费者提供良好的服务，公司新材料板块贴近客户建设工厂，新能源板块更是 循着需求去建设充电场站，遍布全国的销售服务网不断健全，实现公司与客户的近距离对接。</w:t>
      </w:r>
    </w:p>
    <w:p>
      <w:pPr>
        <w:pStyle w:val="Style31"/>
        <w:keepNext w:val="0"/>
        <w:keepLines w:val="0"/>
        <w:widowControl w:val="0"/>
        <w:shd w:val="clear" w:color="auto" w:fill="auto"/>
        <w:tabs>
          <w:tab w:pos="861" w:val="left"/>
        </w:tabs>
        <w:bidi w:val="0"/>
        <w:spacing w:before="0" w:after="0" w:line="314" w:lineRule="exact"/>
        <w:ind w:left="0" w:right="0" w:firstLine="380"/>
        <w:jc w:val="left"/>
      </w:pPr>
      <w:bookmarkStart w:id="447" w:name="bookmark447"/>
      <w:r>
        <w:rPr>
          <w:b/>
          <w:bCs/>
          <w:color w:val="000000"/>
          <w:spacing w:val="0"/>
          <w:w w:val="100"/>
          <w:position w:val="0"/>
          <w:sz w:val="18"/>
          <w:szCs w:val="18"/>
        </w:rPr>
        <w:t>（</w:t>
      </w:r>
      <w:bookmarkEnd w:id="447"/>
      <w:r>
        <w:rPr>
          <w:b/>
          <w:bCs/>
          <w:color w:val="000000"/>
          <w:spacing w:val="0"/>
          <w:w w:val="100"/>
          <w:position w:val="0"/>
          <w:sz w:val="18"/>
          <w:szCs w:val="18"/>
        </w:rPr>
        <w:t>三）</w:t>
        <w:tab/>
        <w:t>职工利益保护</w:t>
      </w:r>
    </w:p>
    <w:p>
      <w:pPr>
        <w:pStyle w:val="Style31"/>
        <w:keepNext w:val="0"/>
        <w:keepLines w:val="0"/>
        <w:widowControl w:val="0"/>
        <w:numPr>
          <w:ilvl w:val="0"/>
          <w:numId w:val="39"/>
        </w:numPr>
        <w:shd w:val="clear" w:color="auto" w:fill="auto"/>
        <w:tabs>
          <w:tab w:pos="615" w:val="left"/>
        </w:tabs>
        <w:bidi w:val="0"/>
        <w:spacing w:before="0" w:after="0" w:line="314" w:lineRule="exact"/>
        <w:ind w:left="0" w:right="0" w:firstLine="380"/>
        <w:jc w:val="both"/>
      </w:pPr>
      <w:bookmarkStart w:id="448" w:name="bookmark448"/>
      <w:bookmarkEnd w:id="448"/>
      <w:r>
        <w:rPr>
          <w:color w:val="000000"/>
          <w:spacing w:val="0"/>
          <w:w w:val="100"/>
          <w:position w:val="0"/>
        </w:rPr>
        <w:t>公司严格遵守《劳动法》，实行全员劳动合同制，与所有员工签订劳动合同；严格执行社会保障制度，参加养老保险、 基本医疗保险、失业保险、工伤保险、生育保险和住房公积金等，同时为员工购买商业补充医疗及意外伤害保险，进一步保 障了员工的切身利益。</w:t>
      </w:r>
    </w:p>
    <w:p>
      <w:pPr>
        <w:pStyle w:val="Style31"/>
        <w:keepNext w:val="0"/>
        <w:keepLines w:val="0"/>
        <w:widowControl w:val="0"/>
        <w:numPr>
          <w:ilvl w:val="0"/>
          <w:numId w:val="39"/>
        </w:numPr>
        <w:shd w:val="clear" w:color="auto" w:fill="auto"/>
        <w:tabs>
          <w:tab w:pos="620" w:val="left"/>
        </w:tabs>
        <w:bidi w:val="0"/>
        <w:spacing w:before="0" w:after="0" w:line="314" w:lineRule="exact"/>
        <w:ind w:left="0" w:right="0" w:firstLine="380"/>
        <w:jc w:val="both"/>
      </w:pPr>
      <w:bookmarkStart w:id="449" w:name="bookmark449"/>
      <w:bookmarkEnd w:id="449"/>
      <w:r>
        <w:rPr>
          <w:color w:val="000000"/>
          <w:spacing w:val="0"/>
          <w:w w:val="100"/>
          <w:position w:val="0"/>
        </w:rPr>
        <w:t>公司建立健全劳动安全卫生制度，严格执行国家劳动安全卫生规程和标准。定期对职工组织健康体检，积极采取各项 职业卫生防护措施。按照国家相关安全生产法规等规定组织消防等各种安全演练，建立健全安全管理机构，制定并不断完善 以安全生产责任制为核心的各项规章制度，积极采取各项措施为职工提供健康、安全的工作生活环境，</w:t>
      </w:r>
      <w:r>
        <w:rPr>
          <w:rFonts w:ascii="Times New Roman" w:eastAsia="Times New Roman" w:hAnsi="Times New Roman" w:cs="Times New Roman"/>
          <w:color w:val="000000"/>
          <w:spacing w:val="0"/>
          <w:w w:val="100"/>
          <w:position w:val="0"/>
        </w:rPr>
        <w:t>20</w:t>
      </w:r>
      <w:r>
        <w:rPr>
          <w:color w:val="000000"/>
          <w:spacing w:val="0"/>
          <w:w w:val="100"/>
          <w:position w:val="0"/>
          <w:sz w:val="18"/>
          <w:szCs w:val="18"/>
        </w:rPr>
        <w:t>20</w:t>
      </w:r>
      <w:r>
        <w:rPr>
          <w:color w:val="000000"/>
          <w:spacing w:val="0"/>
          <w:w w:val="100"/>
          <w:position w:val="0"/>
        </w:rPr>
        <w:t>年无重大安全生 产责任事故。</w:t>
      </w:r>
    </w:p>
    <w:p>
      <w:pPr>
        <w:pStyle w:val="Style31"/>
        <w:keepNext w:val="0"/>
        <w:keepLines w:val="0"/>
        <w:widowControl w:val="0"/>
        <w:numPr>
          <w:ilvl w:val="0"/>
          <w:numId w:val="39"/>
        </w:numPr>
        <w:shd w:val="clear" w:color="auto" w:fill="auto"/>
        <w:tabs>
          <w:tab w:pos="615" w:val="left"/>
        </w:tabs>
        <w:bidi w:val="0"/>
        <w:spacing w:before="0" w:after="0" w:line="314" w:lineRule="exact"/>
        <w:ind w:left="0" w:right="0" w:firstLine="380"/>
        <w:jc w:val="both"/>
      </w:pPr>
      <w:bookmarkStart w:id="450" w:name="bookmark450"/>
      <w:bookmarkEnd w:id="450"/>
      <w:r>
        <w:rPr>
          <w:color w:val="000000"/>
          <w:spacing w:val="0"/>
          <w:w w:val="100"/>
          <w:position w:val="0"/>
        </w:rPr>
        <w:t>公司重视员工福利待遇提高及困难职工的帮扶。近年来，公司不断为股东创造收益的同时，公司员工待遇水平也显著 提高，关注员工精神生活和业余活动。先后开展运动会、篮球赛、远足、马拉松等丰富多彩的业余活动，丰富职工的业余文 化生活。在传统节日为职工及员工送上传统佳节礼品等。丰富的活动有效地提高公司凝聚力，使员工感受到家的温暖。</w:t>
      </w:r>
    </w:p>
    <w:p>
      <w:pPr>
        <w:pStyle w:val="Style31"/>
        <w:keepNext w:val="0"/>
        <w:keepLines w:val="0"/>
        <w:widowControl w:val="0"/>
        <w:numPr>
          <w:ilvl w:val="0"/>
          <w:numId w:val="39"/>
        </w:numPr>
        <w:shd w:val="clear" w:color="auto" w:fill="auto"/>
        <w:tabs>
          <w:tab w:pos="620" w:val="left"/>
        </w:tabs>
        <w:bidi w:val="0"/>
        <w:spacing w:before="0" w:after="0" w:line="314" w:lineRule="exact"/>
        <w:ind w:left="0" w:right="0" w:firstLine="380"/>
        <w:jc w:val="both"/>
      </w:pPr>
      <w:bookmarkStart w:id="451" w:name="bookmark451"/>
      <w:bookmarkEnd w:id="451"/>
      <w:r>
        <w:rPr>
          <w:color w:val="000000"/>
          <w:spacing w:val="0"/>
          <w:w w:val="100"/>
          <w:position w:val="0"/>
        </w:rPr>
        <w:t>公司建立了完善的培训制度，采用外部培训与内部培训相结合的方式积极开展各项培训工作，同时鼓励和支持职工参 加进修培训，建立科学的职位职级晋升体系，通过科学评价、公开选拔创造内部竞争机制，给职工创造持续发展的空间，激 励职工不断努力提高业务水平和职业素质。</w:t>
      </w:r>
    </w:p>
    <w:p>
      <w:pPr>
        <w:pStyle w:val="Style31"/>
        <w:keepNext w:val="0"/>
        <w:keepLines w:val="0"/>
        <w:widowControl w:val="0"/>
        <w:numPr>
          <w:ilvl w:val="0"/>
          <w:numId w:val="39"/>
        </w:numPr>
        <w:shd w:val="clear" w:color="auto" w:fill="auto"/>
        <w:tabs>
          <w:tab w:pos="620" w:val="left"/>
        </w:tabs>
        <w:bidi w:val="0"/>
        <w:spacing w:before="0" w:after="300" w:line="314" w:lineRule="exact"/>
        <w:ind w:left="0" w:right="0" w:firstLine="380"/>
        <w:jc w:val="both"/>
      </w:pPr>
      <w:bookmarkStart w:id="452" w:name="bookmark452"/>
      <w:bookmarkEnd w:id="452"/>
      <w:r>
        <w:rPr>
          <w:color w:val="000000"/>
          <w:spacing w:val="0"/>
          <w:w w:val="100"/>
          <w:position w:val="0"/>
        </w:rPr>
        <w:t>关心职工心理健康，设立职工“心晴驿站”，以多种形式促进职工心理健康发展，公司还被评为</w:t>
      </w:r>
      <w:r>
        <w:rPr>
          <w:color w:val="000000"/>
          <w:spacing w:val="0"/>
          <w:w w:val="100"/>
          <w:position w:val="0"/>
          <w:sz w:val="18"/>
          <w:szCs w:val="18"/>
        </w:rPr>
        <w:t>2020</w:t>
      </w:r>
      <w:r>
        <w:rPr>
          <w:color w:val="000000"/>
          <w:spacing w:val="0"/>
          <w:w w:val="100"/>
          <w:position w:val="0"/>
        </w:rPr>
        <w:t>年“新杭州人文 化家园”市级示范点。</w:t>
      </w:r>
    </w:p>
    <w:p>
      <w:pPr>
        <w:pStyle w:val="Style31"/>
        <w:keepNext w:val="0"/>
        <w:keepLines w:val="0"/>
        <w:widowControl w:val="0"/>
        <w:shd w:val="clear" w:color="auto" w:fill="auto"/>
        <w:tabs>
          <w:tab w:pos="861" w:val="left"/>
        </w:tabs>
        <w:bidi w:val="0"/>
        <w:spacing w:before="0" w:after="0" w:line="317" w:lineRule="exact"/>
        <w:ind w:left="0" w:right="0" w:firstLine="380"/>
        <w:jc w:val="both"/>
      </w:pPr>
      <w:bookmarkStart w:id="453" w:name="bookmark453"/>
      <w:r>
        <w:rPr>
          <w:b/>
          <w:bCs/>
          <w:color w:val="000000"/>
          <w:spacing w:val="0"/>
          <w:w w:val="100"/>
          <w:position w:val="0"/>
          <w:sz w:val="18"/>
          <w:szCs w:val="18"/>
        </w:rPr>
        <w:t>（</w:t>
      </w:r>
      <w:bookmarkEnd w:id="453"/>
      <w:r>
        <w:rPr>
          <w:b/>
          <w:bCs/>
          <w:color w:val="000000"/>
          <w:spacing w:val="0"/>
          <w:w w:val="100"/>
          <w:position w:val="0"/>
          <w:sz w:val="18"/>
          <w:szCs w:val="18"/>
        </w:rPr>
        <w:t>四）</w:t>
        <w:tab/>
        <w:t>保护环境，可持续发展</w:t>
      </w:r>
    </w:p>
    <w:p>
      <w:pPr>
        <w:pStyle w:val="Style31"/>
        <w:keepNext w:val="0"/>
        <w:keepLines w:val="0"/>
        <w:widowControl w:val="0"/>
        <w:numPr>
          <w:ilvl w:val="0"/>
          <w:numId w:val="41"/>
        </w:numPr>
        <w:shd w:val="clear" w:color="auto" w:fill="auto"/>
        <w:tabs>
          <w:tab w:pos="615" w:val="left"/>
        </w:tabs>
        <w:bidi w:val="0"/>
        <w:spacing w:before="0" w:after="0" w:line="317" w:lineRule="exact"/>
        <w:ind w:left="0" w:right="0" w:firstLine="380"/>
        <w:jc w:val="both"/>
      </w:pPr>
      <w:bookmarkStart w:id="454" w:name="bookmark454"/>
      <w:bookmarkEnd w:id="454"/>
      <w:r>
        <w:rPr>
          <w:color w:val="000000"/>
          <w:spacing w:val="0"/>
          <w:w w:val="100"/>
          <w:position w:val="0"/>
        </w:rPr>
        <w:t>公司长期倡导绿色环保，积极履行环境责任，提高资源利用效率，强化废弃物管理，积极倡导节能环保，充分利用网 络电子工具，积极推行无纸化办公，在各项办公设备的选用中坚持选用能耗低的节能设备，减少固体废弃物，降低办公环境 辐射。</w:t>
      </w:r>
    </w:p>
    <w:p>
      <w:pPr>
        <w:pStyle w:val="Style31"/>
        <w:keepNext w:val="0"/>
        <w:keepLines w:val="0"/>
        <w:widowControl w:val="0"/>
        <w:numPr>
          <w:ilvl w:val="0"/>
          <w:numId w:val="41"/>
        </w:numPr>
        <w:shd w:val="clear" w:color="auto" w:fill="auto"/>
        <w:tabs>
          <w:tab w:pos="615" w:val="left"/>
        </w:tabs>
        <w:bidi w:val="0"/>
        <w:spacing w:before="0" w:after="300" w:line="317" w:lineRule="exact"/>
        <w:ind w:left="0" w:right="0" w:firstLine="380"/>
        <w:jc w:val="both"/>
      </w:pPr>
      <w:bookmarkStart w:id="455" w:name="bookmark455"/>
      <w:bookmarkEnd w:id="455"/>
      <w:r>
        <w:rPr>
          <w:color w:val="000000"/>
          <w:spacing w:val="0"/>
          <w:w w:val="100"/>
          <w:position w:val="0"/>
        </w:rPr>
        <w:t>公司属于电线电缆制造业，生产过程有少量油污、废水、废气、固体废物、噪音等环境影响因素。公司通过</w:t>
      </w:r>
      <w:r>
        <w:rPr>
          <w:color w:val="000000"/>
          <w:spacing w:val="0"/>
          <w:w w:val="100"/>
          <w:position w:val="0"/>
          <w:sz w:val="18"/>
          <w:szCs w:val="18"/>
        </w:rPr>
        <w:t xml:space="preserve">IS014001 </w:t>
      </w:r>
      <w:r>
        <w:rPr>
          <w:color w:val="000000"/>
          <w:spacing w:val="0"/>
          <w:w w:val="100"/>
          <w:position w:val="0"/>
        </w:rPr>
        <w:t>体系认证，并通过了</w:t>
      </w:r>
      <w:r>
        <w:rPr>
          <w:color w:val="000000"/>
          <w:spacing w:val="0"/>
          <w:w w:val="100"/>
          <w:position w:val="0"/>
          <w:sz w:val="18"/>
          <w:szCs w:val="18"/>
        </w:rPr>
        <w:t>0HSAS18001</w:t>
      </w:r>
      <w:r>
        <w:rPr>
          <w:color w:val="000000"/>
          <w:spacing w:val="0"/>
          <w:w w:val="100"/>
          <w:position w:val="0"/>
        </w:rPr>
        <w:t>职业健康安全管理体系认证，清洁生产通过审核验收，公司视环境保护、能源利用、安全生 产、产品安全、公共卫生五方面为企业的生命线，采取了具有可操作性的控制措施。报告期内，公司未发生环境污染事故及 环境违法事件。</w:t>
      </w:r>
    </w:p>
    <w:p>
      <w:pPr>
        <w:pStyle w:val="Style31"/>
        <w:keepNext w:val="0"/>
        <w:keepLines w:val="0"/>
        <w:widowControl w:val="0"/>
        <w:shd w:val="clear" w:color="auto" w:fill="auto"/>
        <w:tabs>
          <w:tab w:pos="861" w:val="left"/>
        </w:tabs>
        <w:bidi w:val="0"/>
        <w:spacing w:before="0" w:after="0" w:line="313" w:lineRule="exact"/>
        <w:ind w:left="0" w:right="0" w:firstLine="380"/>
        <w:jc w:val="both"/>
      </w:pPr>
      <w:bookmarkStart w:id="456" w:name="bookmark456"/>
      <w:r>
        <w:rPr>
          <w:b/>
          <w:bCs/>
          <w:color w:val="000000"/>
          <w:spacing w:val="0"/>
          <w:w w:val="100"/>
          <w:position w:val="0"/>
          <w:sz w:val="18"/>
          <w:szCs w:val="18"/>
        </w:rPr>
        <w:t>（</w:t>
      </w:r>
      <w:bookmarkEnd w:id="456"/>
      <w:r>
        <w:rPr>
          <w:b/>
          <w:bCs/>
          <w:color w:val="000000"/>
          <w:spacing w:val="0"/>
          <w:w w:val="100"/>
          <w:position w:val="0"/>
          <w:sz w:val="18"/>
          <w:szCs w:val="18"/>
        </w:rPr>
        <w:t>五）</w:t>
        <w:tab/>
        <w:t>公共关系和社会公益事业</w:t>
      </w:r>
    </w:p>
    <w:p>
      <w:pPr>
        <w:pStyle w:val="Style31"/>
        <w:keepNext w:val="0"/>
        <w:keepLines w:val="0"/>
        <w:widowControl w:val="0"/>
        <w:numPr>
          <w:ilvl w:val="0"/>
          <w:numId w:val="43"/>
        </w:numPr>
        <w:shd w:val="clear" w:color="auto" w:fill="auto"/>
        <w:tabs>
          <w:tab w:pos="615" w:val="left"/>
        </w:tabs>
        <w:bidi w:val="0"/>
        <w:spacing w:before="0" w:after="0" w:line="313" w:lineRule="exact"/>
        <w:ind w:left="0" w:right="0" w:firstLine="380"/>
        <w:jc w:val="both"/>
      </w:pPr>
      <w:bookmarkStart w:id="457" w:name="bookmark457"/>
      <w:bookmarkEnd w:id="457"/>
      <w:r>
        <w:rPr>
          <w:color w:val="000000"/>
          <w:spacing w:val="0"/>
          <w:w w:val="100"/>
          <w:position w:val="0"/>
        </w:rPr>
        <w:t>回报社会是企业应尽的社会责任，公司在做好生产经营工作的同时，力争在能力范围内，积极参加社会公益活动。公 司规范履行纳税义务，每年纳税超亿元。在社会公益方面，公司捐资临安春风行动项目，设立万马扶贫帮困基金、万马电缆 博爱救助资金、哈工大万马助学金等，筑起爱心桥梁。</w:t>
      </w:r>
      <w:r>
        <w:rPr>
          <w:color w:val="000000"/>
          <w:spacing w:val="0"/>
          <w:w w:val="100"/>
          <w:position w:val="0"/>
          <w:sz w:val="18"/>
          <w:szCs w:val="18"/>
        </w:rPr>
        <w:t>2020</w:t>
      </w:r>
      <w:r>
        <w:rPr>
          <w:color w:val="000000"/>
          <w:spacing w:val="0"/>
          <w:w w:val="100"/>
          <w:position w:val="0"/>
        </w:rPr>
        <w:t>年初，全国爆发疫情，公司立即行动，组织全体员工进行核查登 记，纪律严明，防控措施得力，未发生群体性感染事件。公司在做好内部防控工作的同时，还积极参与国家防控工作，在接 到雷神山医院建设线缆需求时，组织一切力量，加班加点，排除物流等困难，组织供货；为支持当地疫情防控工作，通过杭 州市临安区慈善总会向临安区捐专款</w:t>
      </w:r>
      <w:r>
        <w:rPr>
          <w:color w:val="000000"/>
          <w:spacing w:val="0"/>
          <w:w w:val="100"/>
          <w:position w:val="0"/>
          <w:sz w:val="18"/>
          <w:szCs w:val="18"/>
        </w:rPr>
        <w:t>200</w:t>
      </w:r>
      <w:r>
        <w:rPr>
          <w:color w:val="000000"/>
          <w:spacing w:val="0"/>
          <w:w w:val="100"/>
          <w:position w:val="0"/>
        </w:rPr>
        <w:t>万元。</w:t>
      </w:r>
    </w:p>
    <w:p>
      <w:pPr>
        <w:pStyle w:val="Style31"/>
        <w:keepNext w:val="0"/>
        <w:keepLines w:val="0"/>
        <w:widowControl w:val="0"/>
        <w:numPr>
          <w:ilvl w:val="0"/>
          <w:numId w:val="43"/>
        </w:numPr>
        <w:shd w:val="clear" w:color="auto" w:fill="auto"/>
        <w:tabs>
          <w:tab w:pos="620" w:val="left"/>
        </w:tabs>
        <w:bidi w:val="0"/>
        <w:spacing w:before="0" w:after="0" w:line="313" w:lineRule="exact"/>
        <w:ind w:left="0" w:right="0" w:firstLine="380"/>
        <w:jc w:val="both"/>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633" w:right="505" w:bottom="1470" w:left="1023" w:header="0" w:footer="3" w:gutter="0"/>
          <w:cols w:space="720"/>
          <w:noEndnote/>
          <w:rtlGutter w:val="0"/>
          <w:docGrid w:linePitch="360"/>
        </w:sectPr>
      </w:pPr>
      <w:r>
        <w:rPr>
          <w:color w:val="000000"/>
          <w:spacing w:val="0"/>
          <w:w w:val="100"/>
          <w:position w:val="0"/>
        </w:rPr>
        <w:t xml:space="preserve">公司持续为残疾人就业做出贡献。公司合并范围内有三家福利企业，为众多残疾员工提供了就业岗位，为社会福利事 业贡献了自己的力量。公司关心困难员工生活，为了及时发现和解决他们的难处，公司工会每年对困难职工家庭情况进行深 入细致的摸底调查，建立和完善了困难职工档案；同时积极为生病员工募集善款，解决其实际困难；“送温暖到岗、送温暖 </w:t>
      </w:r>
    </w:p>
    <w:p>
      <w:pPr>
        <w:pStyle w:val="Style31"/>
        <w:keepNext w:val="0"/>
        <w:keepLines w:val="0"/>
        <w:widowControl w:val="0"/>
        <w:shd w:val="clear" w:color="auto" w:fill="auto"/>
        <w:tabs>
          <w:tab w:pos="620" w:val="left"/>
        </w:tabs>
        <w:bidi w:val="0"/>
        <w:spacing w:before="0" w:after="0" w:line="313" w:lineRule="exact"/>
        <w:ind w:left="0" w:right="0" w:firstLine="0"/>
        <w:jc w:val="both"/>
      </w:pPr>
      <w:bookmarkStart w:id="458" w:name="bookmark458"/>
      <w:bookmarkEnd w:id="458"/>
      <w:r>
        <w:rPr>
          <w:color w:val="000000"/>
          <w:spacing w:val="0"/>
          <w:w w:val="100"/>
          <w:position w:val="0"/>
        </w:rPr>
        <w:t>到家”每年公司都会组织高层管理人员对困难员工进行慰问活动。</w:t>
      </w:r>
    </w:p>
    <w:p>
      <w:pPr>
        <w:pStyle w:val="Style31"/>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作为作为有责任感的企业，公司坚持合作共赢理念，愿意持续积极履行社会责任，完善公司社会责任体系建设，在追求 经济效益、保护股东权利的同时，保护债权人、职工的合法权益，诚信对待供应商、客户；大力布局新能源产业，助力低碳 出行事业，促进企业与社会协调发展。</w:t>
      </w:r>
    </w:p>
    <w:p>
      <w:pPr>
        <w:pStyle w:val="Style34"/>
        <w:keepNext/>
        <w:keepLines/>
        <w:widowControl w:val="0"/>
        <w:shd w:val="clear" w:color="auto" w:fill="auto"/>
        <w:tabs>
          <w:tab w:pos="351" w:val="left"/>
        </w:tabs>
        <w:bidi w:val="0"/>
        <w:spacing w:before="0" w:after="26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履行精准扶贫社会责任情况</w:t>
      </w:r>
      <w:bookmarkEnd w:id="459"/>
      <w:bookmarkEnd w:id="460"/>
      <w:bookmarkEnd w:id="462"/>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51" w:val="left"/>
        </w:tabs>
        <w:bidi w:val="0"/>
        <w:spacing w:before="0" w:after="26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环境保护相关的情况</w:t>
      </w:r>
      <w:bookmarkEnd w:id="463"/>
      <w:bookmarkEnd w:id="464"/>
      <w:bookmarkEnd w:id="466"/>
    </w:p>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rPr>
        <w:t>口是"否</w:t>
      </w:r>
    </w:p>
    <w:p>
      <w:pPr>
        <w:pStyle w:val="Style26"/>
        <w:keepNext/>
        <w:keepLines/>
        <w:widowControl w:val="0"/>
        <w:shd w:val="clear" w:color="auto" w:fill="auto"/>
        <w:bidi w:val="0"/>
        <w:spacing w:before="0" w:after="26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十九、其他重大事项的说明</w:t>
      </w:r>
      <w:bookmarkEnd w:id="467"/>
      <w:bookmarkEnd w:id="468"/>
      <w:bookmarkEnd w:id="469"/>
    </w:p>
    <w:p>
      <w:pPr>
        <w:pStyle w:val="Style31"/>
        <w:keepNext w:val="0"/>
        <w:keepLines w:val="0"/>
        <w:widowControl w:val="0"/>
        <w:shd w:val="clear" w:color="auto" w:fill="auto"/>
        <w:bidi w:val="0"/>
        <w:spacing w:before="0" w:after="120"/>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numPr>
          <w:ilvl w:val="0"/>
          <w:numId w:val="45"/>
        </w:numPr>
        <w:shd w:val="clear" w:color="auto" w:fill="auto"/>
        <w:tabs>
          <w:tab w:pos="659" w:val="left"/>
        </w:tabs>
        <w:bidi w:val="0"/>
        <w:spacing w:before="0" w:after="0" w:line="360" w:lineRule="auto"/>
        <w:ind w:left="0" w:right="0" w:firstLine="380"/>
        <w:jc w:val="left"/>
      </w:pPr>
      <w:bookmarkStart w:id="470" w:name="bookmark470"/>
      <w:bookmarkEnd w:id="470"/>
      <w:r>
        <w:rPr>
          <w:b/>
          <w:bCs/>
          <w:color w:val="000000"/>
          <w:spacing w:val="0"/>
          <w:w w:val="100"/>
          <w:position w:val="0"/>
          <w:sz w:val="18"/>
          <w:szCs w:val="18"/>
        </w:rPr>
        <w:t>受让万马新能源</w:t>
      </w:r>
      <w:r>
        <w:rPr>
          <w:b/>
          <w:bCs/>
          <w:color w:val="000000"/>
          <w:spacing w:val="0"/>
          <w:w w:val="100"/>
          <w:position w:val="0"/>
        </w:rPr>
        <w:t>30%</w:t>
      </w:r>
      <w:r>
        <w:rPr>
          <w:b/>
          <w:bCs/>
          <w:color w:val="000000"/>
          <w:spacing w:val="0"/>
          <w:w w:val="100"/>
          <w:position w:val="0"/>
          <w:sz w:val="18"/>
          <w:szCs w:val="18"/>
        </w:rPr>
        <w:t>股权</w:t>
      </w:r>
    </w:p>
    <w:p>
      <w:pPr>
        <w:pStyle w:val="Style31"/>
        <w:keepNext w:val="0"/>
        <w:keepLines w:val="0"/>
        <w:widowControl w:val="0"/>
        <w:shd w:val="clear" w:color="auto" w:fill="auto"/>
        <w:bidi w:val="0"/>
        <w:spacing w:before="0" w:after="480"/>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日，公司第五届董事会第二次会议审议通过《关于子公司购买万马新能源股权暨关联交易的议案》。为调 整股权架构,保持上市公司独立性，子公司万马奔腾新能源产业集团与公司控股股东万马智能科技集团签署《股权转让协议》。 万马奔腾新能源集团购买万马智能科技集团所持有的万马新能源</w:t>
      </w:r>
      <w:r>
        <w:rPr>
          <w:color w:val="000000"/>
          <w:spacing w:val="0"/>
          <w:w w:val="100"/>
          <w:position w:val="0"/>
          <w:sz w:val="18"/>
          <w:szCs w:val="18"/>
        </w:rPr>
        <w:t>30%</w:t>
      </w:r>
      <w:r>
        <w:rPr>
          <w:color w:val="000000"/>
          <w:spacing w:val="0"/>
          <w:w w:val="100"/>
          <w:position w:val="0"/>
        </w:rPr>
        <w:t>股权。详见巨潮资讯网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日公司公告《关于子 公司购买万马新能源股权暨关联交易的公告》（公告编号：</w:t>
      </w:r>
      <w:r>
        <w:rPr>
          <w:color w:val="000000"/>
          <w:spacing w:val="0"/>
          <w:w w:val="100"/>
          <w:position w:val="0"/>
          <w:sz w:val="18"/>
          <w:szCs w:val="18"/>
        </w:rPr>
        <w:t>2020-003）</w:t>
      </w:r>
      <w:r>
        <w:rPr>
          <w:color w:val="000000"/>
          <w:spacing w:val="0"/>
          <w:w w:val="100"/>
          <w:position w:val="0"/>
        </w:rPr>
        <w:t>。该股权以万马新能源经审计的</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月末账面净 资产作为定价依据，实际作价</w:t>
      </w:r>
      <w:r>
        <w:rPr>
          <w:color w:val="000000"/>
          <w:spacing w:val="0"/>
          <w:w w:val="100"/>
          <w:position w:val="0"/>
          <w:sz w:val="18"/>
          <w:szCs w:val="18"/>
        </w:rPr>
        <w:t>1,729.19</w:t>
      </w:r>
      <w:r>
        <w:rPr>
          <w:color w:val="000000"/>
          <w:spacing w:val="0"/>
          <w:w w:val="100"/>
          <w:position w:val="0"/>
        </w:rPr>
        <w:t>万元。截至报告期末，已完成万马新能源股权变更全部工作。</w:t>
      </w:r>
    </w:p>
    <w:p>
      <w:pPr>
        <w:pStyle w:val="Style31"/>
        <w:keepNext w:val="0"/>
        <w:keepLines w:val="0"/>
        <w:widowControl w:val="0"/>
        <w:numPr>
          <w:ilvl w:val="0"/>
          <w:numId w:val="45"/>
        </w:numPr>
        <w:shd w:val="clear" w:color="auto" w:fill="auto"/>
        <w:tabs>
          <w:tab w:pos="673" w:val="left"/>
        </w:tabs>
        <w:bidi w:val="0"/>
        <w:spacing w:before="0" w:after="0" w:line="360" w:lineRule="auto"/>
        <w:ind w:left="0" w:right="0" w:firstLine="380"/>
        <w:jc w:val="both"/>
      </w:pPr>
      <w:bookmarkStart w:id="471" w:name="bookmark471"/>
      <w:bookmarkEnd w:id="471"/>
      <w:r>
        <w:rPr>
          <w:b/>
          <w:bCs/>
          <w:color w:val="000000"/>
          <w:spacing w:val="0"/>
          <w:w w:val="100"/>
          <w:position w:val="0"/>
          <w:sz w:val="18"/>
          <w:szCs w:val="18"/>
        </w:rPr>
        <w:t>新建厂区扩产，为发展蓄力</w:t>
      </w:r>
    </w:p>
    <w:p>
      <w:pPr>
        <w:pStyle w:val="Style31"/>
        <w:keepNext w:val="0"/>
        <w:keepLines w:val="0"/>
        <w:widowControl w:val="0"/>
        <w:shd w:val="clear" w:color="auto" w:fill="auto"/>
        <w:tabs>
          <w:tab w:pos="869" w:val="left"/>
        </w:tabs>
        <w:bidi w:val="0"/>
        <w:spacing w:before="0" w:after="40" w:line="311" w:lineRule="exact"/>
        <w:ind w:left="0" w:right="0" w:firstLine="380"/>
        <w:jc w:val="both"/>
      </w:pPr>
      <w:bookmarkStart w:id="472" w:name="bookmark472"/>
      <w:r>
        <w:rPr>
          <w:color w:val="000000"/>
          <w:spacing w:val="0"/>
          <w:w w:val="100"/>
          <w:position w:val="0"/>
          <w:sz w:val="18"/>
          <w:szCs w:val="18"/>
        </w:rPr>
        <w:t>（</w:t>
      </w:r>
      <w:bookmarkEnd w:id="472"/>
      <w:r>
        <w:rPr>
          <w:color w:val="000000"/>
          <w:spacing w:val="0"/>
          <w:w w:val="100"/>
          <w:position w:val="0"/>
          <w:sz w:val="18"/>
          <w:szCs w:val="18"/>
        </w:rPr>
        <w:t>1）</w:t>
        <w:tab/>
      </w:r>
      <w:r>
        <w:rPr>
          <w:color w:val="000000"/>
          <w:spacing w:val="0"/>
          <w:w w:val="100"/>
          <w:position w:val="0"/>
        </w:rPr>
        <w:t>根据公司发展战略，为满足新材料板块发展需求，</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日，公司第五届董事会第三次会议审议通过《关于 拟购买土地的议案》。孙公司湖州万马高分子材料有限公司以自有资金购买浙江省长兴市湖州南太湖产业集聚区长兴分区绿 色智能制造产业园两宗地块，约</w:t>
      </w:r>
      <w:r>
        <w:rPr>
          <w:color w:val="000000"/>
          <w:spacing w:val="0"/>
          <w:w w:val="100"/>
          <w:position w:val="0"/>
          <w:sz w:val="18"/>
          <w:szCs w:val="18"/>
        </w:rPr>
        <w:t>150</w:t>
      </w:r>
      <w:r>
        <w:rPr>
          <w:color w:val="000000"/>
          <w:spacing w:val="0"/>
          <w:w w:val="100"/>
          <w:position w:val="0"/>
        </w:rPr>
        <w:t>亩。详见巨潮资讯网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日公司公告《关于拟购买土地的公告》（公告编号： </w:t>
      </w:r>
      <w:r>
        <w:rPr>
          <w:color w:val="000000"/>
          <w:spacing w:val="0"/>
          <w:w w:val="100"/>
          <w:position w:val="0"/>
          <w:sz w:val="18"/>
          <w:szCs w:val="18"/>
        </w:rPr>
        <w:t>2020-011）</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月，公司已签署《国有建设用使用权出让合同》</w:t>
      </w:r>
      <w:r>
        <w:rPr>
          <w:color w:val="000000"/>
          <w:spacing w:val="0"/>
          <w:w w:val="100"/>
          <w:position w:val="0"/>
          <w:sz w:val="18"/>
          <w:szCs w:val="18"/>
        </w:rPr>
        <w:t>，</w:t>
      </w:r>
      <w:r>
        <w:rPr>
          <w:color w:val="000000"/>
          <w:spacing w:val="0"/>
          <w:w w:val="100"/>
          <w:position w:val="0"/>
        </w:rPr>
        <w:t>并已支付土地款项</w:t>
      </w:r>
      <w:r>
        <w:rPr>
          <w:color w:val="000000"/>
          <w:spacing w:val="0"/>
          <w:w w:val="100"/>
          <w:position w:val="0"/>
          <w:sz w:val="18"/>
          <w:szCs w:val="18"/>
        </w:rPr>
        <w:t>5, 237</w:t>
      </w:r>
      <w:r>
        <w:rPr>
          <w:color w:val="000000"/>
          <w:spacing w:val="0"/>
          <w:w w:val="100"/>
          <w:position w:val="0"/>
        </w:rPr>
        <w:t>万元。详见巨潮资讯网</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日公司公告《关于公司购买土地的进展公告》（公告编号：</w:t>
      </w:r>
      <w:r>
        <w:rPr>
          <w:color w:val="000000"/>
          <w:spacing w:val="0"/>
          <w:w w:val="100"/>
          <w:position w:val="0"/>
          <w:sz w:val="18"/>
          <w:szCs w:val="18"/>
        </w:rPr>
        <w:t>2020-031）</w:t>
      </w:r>
      <w:r>
        <w:rPr>
          <w:color w:val="000000"/>
          <w:spacing w:val="0"/>
          <w:w w:val="100"/>
          <w:position w:val="0"/>
        </w:rPr>
        <w:t>。该地块已于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月开工建设。</w:t>
      </w:r>
    </w:p>
    <w:p>
      <w:pPr>
        <w:pStyle w:val="Style31"/>
        <w:keepNext w:val="0"/>
        <w:keepLines w:val="0"/>
        <w:widowControl w:val="0"/>
        <w:shd w:val="clear" w:color="auto" w:fill="auto"/>
        <w:tabs>
          <w:tab w:pos="869" w:val="left"/>
        </w:tabs>
        <w:bidi w:val="0"/>
        <w:spacing w:before="0" w:after="480" w:line="311" w:lineRule="exact"/>
        <w:ind w:left="0" w:right="0" w:firstLine="380"/>
        <w:jc w:val="both"/>
      </w:pPr>
      <w:bookmarkStart w:id="473" w:name="bookmark473"/>
      <w:r>
        <w:rPr>
          <w:color w:val="000000"/>
          <w:spacing w:val="0"/>
          <w:w w:val="100"/>
          <w:position w:val="0"/>
          <w:sz w:val="18"/>
          <w:szCs w:val="18"/>
        </w:rPr>
        <w:t>（</w:t>
      </w:r>
      <w:bookmarkEnd w:id="473"/>
      <w:r>
        <w:rPr>
          <w:color w:val="000000"/>
          <w:spacing w:val="0"/>
          <w:w w:val="100"/>
          <w:position w:val="0"/>
          <w:sz w:val="18"/>
          <w:szCs w:val="18"/>
        </w:rPr>
        <w:t>2）</w:t>
        <w:tab/>
      </w:r>
      <w:r>
        <w:rPr>
          <w:color w:val="000000"/>
          <w:spacing w:val="0"/>
          <w:w w:val="100"/>
          <w:position w:val="0"/>
        </w:rPr>
        <w:t>为实现一体两翼发展战略，拟建设万马股份智能制造产业园，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日，公司第五届董事会第四次会议审议 通过《关于拟购买土地的议案》。公司以自有资金购买杭州市临安经济开发区浒溪路东侧、鹤亭街北侧地块，约</w:t>
      </w:r>
      <w:r>
        <w:rPr>
          <w:color w:val="000000"/>
          <w:spacing w:val="0"/>
          <w:w w:val="100"/>
          <w:position w:val="0"/>
          <w:sz w:val="18"/>
          <w:szCs w:val="18"/>
        </w:rPr>
        <w:t>100</w:t>
      </w:r>
      <w:r>
        <w:rPr>
          <w:color w:val="000000"/>
          <w:spacing w:val="0"/>
          <w:w w:val="100"/>
          <w:position w:val="0"/>
        </w:rPr>
        <w:t>亩。详 见巨潮资讯网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日公司公告《关于拟购买土地的公告》（公告编号：</w:t>
      </w:r>
      <w:r>
        <w:rPr>
          <w:color w:val="000000"/>
          <w:spacing w:val="0"/>
          <w:w w:val="100"/>
          <w:position w:val="0"/>
          <w:sz w:val="18"/>
          <w:szCs w:val="18"/>
        </w:rPr>
        <w:t>2020-026）</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月，公司已签署《国有 建设用使用权出让合同》，并已支付土地款项</w:t>
      </w:r>
      <w:r>
        <w:rPr>
          <w:color w:val="000000"/>
          <w:spacing w:val="0"/>
          <w:w w:val="100"/>
          <w:position w:val="0"/>
          <w:sz w:val="18"/>
          <w:szCs w:val="18"/>
        </w:rPr>
        <w:t>3, 955</w:t>
      </w:r>
      <w:r>
        <w:rPr>
          <w:color w:val="000000"/>
          <w:spacing w:val="0"/>
          <w:w w:val="100"/>
          <w:position w:val="0"/>
        </w:rPr>
        <w:t>万元。详见巨潮资讯网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日公司公告《关于公司购买土地的进 展公告》（公告编号：</w:t>
      </w:r>
      <w:r>
        <w:rPr>
          <w:color w:val="000000"/>
          <w:spacing w:val="0"/>
          <w:w w:val="100"/>
          <w:position w:val="0"/>
          <w:sz w:val="18"/>
          <w:szCs w:val="18"/>
        </w:rPr>
        <w:t>2020-042）</w:t>
      </w:r>
      <w:r>
        <w:rPr>
          <w:color w:val="000000"/>
          <w:spacing w:val="0"/>
          <w:w w:val="100"/>
          <w:position w:val="0"/>
        </w:rPr>
        <w:t>。截至报告期末，购买土地手续已完备。</w:t>
      </w:r>
    </w:p>
    <w:p>
      <w:pPr>
        <w:pStyle w:val="Style31"/>
        <w:keepNext w:val="0"/>
        <w:keepLines w:val="0"/>
        <w:widowControl w:val="0"/>
        <w:numPr>
          <w:ilvl w:val="0"/>
          <w:numId w:val="45"/>
        </w:numPr>
        <w:shd w:val="clear" w:color="auto" w:fill="auto"/>
        <w:tabs>
          <w:tab w:pos="673" w:val="left"/>
        </w:tabs>
        <w:bidi w:val="0"/>
        <w:spacing w:before="0" w:after="0" w:line="360" w:lineRule="auto"/>
        <w:ind w:left="0" w:right="0" w:firstLine="380"/>
        <w:jc w:val="both"/>
      </w:pPr>
      <w:bookmarkStart w:id="474" w:name="bookmark474"/>
      <w:bookmarkEnd w:id="474"/>
      <w:r>
        <w:rPr>
          <w:b/>
          <w:bCs/>
          <w:color w:val="000000"/>
          <w:spacing w:val="0"/>
          <w:w w:val="100"/>
          <w:position w:val="0"/>
          <w:sz w:val="18"/>
          <w:szCs w:val="18"/>
        </w:rPr>
        <w:t>越南公司增资</w:t>
      </w:r>
    </w:p>
    <w:p>
      <w:pPr>
        <w:pStyle w:val="Style31"/>
        <w:keepNext w:val="0"/>
        <w:keepLines w:val="0"/>
        <w:widowControl w:val="0"/>
        <w:shd w:val="clear" w:color="auto" w:fill="auto"/>
        <w:bidi w:val="0"/>
        <w:spacing w:before="0" w:after="300"/>
        <w:ind w:left="0" w:right="0" w:firstLine="380"/>
        <w:jc w:val="both"/>
      </w:pPr>
      <w:r>
        <w:rPr>
          <w:color w:val="000000"/>
          <w:spacing w:val="0"/>
          <w:w w:val="100"/>
          <w:position w:val="0"/>
        </w:rPr>
        <w:t>为应对中美贸易摩擦，满足被投资主体生产经营需要，扩大公司通信线缆的境外市场份额，提升通信板块盈利能力，</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日，第五届董事会第六次会议审议通过《关于子公司对越南公司</w:t>
      </w:r>
      <w:r>
        <w:rPr>
          <w:color w:val="000000"/>
          <w:spacing w:val="0"/>
          <w:w w:val="100"/>
          <w:position w:val="0"/>
          <w:sz w:val="18"/>
          <w:szCs w:val="18"/>
        </w:rPr>
        <w:t>（WANMA CABLE （VIETNAM） COMPANY LIMITED）</w:t>
      </w:r>
      <w:r>
        <w:rPr>
          <w:color w:val="000000"/>
          <w:spacing w:val="0"/>
          <w:w w:val="100"/>
          <w:position w:val="0"/>
        </w:rPr>
        <w:t>增资 的议案》。公司子公司浙江万马集团特种电子电缆有限公司（简称</w:t>
      </w:r>
      <w:r>
        <w:rPr>
          <w:color w:val="000000"/>
          <w:spacing w:val="0"/>
          <w:w w:val="100"/>
          <w:position w:val="0"/>
        </w:rPr>
        <w:t>"</w:t>
      </w:r>
      <w:r>
        <w:rPr>
          <w:color w:val="000000"/>
          <w:spacing w:val="0"/>
          <w:w w:val="100"/>
          <w:position w:val="0"/>
        </w:rPr>
        <w:t>万马特缆”）拟对公司子公司香港骐骥投资的越南公司 增资</w:t>
      </w:r>
      <w:r>
        <w:rPr>
          <w:color w:val="000000"/>
          <w:spacing w:val="0"/>
          <w:w w:val="100"/>
          <w:position w:val="0"/>
          <w:sz w:val="18"/>
          <w:szCs w:val="18"/>
        </w:rPr>
        <w:t>400</w:t>
      </w:r>
      <w:r>
        <w:rPr>
          <w:color w:val="000000"/>
          <w:spacing w:val="0"/>
          <w:w w:val="100"/>
          <w:position w:val="0"/>
        </w:rPr>
        <w:t>万美元。详见巨潮资讯网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日公司公告（公告编号：</w:t>
      </w:r>
      <w:r>
        <w:rPr>
          <w:color w:val="000000"/>
          <w:spacing w:val="0"/>
          <w:w w:val="100"/>
          <w:position w:val="0"/>
          <w:sz w:val="18"/>
          <w:szCs w:val="18"/>
        </w:rPr>
        <w:t>2020-040）</w:t>
      </w:r>
      <w:r>
        <w:rPr>
          <w:color w:val="000000"/>
          <w:spacing w:val="0"/>
          <w:w w:val="100"/>
          <w:position w:val="0"/>
        </w:rPr>
        <w:t>。截至报告期末，该增资事项在越南相关 部门审批过程中。</w:t>
      </w:r>
    </w:p>
    <w:p>
      <w:pPr>
        <w:pStyle w:val="Style31"/>
        <w:keepNext w:val="0"/>
        <w:keepLines w:val="0"/>
        <w:widowControl w:val="0"/>
        <w:numPr>
          <w:ilvl w:val="0"/>
          <w:numId w:val="45"/>
        </w:numPr>
        <w:shd w:val="clear" w:color="auto" w:fill="auto"/>
        <w:tabs>
          <w:tab w:pos="640" w:val="left"/>
        </w:tabs>
        <w:bidi w:val="0"/>
        <w:spacing w:before="0" w:after="0"/>
        <w:ind w:left="0" w:right="0" w:firstLine="380"/>
        <w:jc w:val="both"/>
      </w:pPr>
      <w:bookmarkStart w:id="475" w:name="bookmark475"/>
      <w:bookmarkEnd w:id="475"/>
      <w:r>
        <w:rPr>
          <w:b/>
          <w:bCs/>
          <w:color w:val="000000"/>
          <w:spacing w:val="0"/>
          <w:w w:val="100"/>
          <w:position w:val="0"/>
          <w:sz w:val="18"/>
          <w:szCs w:val="18"/>
        </w:rPr>
        <w:t>万马高分子湖州产业基地投建</w:t>
      </w:r>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月，公司第五届董事会第十次会议审议通过《关于投资建设“年产</w:t>
      </w:r>
      <w:r>
        <w:rPr>
          <w:color w:val="000000"/>
          <w:spacing w:val="0"/>
          <w:w w:val="100"/>
          <w:position w:val="0"/>
          <w:sz w:val="18"/>
          <w:szCs w:val="18"/>
        </w:rPr>
        <w:t>31</w:t>
      </w:r>
      <w:r>
        <w:rPr>
          <w:color w:val="000000"/>
          <w:spacing w:val="0"/>
          <w:w w:val="100"/>
          <w:position w:val="0"/>
        </w:rPr>
        <w:t>万吨环保新型电缆材料产业基地”项目的 议案》，项目产品有环保</w:t>
      </w:r>
      <w:r>
        <w:rPr>
          <w:color w:val="000000"/>
          <w:spacing w:val="0"/>
          <w:w w:val="100"/>
          <w:position w:val="0"/>
          <w:sz w:val="18"/>
          <w:szCs w:val="18"/>
        </w:rPr>
        <w:t>PVC</w:t>
      </w:r>
      <w:r>
        <w:rPr>
          <w:color w:val="000000"/>
          <w:spacing w:val="0"/>
          <w:w w:val="100"/>
          <w:position w:val="0"/>
        </w:rPr>
        <w:t>电缆材料、中压及高压屏蔽料、低烟无卤电缆料等，项目旨在以现有产品为依托，打造成世 界领先的高分子材料生产基地。项目预计总投资</w:t>
      </w:r>
      <w:r>
        <w:rPr>
          <w:color w:val="000000"/>
          <w:spacing w:val="0"/>
          <w:w w:val="100"/>
          <w:position w:val="0"/>
          <w:sz w:val="18"/>
          <w:szCs w:val="18"/>
        </w:rPr>
        <w:t>6</w:t>
      </w:r>
      <w:r>
        <w:rPr>
          <w:color w:val="000000"/>
          <w:spacing w:val="0"/>
          <w:w w:val="100"/>
          <w:position w:val="0"/>
        </w:rPr>
        <w:t>亿元，其中固定资产投资</w:t>
      </w:r>
      <w:r>
        <w:rPr>
          <w:color w:val="000000"/>
          <w:spacing w:val="0"/>
          <w:w w:val="100"/>
          <w:position w:val="0"/>
          <w:sz w:val="18"/>
          <w:szCs w:val="18"/>
        </w:rPr>
        <w:t>5</w:t>
      </w:r>
      <w:r>
        <w:rPr>
          <w:color w:val="000000"/>
          <w:spacing w:val="0"/>
          <w:w w:val="100"/>
          <w:position w:val="0"/>
        </w:rPr>
        <w:t>亿元，项目实施期约</w:t>
      </w:r>
      <w:r>
        <w:rPr>
          <w:color w:val="000000"/>
          <w:spacing w:val="0"/>
          <w:w w:val="100"/>
          <w:position w:val="0"/>
          <w:sz w:val="18"/>
          <w:szCs w:val="18"/>
        </w:rPr>
        <w:t>5</w:t>
      </w:r>
      <w:r>
        <w:rPr>
          <w:color w:val="000000"/>
          <w:spacing w:val="0"/>
          <w:w w:val="100"/>
          <w:position w:val="0"/>
        </w:rPr>
        <w:t>年。具体内容详见</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日巨潮资讯网公司《关于投资建设“年产</w:t>
      </w:r>
      <w:r>
        <w:rPr>
          <w:color w:val="000000"/>
          <w:spacing w:val="0"/>
          <w:w w:val="100"/>
          <w:position w:val="0"/>
          <w:sz w:val="18"/>
          <w:szCs w:val="18"/>
        </w:rPr>
        <w:t>31</w:t>
      </w:r>
      <w:r>
        <w:rPr>
          <w:color w:val="000000"/>
          <w:spacing w:val="0"/>
          <w:w w:val="100"/>
          <w:position w:val="0"/>
        </w:rPr>
        <w:t>万吨环保新型电缆材料产业基地”项目的公告》（公告编号：</w:t>
      </w:r>
      <w:r>
        <w:rPr>
          <w:color w:val="000000"/>
          <w:spacing w:val="0"/>
          <w:w w:val="100"/>
          <w:position w:val="0"/>
          <w:sz w:val="18"/>
          <w:szCs w:val="18"/>
        </w:rPr>
        <w:t>2020-069）</w:t>
      </w:r>
      <w:r>
        <w:rPr>
          <w:color w:val="000000"/>
          <w:spacing w:val="0"/>
          <w:w w:val="100"/>
          <w:position w:val="0"/>
        </w:rPr>
        <w:t>。 截至报告期末，项目正在建设中，部分建筑主体工程已完成验收。</w:t>
      </w:r>
    </w:p>
    <w:p>
      <w:pPr>
        <w:pStyle w:val="Style31"/>
        <w:keepNext w:val="0"/>
        <w:keepLines w:val="0"/>
        <w:widowControl w:val="0"/>
        <w:numPr>
          <w:ilvl w:val="0"/>
          <w:numId w:val="45"/>
        </w:numPr>
        <w:shd w:val="clear" w:color="auto" w:fill="auto"/>
        <w:tabs>
          <w:tab w:pos="640" w:val="left"/>
        </w:tabs>
        <w:bidi w:val="0"/>
        <w:spacing w:before="0" w:after="0"/>
        <w:ind w:left="0" w:right="0" w:firstLine="380"/>
        <w:jc w:val="both"/>
      </w:pPr>
      <w:bookmarkStart w:id="476" w:name="bookmark476"/>
      <w:bookmarkEnd w:id="476"/>
      <w:r>
        <w:rPr>
          <w:b/>
          <w:bCs/>
          <w:color w:val="000000"/>
          <w:spacing w:val="0"/>
          <w:w w:val="100"/>
          <w:position w:val="0"/>
          <w:sz w:val="18"/>
          <w:szCs w:val="18"/>
        </w:rPr>
        <w:t>与联研院合资成立万马高压材料合资公司</w:t>
      </w:r>
    </w:p>
    <w:p>
      <w:pPr>
        <w:pStyle w:val="Style31"/>
        <w:keepNext w:val="0"/>
        <w:keepLines w:val="0"/>
        <w:widowControl w:val="0"/>
        <w:shd w:val="clear" w:color="auto" w:fill="auto"/>
        <w:bidi w:val="0"/>
        <w:spacing w:before="0" w:after="0"/>
        <w:ind w:left="0" w:right="0" w:firstLine="3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月，第五届董事会第十一次会议审议通过《关于子公司对外投资成立合资公司的议案》。万马高分子集团与国 家电网有限公司旗下科研中心一全球能源互联网研究院有限公司共同投资成立万马（浙江）高压材料有限公司，注册资本 为人民币</w:t>
      </w:r>
      <w:r>
        <w:rPr>
          <w:color w:val="000000"/>
          <w:spacing w:val="0"/>
          <w:w w:val="100"/>
          <w:position w:val="0"/>
          <w:sz w:val="18"/>
          <w:szCs w:val="18"/>
        </w:rPr>
        <w:t>2, 900</w:t>
      </w:r>
      <w:r>
        <w:rPr>
          <w:color w:val="000000"/>
          <w:spacing w:val="0"/>
          <w:w w:val="100"/>
          <w:position w:val="0"/>
        </w:rPr>
        <w:t>万元，其中万马高分子集团以现金方式出资</w:t>
      </w:r>
      <w:r>
        <w:rPr>
          <w:color w:val="000000"/>
          <w:spacing w:val="0"/>
          <w:w w:val="100"/>
          <w:position w:val="0"/>
          <w:sz w:val="18"/>
          <w:szCs w:val="18"/>
        </w:rPr>
        <w:t>1,740</w:t>
      </w:r>
      <w:r>
        <w:rPr>
          <w:color w:val="000000"/>
          <w:spacing w:val="0"/>
          <w:w w:val="100"/>
          <w:position w:val="0"/>
        </w:rPr>
        <w:t>万元，股权占比</w:t>
      </w:r>
      <w:r>
        <w:rPr>
          <w:color w:val="000000"/>
          <w:spacing w:val="0"/>
          <w:w w:val="100"/>
          <w:position w:val="0"/>
          <w:sz w:val="18"/>
          <w:szCs w:val="18"/>
        </w:rPr>
        <w:t>60%；</w:t>
      </w:r>
      <w:r>
        <w:rPr>
          <w:color w:val="000000"/>
          <w:spacing w:val="0"/>
          <w:w w:val="100"/>
          <w:position w:val="0"/>
        </w:rPr>
        <w:t>联研院以技术作价方式一次性出资</w:t>
      </w:r>
      <w:r>
        <w:rPr>
          <w:color w:val="000000"/>
          <w:spacing w:val="0"/>
          <w:w w:val="100"/>
          <w:position w:val="0"/>
          <w:sz w:val="18"/>
          <w:szCs w:val="18"/>
        </w:rPr>
        <w:t xml:space="preserve">1,160 </w:t>
      </w:r>
      <w:r>
        <w:rPr>
          <w:color w:val="000000"/>
          <w:spacing w:val="0"/>
          <w:w w:val="100"/>
          <w:position w:val="0"/>
        </w:rPr>
        <w:t>万元，股权占比</w:t>
      </w:r>
      <w:r>
        <w:rPr>
          <w:color w:val="000000"/>
          <w:spacing w:val="0"/>
          <w:w w:val="100"/>
          <w:position w:val="0"/>
          <w:sz w:val="18"/>
          <w:szCs w:val="18"/>
        </w:rPr>
        <w:t>40%</w:t>
      </w:r>
      <w:r>
        <w:rPr>
          <w:color w:val="000000"/>
          <w:spacing w:val="0"/>
          <w:w w:val="100"/>
          <w:position w:val="0"/>
        </w:rPr>
        <w:t>。</w:t>
      </w:r>
    </w:p>
    <w:p>
      <w:pPr>
        <w:pStyle w:val="Style31"/>
        <w:keepNext w:val="0"/>
        <w:keepLines w:val="0"/>
        <w:widowControl w:val="0"/>
        <w:shd w:val="clear" w:color="auto" w:fill="auto"/>
        <w:bidi w:val="0"/>
        <w:spacing w:before="0" w:after="380"/>
        <w:ind w:left="0" w:right="0" w:firstLine="380"/>
        <w:jc w:val="both"/>
      </w:pPr>
      <w:r>
        <w:rPr>
          <w:color w:val="000000"/>
          <w:spacing w:val="0"/>
          <w:w w:val="100"/>
          <w:position w:val="0"/>
        </w:rPr>
        <w:t>此次成立合资公司，主要是为实现高压电缆绝缘材料及半导电屏蔽材料在能源电力领域的国产化替代，保障关键领域核 心材料的供给安全，服务于电网建设的质量和安全，在高压交流、直流电缆绝缘及半导电屏蔽材料领域开展全面合作，实现 高压电缆材料的产业化。详见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日巨潮资讯网公司公告《关于子公司对外投资成立合资公司的公告》（公告编号： </w:t>
      </w:r>
      <w:r>
        <w:rPr>
          <w:color w:val="000000"/>
          <w:spacing w:val="0"/>
          <w:w w:val="100"/>
          <w:position w:val="0"/>
          <w:sz w:val="18"/>
          <w:szCs w:val="18"/>
        </w:rPr>
        <w:t>2020-072）</w:t>
      </w:r>
      <w:r>
        <w:rPr>
          <w:color w:val="000000"/>
          <w:spacing w:val="0"/>
          <w:w w:val="100"/>
          <w:position w:val="0"/>
        </w:rPr>
        <w:t>。截至本报告出具日，合资公司已完成工商注册、合资双方协商建立了合作模式，并就市场推广策略、目标客户 的确定等达成共识，目标客户已陆续进入试料阶段。</w:t>
      </w:r>
    </w:p>
    <w:p>
      <w:pPr>
        <w:pStyle w:val="Style31"/>
        <w:keepNext w:val="0"/>
        <w:keepLines w:val="0"/>
        <w:widowControl w:val="0"/>
        <w:numPr>
          <w:ilvl w:val="0"/>
          <w:numId w:val="45"/>
        </w:numPr>
        <w:shd w:val="clear" w:color="auto" w:fill="auto"/>
        <w:tabs>
          <w:tab w:pos="640" w:val="left"/>
        </w:tabs>
        <w:bidi w:val="0"/>
        <w:spacing w:before="0" w:after="0"/>
        <w:ind w:left="0" w:right="0" w:firstLine="380"/>
        <w:jc w:val="both"/>
      </w:pPr>
      <w:bookmarkStart w:id="477" w:name="bookmark477"/>
      <w:bookmarkEnd w:id="477"/>
      <w:r>
        <w:rPr>
          <w:b/>
          <w:bCs/>
          <w:color w:val="000000"/>
          <w:spacing w:val="0"/>
          <w:w w:val="100"/>
          <w:position w:val="0"/>
          <w:sz w:val="18"/>
          <w:szCs w:val="18"/>
        </w:rPr>
        <w:t>受让山东万恩</w:t>
      </w:r>
      <w:r>
        <w:rPr>
          <w:b/>
          <w:bCs/>
          <w:color w:val="000000"/>
          <w:spacing w:val="0"/>
          <w:w w:val="100"/>
          <w:position w:val="0"/>
        </w:rPr>
        <w:t>69%</w:t>
      </w:r>
      <w:r>
        <w:rPr>
          <w:b/>
          <w:bCs/>
          <w:color w:val="000000"/>
          <w:spacing w:val="0"/>
          <w:w w:val="100"/>
          <w:position w:val="0"/>
          <w:sz w:val="18"/>
          <w:szCs w:val="18"/>
        </w:rPr>
        <w:t>股权</w:t>
      </w:r>
    </w:p>
    <w:p>
      <w:pPr>
        <w:pStyle w:val="Style31"/>
        <w:keepNext w:val="0"/>
        <w:keepLines w:val="0"/>
        <w:widowControl w:val="0"/>
        <w:shd w:val="clear" w:color="auto" w:fill="auto"/>
        <w:bidi w:val="0"/>
        <w:spacing w:before="0" w:after="0"/>
        <w:ind w:left="0" w:right="0" w:firstLine="3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w:t>
      </w:r>
      <w:r>
        <w:rPr>
          <w:color w:val="000000"/>
          <w:spacing w:val="0"/>
          <w:w w:val="100"/>
          <w:position w:val="0"/>
        </w:rPr>
        <w:t>第五届董事会第十一次会议审议通过《关于受让参股公司山东万恩新能源科技有限公司</w:t>
      </w:r>
      <w:r>
        <w:rPr>
          <w:color w:val="000000"/>
          <w:spacing w:val="0"/>
          <w:w w:val="100"/>
          <w:position w:val="0"/>
          <w:sz w:val="18"/>
          <w:szCs w:val="18"/>
        </w:rPr>
        <w:t>69%</w:t>
      </w:r>
      <w:r>
        <w:rPr>
          <w:color w:val="000000"/>
          <w:spacing w:val="0"/>
          <w:w w:val="100"/>
          <w:position w:val="0"/>
        </w:rPr>
        <w:t>股权暨关联交 易的议案》。子公司新能源产业集团原持有参股公司山东万恩新能源科技有限公司（简称“万恩新能源”）</w:t>
      </w:r>
      <w:r>
        <w:rPr>
          <w:color w:val="000000"/>
          <w:spacing w:val="0"/>
          <w:w w:val="100"/>
          <w:position w:val="0"/>
          <w:sz w:val="18"/>
          <w:szCs w:val="18"/>
        </w:rPr>
        <w:t>31%</w:t>
      </w:r>
      <w:r>
        <w:rPr>
          <w:color w:val="000000"/>
          <w:spacing w:val="0"/>
          <w:w w:val="100"/>
          <w:position w:val="0"/>
        </w:rPr>
        <w:t>的股权。为 完善公司产权结构，公司与持有万恩新能源</w:t>
      </w:r>
      <w:r>
        <w:rPr>
          <w:color w:val="000000"/>
          <w:spacing w:val="0"/>
          <w:w w:val="100"/>
          <w:position w:val="0"/>
          <w:sz w:val="18"/>
          <w:szCs w:val="18"/>
        </w:rPr>
        <w:t>49%</w:t>
      </w:r>
      <w:r>
        <w:rPr>
          <w:color w:val="000000"/>
          <w:spacing w:val="0"/>
          <w:w w:val="100"/>
          <w:position w:val="0"/>
        </w:rPr>
        <w:t>股权的天恩能源、持有万恩新能源</w:t>
      </w:r>
      <w:r>
        <w:rPr>
          <w:color w:val="000000"/>
          <w:spacing w:val="0"/>
          <w:w w:val="100"/>
          <w:position w:val="0"/>
          <w:sz w:val="18"/>
          <w:szCs w:val="18"/>
        </w:rPr>
        <w:t>20%</w:t>
      </w:r>
      <w:r>
        <w:rPr>
          <w:color w:val="000000"/>
          <w:spacing w:val="0"/>
          <w:w w:val="100"/>
          <w:position w:val="0"/>
        </w:rPr>
        <w:t>股权的智能科技集团分别签署《股权转 让协议》</w:t>
      </w:r>
      <w:r>
        <w:rPr>
          <w:color w:val="000000"/>
          <w:spacing w:val="0"/>
          <w:w w:val="100"/>
          <w:position w:val="0"/>
          <w:sz w:val="18"/>
          <w:szCs w:val="18"/>
        </w:rPr>
        <w:t>，</w:t>
      </w:r>
      <w:r>
        <w:rPr>
          <w:color w:val="000000"/>
          <w:spacing w:val="0"/>
          <w:w w:val="100"/>
          <w:position w:val="0"/>
        </w:rPr>
        <w:t>分别以人民币</w:t>
      </w:r>
      <w:r>
        <w:rPr>
          <w:color w:val="000000"/>
          <w:spacing w:val="0"/>
          <w:w w:val="100"/>
          <w:position w:val="0"/>
          <w:sz w:val="18"/>
          <w:szCs w:val="18"/>
        </w:rPr>
        <w:t>2,078.44</w:t>
      </w:r>
      <w:r>
        <w:rPr>
          <w:color w:val="000000"/>
          <w:spacing w:val="0"/>
          <w:w w:val="100"/>
          <w:position w:val="0"/>
        </w:rPr>
        <w:t>万元和</w:t>
      </w:r>
      <w:r>
        <w:rPr>
          <w:color w:val="000000"/>
          <w:spacing w:val="0"/>
          <w:w w:val="100"/>
          <w:position w:val="0"/>
          <w:sz w:val="18"/>
          <w:szCs w:val="18"/>
        </w:rPr>
        <w:t xml:space="preserve">848. </w:t>
      </w:r>
      <w:r>
        <w:rPr>
          <w:color w:val="000000"/>
          <w:spacing w:val="0"/>
          <w:w w:val="100"/>
          <w:position w:val="0"/>
          <w:sz w:val="18"/>
          <w:szCs w:val="18"/>
        </w:rPr>
        <w:t>34</w:t>
      </w:r>
      <w:r>
        <w:rPr>
          <w:color w:val="000000"/>
          <w:spacing w:val="0"/>
          <w:w w:val="100"/>
          <w:position w:val="0"/>
        </w:rPr>
        <w:t>万元（合计</w:t>
      </w:r>
      <w:r>
        <w:rPr>
          <w:color w:val="000000"/>
          <w:spacing w:val="0"/>
          <w:w w:val="100"/>
          <w:position w:val="0"/>
          <w:sz w:val="18"/>
          <w:szCs w:val="18"/>
        </w:rPr>
        <w:t>2,926.78</w:t>
      </w:r>
      <w:r>
        <w:rPr>
          <w:color w:val="000000"/>
          <w:spacing w:val="0"/>
          <w:w w:val="100"/>
          <w:position w:val="0"/>
        </w:rPr>
        <w:t>万元）的价格，受让天恩能源和智能科技集团所持有万 恩新能源合计</w:t>
      </w:r>
      <w:r>
        <w:rPr>
          <w:color w:val="000000"/>
          <w:spacing w:val="0"/>
          <w:w w:val="100"/>
          <w:position w:val="0"/>
          <w:sz w:val="18"/>
          <w:szCs w:val="18"/>
        </w:rPr>
        <w:t>69%</w:t>
      </w:r>
      <w:r>
        <w:rPr>
          <w:color w:val="000000"/>
          <w:spacing w:val="0"/>
          <w:w w:val="100"/>
          <w:position w:val="0"/>
        </w:rPr>
        <w:t>的股权。本次股权受让完成后，万恩新能源成为公司的全资孙公司。</w:t>
      </w:r>
    </w:p>
    <w:p>
      <w:pPr>
        <w:pStyle w:val="Style31"/>
        <w:keepNext w:val="0"/>
        <w:keepLines w:val="0"/>
        <w:widowControl w:val="0"/>
        <w:shd w:val="clear" w:color="auto" w:fill="auto"/>
        <w:bidi w:val="0"/>
        <w:spacing w:before="0" w:after="380"/>
        <w:ind w:left="0" w:right="0" w:firstLine="380"/>
        <w:jc w:val="both"/>
      </w:pPr>
      <w:r>
        <w:rPr>
          <w:color w:val="000000"/>
          <w:spacing w:val="0"/>
          <w:w w:val="100"/>
          <w:position w:val="0"/>
        </w:rPr>
        <w:t>本次受让万恩新能源</w:t>
      </w:r>
      <w:r>
        <w:rPr>
          <w:color w:val="000000"/>
          <w:spacing w:val="0"/>
          <w:w w:val="100"/>
          <w:position w:val="0"/>
          <w:sz w:val="18"/>
          <w:szCs w:val="18"/>
        </w:rPr>
        <w:t>69%</w:t>
      </w:r>
      <w:r>
        <w:rPr>
          <w:color w:val="000000"/>
          <w:spacing w:val="0"/>
          <w:w w:val="100"/>
          <w:position w:val="0"/>
        </w:rPr>
        <w:t>股权使之成为公司全资孙公司，旨在优化公司整体资源配置，提升对参股公司的管控力度，提 高决策效率，有利于完善公司产权结构，符合公司总体发展战略规划。详见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日巨潮资讯网公司《关于受让参股 公司山东万恩新能源科技有限公司</w:t>
      </w:r>
      <w:r>
        <w:rPr>
          <w:color w:val="000000"/>
          <w:spacing w:val="0"/>
          <w:w w:val="100"/>
          <w:position w:val="0"/>
          <w:sz w:val="18"/>
          <w:szCs w:val="18"/>
        </w:rPr>
        <w:t>69%</w:t>
      </w:r>
      <w:r>
        <w:rPr>
          <w:color w:val="000000"/>
          <w:spacing w:val="0"/>
          <w:w w:val="100"/>
          <w:position w:val="0"/>
        </w:rPr>
        <w:t>股权暨关联交易的公告》（公告编号：</w:t>
      </w:r>
      <w:r>
        <w:rPr>
          <w:color w:val="000000"/>
          <w:spacing w:val="0"/>
          <w:w w:val="100"/>
          <w:position w:val="0"/>
          <w:sz w:val="18"/>
          <w:szCs w:val="18"/>
        </w:rPr>
        <w:t>2020-073）</w:t>
      </w:r>
      <w:r>
        <w:rPr>
          <w:color w:val="000000"/>
          <w:spacing w:val="0"/>
          <w:w w:val="100"/>
          <w:position w:val="0"/>
        </w:rPr>
        <w:t>。</w:t>
      </w:r>
    </w:p>
    <w:p>
      <w:pPr>
        <w:pStyle w:val="Style26"/>
        <w:keepNext/>
        <w:keepLines/>
        <w:widowControl w:val="0"/>
        <w:shd w:val="clear" w:color="auto" w:fill="auto"/>
        <w:bidi w:val="0"/>
        <w:spacing w:before="0" w:after="240" w:line="240" w:lineRule="auto"/>
        <w:ind w:left="0" w:right="0" w:firstLine="0"/>
        <w:jc w:val="left"/>
      </w:pPr>
      <w:bookmarkStart w:id="478" w:name="bookmark478"/>
      <w:bookmarkStart w:id="479" w:name="bookmark479"/>
      <w:bookmarkStart w:id="480" w:name="bookmark480"/>
      <w:r>
        <w:rPr>
          <w:color w:val="000000"/>
          <w:spacing w:val="0"/>
          <w:w w:val="100"/>
          <w:position w:val="0"/>
          <w:sz w:val="24"/>
          <w:szCs w:val="24"/>
        </w:rPr>
        <w:t>二十、公司子公司重大事项</w:t>
      </w:r>
      <w:bookmarkEnd w:id="478"/>
      <w:bookmarkEnd w:id="479"/>
      <w:bookmarkEnd w:id="480"/>
    </w:p>
    <w:p>
      <w:pPr>
        <w:pStyle w:val="Style31"/>
        <w:keepNext w:val="0"/>
        <w:keepLines w:val="0"/>
        <w:widowControl w:val="0"/>
        <w:shd w:val="clear" w:color="auto" w:fill="auto"/>
        <w:bidi w:val="0"/>
        <w:spacing w:before="0"/>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520" w:line="240" w:lineRule="auto"/>
        <w:ind w:left="0" w:right="0" w:firstLine="0"/>
        <w:jc w:val="center"/>
      </w:pPr>
      <w:bookmarkStart w:id="481" w:name="bookmark481"/>
      <w:bookmarkStart w:id="482" w:name="bookmark482"/>
      <w:bookmarkStart w:id="483" w:name="bookmark483"/>
      <w:bookmarkStart w:id="484" w:name="bookmark484"/>
      <w:r>
        <w:rPr>
          <w:color w:val="000000"/>
          <w:spacing w:val="0"/>
          <w:w w:val="100"/>
          <w:position w:val="0"/>
        </w:rPr>
        <w:t>第六节股份变动及股东情况</w:t>
      </w:r>
      <w:bookmarkEnd w:id="482"/>
      <w:bookmarkEnd w:id="483"/>
      <w:bookmarkEnd w:id="484"/>
      <w:bookmarkEnd w:id="481"/>
    </w:p>
    <w:p>
      <w:pPr>
        <w:pStyle w:val="Style26"/>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一</w:t>
      </w:r>
      <w:bookmarkEnd w:id="487"/>
      <w:r>
        <w:rPr>
          <w:color w:val="000000"/>
          <w:spacing w:val="0"/>
          <w:w w:val="100"/>
          <w:position w:val="0"/>
          <w:sz w:val="24"/>
          <w:szCs w:val="24"/>
        </w:rPr>
        <w:t>、股份变动情况</w:t>
      </w:r>
      <w:bookmarkEnd w:id="485"/>
      <w:bookmarkEnd w:id="486"/>
      <w:bookmarkEnd w:id="488"/>
    </w:p>
    <w:p>
      <w:pPr>
        <w:pStyle w:val="Style34"/>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、股份变动情况</w:t>
      </w:r>
      <w:bookmarkEnd w:id="489"/>
      <w:bookmarkEnd w:id="490"/>
      <w:bookmarkEnd w:id="4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330"/>
        <w:gridCol w:w="1027"/>
        <w:gridCol w:w="413"/>
        <w:gridCol w:w="418"/>
        <w:gridCol w:w="384"/>
        <w:gridCol w:w="1046"/>
        <w:gridCol w:w="1032"/>
        <w:gridCol w:w="898"/>
        <w:gridCol w:w="802"/>
      </w:tblGrid>
      <w:tr>
        <w:trPr>
          <w:trHeight w:val="254"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12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textDirection w:val="tbRlV"/>
            <w:vAlign w:val="bottom"/>
          </w:tcPr>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送 股</w:t>
            </w:r>
          </w:p>
        </w:tc>
        <w:tc>
          <w:tcPr>
            <w:tcBorders>
              <w:top w:val="single" w:sz="4"/>
              <w:left w:val="single" w:sz="4"/>
            </w:tcBorders>
            <w:shd w:val="clear" w:color="auto" w:fill="D4D4D4"/>
            <w:textDirection w:val="tbRlV"/>
            <w:vAlign w:val="top"/>
          </w:tcPr>
          <w:p>
            <w:pPr>
              <w:pStyle w:val="Style84"/>
              <w:keepNext w:val="0"/>
              <w:keepLines w:val="0"/>
              <w:widowControl w:val="0"/>
              <w:shd w:val="clear" w:color="auto" w:fill="auto"/>
              <w:bidi w:val="0"/>
              <w:spacing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1,624,475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0.03%</w:t>
            </w:r>
          </w:p>
        </w:tc>
      </w:tr>
      <w:tr>
        <w:trPr>
          <w:trHeight w:val="25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1,624,475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0.03%</w:t>
            </w: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1,624,475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0.03%</w:t>
            </w: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1,033,864,623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1,035,22</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w:t>
            </w:r>
          </w:p>
        </w:tc>
      </w:tr>
      <w:tr>
        <w:trPr>
          <w:trHeight w:val="49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1,033,864,623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1,035,22</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w:t>
            </w: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1,035,489,098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1,035,48</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9,098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1" w:lineRule="exact"/>
        <w:ind w:left="0" w:right="0" w:firstLine="3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日，公司于召开第五届董事会第十三次会议审议通过《关于回购部分社会公众股份方案的议案》，本次回购 股份资金总额不超过</w:t>
      </w:r>
      <w:r>
        <w:rPr>
          <w:color w:val="000000"/>
          <w:spacing w:val="0"/>
          <w:w w:val="100"/>
          <w:position w:val="0"/>
          <w:sz w:val="18"/>
          <w:szCs w:val="18"/>
        </w:rPr>
        <w:t>2</w:t>
      </w:r>
      <w:r>
        <w:rPr>
          <w:color w:val="000000"/>
          <w:spacing w:val="0"/>
          <w:w w:val="100"/>
          <w:position w:val="0"/>
        </w:rPr>
        <w:t>亿元（含）</w:t>
      </w:r>
      <w:r>
        <w:rPr>
          <w:color w:val="000000"/>
          <w:spacing w:val="0"/>
          <w:w w:val="100"/>
          <w:position w:val="0"/>
          <w:sz w:val="18"/>
          <w:szCs w:val="18"/>
        </w:rPr>
        <w:t>，</w:t>
      </w:r>
      <w:r>
        <w:rPr>
          <w:color w:val="000000"/>
          <w:spacing w:val="0"/>
          <w:w w:val="100"/>
          <w:position w:val="0"/>
        </w:rPr>
        <w:t>且不低于</w:t>
      </w:r>
      <w:r>
        <w:rPr>
          <w:color w:val="000000"/>
          <w:spacing w:val="0"/>
          <w:w w:val="100"/>
          <w:position w:val="0"/>
          <w:sz w:val="18"/>
          <w:szCs w:val="18"/>
        </w:rPr>
        <w:t>1</w:t>
      </w:r>
      <w:r>
        <w:rPr>
          <w:color w:val="000000"/>
          <w:spacing w:val="0"/>
          <w:w w:val="100"/>
          <w:position w:val="0"/>
        </w:rPr>
        <w:t>亿元（含）</w:t>
      </w:r>
      <w:r>
        <w:rPr>
          <w:color w:val="000000"/>
          <w:spacing w:val="0"/>
          <w:w w:val="100"/>
          <w:position w:val="0"/>
          <w:sz w:val="18"/>
          <w:szCs w:val="18"/>
        </w:rPr>
        <w:t>；</w:t>
      </w:r>
      <w:r>
        <w:rPr>
          <w:color w:val="000000"/>
          <w:spacing w:val="0"/>
          <w:w w:val="100"/>
          <w:position w:val="0"/>
        </w:rPr>
        <w:t>回购股份价格不超过人民币</w:t>
      </w:r>
      <w:r>
        <w:rPr>
          <w:color w:val="000000"/>
          <w:spacing w:val="0"/>
          <w:w w:val="100"/>
          <w:position w:val="0"/>
          <w:sz w:val="18"/>
          <w:szCs w:val="18"/>
        </w:rPr>
        <w:t>8.80</w:t>
      </w:r>
      <w:r>
        <w:rPr>
          <w:color w:val="000000"/>
          <w:spacing w:val="0"/>
          <w:w w:val="100"/>
          <w:position w:val="0"/>
        </w:rPr>
        <w:t>元</w:t>
      </w:r>
      <w:r>
        <w:rPr>
          <w:color w:val="000000"/>
          <w:spacing w:val="0"/>
          <w:w w:val="100"/>
          <w:position w:val="0"/>
          <w:sz w:val="18"/>
          <w:szCs w:val="18"/>
        </w:rPr>
        <w:t>/</w:t>
      </w:r>
      <w:r>
        <w:rPr>
          <w:color w:val="000000"/>
          <w:spacing w:val="0"/>
          <w:w w:val="100"/>
          <w:position w:val="0"/>
        </w:rPr>
        <w:t>股（含）</w:t>
      </w:r>
      <w:r>
        <w:rPr>
          <w:color w:val="000000"/>
          <w:spacing w:val="0"/>
          <w:w w:val="100"/>
          <w:position w:val="0"/>
          <w:sz w:val="18"/>
          <w:szCs w:val="18"/>
        </w:rPr>
        <w:t>；</w:t>
      </w:r>
      <w:r>
        <w:rPr>
          <w:color w:val="000000"/>
          <w:spacing w:val="0"/>
          <w:w w:val="100"/>
          <w:position w:val="0"/>
        </w:rPr>
        <w:t>回购期限为自董 事会审议通过回购方案之日起不超过</w:t>
      </w:r>
      <w:r>
        <w:rPr>
          <w:color w:val="000000"/>
          <w:spacing w:val="0"/>
          <w:w w:val="100"/>
          <w:position w:val="0"/>
          <w:sz w:val="18"/>
          <w:szCs w:val="18"/>
        </w:rPr>
        <w:t>6</w:t>
      </w:r>
      <w:r>
        <w:rPr>
          <w:color w:val="000000"/>
          <w:spacing w:val="0"/>
          <w:w w:val="100"/>
          <w:position w:val="0"/>
        </w:rPr>
        <w:t>个月</w:t>
      </w:r>
      <w:r>
        <w:rPr>
          <w:color w:val="000000"/>
          <w:spacing w:val="0"/>
          <w:w w:val="100"/>
          <w:position w:val="0"/>
          <w:sz w:val="18"/>
          <w:szCs w:val="18"/>
        </w:rPr>
        <w:t>，</w:t>
      </w:r>
      <w:r>
        <w:rPr>
          <w:color w:val="000000"/>
          <w:spacing w:val="0"/>
          <w:w w:val="100"/>
          <w:position w:val="0"/>
        </w:rPr>
        <w:t>股份回购用于实施股权激励计划或员工持股计划。详细内容请见公司于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日在巨潮资讯网</w:t>
      </w:r>
      <w:r>
        <w:rPr>
          <w:color w:val="000000"/>
          <w:spacing w:val="0"/>
          <w:w w:val="100"/>
          <w:position w:val="0"/>
          <w:sz w:val="18"/>
          <w:szCs w:val="18"/>
        </w:rPr>
        <w:t>（www.cninfo.com.cn）</w:t>
      </w:r>
      <w:r>
        <w:rPr>
          <w:color w:val="000000"/>
          <w:spacing w:val="0"/>
          <w:w w:val="100"/>
          <w:position w:val="0"/>
        </w:rPr>
        <w:t xml:space="preserve">披露的《关于回购部分社会公众股份方案的公告》（公告编号： </w:t>
      </w:r>
      <w:r>
        <w:rPr>
          <w:color w:val="000000"/>
          <w:spacing w:val="0"/>
          <w:w w:val="100"/>
          <w:position w:val="0"/>
          <w:sz w:val="18"/>
          <w:szCs w:val="18"/>
        </w:rPr>
        <w:t>2021-006）</w:t>
      </w:r>
      <w:r>
        <w:rPr>
          <w:color w:val="000000"/>
          <w:spacing w:val="0"/>
          <w:w w:val="100"/>
          <w:position w:val="0"/>
        </w:rPr>
        <w:t>、《关于回购部分社会公众股份的报告书》（公告编号：</w:t>
      </w:r>
      <w:r>
        <w:rPr>
          <w:color w:val="000000"/>
          <w:spacing w:val="0"/>
          <w:w w:val="100"/>
          <w:position w:val="0"/>
          <w:sz w:val="18"/>
          <w:szCs w:val="18"/>
        </w:rPr>
        <w:t>2021-016）</w:t>
      </w:r>
      <w:r>
        <w:rPr>
          <w:color w:val="000000"/>
          <w:spacing w:val="0"/>
          <w:w w:val="100"/>
          <w:position w:val="0"/>
        </w:rPr>
        <w:t>。</w:t>
      </w:r>
    </w:p>
    <w:p>
      <w:pPr>
        <w:pStyle w:val="Style31"/>
        <w:keepNext w:val="0"/>
        <w:keepLines w:val="0"/>
        <w:widowControl w:val="0"/>
        <w:shd w:val="clear" w:color="auto" w:fill="auto"/>
        <w:bidi w:val="0"/>
        <w:spacing w:before="0" w:after="0" w:line="311" w:lineRule="exact"/>
        <w:ind w:left="0" w:right="0" w:firstLine="380"/>
        <w:jc w:val="left"/>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633" w:right="505" w:bottom="1470" w:left="1023" w:header="0" w:footer="3" w:gutter="0"/>
          <w:cols w:space="720"/>
          <w:noEndnote/>
          <w:titlePg/>
          <w:rtlGutter w:val="0"/>
          <w:docGrid w:linePitch="360"/>
        </w:sectP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日，公司通过股份回购专用证券账户以集中竞价交易方式首次回购公司股份。详细内容请见公司于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3 </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月</w:t>
      </w:r>
      <w:r>
        <w:rPr>
          <w:color w:val="000000"/>
          <w:spacing w:val="0"/>
          <w:w w:val="100"/>
          <w:position w:val="0"/>
          <w:sz w:val="18"/>
          <w:szCs w:val="18"/>
        </w:rPr>
        <w:t>8</w:t>
      </w:r>
      <w:r>
        <w:rPr>
          <w:color w:val="000000"/>
          <w:spacing w:val="0"/>
          <w:w w:val="100"/>
          <w:position w:val="0"/>
        </w:rPr>
        <w:t>日在巨潮资讯网</w:t>
      </w:r>
      <w:r>
        <w:rPr>
          <w:color w:val="000000"/>
          <w:spacing w:val="0"/>
          <w:w w:val="100"/>
          <w:position w:val="0"/>
          <w:sz w:val="18"/>
          <w:szCs w:val="18"/>
        </w:rPr>
        <w:t>（www.cninfo.com.cn）</w:t>
      </w:r>
      <w:r>
        <w:rPr>
          <w:color w:val="000000"/>
          <w:spacing w:val="0"/>
          <w:w w:val="100"/>
          <w:position w:val="0"/>
        </w:rPr>
        <w:t>披露的《关于首次回购公司股份的公告》（公告编号：</w:t>
      </w:r>
      <w:r>
        <w:rPr>
          <w:color w:val="000000"/>
          <w:spacing w:val="0"/>
          <w:w w:val="100"/>
          <w:position w:val="0"/>
          <w:sz w:val="18"/>
          <w:szCs w:val="18"/>
        </w:rPr>
        <w:t>2021-017）</w:t>
      </w:r>
      <w:r>
        <w:rPr>
          <w:color w:val="000000"/>
          <w:spacing w:val="0"/>
          <w:w w:val="100"/>
          <w:position w:val="0"/>
        </w:rPr>
        <w:t>。</w:t>
      </w:r>
    </w:p>
    <w:p>
      <w:pPr>
        <w:pStyle w:val="Style31"/>
        <w:keepNext w:val="0"/>
        <w:keepLines w:val="0"/>
        <w:widowControl w:val="0"/>
        <w:shd w:val="clear" w:color="auto" w:fill="auto"/>
        <w:bidi w:val="0"/>
        <w:spacing w:before="0" w:after="0"/>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日，公司通过股份回购证券专用账户以集中竞价交易方式累计回购股份达到公司总股本的</w:t>
      </w:r>
      <w:r>
        <w:rPr>
          <w:color w:val="000000"/>
          <w:spacing w:val="0"/>
          <w:w w:val="100"/>
          <w:position w:val="0"/>
          <w:sz w:val="18"/>
          <w:szCs w:val="18"/>
        </w:rPr>
        <w:t xml:space="preserve">1. </w:t>
      </w:r>
      <w:r>
        <w:rPr>
          <w:color w:val="000000"/>
          <w:spacing w:val="0"/>
          <w:w w:val="100"/>
          <w:position w:val="0"/>
          <w:sz w:val="18"/>
          <w:szCs w:val="18"/>
        </w:rPr>
        <w:t>19%</w:t>
      </w:r>
      <w:r>
        <w:rPr>
          <w:color w:val="000000"/>
          <w:spacing w:val="0"/>
          <w:w w:val="100"/>
          <w:position w:val="0"/>
        </w:rPr>
        <w:t>。详细内容 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日在巨潮资讯网</w:t>
      </w:r>
      <w:r>
        <w:rPr>
          <w:color w:val="000000"/>
          <w:spacing w:val="0"/>
          <w:w w:val="100"/>
          <w:position w:val="0"/>
          <w:sz w:val="18"/>
          <w:szCs w:val="18"/>
        </w:rPr>
        <w:t>（www.cninfo.com.cn）</w:t>
      </w:r>
      <w:r>
        <w:rPr>
          <w:color w:val="000000"/>
          <w:spacing w:val="0"/>
          <w:w w:val="100"/>
          <w:position w:val="0"/>
        </w:rPr>
        <w:t>披露的《关于回购股份比例达到</w:t>
      </w:r>
      <w:r>
        <w:rPr>
          <w:color w:val="000000"/>
          <w:spacing w:val="0"/>
          <w:w w:val="100"/>
          <w:position w:val="0"/>
          <w:sz w:val="18"/>
          <w:szCs w:val="18"/>
        </w:rPr>
        <w:t>1%</w:t>
      </w:r>
      <w:r>
        <w:rPr>
          <w:color w:val="000000"/>
          <w:spacing w:val="0"/>
          <w:w w:val="100"/>
          <w:position w:val="0"/>
        </w:rPr>
        <w:t>暨回购进展公告》（公 告编号：</w:t>
      </w:r>
      <w:r>
        <w:rPr>
          <w:color w:val="000000"/>
          <w:spacing w:val="0"/>
          <w:w w:val="100"/>
          <w:position w:val="0"/>
          <w:sz w:val="18"/>
          <w:szCs w:val="18"/>
        </w:rPr>
        <w:t>2021-019）</w:t>
      </w:r>
      <w:r>
        <w:rPr>
          <w:color w:val="000000"/>
          <w:spacing w:val="0"/>
          <w:w w:val="100"/>
          <w:position w:val="0"/>
        </w:rPr>
        <w:t>。</w:t>
      </w:r>
    </w:p>
    <w:p>
      <w:pPr>
        <w:pStyle w:val="Style31"/>
        <w:keepNext w:val="0"/>
        <w:keepLines w:val="0"/>
        <w:widowControl w:val="0"/>
        <w:shd w:val="clear" w:color="auto" w:fill="auto"/>
        <w:bidi w:val="0"/>
        <w:spacing w:before="0" w:after="340"/>
        <w:ind w:left="0" w:right="0" w:firstLine="38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日，公司已回购股份数量为</w:t>
      </w:r>
      <w:r>
        <w:rPr>
          <w:color w:val="000000"/>
          <w:spacing w:val="0"/>
          <w:w w:val="100"/>
          <w:position w:val="0"/>
          <w:sz w:val="18"/>
          <w:szCs w:val="18"/>
        </w:rPr>
        <w:t>17, 841,035</w:t>
      </w:r>
      <w:r>
        <w:rPr>
          <w:color w:val="000000"/>
          <w:spacing w:val="0"/>
          <w:w w:val="100"/>
          <w:position w:val="0"/>
        </w:rPr>
        <w:t>股，占公司总股本的</w:t>
      </w:r>
      <w:r>
        <w:rPr>
          <w:color w:val="000000"/>
          <w:spacing w:val="0"/>
          <w:w w:val="100"/>
          <w:position w:val="0"/>
          <w:sz w:val="18"/>
          <w:szCs w:val="18"/>
        </w:rPr>
        <w:t>1.72%；</w:t>
      </w:r>
      <w:r>
        <w:rPr>
          <w:color w:val="000000"/>
          <w:spacing w:val="0"/>
          <w:w w:val="100"/>
          <w:position w:val="0"/>
        </w:rPr>
        <w:t>最高成交价为</w:t>
      </w:r>
      <w:r>
        <w:rPr>
          <w:color w:val="000000"/>
          <w:spacing w:val="0"/>
          <w:w w:val="100"/>
          <w:position w:val="0"/>
          <w:sz w:val="18"/>
          <w:szCs w:val="18"/>
        </w:rPr>
        <w:t>7.00</w:t>
      </w:r>
      <w:r>
        <w:rPr>
          <w:color w:val="000000"/>
          <w:spacing w:val="0"/>
          <w:w w:val="100"/>
          <w:position w:val="0"/>
        </w:rPr>
        <w:t>元</w:t>
      </w:r>
      <w:r>
        <w:rPr>
          <w:color w:val="000000"/>
          <w:spacing w:val="0"/>
          <w:w w:val="100"/>
          <w:position w:val="0"/>
          <w:sz w:val="18"/>
          <w:szCs w:val="18"/>
        </w:rPr>
        <w:t>/</w:t>
      </w:r>
      <w:r>
        <w:rPr>
          <w:color w:val="000000"/>
          <w:spacing w:val="0"/>
          <w:w w:val="100"/>
          <w:position w:val="0"/>
        </w:rPr>
        <w:t>股，最低 成交价为</w:t>
      </w:r>
      <w:r>
        <w:rPr>
          <w:color w:val="000000"/>
          <w:spacing w:val="0"/>
          <w:w w:val="100"/>
          <w:position w:val="0"/>
          <w:sz w:val="18"/>
          <w:szCs w:val="18"/>
        </w:rPr>
        <w:t>6.44</w:t>
      </w:r>
      <w:r>
        <w:rPr>
          <w:color w:val="000000"/>
          <w:spacing w:val="0"/>
          <w:w w:val="100"/>
          <w:position w:val="0"/>
        </w:rPr>
        <w:t>元</w:t>
      </w:r>
      <w:r>
        <w:rPr>
          <w:color w:val="000000"/>
          <w:spacing w:val="0"/>
          <w:w w:val="100"/>
          <w:position w:val="0"/>
          <w:sz w:val="18"/>
          <w:szCs w:val="18"/>
        </w:rPr>
        <w:t>/</w:t>
      </w:r>
      <w:r>
        <w:rPr>
          <w:color w:val="000000"/>
          <w:spacing w:val="0"/>
          <w:w w:val="100"/>
          <w:position w:val="0"/>
        </w:rPr>
        <w:t>股，回购股份支付的总金额为</w:t>
      </w:r>
      <w:r>
        <w:rPr>
          <w:color w:val="000000"/>
          <w:spacing w:val="0"/>
          <w:w w:val="100"/>
          <w:position w:val="0"/>
          <w:sz w:val="18"/>
          <w:szCs w:val="18"/>
        </w:rPr>
        <w:t>12,016.78</w:t>
      </w:r>
      <w:r>
        <w:rPr>
          <w:color w:val="000000"/>
          <w:spacing w:val="0"/>
          <w:w w:val="100"/>
          <w:position w:val="0"/>
        </w:rPr>
        <w:t>万元（不含交易费用）。详细内容请见公司于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日在巨 潮资讯网</w:t>
      </w:r>
      <w:r>
        <w:rPr>
          <w:color w:val="000000"/>
          <w:spacing w:val="0"/>
          <w:w w:val="100"/>
          <w:position w:val="0"/>
          <w:sz w:val="18"/>
          <w:szCs w:val="18"/>
        </w:rPr>
        <w:t>（ww.cninfo.com.cn）</w:t>
      </w:r>
      <w:r>
        <w:rPr>
          <w:color w:val="000000"/>
          <w:spacing w:val="0"/>
          <w:w w:val="100"/>
          <w:position w:val="0"/>
        </w:rPr>
        <w:t>披露的《关于回购股份比例达到</w:t>
      </w:r>
      <w:r>
        <w:rPr>
          <w:color w:val="000000"/>
          <w:spacing w:val="0"/>
          <w:w w:val="100"/>
          <w:position w:val="0"/>
          <w:sz w:val="18"/>
          <w:szCs w:val="18"/>
        </w:rPr>
        <w:t>1%</w:t>
      </w:r>
      <w:r>
        <w:rPr>
          <w:color w:val="000000"/>
          <w:spacing w:val="0"/>
          <w:w w:val="100"/>
          <w:position w:val="0"/>
        </w:rPr>
        <w:t>暨回购进展公告》（公告编号：</w:t>
      </w:r>
      <w:r>
        <w:rPr>
          <w:color w:val="000000"/>
          <w:spacing w:val="0"/>
          <w:w w:val="100"/>
          <w:position w:val="0"/>
          <w:sz w:val="18"/>
          <w:szCs w:val="18"/>
        </w:rPr>
        <w:t>2021-021）</w:t>
      </w:r>
      <w:r>
        <w:rPr>
          <w:color w:val="000000"/>
          <w:spacing w:val="0"/>
          <w:w w:val="100"/>
          <w:position w:val="0"/>
        </w:rPr>
        <w:t>。</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40"/>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、限售股份变动情况</w:t>
      </w:r>
      <w:bookmarkEnd w:id="493"/>
      <w:bookmarkEnd w:id="494"/>
      <w:bookmarkEnd w:id="496"/>
    </w:p>
    <w:p>
      <w:pPr>
        <w:pStyle w:val="Style31"/>
        <w:keepNext w:val="0"/>
        <w:keepLines w:val="0"/>
        <w:widowControl w:val="0"/>
        <w:shd w:val="clear" w:color="auto" w:fill="auto"/>
        <w:bidi w:val="0"/>
        <w:spacing w:before="0"/>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 高管限售股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1,624,475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1,364,475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董事高管每年</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按比例解锁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每年年初或按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期解锁</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1,624,475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1,364,475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、证券发行与上市情况</w:t>
      </w:r>
      <w:bookmarkEnd w:id="497"/>
      <w:bookmarkEnd w:id="498"/>
      <w:bookmarkEnd w:id="500"/>
    </w:p>
    <w:p>
      <w:pPr>
        <w:pStyle w:val="Style34"/>
        <w:keepNext/>
        <w:keepLines/>
        <w:widowControl w:val="0"/>
        <w:shd w:val="clear" w:color="auto" w:fill="auto"/>
        <w:tabs>
          <w:tab w:pos="36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报告期内证券发行（不含优先股）情况</w:t>
      </w:r>
      <w:bookmarkEnd w:id="501"/>
      <w:bookmarkEnd w:id="502"/>
      <w:bookmarkEnd w:id="50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公司股份总数及股东结构的变动、公司资产和负债结构的变动情况说明</w:t>
      </w:r>
      <w:bookmarkEnd w:id="505"/>
      <w:bookmarkEnd w:id="506"/>
      <w:bookmarkEnd w:id="508"/>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现存的内部职工股情况</w:t>
      </w:r>
      <w:bookmarkEnd w:id="509"/>
      <w:bookmarkEnd w:id="510"/>
      <w:bookmarkEnd w:id="512"/>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2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、股东和实际控制人情况</w:t>
      </w:r>
      <w:bookmarkEnd w:id="513"/>
      <w:bookmarkEnd w:id="514"/>
      <w:bookmarkEnd w:id="516"/>
    </w:p>
    <w:p>
      <w:pPr>
        <w:pStyle w:val="Style34"/>
        <w:keepNext/>
        <w:keepLines/>
        <w:widowControl w:val="0"/>
        <w:shd w:val="clear" w:color="auto" w:fill="auto"/>
        <w:bidi w:val="0"/>
        <w:spacing w:before="0" w:after="36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、公司股东数量及持股情况</w:t>
      </w:r>
      <w:bookmarkEnd w:id="517"/>
      <w:bookmarkEnd w:id="518"/>
      <w:bookmarkEnd w:id="5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93"/>
        <w:gridCol w:w="398"/>
        <w:gridCol w:w="518"/>
        <w:gridCol w:w="480"/>
        <w:gridCol w:w="792"/>
        <w:gridCol w:w="206"/>
        <w:gridCol w:w="912"/>
        <w:gridCol w:w="130"/>
        <w:gridCol w:w="1248"/>
        <w:gridCol w:w="845"/>
        <w:gridCol w:w="509"/>
        <w:gridCol w:w="413"/>
        <w:gridCol w:w="355"/>
        <w:gridCol w:w="538"/>
        <w:gridCol w:w="965"/>
        <w:gridCol w:w="437"/>
      </w:tblGrid>
      <w:tr>
        <w:trPr>
          <w:trHeight w:val="98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93,446</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89,023</w:t>
            </w:r>
          </w:p>
        </w:tc>
        <w:tc>
          <w:tcPr>
            <w:gridSpan w:val="4"/>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报告期末表决权恢复的优先股 股东总数（如有）（参见注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3"/>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年度报告披露日前上 一月末表决权恢复的 优先股股东总数（如 有）（参见注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gridSpan w:val="9"/>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w:t>
            </w:r>
          </w:p>
        </w:tc>
        <w:tc>
          <w:tcPr>
            <w:gridSpan w:val="7"/>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寺股情况</w:t>
            </w:r>
          </w:p>
        </w:tc>
      </w:tr>
      <w:tr>
        <w:trPr>
          <w:trHeight w:val="250" w:hRule="exact"/>
        </w:trPr>
        <w:tc>
          <w:tcPr>
            <w:gridSpan w:val="2"/>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持股比 例</w:t>
            </w:r>
          </w:p>
        </w:tc>
        <w:tc>
          <w:tcPr>
            <w:gridSpan w:val="3"/>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报告期内增 减变动情况</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持有有 限售条 件的股 份数量</w:t>
            </w:r>
          </w:p>
        </w:tc>
        <w:tc>
          <w:tcPr>
            <w:gridSpan w:val="3"/>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持有无限售 条件的股份 数量</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w:t>
            </w:r>
          </w:p>
        </w:tc>
        <w:tc>
          <w:tcPr>
            <w:gridSpan w:val="2"/>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押或冻结情况</w:t>
            </w:r>
          </w:p>
        </w:tc>
      </w:tr>
      <w:tr>
        <w:trPr>
          <w:trHeight w:val="970"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tcBorders>
              <w:top w:val="single" w:sz="4"/>
              <w:left w:val="single" w:sz="4"/>
            </w:tcBorders>
            <w:shd w:val="clear" w:color="auto" w:fill="D4D4D4"/>
            <w:textDirection w:val="tbRlV"/>
            <w:vAlign w:val="top"/>
          </w:tcPr>
          <w:p>
            <w:pPr>
              <w:pStyle w:val="Style84"/>
              <w:keepNext w:val="0"/>
              <w:keepLines w:val="0"/>
              <w:widowControl w:val="0"/>
              <w:shd w:val="clear" w:color="auto" w:fill="auto"/>
              <w:bidi w:val="0"/>
              <w:spacing w:before="16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数量</w:t>
            </w:r>
          </w:p>
        </w:tc>
      </w:tr>
      <w:tr>
        <w:trPr>
          <w:trHeight w:val="49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青岛西海岸新区海洋 控股集团有限公司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258,975,823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258,975,823</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258,975,823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浙江万马智能科技集 团有限公司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境内非国 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119,390,731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-143,751,081</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119,390,731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240" w:firstLine="0"/>
              <w:jc w:val="right"/>
            </w:pPr>
            <w:r>
              <w:rPr>
                <w:rFonts w:ascii="SimSun" w:eastAsia="SimSun" w:hAnsi="SimSun" w:cs="SimSun"/>
                <w:color w:val="000000"/>
                <w:spacing w:val="0"/>
                <w:w w:val="100"/>
                <w:position w:val="0"/>
              </w:rPr>
              <w:t>质 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119,000,000</w:t>
            </w:r>
          </w:p>
        </w:tc>
      </w:tr>
      <w:tr>
        <w:trPr>
          <w:trHeight w:val="49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香港中央结算有限公 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12,101,128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12,101,128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李双喜</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0.33%</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3,418,500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3,418,500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蔡宏毅</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境内自然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0.29%</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招商证券股份有限公 司一平安中证新能源 汽车产业交易型开放 式指数证券投资基金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2,844,900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黄玉霞</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境内自然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2,814,757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2,814,757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苏霞利</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境内自然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2,143,884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陈璟</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境内自然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0.16%</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1,696,108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1,696,108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毕志力</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境内自然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0.15%</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1,589,400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1,589,400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9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90" w:hRule="exact"/>
        </w:trPr>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 弃表决权情况的说明</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50" w:hRule="exact"/>
        </w:trPr>
        <w:tc>
          <w:tcPr>
            <w:gridSpan w:val="16"/>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250" w:hRule="exact"/>
        </w:trPr>
        <w:tc>
          <w:tcPr>
            <w:gridSpan w:val="6"/>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报告期末持有无限售条件 股份数量</w:t>
            </w:r>
          </w:p>
        </w:tc>
        <w:tc>
          <w:tcPr>
            <w:gridSpan w:val="7"/>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250" w:hRule="exact"/>
        </w:trPr>
        <w:tc>
          <w:tcPr>
            <w:gridSpan w:val="6"/>
            <w:vMerge/>
            <w:tcBorders>
              <w:left w:val="single" w:sz="4"/>
            </w:tcBorders>
            <w:shd w:val="clear" w:color="auto" w:fill="D4D4D4"/>
            <w:vAlign w:val="center"/>
          </w:tcPr>
          <w:p>
            <w:pPr/>
          </w:p>
        </w:tc>
        <w:tc>
          <w:tcPr>
            <w:gridSpan w:val="3"/>
            <w:vMerge/>
            <w:tcBorders>
              <w:left w:val="single" w:sz="4"/>
            </w:tcBorders>
            <w:shd w:val="clear" w:color="auto" w:fill="D4D4D4"/>
            <w:vAlign w:val="bottom"/>
          </w:tcPr>
          <w:p>
            <w:pPr/>
          </w:p>
        </w:tc>
        <w:tc>
          <w:tcPr>
            <w:gridSpan w:val="5"/>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数量</w:t>
            </w:r>
          </w:p>
        </w:tc>
      </w:tr>
      <w:tr>
        <w:trPr>
          <w:trHeight w:val="250" w:hRule="exact"/>
        </w:trPr>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258,975,823</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258,975,823</w:t>
            </w:r>
          </w:p>
        </w:tc>
      </w:tr>
      <w:tr>
        <w:trPr>
          <w:trHeight w:val="250" w:hRule="exact"/>
        </w:trPr>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119,390,731</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119,390,731</w:t>
            </w:r>
          </w:p>
        </w:tc>
      </w:tr>
      <w:tr>
        <w:trPr>
          <w:trHeight w:val="250" w:hRule="exact"/>
        </w:trPr>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12,101,128</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12,101,128</w:t>
            </w:r>
          </w:p>
        </w:tc>
      </w:tr>
      <w:tr>
        <w:trPr>
          <w:trHeight w:val="254" w:hRule="exact"/>
        </w:trPr>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李双喜</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3,418,500</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3,418,500</w:t>
            </w:r>
          </w:p>
        </w:tc>
      </w:tr>
      <w:tr>
        <w:trPr>
          <w:trHeight w:val="250" w:hRule="exact"/>
        </w:trPr>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蔡宏毅</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3,000,800</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3,000,800</w:t>
            </w:r>
          </w:p>
        </w:tc>
      </w:tr>
      <w:tr>
        <w:trPr>
          <w:trHeight w:val="490" w:hRule="exact"/>
        </w:trPr>
        <w:tc>
          <w:tcPr>
            <w:gridSpan w:val="6"/>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招商证券股份有限公司一平安中证新能源汽车 产业交易型开放式指数证券投资基金</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2,844,900</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2,844,900</w:t>
            </w:r>
          </w:p>
        </w:tc>
      </w:tr>
    </w:tbl>
    <w:p>
      <w:pPr>
        <w:spacing w:lineRule="exact" w:line="1"/>
        <w:rPr>
          <w:sz w:val="2"/>
          <w:szCs w:val="2"/>
        </w:rPr>
      </w:pPr>
      <w:r>
        <w:br w:type="page"/>
      </w:r>
    </w:p>
    <w:tbl>
      <w:tblPr>
        <w:tblOverlap w:val="never"/>
        <w:jc w:val="center"/>
        <w:tblLayout w:type="fixed"/>
      </w:tblPr>
      <w:tblGrid>
        <w:gridCol w:w="3888"/>
        <w:gridCol w:w="2362"/>
        <w:gridCol w:w="2578"/>
        <w:gridCol w:w="1411"/>
      </w:tblGrid>
      <w:tr>
        <w:trPr>
          <w:trHeight w:val="2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黄玉霞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2,814,757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2,814,757</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苏霞利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2,143,884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2,143,884</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1,696,108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1,696,108</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毕志力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1,589,400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1,589,400</w:t>
            </w:r>
          </w:p>
        </w:tc>
      </w:tr>
      <w:tr>
        <w:trPr>
          <w:trHeight w:val="73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 无限售流通股股东和前</w:t>
            </w:r>
            <w:r>
              <w:rPr>
                <w:color w:val="000000"/>
                <w:spacing w:val="0"/>
                <w:w w:val="100"/>
                <w:position w:val="0"/>
              </w:rPr>
              <w:t>10</w:t>
            </w:r>
            <w:r>
              <w:rPr>
                <w:rFonts w:ascii="SimSun" w:eastAsia="SimSun" w:hAnsi="SimSun" w:cs="SimSun"/>
                <w:color w:val="000000"/>
                <w:spacing w:val="0"/>
                <w:w w:val="100"/>
                <w:position w:val="0"/>
              </w:rPr>
              <w:t>名股东之间关联关系 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504"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名普通股股东参与融资融券业务情况说明 （如有）（参见注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、公司控股股东情况</w:t>
      </w:r>
      <w:bookmarkEnd w:id="521"/>
      <w:bookmarkEnd w:id="522"/>
      <w:bookmarkEnd w:id="52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603"/>
        <w:gridCol w:w="1301"/>
        <w:gridCol w:w="1680"/>
        <w:gridCol w:w="1920"/>
        <w:gridCol w:w="3077"/>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9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浙江万马智能科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张德生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统一社会信用代码：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91330185704312491N</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实业投资；研发、销售：电力设备、 器材，橡塑制品、橡胶及制品、机械 设备、化工产品及原料等。</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119" w:line="1" w:lineRule="exact"/>
      </w:pPr>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75"/>
        <w:gridCol w:w="6706"/>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新控股股东名称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"http://www.cninfo.com.cn/new/disclosure/detail?plate=szse&amp;orgId=9900007107&amp;stockC" </w:instrText>
            </w:r>
            <w:r>
              <w:fldChar w:fldCharType="separate"/>
            </w:r>
            <w:r>
              <w:rPr>
                <w:color w:val="000000"/>
                <w:spacing w:val="0"/>
                <w:w w:val="100"/>
                <w:position w:val="0"/>
              </w:rPr>
              <w:t>http://www.cninfo.com.cn/new/disclosure/detail?plate=szse&amp;orgId=9900007107&amp;stockC</w:t>
            </w:r>
            <w:r>
              <w:fldChar w:fldCharType="end"/>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ode=002276&amp;announcementId=1208697182&amp;announcementTime=2020-1</w:t>
            </w:r>
            <w:r>
              <w:rPr>
                <w:color w:val="000000"/>
                <w:spacing w:val="0"/>
                <w:w w:val="100"/>
                <w:position w:val="0"/>
              </w:rPr>
              <w:t xml:space="preserve">1 </w:t>
            </w:r>
            <w:r>
              <w:rPr>
                <w:color w:val="000000"/>
                <w:spacing w:val="0"/>
                <w:w w:val="100"/>
                <w:position w:val="0"/>
              </w:rPr>
              <w:t>-05%20</w:t>
            </w:r>
            <w:r>
              <w:rPr>
                <w:color w:val="000000"/>
                <w:spacing w:val="0"/>
                <w:w w:val="100"/>
                <w:position w:val="0"/>
              </w:rPr>
              <w:t>11:39</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指定网站披露日期</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、公司实际控制人及其一致行动人</w:t>
      </w:r>
      <w:bookmarkEnd w:id="525"/>
      <w:bookmarkEnd w:id="526"/>
      <w:bookmarkEnd w:id="52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098"/>
        <w:gridCol w:w="3494"/>
        <w:gridCol w:w="1589"/>
        <w:gridCol w:w="2400"/>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一致行动（含协议、亲属、同一控制）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陆珍玉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一致行动（含协议、亲属、同一控制）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张禾阳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一致行动（含协议、亲属、同一控制）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张德生：</w:t>
            </w:r>
            <w:r>
              <w:rPr>
                <w:color w:val="000000"/>
                <w:spacing w:val="0"/>
                <w:w w:val="100"/>
                <w:position w:val="0"/>
              </w:rPr>
              <w:t>1974</w:t>
            </w:r>
            <w:r>
              <w:rPr>
                <w:rFonts w:ascii="SimSun" w:eastAsia="SimSun" w:hAnsi="SimSun" w:cs="SimSun"/>
                <w:color w:val="000000"/>
                <w:spacing w:val="0"/>
                <w:w w:val="100"/>
                <w:position w:val="0"/>
              </w:rPr>
              <w:t xml:space="preserve">年起历任临天乡农机厂副厂长、临天乡标牌厂副厂长、临天乡供销社公司经理； </w:t>
            </w:r>
            <w:r>
              <w:rPr>
                <w:color w:val="000000"/>
                <w:spacing w:val="0"/>
                <w:w w:val="100"/>
                <w:position w:val="0"/>
              </w:rPr>
              <w:t>1989</w:t>
            </w:r>
            <w:r>
              <w:rPr>
                <w:rFonts w:ascii="SimSun" w:eastAsia="SimSun" w:hAnsi="SimSun" w:cs="SimSun"/>
                <w:color w:val="000000"/>
                <w:spacing w:val="0"/>
                <w:w w:val="100"/>
                <w:position w:val="0"/>
              </w:rPr>
              <w:t>年起创业，逐步发展壮大。最近</w:t>
            </w:r>
            <w:r>
              <w:rPr>
                <w:color w:val="000000"/>
                <w:spacing w:val="0"/>
                <w:w w:val="100"/>
                <w:position w:val="0"/>
              </w:rPr>
              <w:t>5</w:t>
            </w:r>
            <w:r>
              <w:rPr>
                <w:rFonts w:ascii="SimSun" w:eastAsia="SimSun" w:hAnsi="SimSun" w:cs="SimSun"/>
                <w:color w:val="000000"/>
                <w:spacing w:val="0"/>
                <w:w w:val="100"/>
                <w:position w:val="0"/>
              </w:rPr>
              <w:t>年内一直担任万马联合控股集团有限公司董事长。</w:t>
            </w:r>
          </w:p>
        </w:tc>
      </w:tr>
      <w:tr>
        <w:trPr>
          <w:trHeight w:val="638"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外上市公司情况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张德生先生直接持有万马科技（</w:t>
            </w:r>
            <w:r>
              <w:rPr>
                <w:color w:val="000000"/>
                <w:spacing w:val="0"/>
                <w:w w:val="100"/>
                <w:position w:val="0"/>
              </w:rPr>
              <w:t>300698</w:t>
            </w:r>
            <w:r>
              <w:rPr>
                <w:rFonts w:ascii="SimSun" w:eastAsia="SimSun" w:hAnsi="SimSun" w:cs="SimSun"/>
                <w:color w:val="000000"/>
                <w:spacing w:val="0"/>
                <w:w w:val="100"/>
                <w:position w:val="0"/>
              </w:rPr>
              <w:t xml:space="preserve">） </w:t>
            </w:r>
            <w:r>
              <w:rPr>
                <w:color w:val="000000"/>
                <w:spacing w:val="0"/>
                <w:w w:val="100"/>
                <w:position w:val="0"/>
              </w:rPr>
              <w:t>30.75%</w:t>
            </w:r>
            <w:r>
              <w:rPr>
                <w:rFonts w:ascii="SimSun" w:eastAsia="SimSun" w:hAnsi="SimSun" w:cs="SimSun"/>
                <w:color w:val="000000"/>
                <w:spacing w:val="0"/>
                <w:w w:val="100"/>
                <w:position w:val="0"/>
              </w:rPr>
              <w:t>的股份，为万马科技控股股东、实际控制人。</w:t>
            </w:r>
          </w:p>
        </w:tc>
      </w:tr>
    </w:tbl>
    <w:p>
      <w:pPr>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633" w:right="505" w:bottom="1470" w:left="1023" w:header="0" w:footer="3" w:gutter="0"/>
          <w:cols w:space="720"/>
          <w:noEndnote/>
          <w:titlePg/>
          <w:rtlGutter w:val="0"/>
          <w:docGrid w:linePitch="360"/>
        </w:sectPr>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67"/>
        <w:gridCol w:w="7409"/>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青岛西海岸新区国有资产管理局</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r>
        <w:trPr>
          <w:trHeight w:val="71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fldChar w:fldCharType="begin"/>
            </w:r>
            <w:r>
              <w:rPr/>
              <w:instrText> HYPERLINK "http://www.cninfb.com.cn/new/disclosure/detail?plate=szse&amp;orgId=9900007107&amp;stockCode=0022" </w:instrText>
            </w:r>
            <w:r>
              <w:fldChar w:fldCharType="separate"/>
            </w:r>
            <w:r>
              <w:rPr>
                <w:color w:val="000000"/>
                <w:spacing w:val="0"/>
                <w:w w:val="100"/>
                <w:position w:val="0"/>
              </w:rPr>
              <w:t>http://www.cninfb.com.cn/new/disclosure/detail?plate=szse&amp;orgId=9900007107&amp;stockCode=0022</w:t>
            </w:r>
            <w:r>
              <w:fldChar w:fldCharType="end"/>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76&amp;announcementId=1208697182&amp;announcementTime=2020-11-05%2011:39</w:t>
            </w:r>
          </w:p>
        </w:tc>
      </w:tr>
      <w:tr>
        <w:trPr>
          <w:trHeight w:val="410"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359" w:line="1" w:lineRule="exact"/>
      </w:pPr>
    </w:p>
    <w:p>
      <w:pPr>
        <w:widowControl w:val="0"/>
        <w:jc w:val="center"/>
        <w:rPr>
          <w:sz w:val="2"/>
          <w:szCs w:val="2"/>
        </w:rPr>
      </w:pPr>
      <w:r>
        <w:drawing>
          <wp:inline>
            <wp:extent cx="3688080" cy="1987550"/>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01"/>
                    <a:stretch/>
                  </pic:blipFill>
                  <pic:spPr>
                    <a:xfrm>
                      <a:ext cx="3688080" cy="1987550"/>
                    </a:xfrm>
                    <a:prstGeom prst="rect"/>
                  </pic:spPr>
                </pic:pic>
              </a:graphicData>
            </a:graphic>
          </wp:inline>
        </w:drawing>
      </w:r>
    </w:p>
    <w:p>
      <w:pPr>
        <w:widowControl w:val="0"/>
        <w:spacing w:after="3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3" w:val="left"/>
        </w:tabs>
        <w:bidi w:val="0"/>
        <w:spacing w:before="0" w:after="36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9"/>
      <w:bookmarkEnd w:id="530"/>
      <w:bookmarkEnd w:id="53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3"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控股股东、实际控制人、重组方及其他承诺主体股份限制减持情况</w:t>
      </w:r>
      <w:bookmarkEnd w:id="533"/>
      <w:bookmarkEnd w:id="534"/>
      <w:bookmarkEnd w:id="536"/>
    </w:p>
    <w:p>
      <w:pPr>
        <w:pStyle w:val="Style31"/>
        <w:keepNext w:val="0"/>
        <w:keepLines w:val="0"/>
        <w:widowControl w:val="0"/>
        <w:shd w:val="clear" w:color="auto" w:fill="auto"/>
        <w:bidi w:val="0"/>
        <w:spacing w:before="0" w:after="360" w:line="240" w:lineRule="auto"/>
        <w:ind w:left="0" w:right="0" w:firstLine="0"/>
        <w:jc w:val="both"/>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633" w:right="505" w:bottom="1470" w:left="1023" w:header="0" w:footer="3" w:gutter="0"/>
          <w:cols w:space="720"/>
          <w:noEndnote/>
          <w:rtlGutter w:val="0"/>
          <w:docGrid w:linePitch="360"/>
        </w:sectPr>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9"/>
        <w:keepNext/>
        <w:keepLines/>
        <w:widowControl w:val="0"/>
        <w:shd w:val="clear" w:color="auto" w:fill="auto"/>
        <w:bidi w:val="0"/>
        <w:spacing w:before="0" w:after="560" w:line="240" w:lineRule="auto"/>
        <w:ind w:left="0" w:right="0" w:firstLine="0"/>
        <w:jc w:val="center"/>
      </w:pPr>
      <w:bookmarkStart w:id="537" w:name="bookmark537"/>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bookmarkEnd w:id="53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2190" w:right="541" w:bottom="2190" w:left="1106"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540" w:after="540" w:line="240" w:lineRule="auto"/>
        <w:ind w:left="0" w:right="0" w:firstLine="0"/>
        <w:jc w:val="center"/>
      </w:pPr>
      <w:bookmarkStart w:id="541" w:name="bookmark541"/>
      <w:bookmarkStart w:id="542" w:name="bookmark542"/>
      <w:bookmarkStart w:id="543" w:name="bookmark543"/>
      <w:bookmarkStart w:id="544" w:name="bookmark544"/>
      <w:r>
        <w:rPr>
          <w:color w:val="000000"/>
          <w:spacing w:val="0"/>
          <w:w w:val="100"/>
          <w:position w:val="0"/>
        </w:rPr>
        <w:t>第八节可转换公司债券相关情况</w:t>
      </w:r>
      <w:bookmarkEnd w:id="542"/>
      <w:bookmarkEnd w:id="543"/>
      <w:bookmarkEnd w:id="544"/>
      <w:bookmarkEnd w:id="54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9"/>
        <w:keepNext/>
        <w:keepLines/>
        <w:widowControl w:val="0"/>
        <w:shd w:val="clear" w:color="auto" w:fill="auto"/>
        <w:bidi w:val="0"/>
        <w:spacing w:before="0" w:after="520" w:line="240" w:lineRule="auto"/>
        <w:ind w:left="1540" w:right="0" w:firstLine="0"/>
        <w:jc w:val="left"/>
      </w:pPr>
      <w:bookmarkStart w:id="545" w:name="bookmark545"/>
      <w:bookmarkStart w:id="546" w:name="bookmark546"/>
      <w:bookmarkStart w:id="547" w:name="bookmark547"/>
      <w:bookmarkStart w:id="548" w:name="bookmark548"/>
      <w:r>
        <w:rPr>
          <w:color w:val="000000"/>
          <w:spacing w:val="0"/>
          <w:w w:val="100"/>
          <w:position w:val="0"/>
        </w:rPr>
        <w:t>第九节董事、监事、高级管理人员和员工情况</w:t>
      </w:r>
      <w:bookmarkEnd w:id="546"/>
      <w:bookmarkEnd w:id="547"/>
      <w:bookmarkEnd w:id="548"/>
      <w:bookmarkEnd w:id="545"/>
    </w:p>
    <w:p>
      <w:pPr>
        <w:pStyle w:val="Style26"/>
        <w:keepNext/>
        <w:keepLines/>
        <w:widowControl w:val="0"/>
        <w:shd w:val="clear" w:color="auto" w:fill="auto"/>
        <w:bidi w:val="0"/>
        <w:spacing w:before="0" w:after="32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、董事、监事和高级管理人员持股变动</w:t>
      </w:r>
      <w:bookmarkEnd w:id="549"/>
      <w:bookmarkEnd w:id="550"/>
      <w:bookmarkEnd w:id="552"/>
    </w:p>
    <w:tbl>
      <w:tblPr>
        <w:tblOverlap w:val="never"/>
        <w:jc w:val="center"/>
        <w:tblLayout w:type="fixed"/>
      </w:tblPr>
      <w:tblGrid>
        <w:gridCol w:w="816"/>
        <w:gridCol w:w="1118"/>
        <w:gridCol w:w="581"/>
        <w:gridCol w:w="370"/>
        <w:gridCol w:w="470"/>
        <w:gridCol w:w="1651"/>
        <w:gridCol w:w="1680"/>
        <w:gridCol w:w="869"/>
        <w:gridCol w:w="389"/>
        <w:gridCol w:w="389"/>
        <w:gridCol w:w="394"/>
        <w:gridCol w:w="864"/>
      </w:tblGrid>
      <w:tr>
        <w:trPr>
          <w:trHeight w:val="266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任职 状态</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性 别</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30" w:lineRule="exact"/>
              <w:ind w:left="140" w:right="0" w:firstLine="20"/>
              <w:jc w:val="left"/>
            </w:pPr>
            <w:r>
              <w:rPr>
                <w:rFonts w:ascii="SimSun" w:eastAsia="SimSun" w:hAnsi="SimSun" w:cs="SimSun"/>
                <w:color w:val="000000"/>
                <w:spacing w:val="0"/>
                <w:w w:val="100"/>
                <w:position w:val="0"/>
              </w:rPr>
              <w:t>年 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exact"/>
              <w:ind w:left="0" w:right="0" w:firstLine="180"/>
              <w:jc w:val="both"/>
            </w:pPr>
            <w:r>
              <w:rPr>
                <w:rFonts w:ascii="SimSun" w:eastAsia="SimSun" w:hAnsi="SimSun" w:cs="SimSun"/>
                <w:color w:val="000000"/>
                <w:spacing w:val="0"/>
                <w:w w:val="100"/>
                <w:position w:val="0"/>
              </w:rPr>
              <w:t>（ 股 ）</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exact"/>
              <w:ind w:left="0" w:right="0" w:firstLine="180"/>
              <w:jc w:val="left"/>
            </w:pPr>
            <w:r>
              <w:rPr>
                <w:rFonts w:ascii="SimSun" w:eastAsia="SimSun" w:hAnsi="SimSun" w:cs="SimSun"/>
                <w:color w:val="000000"/>
                <w:spacing w:val="0"/>
                <w:w w:val="100"/>
                <w:position w:val="0"/>
              </w:rPr>
              <w:t>（ 股 ）</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exact"/>
              <w:ind w:left="0" w:right="0" w:firstLine="180"/>
              <w:jc w:val="left"/>
            </w:pPr>
            <w:r>
              <w:rPr>
                <w:rFonts w:ascii="SimSun" w:eastAsia="SimSun" w:hAnsi="SimSun" w:cs="SimSun"/>
                <w:color w:val="000000"/>
                <w:spacing w:val="0"/>
                <w:w w:val="100"/>
                <w:position w:val="0"/>
              </w:rPr>
              <w:t>（ 股 ）</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60" w:line="221" w:lineRule="exact"/>
              <w:ind w:left="0" w:right="0" w:firstLine="0"/>
              <w:jc w:val="center"/>
            </w:pPr>
            <w:r>
              <w:rPr>
                <w:rFonts w:ascii="SimSun" w:eastAsia="SimSun" w:hAnsi="SimSun" w:cs="SimSun"/>
                <w:color w:val="000000"/>
                <w:spacing w:val="0"/>
                <w:w w:val="100"/>
                <w:position w:val="0"/>
              </w:rPr>
              <w:t>期末持 股数</w:t>
            </w:r>
          </w:p>
          <w:p>
            <w:pPr>
              <w:pStyle w:val="Style22"/>
              <w:keepNext w:val="0"/>
              <w:keepLines w:val="0"/>
              <w:widowControl w:val="0"/>
              <w:shd w:val="clear" w:color="auto" w:fill="auto"/>
              <w:bidi w:val="0"/>
              <w:spacing w:before="0" w:after="0" w:line="221" w:lineRule="exact"/>
              <w:ind w:left="0" w:right="0" w:firstLine="140"/>
              <w:jc w:val="left"/>
            </w:pPr>
            <w:r>
              <w:rPr>
                <w:rFonts w:ascii="SimSun" w:eastAsia="SimSun" w:hAnsi="SimSun" w:cs="SimSun"/>
                <w:color w:val="000000"/>
                <w:spacing w:val="0"/>
                <w:w w:val="100"/>
                <w:position w:val="0"/>
              </w:rPr>
              <w:t>（股）</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副董事长、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傅怀全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赵健康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周荣</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董事、副总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董事、副总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李海全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董事、副总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王婵娟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俞哲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孙小红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赵宇恺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副总经理、 董秘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110,000</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张禾阳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25,000</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张丹凤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吕洪仁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杨凯军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张秀倩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285,000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285,000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二</w:t>
      </w:r>
      <w:bookmarkEnd w:id="555"/>
      <w:r>
        <w:rPr>
          <w:color w:val="000000"/>
          <w:spacing w:val="0"/>
          <w:w w:val="100"/>
          <w:position w:val="0"/>
          <w:sz w:val="24"/>
          <w:szCs w:val="24"/>
        </w:rPr>
        <w:t>、公司董事、监事、高级管理人员变动情况</w:t>
      </w:r>
      <w:bookmarkEnd w:id="553"/>
      <w:bookmarkEnd w:id="554"/>
      <w:bookmarkEnd w:id="556"/>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4"/>
        <w:gridCol w:w="1493"/>
        <w:gridCol w:w="1277"/>
        <w:gridCol w:w="1968"/>
        <w:gridCol w:w="3614"/>
      </w:tblGrid>
      <w:tr>
        <w:trPr>
          <w:trHeight w:val="34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2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张珊珊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控股权变更，改任副董事长兼总经理</w:t>
            </w:r>
          </w:p>
        </w:tc>
      </w:tr>
    </w:tbl>
    <w:tbl>
      <w:tblPr>
        <w:tblOverlap w:val="never"/>
        <w:jc w:val="center"/>
        <w:tblLayout w:type="fixed"/>
      </w:tblPr>
      <w:tblGrid>
        <w:gridCol w:w="1234"/>
        <w:gridCol w:w="1493"/>
        <w:gridCol w:w="1277"/>
        <w:gridCol w:w="1968"/>
        <w:gridCol w:w="3614"/>
      </w:tblGrid>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张禾阳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张丹凤</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孙小红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控股权变更，仍在公司，不再担任董事</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孙小红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控股权变更，改任副总经理</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吕洪仁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杨凯军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控股权变更，离开公司，仍在股东单位任职</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张秀倩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控股权变更，离开公司，仍在股东单位任职</w:t>
            </w:r>
          </w:p>
        </w:tc>
      </w:tr>
      <w:tr>
        <w:trPr>
          <w:trHeight w:val="33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许刚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解聘</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控股权变更，离开公司</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三</w:t>
      </w:r>
      <w:bookmarkEnd w:id="559"/>
      <w:r>
        <w:rPr>
          <w:color w:val="000000"/>
          <w:spacing w:val="0"/>
          <w:w w:val="100"/>
          <w:position w:val="0"/>
          <w:sz w:val="24"/>
          <w:szCs w:val="24"/>
        </w:rPr>
        <w:t>、任职情况</w:t>
      </w:r>
      <w:bookmarkEnd w:id="557"/>
      <w:bookmarkEnd w:id="558"/>
      <w:bookmarkEnd w:id="560"/>
    </w:p>
    <w:p>
      <w:pPr>
        <w:pStyle w:val="Style38"/>
        <w:keepNext w:val="0"/>
        <w:keepLines w:val="0"/>
        <w:widowControl w:val="0"/>
        <w:shd w:val="clear" w:color="auto" w:fill="auto"/>
        <w:bidi w:val="0"/>
        <w:spacing w:before="0" w:line="313" w:lineRule="exact"/>
        <w:ind w:left="0" w:right="0" w:firstLine="440"/>
        <w:jc w:val="left"/>
      </w:pPr>
      <w:r>
        <w:rPr>
          <w:color w:val="000000"/>
          <w:spacing w:val="0"/>
          <w:w w:val="100"/>
          <w:position w:val="0"/>
        </w:rPr>
        <w:t>公司现任董事、监事、高级管理人员专业背景、主要工作经历以及目前在公司的主要职责</w:t>
      </w:r>
    </w:p>
    <w:p>
      <w:pPr>
        <w:pStyle w:val="Style38"/>
        <w:keepNext w:val="0"/>
        <w:keepLines w:val="0"/>
        <w:widowControl w:val="0"/>
        <w:shd w:val="clear" w:color="auto" w:fill="auto"/>
        <w:bidi w:val="0"/>
        <w:spacing w:before="0" w:line="313" w:lineRule="exact"/>
        <w:ind w:left="0" w:right="0" w:firstLine="440"/>
        <w:jc w:val="both"/>
      </w:pPr>
      <w:r>
        <w:rPr>
          <w:b/>
          <w:bCs/>
          <w:color w:val="000000"/>
          <w:spacing w:val="0"/>
          <w:w w:val="100"/>
          <w:position w:val="0"/>
        </w:rPr>
        <w:t>（_）董事</w:t>
      </w:r>
    </w:p>
    <w:p>
      <w:pPr>
        <w:pStyle w:val="Style38"/>
        <w:keepNext w:val="0"/>
        <w:keepLines w:val="0"/>
        <w:widowControl w:val="0"/>
        <w:shd w:val="clear" w:color="auto" w:fill="auto"/>
        <w:bidi w:val="0"/>
        <w:spacing w:before="0" w:line="312" w:lineRule="exact"/>
        <w:ind w:left="0" w:right="0" w:firstLine="440"/>
        <w:jc w:val="both"/>
      </w:pPr>
      <w:r>
        <w:rPr>
          <w:b/>
          <w:bCs/>
          <w:color w:val="000000"/>
          <w:spacing w:val="0"/>
          <w:w w:val="100"/>
          <w:position w:val="0"/>
        </w:rPr>
        <w:t>孟宪洪先生：</w:t>
      </w:r>
      <w:r>
        <w:rPr>
          <w:color w:val="000000"/>
          <w:spacing w:val="0"/>
          <w:w w:val="100"/>
          <w:position w:val="0"/>
        </w:rPr>
        <w:t>1963年出生，中国国籍，无境外永久居留权，浙江大学工程硕士学位。1986年7月至 1995年7月，担任青岛冶金矿山职工大学教师；1995年7月至1997年1月，担任青岛崂山区城市管理局 科员；1997年1月至1999年3月，任职于青岛开发区自来水总公司，曾任总经理助理、副总经理；1999 年3月至2002年1月，担任青岛开发区（黄岛区）建设环保局公用事业处副处长；2002年1月至2007年 7月，担任黄岛开发区（黄岛区）城市建设局，曾任城建管理处负责人、城建管理处（建筑施工安全监督 处）处长；2007年7月至2012年4月，担任黄岛区长江路街道办事处副主任；2012年4月至2012年8 月，担任黄岛区中德生态园联合发展有限公司总经理；2012年8月至2018年9月，担任青岛海西城市投 资有限公司总经理；2018年9月至2019年8月，担任青岛黄发集团有限公司总经理；2019年8月至今， 担任青岛西海岸新区海洋控股集团有限公司董事兼总经理；2020年12月至今，兼任本公司董事长。</w:t>
      </w:r>
    </w:p>
    <w:p>
      <w:pPr>
        <w:pStyle w:val="Style38"/>
        <w:keepNext w:val="0"/>
        <w:keepLines w:val="0"/>
        <w:widowControl w:val="0"/>
        <w:shd w:val="clear" w:color="auto" w:fill="auto"/>
        <w:bidi w:val="0"/>
        <w:spacing w:before="0" w:line="316" w:lineRule="exact"/>
        <w:ind w:left="0" w:right="0" w:firstLine="440"/>
        <w:jc w:val="both"/>
      </w:pPr>
      <w:r>
        <w:rPr>
          <w:b/>
          <w:bCs/>
          <w:color w:val="000000"/>
          <w:spacing w:val="0"/>
          <w:w w:val="100"/>
          <w:position w:val="0"/>
        </w:rPr>
        <w:t xml:space="preserve">张珊珊女士： </w:t>
      </w:r>
      <w:r>
        <w:rPr>
          <w:color w:val="000000"/>
          <w:spacing w:val="0"/>
          <w:w w:val="100"/>
          <w:position w:val="0"/>
        </w:rPr>
        <w:t>1978年出生，中国国籍，无境外永久居留权，本科学历。2003年2月至2007年7月任 浙江万马房地产集团有限公司成本控制中心主任；2007年7月至今，历任万马联合控股集团有限公司投资 总监、副总裁，2019年10月至2020年12月2日，任本公司董事长，现任万马联合控股集团有限公司董 事兼总经理、浙江万马智能科技集团有限公司董事、万马科技股份有限公司董事；2020年12月至今，任 本公司副董事长、总经理。</w:t>
      </w:r>
    </w:p>
    <w:p>
      <w:pPr>
        <w:pStyle w:val="Style38"/>
        <w:keepNext w:val="0"/>
        <w:keepLines w:val="0"/>
        <w:widowControl w:val="0"/>
        <w:shd w:val="clear" w:color="auto" w:fill="auto"/>
        <w:bidi w:val="0"/>
        <w:spacing w:before="0" w:line="313" w:lineRule="exact"/>
        <w:ind w:left="0" w:right="0" w:firstLine="440"/>
        <w:jc w:val="both"/>
      </w:pPr>
      <w:r>
        <w:rPr>
          <w:b/>
          <w:bCs/>
          <w:color w:val="000000"/>
          <w:spacing w:val="0"/>
          <w:w w:val="100"/>
          <w:position w:val="0"/>
        </w:rPr>
        <w:t>傅怀全先生：</w:t>
      </w:r>
      <w:r>
        <w:rPr>
          <w:color w:val="000000"/>
          <w:spacing w:val="0"/>
          <w:w w:val="100"/>
          <w:position w:val="0"/>
        </w:rPr>
        <w:t>1968年出生，中国国籍，无境外永久居留权，本科毕业于南京审计大学会计专业、东南 大学</w:t>
      </w:r>
      <w:r>
        <w:rPr>
          <w:color w:val="000000"/>
          <w:spacing w:val="0"/>
          <w:w w:val="100"/>
          <w:position w:val="0"/>
        </w:rPr>
        <w:t>EMBA、</w:t>
      </w:r>
      <w:r>
        <w:rPr>
          <w:color w:val="000000"/>
          <w:spacing w:val="0"/>
          <w:w w:val="100"/>
          <w:position w:val="0"/>
        </w:rPr>
        <w:t>注册会计师、高级会计师。1989年至1997年，任职于连云港（正德）面粉厂有限公司，曾任财 务部部长；1997年至2001年，任职于连云港华瑞会计师事务所，曾任所长；2001年至2003年，任职于 艾欧史密斯（中国）热水器有限公司，曾任审计经理；2003年至2007年，任职于苏宁电器集团公司，曾任 审计总监；2007年至2013年，任职于协鑫（集团）控股有限公司，曾任审计总监；2013年至2019年，任 职于海亮集团，曾任董事局董事、集团副总裁、海亮股份监事会主席；2019年至今，担任浙江天泽企业管 理咨询有限公司董事长、浙江省内审协会上市公司分会会长、中国内审协会理事；2020年12月至今，兼 任本公司独立董事。</w:t>
      </w:r>
    </w:p>
    <w:p>
      <w:pPr>
        <w:pStyle w:val="Style38"/>
        <w:keepNext w:val="0"/>
        <w:keepLines w:val="0"/>
        <w:widowControl w:val="0"/>
        <w:shd w:val="clear" w:color="auto" w:fill="auto"/>
        <w:bidi w:val="0"/>
        <w:spacing w:before="0" w:line="314" w:lineRule="exact"/>
        <w:ind w:left="0" w:right="0" w:firstLine="440"/>
        <w:jc w:val="both"/>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642" w:right="541" w:bottom="1455" w:left="1106" w:header="0" w:footer="3" w:gutter="0"/>
          <w:cols w:space="720"/>
          <w:noEndnote/>
          <w:rtlGutter w:val="0"/>
          <w:docGrid w:linePitch="360"/>
        </w:sectPr>
      </w:pPr>
      <w:r>
        <w:rPr>
          <w:b/>
          <w:bCs/>
          <w:color w:val="000000"/>
          <w:spacing w:val="0"/>
          <w:w w:val="100"/>
          <w:position w:val="0"/>
        </w:rPr>
        <w:t>赵健康先生：</w:t>
      </w:r>
      <w:r>
        <w:rPr>
          <w:color w:val="000000"/>
          <w:spacing w:val="0"/>
          <w:w w:val="100"/>
          <w:position w:val="0"/>
        </w:rPr>
        <w:t>1963年出生，中国国籍，无境外永久居留权，西安交通大学电气绝缘技术专业学士，武 汉大学高电压与绝缘博士研究生，历任武汉高压研究院-高级工程师、国网电力科学研究院-教授级高工， 曾主持重大科研项目，获得国家科技进步二等奖、北京、江苏、湖北等科技进步奖。现任中国电力科学研 究院有限公司首席技术专家、教授级高工，一直从事电缆运行技术研究工作；兼任长缆电工科技股份有限 公司独立董事，本公司独立董事。</w:t>
      </w:r>
    </w:p>
    <w:p>
      <w:pPr>
        <w:pStyle w:val="Style38"/>
        <w:keepNext w:val="0"/>
        <w:keepLines w:val="0"/>
        <w:widowControl w:val="0"/>
        <w:shd w:val="clear" w:color="auto" w:fill="auto"/>
        <w:bidi w:val="0"/>
        <w:spacing w:before="0" w:after="160" w:line="312" w:lineRule="exact"/>
        <w:ind w:left="0" w:right="0" w:firstLine="440"/>
        <w:jc w:val="both"/>
      </w:pPr>
      <w:r>
        <w:rPr>
          <w:b/>
          <w:bCs/>
          <w:color w:val="000000"/>
          <w:spacing w:val="0"/>
          <w:w w:val="100"/>
          <w:position w:val="0"/>
        </w:rPr>
        <w:t>周荣先生：</w:t>
      </w:r>
      <w:r>
        <w:rPr>
          <w:color w:val="000000"/>
          <w:spacing w:val="0"/>
          <w:w w:val="100"/>
          <w:position w:val="0"/>
        </w:rPr>
        <w:t>1959年出生，中国国籍，无境外永久居留权，研究员级高级工程师，中国汽车技术研究中 心资深首席专家，汽车标准化研究所原总工程师，全国汽车标准化技术委员会电动车辆分会秘书长，中国 电工学会电动汽车充换电系统与试验专委会副主任委员，国际标准化组织</w:t>
      </w:r>
      <w:r>
        <w:rPr>
          <w:color w:val="000000"/>
          <w:spacing w:val="0"/>
          <w:w w:val="100"/>
          <w:position w:val="0"/>
        </w:rPr>
        <w:t>ISO</w:t>
      </w:r>
      <w:r>
        <w:rPr>
          <w:color w:val="000000"/>
          <w:spacing w:val="0"/>
          <w:w w:val="100"/>
          <w:position w:val="0"/>
        </w:rPr>
        <w:t>和国际电工组织</w:t>
      </w:r>
      <w:r>
        <w:rPr>
          <w:color w:val="000000"/>
          <w:spacing w:val="0"/>
          <w:w w:val="100"/>
          <w:position w:val="0"/>
        </w:rPr>
        <w:t>IEC</w:t>
      </w:r>
      <w:r>
        <w:rPr>
          <w:color w:val="000000"/>
          <w:spacing w:val="0"/>
          <w:w w:val="100"/>
          <w:position w:val="0"/>
        </w:rPr>
        <w:t>注册专 家，河北工业大学等高校硕士和博士研究生导师。先后主持或独自承担了国家科技部863项目、原机械工 业部、天津市科委和中国汽车技术研究中心的科研项目30项。获中国汽车科技进步奖三等奖2项，天津 市科技进步二等奖1项，中国标准创新贡献奖1项，教育部科技进步奖二等奖1项，获国家发明专利（己 授权）2项，实用新型专利（己授权）7项，主持编写电动汽车国家标准30项，编辑出版专著2本，在核 心科技刊物上发表50多篇论文。2019年荣获国家科技进步二等奖1项。现任广东省佛山佛塑科技集团股 份有限公司（股票代码000973）独立董事，本公司独立董事。</w:t>
      </w:r>
    </w:p>
    <w:p>
      <w:pPr>
        <w:pStyle w:val="Style38"/>
        <w:keepNext w:val="0"/>
        <w:keepLines w:val="0"/>
        <w:widowControl w:val="0"/>
        <w:shd w:val="clear" w:color="auto" w:fill="auto"/>
        <w:bidi w:val="0"/>
        <w:spacing w:before="0" w:after="160" w:line="311" w:lineRule="exact"/>
        <w:ind w:left="0" w:right="0" w:firstLine="440"/>
        <w:jc w:val="both"/>
      </w:pPr>
      <w:r>
        <w:rPr>
          <w:b/>
          <w:bCs/>
          <w:color w:val="000000"/>
          <w:spacing w:val="0"/>
          <w:w w:val="100"/>
          <w:position w:val="0"/>
        </w:rPr>
        <w:t>徐志宾先生：</w:t>
      </w:r>
      <w:r>
        <w:rPr>
          <w:color w:val="000000"/>
          <w:spacing w:val="0"/>
          <w:w w:val="100"/>
          <w:position w:val="0"/>
        </w:rPr>
        <w:t>1974年出生，中国国籍，无境外永久居留权，南开大学国际贸易学硕士学位，中国注册 会计师。1997年7月至2003年6月，任职于青岛市黄岛区财政局，担任科员、局团委书记；2003年6月 至2004年9月，担任青岛市黄岛区委办公室科长；2004年9月至2010年9月，任职于青岛市黄岛发展集 团有限公司，先后担任党组成员、副总经理，党组副书记、总经理；2010年9月至2014年6月，担任青 岛市黄岛区商业总公司党委书记、总经理；2014年6月至2017年4月，担任青岛康大生物科技有限公司 总经理；2017年4月至2019年3月，担任青岛西海岸旅游投资集团有限公司执行董事、总会计师；2019 年4月至今，担任青岛西海岸新区海洋控股集团有限公司副总裁；2020年12月至今，兼任本公司董事。</w:t>
      </w:r>
    </w:p>
    <w:p>
      <w:pPr>
        <w:pStyle w:val="Style38"/>
        <w:keepNext w:val="0"/>
        <w:keepLines w:val="0"/>
        <w:widowControl w:val="0"/>
        <w:shd w:val="clear" w:color="auto" w:fill="auto"/>
        <w:bidi w:val="0"/>
        <w:spacing w:before="0" w:after="160" w:line="310" w:lineRule="exact"/>
        <w:ind w:left="0" w:right="0" w:firstLine="440"/>
        <w:jc w:val="both"/>
      </w:pPr>
      <w:r>
        <w:rPr>
          <w:b/>
          <w:bCs/>
          <w:color w:val="000000"/>
          <w:spacing w:val="0"/>
          <w:w w:val="100"/>
          <w:position w:val="0"/>
        </w:rPr>
        <w:t>李刚先生：</w:t>
      </w:r>
      <w:r>
        <w:rPr>
          <w:color w:val="000000"/>
          <w:spacing w:val="0"/>
          <w:w w:val="100"/>
          <w:position w:val="0"/>
        </w:rPr>
        <w:t>1974年出生，中国国籍，无境外永久居留权，中国海洋大学项目管理领域工程硕士学位。 1997年7月至2008年9月，担任经济日报《中国企业家》杂志社青岛办事处主任；2008年9月至2014 年9月，担任青岛鹰奥置业有限公司总经理一职；2014年9月至2020年7月，担任特来电新能源股份有 限公司副总裁。2020年12月至今，任本公司董事、副总经理。</w:t>
      </w:r>
    </w:p>
    <w:p>
      <w:pPr>
        <w:pStyle w:val="Style38"/>
        <w:keepNext w:val="0"/>
        <w:keepLines w:val="0"/>
        <w:widowControl w:val="0"/>
        <w:shd w:val="clear" w:color="auto" w:fill="auto"/>
        <w:bidi w:val="0"/>
        <w:spacing w:before="0" w:after="160" w:line="314" w:lineRule="exact"/>
        <w:ind w:left="0" w:right="0" w:firstLine="440"/>
        <w:jc w:val="both"/>
      </w:pPr>
      <w:r>
        <w:rPr>
          <w:b/>
          <w:bCs/>
          <w:color w:val="000000"/>
          <w:spacing w:val="0"/>
          <w:w w:val="100"/>
          <w:position w:val="0"/>
        </w:rPr>
        <w:t xml:space="preserve">徐兰芝女士： </w:t>
      </w:r>
      <w:r>
        <w:rPr>
          <w:color w:val="000000"/>
          <w:spacing w:val="0"/>
          <w:w w:val="100"/>
          <w:position w:val="0"/>
        </w:rPr>
        <w:t>1977年出生，中国国籍，无境外永久居留权，本科学历。2000年7月至2001年6月任 地税培训中心任培训教师，2001年7月至2018年9月历任莱茵达集团行政助理、总经理助理、项目总经 理、莱骏置业副总、莱茵体育副总裁兼财务总监、莱茵达控股集团副总裁等，2018年10月至2020年12 月任万马联合控股集团有限公司副总裁。2020年12月至今，任本公司董事、副总经理。</w:t>
      </w:r>
    </w:p>
    <w:p>
      <w:pPr>
        <w:pStyle w:val="Style38"/>
        <w:keepNext w:val="0"/>
        <w:keepLines w:val="0"/>
        <w:widowControl w:val="0"/>
        <w:shd w:val="clear" w:color="auto" w:fill="auto"/>
        <w:bidi w:val="0"/>
        <w:spacing w:before="0" w:after="160" w:line="311" w:lineRule="exact"/>
        <w:ind w:left="0" w:right="0" w:firstLine="440"/>
        <w:jc w:val="both"/>
      </w:pPr>
      <w:r>
        <w:rPr>
          <w:b/>
          <w:bCs/>
          <w:color w:val="000000"/>
          <w:spacing w:val="0"/>
          <w:w w:val="100"/>
          <w:position w:val="0"/>
        </w:rPr>
        <w:t>李海全先生：</w:t>
      </w:r>
      <w:r>
        <w:rPr>
          <w:color w:val="000000"/>
          <w:spacing w:val="0"/>
          <w:w w:val="100"/>
          <w:position w:val="0"/>
        </w:rPr>
        <w:t>1973年出生，中国国籍，无境外永久居留权，本科毕业于哈尔滨理工大学电气绝缘材料 专业，南京邮电大学通信工程硕士，复旦大学高级工商管理</w:t>
      </w:r>
      <w:r>
        <w:rPr>
          <w:color w:val="000000"/>
          <w:spacing w:val="0"/>
          <w:w w:val="100"/>
          <w:position w:val="0"/>
        </w:rPr>
        <w:t>（EMBA）</w:t>
      </w:r>
      <w:r>
        <w:rPr>
          <w:color w:val="000000"/>
          <w:spacing w:val="0"/>
          <w:w w:val="100"/>
          <w:position w:val="0"/>
        </w:rPr>
        <w:t>硕士学位，高级经济师。1997年9月 至2000年6月，任职于无锡电缆厂，担任技术部研发工程师；2000年6月至2006年9月，任职于中天日 立光缆有限公司，历任全质办经理、常务副总经理、总经理；2006年9月至2013年2月任职于江苏中天 科技股份有限公司，担任副总经理，先后兼任电网事业部总经理、中天科技装备电缆有限公司总经理；2013 年3月至2015年8月，任职于上海电缆研究所，担任上海特缆电工科技有限公司总经理；2015年9月至 2016年8月，任职于江苏中超控股股份有限公司，担任总经济师；2016年9月至2019年3月，任职于上 海华普电缆有限公司，担任总经理；2019年4月至2020年10月，任职于上海摩恩电气股份有限公司，担 任执行总裁。2020年12月至今，任本公司董事、副总经理。</w:t>
      </w:r>
    </w:p>
    <w:p>
      <w:pPr>
        <w:pStyle w:val="Style38"/>
        <w:keepNext w:val="0"/>
        <w:keepLines w:val="0"/>
        <w:widowControl w:val="0"/>
        <w:shd w:val="clear" w:color="auto" w:fill="auto"/>
        <w:bidi w:val="0"/>
        <w:spacing w:before="0" w:after="160" w:line="311" w:lineRule="exact"/>
        <w:ind w:left="0" w:right="0" w:firstLine="540"/>
        <w:jc w:val="both"/>
      </w:pPr>
      <w:r>
        <w:rPr>
          <w:b/>
          <w:bCs/>
          <w:color w:val="000000"/>
          <w:spacing w:val="0"/>
          <w:w w:val="100"/>
          <w:position w:val="0"/>
        </w:rPr>
        <w:t>（二）监事</w:t>
      </w:r>
    </w:p>
    <w:p>
      <w:pPr>
        <w:pStyle w:val="Style38"/>
        <w:keepNext w:val="0"/>
        <w:keepLines w:val="0"/>
        <w:widowControl w:val="0"/>
        <w:shd w:val="clear" w:color="auto" w:fill="auto"/>
        <w:bidi w:val="0"/>
        <w:spacing w:before="0" w:after="160" w:line="312" w:lineRule="exact"/>
        <w:ind w:left="0" w:right="0" w:firstLine="440"/>
        <w:jc w:val="both"/>
      </w:pPr>
      <w:r>
        <w:rPr>
          <w:b/>
          <w:bCs/>
          <w:color w:val="000000"/>
          <w:spacing w:val="0"/>
          <w:w w:val="100"/>
          <w:position w:val="0"/>
        </w:rPr>
        <w:t>危洪涛先生：</w:t>
      </w:r>
      <w:r>
        <w:rPr>
          <w:color w:val="000000"/>
          <w:spacing w:val="0"/>
          <w:w w:val="100"/>
          <w:position w:val="0"/>
        </w:rPr>
        <w:t>1989年出生，中国国籍，无境外永久居留权，山东大学法律硕士。2013年7月至2015 年2月，任职于上海市锦天城（北京）律师事务所，曾任律师助理、律师；2015年3月至2019年7月， 担任中泰证券股份有限公司投资银行业务委员会高级经理；2019年7月至今，担任青岛西海岸新区海洋控 股集团有限公司投融资中心主任；2020年12月至今，兼任本公司监事会主席。</w:t>
      </w:r>
    </w:p>
    <w:p>
      <w:pPr>
        <w:pStyle w:val="Style38"/>
        <w:keepNext w:val="0"/>
        <w:keepLines w:val="0"/>
        <w:widowControl w:val="0"/>
        <w:shd w:val="clear" w:color="auto" w:fill="auto"/>
        <w:bidi w:val="0"/>
        <w:spacing w:before="0" w:after="160" w:line="307" w:lineRule="exact"/>
        <w:ind w:left="0" w:right="0" w:firstLine="440"/>
        <w:jc w:val="both"/>
      </w:pPr>
      <w:r>
        <w:rPr>
          <w:b/>
          <w:bCs/>
          <w:color w:val="000000"/>
          <w:spacing w:val="0"/>
          <w:w w:val="100"/>
          <w:position w:val="0"/>
        </w:rPr>
        <w:t xml:space="preserve">王婵娟女士： </w:t>
      </w:r>
      <w:r>
        <w:rPr>
          <w:color w:val="000000"/>
          <w:spacing w:val="0"/>
          <w:w w:val="100"/>
          <w:position w:val="0"/>
        </w:rPr>
        <w:t xml:space="preserve">1982年出生，中国国籍，无境外永久居留权，南京大学本科学历。2006年9月至2012 年12月，担任安永华明会计师事务所高级审计专员；2012年12月至2016年7月，担任东亚银行济南分 </w:t>
      </w:r>
      <w:r>
        <w:rPr>
          <w:color w:val="000000"/>
          <w:spacing w:val="0"/>
          <w:w w:val="100"/>
          <w:position w:val="0"/>
        </w:rPr>
        <w:t>行财务经理；2016年7月至2017年11月，担任日日顺物流有限公司财务经理；2019年8月至今，担任 青岛西海岸新区海洋控股集团有限公司投后监管负责人；2020年12月至今，兼任本公司监事。</w:t>
      </w:r>
    </w:p>
    <w:p>
      <w:pPr>
        <w:pStyle w:val="Style38"/>
        <w:keepNext w:val="0"/>
        <w:keepLines w:val="0"/>
        <w:widowControl w:val="0"/>
        <w:shd w:val="clear" w:color="auto" w:fill="auto"/>
        <w:bidi w:val="0"/>
        <w:spacing w:before="0" w:after="160" w:line="310" w:lineRule="exact"/>
        <w:ind w:left="0" w:right="0" w:firstLine="440"/>
        <w:jc w:val="left"/>
      </w:pPr>
      <w:r>
        <w:rPr>
          <w:b/>
          <w:bCs/>
          <w:color w:val="000000"/>
          <w:spacing w:val="0"/>
          <w:w w:val="100"/>
          <w:position w:val="0"/>
        </w:rPr>
        <w:t>俞哲先生：</w:t>
      </w:r>
      <w:r>
        <w:rPr>
          <w:color w:val="000000"/>
          <w:spacing w:val="0"/>
          <w:w w:val="100"/>
          <w:position w:val="0"/>
        </w:rPr>
        <w:t>1975年出生，中国国籍，无境外永久居留权，大专学历。1993年1月至2012年9月，任 万马集团资金部高级经理，2012年10月至2014年3月，任浙江森禾种业股份有限公司财务资金部总经理， 2015年3月至2018年2月，任浙江富来森控股集团有限公司资金管理部总经理，2018年2月至今，任本 公司资金部总经理；2019年10月至今，兼任本公司监事。</w:t>
      </w:r>
    </w:p>
    <w:p>
      <w:pPr>
        <w:pStyle w:val="Style38"/>
        <w:keepNext w:val="0"/>
        <w:keepLines w:val="0"/>
        <w:widowControl w:val="0"/>
        <w:shd w:val="clear" w:color="auto" w:fill="auto"/>
        <w:bidi w:val="0"/>
        <w:spacing w:before="0" w:after="160" w:line="311" w:lineRule="exact"/>
        <w:ind w:left="0" w:right="0" w:firstLine="440"/>
        <w:jc w:val="left"/>
      </w:pPr>
      <w:bookmarkStart w:id="561" w:name="bookmark561"/>
      <w:r>
        <w:rPr>
          <w:b/>
          <w:bCs/>
          <w:color w:val="000000"/>
          <w:spacing w:val="0"/>
          <w:w w:val="100"/>
          <w:position w:val="0"/>
        </w:rPr>
        <w:t>（</w:t>
      </w:r>
      <w:bookmarkEnd w:id="561"/>
      <w:r>
        <w:rPr>
          <w:b/>
          <w:bCs/>
          <w:color w:val="000000"/>
          <w:spacing w:val="0"/>
          <w:w w:val="100"/>
          <w:position w:val="0"/>
        </w:rPr>
        <w:t>三）其他高级管理人员</w:t>
      </w:r>
    </w:p>
    <w:p>
      <w:pPr>
        <w:pStyle w:val="Style38"/>
        <w:keepNext w:val="0"/>
        <w:keepLines w:val="0"/>
        <w:widowControl w:val="0"/>
        <w:shd w:val="clear" w:color="auto" w:fill="auto"/>
        <w:bidi w:val="0"/>
        <w:spacing w:before="0" w:after="160" w:line="312" w:lineRule="exact"/>
        <w:ind w:left="0" w:right="0" w:firstLine="440"/>
        <w:jc w:val="left"/>
      </w:pPr>
      <w:r>
        <w:rPr>
          <w:b/>
          <w:bCs/>
          <w:color w:val="000000"/>
          <w:spacing w:val="0"/>
          <w:w w:val="100"/>
          <w:position w:val="0"/>
        </w:rPr>
        <w:t>孙小红先生：</w:t>
      </w:r>
      <w:r>
        <w:rPr>
          <w:color w:val="000000"/>
          <w:spacing w:val="0"/>
          <w:w w:val="100"/>
          <w:position w:val="0"/>
        </w:rPr>
        <w:t>1974年出生，中国国籍，无境外永久居留权，工商硕士。2001年2月至2018年3月， 就职于欧普照明股份有限公司，先后担任分公司经理、大区营销总监、全国销售总监、运营发展总监、供 应链总监、欧普集成家居有限公司总经理等职务。2018年4月至2020年12月任公司董事、总经理。2020 年12月至今，任本公司副总经理。</w:t>
      </w:r>
    </w:p>
    <w:p>
      <w:pPr>
        <w:pStyle w:val="Style38"/>
        <w:keepNext w:val="0"/>
        <w:keepLines w:val="0"/>
        <w:widowControl w:val="0"/>
        <w:shd w:val="clear" w:color="auto" w:fill="auto"/>
        <w:bidi w:val="0"/>
        <w:spacing w:before="0" w:after="160" w:line="312" w:lineRule="exact"/>
        <w:ind w:left="0" w:right="0" w:firstLine="440"/>
        <w:jc w:val="left"/>
      </w:pPr>
      <w:r>
        <w:rPr>
          <w:b/>
          <w:bCs/>
          <w:color w:val="000000"/>
          <w:spacing w:val="0"/>
          <w:w w:val="100"/>
          <w:position w:val="0"/>
        </w:rPr>
        <w:t xml:space="preserve">赵宇恺女士： </w:t>
      </w:r>
      <w:r>
        <w:rPr>
          <w:color w:val="000000"/>
          <w:spacing w:val="0"/>
          <w:w w:val="100"/>
          <w:position w:val="0"/>
        </w:rPr>
        <w:t>1982年出生，中国国籍，无境外永久居留权，法学硕士。历任上海锦天城律师事务所杭 州分所专职律师、上海圣奥实业（集团）有限公司法务总监、浙江腾飞金鹰律师事务所专职律师、万马联 合控股集团有限公司法务总监、副总裁助理。自2017年9月至今，任本公司副总经理、董事会秘书。</w:t>
      </w:r>
    </w:p>
    <w:p>
      <w:pPr>
        <w:pStyle w:val="Style38"/>
        <w:keepNext w:val="0"/>
        <w:keepLines w:val="0"/>
        <w:widowControl w:val="0"/>
        <w:shd w:val="clear" w:color="auto" w:fill="auto"/>
        <w:bidi w:val="0"/>
        <w:spacing w:before="0" w:after="480" w:line="311" w:lineRule="exact"/>
        <w:ind w:left="0" w:right="0" w:firstLine="440"/>
        <w:jc w:val="left"/>
      </w:pPr>
      <w:r>
        <w:rPr>
          <w:b/>
          <w:bCs/>
          <w:color w:val="000000"/>
          <w:spacing w:val="0"/>
          <w:w w:val="100"/>
          <w:position w:val="0"/>
        </w:rPr>
        <w:t>董杰先生：</w:t>
      </w:r>
      <w:r>
        <w:rPr>
          <w:color w:val="000000"/>
          <w:spacing w:val="0"/>
          <w:w w:val="100"/>
          <w:position w:val="0"/>
        </w:rPr>
        <w:t>1972年出生，中国国籍，无境外永久居留权，硕士研究生、中国注册会计师，2014年4 月至2016年5月担任青岛金王应用化学股份有限公司财务总监，2016年7月至2017年11月先后担任山 东丰元化学股份有限公司内审负责人、副总经理，2017年11月至2021年2月，担任广东红墙新材料股份 有限公司投资总监兼深圳市红墙投资有限公司总经理、并于2019年6月担任广东红墙新材料股份有限公 司财务总监；2021年2月至今，任本公司财务总监。</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60"/>
        <w:gridCol w:w="3682"/>
        <w:gridCol w:w="1598"/>
        <w:gridCol w:w="1661"/>
        <w:gridCol w:w="710"/>
        <w:gridCol w:w="970"/>
      </w:tblGrid>
      <w:tr>
        <w:trPr>
          <w:trHeight w:val="126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在股东单位担任 的职务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任期 终止 日期</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在股东单 位是否领 取报酬津</w:t>
            </w:r>
          </w:p>
          <w:p>
            <w:pPr>
              <w:pStyle w:val="Style22"/>
              <w:keepNext w:val="0"/>
              <w:keepLines w:val="0"/>
              <w:widowControl w:val="0"/>
              <w:shd w:val="clear" w:color="auto" w:fill="auto"/>
              <w:bidi w:val="0"/>
              <w:spacing w:before="0" w:after="0" w:line="319" w:lineRule="exact"/>
              <w:ind w:left="0" w:right="0" w:firstLine="380"/>
              <w:jc w:val="both"/>
            </w:pPr>
            <w:r>
              <w:rPr>
                <w:rFonts w:ascii="SimSun" w:eastAsia="SimSun" w:hAnsi="SimSun" w:cs="SimSun"/>
                <w:color w:val="000000"/>
                <w:spacing w:val="0"/>
                <w:w w:val="100"/>
                <w:position w:val="0"/>
              </w:rPr>
              <w:t>贴</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投融资中心主任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王婵娟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投后监管负责人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15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773"/>
        <w:gridCol w:w="3427"/>
        <w:gridCol w:w="1661"/>
        <w:gridCol w:w="1771"/>
        <w:gridCol w:w="691"/>
        <w:gridCol w:w="1253"/>
      </w:tblGrid>
      <w:tr>
        <w:trPr>
          <w:trHeight w:val="95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在其他单位担任的 职务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 终止 日期</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 是否领取报 酬津贴</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青岛海控商业保理有限公司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执行董事兼经理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青岛海控创新投资促进有限公司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青岛海控桥头堡开发建设有限公司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董事长兼经理</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type w:val="continuous"/>
          <w:pgSz w:w="11900" w:h="16840"/>
          <w:pgMar w:top="1642" w:right="541" w:bottom="1455" w:left="1106" w:header="0" w:footer="3" w:gutter="0"/>
          <w:cols w:space="720"/>
          <w:noEndnote/>
          <w:rtlGutter w:val="0"/>
          <w:docGrid w:linePitch="360"/>
        </w:sectPr>
      </w:pPr>
    </w:p>
    <w:p>
      <w:pPr>
        <w:pStyle w:val="Style87"/>
        <w:keepNext w:val="0"/>
        <w:keepLines w:val="0"/>
        <w:widowControl w:val="0"/>
        <w:shd w:val="clear" w:color="auto" w:fill="auto"/>
        <w:bidi w:val="0"/>
        <w:spacing w:before="0" w:line="240" w:lineRule="auto"/>
        <w:ind w:left="0" w:right="0"/>
        <w:jc w:val="left"/>
      </w:pPr>
      <w:r>
        <w:rPr>
          <w:spacing w:val="0"/>
          <w:w w:val="100"/>
          <w:position w:val="0"/>
        </w:rPr>
        <w:t>ms</w:t>
      </w:r>
    </w:p>
    <w:tbl>
      <w:tblPr>
        <w:tblOverlap w:val="never"/>
        <w:jc w:val="center"/>
        <w:tblLayout w:type="fixed"/>
      </w:tblPr>
      <w:tblGrid>
        <w:gridCol w:w="773"/>
        <w:gridCol w:w="3427"/>
        <w:gridCol w:w="1661"/>
        <w:gridCol w:w="1771"/>
        <w:gridCol w:w="691"/>
        <w:gridCol w:w="1253"/>
      </w:tblGrid>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青岛西海岸新区科技创新投资有限公司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青岛海控海域开发有限公司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青岛海控集团金融控股有限公司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浙江万马房地产集团有限公司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浙江万马家装有限公司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万马融资租赁（上海）有限公司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浙江爱充网络科技有限公司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万马联合新能源投资有限公司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浙江海振市政工程有限公司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浙江万马融创投资有限公司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浙江万马股权投资基金管理有限公司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浙江天屹信息房地产开发有限公司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浙江万马光伏有限公司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万马（浙江）高压材料有限公司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无锡万充新能源科技有限公司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杭州临安万马网络技术有限公司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浙江骏业科创科技有限公司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杭州瑞正科技有限公司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深圳万充新能源科技有限公司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无锡会通轻质材料股份有限公司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北京万京新能源科技有限公司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上海灏竑投资管理有限公司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浙江万马专用线缆科技有限公司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福州万充新能源科技有限公司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赵健康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长缆电工科技股份有限公司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佛山佛塑科技集团股份有限公司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山东海控股权投资基金管理有限公司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三泰环境集团有限公司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广州旅金科技有限公司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青岛海控集团金融控股有限公司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青岛海控创新投资促进有限公司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青岛海控桥头堡开发建设有限公司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青岛鹰奥置业有限公司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临沂公交特来电新能源有限公司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临沂市捷诚机动车检测有限公司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天元（临沂）快速公交建设运营有限公司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567" w:right="541" w:bottom="1167" w:left="1106" w:header="0" w:footer="3" w:gutter="0"/>
          <w:cols w:space="720"/>
          <w:noEndnote/>
          <w:rtlGutter w:val="0"/>
          <w:docGrid w:linePitch="360"/>
        </w:sectPr>
      </w:pPr>
    </w:p>
    <w:tbl>
      <w:tblPr>
        <w:tblOverlap w:val="never"/>
        <w:jc w:val="center"/>
        <w:tblLayout w:type="fixed"/>
      </w:tblPr>
      <w:tblGrid>
        <w:gridCol w:w="773"/>
        <w:gridCol w:w="3427"/>
        <w:gridCol w:w="1661"/>
        <w:gridCol w:w="1771"/>
        <w:gridCol w:w="691"/>
        <w:gridCol w:w="1253"/>
      </w:tblGrid>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临沂市公共交通集团有限公司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小桔特来电（青岛）新能源有限公司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成都双流交投特来电新能源有限公司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泰安市国信特来电新能源有限公司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南通莱茵达置业有限公司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万马（浙江）高压材料有限公司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浙江万马房地产集团有限公司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福州万充新能源科技有限公司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苏州万充新能源科技有限公司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湖州万隆实业有限公司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上海万遥新能源科技有限公司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宁波园企互联医疗发展有限公司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陕西万充新能源科技有限公司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浙江申通万马科技有限公司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杭州瑞正科技有限公司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万马联合新能源投资有限公司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浙江莱茵达新能源集团有限公司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湖州万腾实业有限公司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浙江莱茵达电竞文化发展有限公司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扬州莱茵西湖置业有限公司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无锡会通轻质材料股份有限公司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湖州莱茵达宏业燃气有限公司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中节能（湖州）智能科技发展有限公司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青岛西海岸新区民营企业联合投资集团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青岛海控集团金融控股有限公司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三泰环境集团有限公司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山东海控股权投资基金管理有限公司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青岛海控桥头堡开发建设有限公司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王婵娟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青岛西海岸新区科技创新投资有限公司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王婵娟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三泰环境集团有限公司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赵宇恺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无锡会通轻质材料股份有限公司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赵宇恺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上海灏竑投资管理有限公司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孙小红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孙小红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2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、董事、监事、高级管理人员报酬情况</w:t>
      </w:r>
      <w:bookmarkEnd w:id="562"/>
      <w:bookmarkEnd w:id="563"/>
      <w:bookmarkEnd w:id="565"/>
    </w:p>
    <w:p>
      <w:pPr>
        <w:pStyle w:val="Style31"/>
        <w:keepNext w:val="0"/>
        <w:keepLines w:val="0"/>
        <w:widowControl w:val="0"/>
        <w:numPr>
          <w:ilvl w:val="0"/>
          <w:numId w:val="47"/>
        </w:numPr>
        <w:shd w:val="clear" w:color="auto" w:fill="auto"/>
        <w:tabs>
          <w:tab w:pos="861" w:val="left"/>
        </w:tabs>
        <w:bidi w:val="0"/>
        <w:spacing w:before="0" w:after="0" w:line="322" w:lineRule="exact"/>
        <w:ind w:left="0" w:right="0" w:firstLine="560"/>
        <w:jc w:val="left"/>
      </w:pPr>
      <w:bookmarkStart w:id="566" w:name="bookmark566"/>
      <w:bookmarkEnd w:id="566"/>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1078" w:val="left"/>
        </w:tabs>
        <w:bidi w:val="0"/>
        <w:spacing w:before="0" w:after="0" w:line="322" w:lineRule="exact"/>
        <w:ind w:left="0" w:right="0" w:firstLine="560"/>
        <w:jc w:val="left"/>
      </w:pPr>
      <w:bookmarkStart w:id="567" w:name="bookmark567"/>
      <w:r>
        <w:rPr>
          <w:color w:val="000000"/>
          <w:spacing w:val="0"/>
          <w:w w:val="100"/>
          <w:position w:val="0"/>
          <w:sz w:val="18"/>
          <w:szCs w:val="18"/>
        </w:rPr>
        <w:t>（</w:t>
      </w:r>
      <w:bookmarkEnd w:id="567"/>
      <w:r>
        <w:rPr>
          <w:color w:val="000000"/>
          <w:spacing w:val="0"/>
          <w:w w:val="100"/>
          <w:position w:val="0"/>
          <w:sz w:val="18"/>
          <w:szCs w:val="18"/>
        </w:rPr>
        <w:t>1）</w:t>
        <w:tab/>
      </w:r>
      <w:r>
        <w:rPr>
          <w:color w:val="000000"/>
          <w:spacing w:val="0"/>
          <w:w w:val="100"/>
          <w:position w:val="0"/>
        </w:rPr>
        <w:t>董事、监事、高级管理人员报酬确定依据：在公司任职的董事、监事和高级管理人员按其行政岗位及职务，根 据公司现行的年度考核体系和薪酬制度领取薪酬。未在公司担任行政职务的董事、监事无津贴。</w:t>
      </w:r>
    </w:p>
    <w:p>
      <w:pPr>
        <w:pStyle w:val="Style31"/>
        <w:keepNext w:val="0"/>
        <w:keepLines w:val="0"/>
        <w:widowControl w:val="0"/>
        <w:shd w:val="clear" w:color="auto" w:fill="auto"/>
        <w:tabs>
          <w:tab w:pos="1005" w:val="left"/>
        </w:tabs>
        <w:bidi w:val="0"/>
        <w:spacing w:before="0" w:after="0" w:line="322" w:lineRule="exact"/>
        <w:ind w:left="0" w:right="0" w:firstLine="560"/>
        <w:jc w:val="left"/>
      </w:pPr>
      <w:bookmarkStart w:id="568" w:name="bookmark568"/>
      <w:r>
        <w:rPr>
          <w:color w:val="000000"/>
          <w:spacing w:val="0"/>
          <w:w w:val="100"/>
          <w:position w:val="0"/>
          <w:sz w:val="18"/>
          <w:szCs w:val="18"/>
        </w:rPr>
        <w:t>（</w:t>
      </w:r>
      <w:bookmarkEnd w:id="568"/>
      <w:r>
        <w:rPr>
          <w:color w:val="000000"/>
          <w:spacing w:val="0"/>
          <w:w w:val="100"/>
          <w:position w:val="0"/>
          <w:sz w:val="18"/>
          <w:szCs w:val="18"/>
        </w:rPr>
        <w:t>2）</w:t>
        <w:tab/>
      </w:r>
      <w:r>
        <w:rPr>
          <w:color w:val="000000"/>
          <w:spacing w:val="0"/>
          <w:w w:val="100"/>
          <w:position w:val="0"/>
        </w:rPr>
        <w:t>独立董事报酬确定依据：公司独立董事的薪酬由董事会审议后提交股东大会批准决定，按月支付到个人帐户。</w:t>
      </w:r>
    </w:p>
    <w:p>
      <w:pPr>
        <w:pStyle w:val="Style31"/>
        <w:keepNext w:val="0"/>
        <w:keepLines w:val="0"/>
        <w:widowControl w:val="0"/>
        <w:numPr>
          <w:ilvl w:val="0"/>
          <w:numId w:val="47"/>
        </w:numPr>
        <w:shd w:val="clear" w:color="auto" w:fill="auto"/>
        <w:tabs>
          <w:tab w:pos="880" w:val="left"/>
        </w:tabs>
        <w:bidi w:val="0"/>
        <w:spacing w:before="0" w:after="120" w:line="322" w:lineRule="exact"/>
        <w:ind w:left="0" w:right="0" w:firstLine="560"/>
        <w:jc w:val="left"/>
      </w:pPr>
      <w:bookmarkStart w:id="569" w:name="bookmark569"/>
      <w:bookmarkEnd w:id="569"/>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83"/>
        <w:gridCol w:w="2107"/>
        <w:gridCol w:w="1118"/>
        <w:gridCol w:w="1368"/>
        <w:gridCol w:w="1368"/>
        <w:gridCol w:w="1363"/>
        <w:gridCol w:w="1373"/>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税前报酬总额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是否在公司关 联方获取报酬</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孟宪洪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傅怀全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赵健康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徐志宾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徐兰芝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李海全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危洪涛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王婵娟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俞哲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赵宇恺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孙小红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张禾阳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张丹凤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吕洪仁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杨凯军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张秀倩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1"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343.53</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五</w:t>
      </w:r>
      <w:bookmarkEnd w:id="572"/>
      <w:r>
        <w:rPr>
          <w:color w:val="000000"/>
          <w:spacing w:val="0"/>
          <w:w w:val="100"/>
          <w:position w:val="0"/>
          <w:sz w:val="24"/>
          <w:szCs w:val="24"/>
        </w:rPr>
        <w:t>、公司员工情况</w:t>
      </w:r>
      <w:bookmarkEnd w:id="570"/>
      <w:bookmarkEnd w:id="571"/>
      <w:bookmarkEnd w:id="573"/>
    </w:p>
    <w:p>
      <w:pPr>
        <w:pStyle w:val="Style34"/>
        <w:keepNext/>
        <w:keepLines/>
        <w:widowControl w:val="0"/>
        <w:shd w:val="clear" w:color="auto" w:fill="auto"/>
        <w:bidi w:val="0"/>
        <w:spacing w:before="0" w:after="32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、员工数量、专业构成及教育程度</w:t>
      </w:r>
      <w:bookmarkEnd w:id="574"/>
      <w:bookmarkEnd w:id="575"/>
      <w:bookmarkEnd w:id="577"/>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w:t>
            </w:r>
          </w:p>
        </w:tc>
      </w:tr>
      <w:tr>
        <w:trPr>
          <w:trHeight w:val="322"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w:t>
            </w:r>
          </w:p>
        </w:tc>
      </w:tr>
    </w:tbl>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5,143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4,739</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322" w:hRule="exact"/>
        </w:trPr>
        <w:tc>
          <w:tcPr>
            <w:gridSpan w:val="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2,469</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745</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446</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187</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396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900</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5,143</w:t>
            </w:r>
          </w:p>
        </w:tc>
      </w:tr>
      <w:tr>
        <w:trPr>
          <w:trHeight w:val="322" w:hRule="exact"/>
        </w:trPr>
        <w:tc>
          <w:tcPr>
            <w:gridSpan w:val="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729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934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大专以下学历</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3,426</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5,143</w:t>
            </w:r>
          </w:p>
        </w:tc>
      </w:tr>
    </w:tbl>
    <w:p>
      <w:pPr>
        <w:widowControl w:val="0"/>
        <w:spacing w:after="339" w:line="1" w:lineRule="exact"/>
      </w:pPr>
    </w:p>
    <w:p>
      <w:pPr>
        <w:pStyle w:val="Style34"/>
        <w:keepNext/>
        <w:keepLines/>
        <w:widowControl w:val="0"/>
        <w:shd w:val="clear" w:color="auto" w:fill="auto"/>
        <w:bidi w:val="0"/>
        <w:spacing w:before="0" w:after="300" w:line="240" w:lineRule="auto"/>
        <w:ind w:left="0" w:right="0" w:firstLine="0"/>
        <w:jc w:val="left"/>
        <w:rPr>
          <w:sz w:val="18"/>
          <w:szCs w:val="18"/>
        </w:rPr>
      </w:pPr>
      <w:bookmarkStart w:id="578" w:name="bookmark578"/>
      <w:bookmarkStart w:id="579" w:name="bookmark579"/>
      <w:bookmarkStart w:id="580" w:name="bookmark580"/>
      <w:r>
        <w:rPr>
          <w:color w:val="000000"/>
          <w:spacing w:val="0"/>
          <w:w w:val="100"/>
          <w:position w:val="0"/>
          <w:sz w:val="18"/>
          <w:szCs w:val="18"/>
        </w:rPr>
        <w:t>2</w:t>
      </w:r>
      <w:r>
        <w:rPr>
          <w:color w:val="000000"/>
          <w:spacing w:val="0"/>
          <w:w w:val="100"/>
          <w:position w:val="0"/>
          <w:sz w:val="18"/>
          <w:szCs w:val="18"/>
        </w:rPr>
        <w:t>、薪酬政策</w:t>
      </w:r>
      <w:bookmarkEnd w:id="578"/>
      <w:bookmarkEnd w:id="579"/>
      <w:bookmarkEnd w:id="580"/>
    </w:p>
    <w:p>
      <w:pPr>
        <w:pStyle w:val="Style31"/>
        <w:keepNext w:val="0"/>
        <w:keepLines w:val="0"/>
        <w:widowControl w:val="0"/>
        <w:shd w:val="clear" w:color="auto" w:fill="auto"/>
        <w:tabs>
          <w:tab w:pos="622" w:val="left"/>
        </w:tabs>
        <w:bidi w:val="0"/>
        <w:spacing w:before="0" w:after="0" w:line="315" w:lineRule="exact"/>
        <w:ind w:left="0" w:right="0" w:firstLine="200"/>
        <w:jc w:val="both"/>
      </w:pPr>
      <w:bookmarkStart w:id="581" w:name="bookmark581"/>
      <w:r>
        <w:rPr>
          <w:color w:val="000000"/>
          <w:spacing w:val="0"/>
          <w:w w:val="100"/>
          <w:position w:val="0"/>
          <w:sz w:val="18"/>
          <w:szCs w:val="18"/>
        </w:rPr>
        <w:t>（</w:t>
      </w:r>
      <w:bookmarkEnd w:id="581"/>
      <w:r>
        <w:rPr>
          <w:color w:val="000000"/>
          <w:spacing w:val="0"/>
          <w:w w:val="100"/>
          <w:position w:val="0"/>
          <w:sz w:val="18"/>
          <w:szCs w:val="18"/>
        </w:rPr>
        <w:t>1）</w:t>
        <w:tab/>
      </w:r>
      <w:r>
        <w:rPr>
          <w:color w:val="000000"/>
          <w:spacing w:val="0"/>
          <w:w w:val="100"/>
          <w:position w:val="0"/>
        </w:rPr>
        <w:t>提升公司经营效益，改善员工工作环境，制定合理的薪资体系。</w:t>
      </w:r>
    </w:p>
    <w:p>
      <w:pPr>
        <w:pStyle w:val="Style31"/>
        <w:keepNext w:val="0"/>
        <w:keepLines w:val="0"/>
        <w:widowControl w:val="0"/>
        <w:shd w:val="clear" w:color="auto" w:fill="auto"/>
        <w:tabs>
          <w:tab w:pos="698" w:val="left"/>
        </w:tabs>
        <w:bidi w:val="0"/>
        <w:spacing w:before="0" w:after="0" w:line="322" w:lineRule="exact"/>
        <w:ind w:left="0" w:right="0" w:firstLine="200"/>
        <w:jc w:val="both"/>
      </w:pPr>
      <w:bookmarkStart w:id="582" w:name="bookmark582"/>
      <w:r>
        <w:rPr>
          <w:color w:val="000000"/>
          <w:spacing w:val="0"/>
          <w:w w:val="100"/>
          <w:position w:val="0"/>
          <w:sz w:val="18"/>
          <w:szCs w:val="18"/>
        </w:rPr>
        <w:t>（</w:t>
      </w:r>
      <w:bookmarkEnd w:id="582"/>
      <w:r>
        <w:rPr>
          <w:color w:val="000000"/>
          <w:spacing w:val="0"/>
          <w:w w:val="100"/>
          <w:position w:val="0"/>
          <w:sz w:val="18"/>
          <w:szCs w:val="18"/>
        </w:rPr>
        <w:t>2）</w:t>
        <w:tab/>
      </w:r>
      <w:r>
        <w:rPr>
          <w:color w:val="000000"/>
          <w:spacing w:val="0"/>
          <w:w w:val="100"/>
          <w:position w:val="0"/>
        </w:rPr>
        <w:t>企业提高综合竞争力，是吸引员工的根本。公司全体员工共同努力，各司其职，向市场、向管理要效益，为员工创 造提薪、提升机会、实现员企双赢。</w:t>
      </w:r>
    </w:p>
    <w:p>
      <w:pPr>
        <w:pStyle w:val="Style31"/>
        <w:keepNext w:val="0"/>
        <w:keepLines w:val="0"/>
        <w:widowControl w:val="0"/>
        <w:shd w:val="clear" w:color="auto" w:fill="auto"/>
        <w:tabs>
          <w:tab w:pos="622" w:val="left"/>
        </w:tabs>
        <w:bidi w:val="0"/>
        <w:spacing w:before="0" w:after="0" w:line="322" w:lineRule="exact"/>
        <w:ind w:left="0" w:right="0" w:firstLine="200"/>
        <w:jc w:val="both"/>
      </w:pPr>
      <w:bookmarkStart w:id="583" w:name="bookmark583"/>
      <w:r>
        <w:rPr>
          <w:color w:val="000000"/>
          <w:spacing w:val="0"/>
          <w:w w:val="100"/>
          <w:position w:val="0"/>
          <w:sz w:val="18"/>
          <w:szCs w:val="18"/>
        </w:rPr>
        <w:t>（</w:t>
      </w:r>
      <w:bookmarkEnd w:id="583"/>
      <w:r>
        <w:rPr>
          <w:color w:val="000000"/>
          <w:spacing w:val="0"/>
          <w:w w:val="100"/>
          <w:position w:val="0"/>
          <w:sz w:val="18"/>
          <w:szCs w:val="18"/>
        </w:rPr>
        <w:t>3）</w:t>
        <w:tab/>
      </w:r>
      <w:r>
        <w:rPr>
          <w:color w:val="000000"/>
          <w:spacing w:val="0"/>
          <w:w w:val="100"/>
          <w:position w:val="0"/>
        </w:rPr>
        <w:t>设备更新改造、改善员工工作环境、结合实际生产情况制定合理的工时定额，稳定员工。</w:t>
      </w:r>
    </w:p>
    <w:p>
      <w:pPr>
        <w:pStyle w:val="Style31"/>
        <w:keepNext w:val="0"/>
        <w:keepLines w:val="0"/>
        <w:widowControl w:val="0"/>
        <w:shd w:val="clear" w:color="auto" w:fill="auto"/>
        <w:tabs>
          <w:tab w:pos="684" w:val="left"/>
        </w:tabs>
        <w:bidi w:val="0"/>
        <w:spacing w:before="0" w:after="300" w:line="317" w:lineRule="exact"/>
        <w:ind w:left="0" w:right="0" w:firstLine="200"/>
        <w:jc w:val="both"/>
      </w:pPr>
      <w:bookmarkStart w:id="584" w:name="bookmark584"/>
      <w:r>
        <w:rPr>
          <w:color w:val="000000"/>
          <w:spacing w:val="0"/>
          <w:w w:val="100"/>
          <w:position w:val="0"/>
          <w:sz w:val="18"/>
          <w:szCs w:val="18"/>
        </w:rPr>
        <w:t>（</w:t>
      </w:r>
      <w:bookmarkEnd w:id="584"/>
      <w:r>
        <w:rPr>
          <w:color w:val="000000"/>
          <w:spacing w:val="0"/>
          <w:w w:val="100"/>
          <w:position w:val="0"/>
          <w:sz w:val="18"/>
          <w:szCs w:val="18"/>
        </w:rPr>
        <w:t>4）</w:t>
        <w:tab/>
      </w:r>
      <w:r>
        <w:rPr>
          <w:color w:val="000000"/>
          <w:spacing w:val="0"/>
          <w:w w:val="100"/>
          <w:position w:val="0"/>
        </w:rPr>
        <w:t>建立科学合理的薪酬激励机制，着重体现岗位价值和个人贡献，并鼓励员工长期为企业服务，共同致力于企业的不 断成长和可持续发展，同时共享企业发展所带来的成果。</w:t>
      </w:r>
    </w:p>
    <w:p>
      <w:pPr>
        <w:pStyle w:val="Style34"/>
        <w:keepNext/>
        <w:keepLines/>
        <w:widowControl w:val="0"/>
        <w:shd w:val="clear" w:color="auto" w:fill="auto"/>
        <w:bidi w:val="0"/>
        <w:spacing w:before="0" w:after="300" w:line="315" w:lineRule="exact"/>
        <w:ind w:left="0" w:right="0" w:firstLine="0"/>
        <w:jc w:val="left"/>
        <w:rPr>
          <w:sz w:val="18"/>
          <w:szCs w:val="18"/>
        </w:rPr>
      </w:pPr>
      <w:bookmarkStart w:id="585" w:name="bookmark585"/>
      <w:bookmarkStart w:id="586" w:name="bookmark586"/>
      <w:bookmarkStart w:id="587" w:name="bookmark587"/>
      <w:bookmarkStart w:id="588" w:name="bookmark588"/>
      <w:r>
        <w:rPr>
          <w:color w:val="000000"/>
          <w:spacing w:val="0"/>
          <w:w w:val="100"/>
          <w:position w:val="0"/>
          <w:sz w:val="18"/>
          <w:szCs w:val="18"/>
        </w:rPr>
        <w:t>3</w:t>
      </w:r>
      <w:bookmarkEnd w:id="587"/>
      <w:r>
        <w:rPr>
          <w:color w:val="000000"/>
          <w:spacing w:val="0"/>
          <w:w w:val="100"/>
          <w:position w:val="0"/>
          <w:sz w:val="18"/>
          <w:szCs w:val="18"/>
        </w:rPr>
        <w:t>、培训计划</w:t>
      </w:r>
      <w:bookmarkEnd w:id="585"/>
      <w:bookmarkEnd w:id="586"/>
      <w:bookmarkEnd w:id="588"/>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万马股份的发展离不开高素质的人才，因此公司非常重视内部人才的培养。在人才的发展上面，万马建立了员工全职业 周期的职业发展通道，对管理人才、专业人才、技能人才采用不同的培养方式。针对不同的职业发展诉求，公司建立了一套 行之有效的人才培养体系。</w:t>
      </w:r>
    </w:p>
    <w:p>
      <w:pPr>
        <w:pStyle w:val="Style31"/>
        <w:keepNext w:val="0"/>
        <w:keepLines w:val="0"/>
        <w:widowControl w:val="0"/>
        <w:shd w:val="clear" w:color="auto" w:fill="auto"/>
        <w:tabs>
          <w:tab w:pos="871" w:val="left"/>
        </w:tabs>
        <w:bidi w:val="0"/>
        <w:spacing w:before="0" w:after="0"/>
        <w:ind w:left="0" w:right="0" w:firstLine="380"/>
        <w:jc w:val="both"/>
      </w:pPr>
      <w:bookmarkStart w:id="589" w:name="bookmark589"/>
      <w:r>
        <w:rPr>
          <w:color w:val="000000"/>
          <w:spacing w:val="0"/>
          <w:w w:val="100"/>
          <w:position w:val="0"/>
          <w:sz w:val="18"/>
          <w:szCs w:val="18"/>
        </w:rPr>
        <w:t>（</w:t>
      </w:r>
      <w:bookmarkEnd w:id="589"/>
      <w:r>
        <w:rPr>
          <w:color w:val="000000"/>
          <w:spacing w:val="0"/>
          <w:w w:val="100"/>
          <w:position w:val="0"/>
          <w:sz w:val="18"/>
          <w:szCs w:val="18"/>
        </w:rPr>
        <w:t>1）</w:t>
        <w:tab/>
      </w:r>
      <w:r>
        <w:rPr>
          <w:color w:val="000000"/>
          <w:spacing w:val="0"/>
          <w:w w:val="100"/>
          <w:position w:val="0"/>
        </w:rPr>
        <w:t>干部梯队体系的打造：公司有专门的干部梯队打造项目</w:t>
      </w:r>
      <w:r>
        <w:rPr>
          <w:color w:val="000000"/>
          <w:spacing w:val="0"/>
          <w:w w:val="100"/>
          <w:position w:val="0"/>
        </w:rPr>
        <w:t>"</w:t>
      </w:r>
      <w:r>
        <w:rPr>
          <w:color w:val="000000"/>
          <w:spacing w:val="0"/>
          <w:w w:val="100"/>
          <w:position w:val="0"/>
        </w:rPr>
        <w:t>向日葵”计划，不同级别的干部依据多维度的评价体系 会进入不同的梯队。</w:t>
      </w:r>
      <w:r>
        <w:rPr>
          <w:color w:val="000000"/>
          <w:spacing w:val="0"/>
          <w:w w:val="100"/>
          <w:position w:val="0"/>
          <w:sz w:val="18"/>
          <w:szCs w:val="18"/>
        </w:rPr>
        <w:t>2020</w:t>
      </w:r>
      <w:r>
        <w:rPr>
          <w:color w:val="000000"/>
          <w:spacing w:val="0"/>
          <w:w w:val="100"/>
          <w:position w:val="0"/>
        </w:rPr>
        <w:t>年，公司开展了 “青苗”计划和“燎原”计划梯队人才培养项目，依托于万马股份的战略规划，提 升管理团队厚度，加强干部的价值观，在战略的解码与执行、领导力方面对干部进行专项培养。</w:t>
      </w:r>
    </w:p>
    <w:p>
      <w:pPr>
        <w:pStyle w:val="Style31"/>
        <w:keepNext w:val="0"/>
        <w:keepLines w:val="0"/>
        <w:widowControl w:val="0"/>
        <w:shd w:val="clear" w:color="auto" w:fill="auto"/>
        <w:tabs>
          <w:tab w:pos="871" w:val="left"/>
        </w:tabs>
        <w:bidi w:val="0"/>
        <w:spacing w:before="0" w:after="0" w:line="315" w:lineRule="exact"/>
        <w:ind w:left="0" w:right="0" w:firstLine="380"/>
        <w:jc w:val="both"/>
      </w:pPr>
      <w:bookmarkStart w:id="590" w:name="bookmark590"/>
      <w:r>
        <w:rPr>
          <w:color w:val="000000"/>
          <w:spacing w:val="0"/>
          <w:w w:val="100"/>
          <w:position w:val="0"/>
          <w:sz w:val="18"/>
          <w:szCs w:val="18"/>
        </w:rPr>
        <w:t>（</w:t>
      </w:r>
      <w:bookmarkEnd w:id="590"/>
      <w:r>
        <w:rPr>
          <w:color w:val="000000"/>
          <w:spacing w:val="0"/>
          <w:w w:val="100"/>
          <w:position w:val="0"/>
          <w:sz w:val="18"/>
          <w:szCs w:val="18"/>
        </w:rPr>
        <w:t>2）</w:t>
        <w:tab/>
      </w:r>
      <w:r>
        <w:rPr>
          <w:color w:val="000000"/>
          <w:spacing w:val="0"/>
          <w:w w:val="100"/>
          <w:position w:val="0"/>
        </w:rPr>
        <w:t>关键专业技能人才的培养：目前公司已经获得职业技能等级认定资格，并且拥有国家级五一劳动奖章获得者、技 能大师叶金龙开办的技术型人才培养工作室，对公司、行业、社会培养输送专业技能人才。公司每年会组织相关岗位的人员 进行技能大赛，进一步巩固专业技能。在核心岗位的培养上，公司推行师徒制的培养模式，强化实践和成果，从技能及人文 方面全方位提升岗位价值。</w:t>
      </w:r>
    </w:p>
    <w:p>
      <w:pPr>
        <w:pStyle w:val="Style31"/>
        <w:keepNext w:val="0"/>
        <w:keepLines w:val="0"/>
        <w:widowControl w:val="0"/>
        <w:shd w:val="clear" w:color="auto" w:fill="auto"/>
        <w:tabs>
          <w:tab w:pos="431" w:val="left"/>
        </w:tabs>
        <w:bidi w:val="0"/>
        <w:spacing w:before="0" w:after="360" w:line="315" w:lineRule="exact"/>
        <w:ind w:left="0" w:right="0" w:firstLine="380"/>
        <w:jc w:val="both"/>
      </w:pPr>
      <w:bookmarkStart w:id="591" w:name="bookmark591"/>
      <w:r>
        <w:rPr>
          <w:color w:val="000000"/>
          <w:spacing w:val="0"/>
          <w:w w:val="100"/>
          <w:position w:val="0"/>
          <w:sz w:val="18"/>
          <w:szCs w:val="18"/>
        </w:rPr>
        <w:t>（</w:t>
      </w:r>
      <w:bookmarkEnd w:id="591"/>
      <w:r>
        <w:rPr>
          <w:color w:val="000000"/>
          <w:spacing w:val="0"/>
          <w:w w:val="100"/>
          <w:position w:val="0"/>
          <w:sz w:val="18"/>
          <w:szCs w:val="18"/>
        </w:rPr>
        <w:t>3）</w:t>
        <w:tab/>
      </w:r>
      <w:r>
        <w:rPr>
          <w:color w:val="000000"/>
          <w:spacing w:val="0"/>
          <w:w w:val="100"/>
          <w:position w:val="0"/>
        </w:rPr>
        <w:t xml:space="preserve">业务岗位专项培养：以专项人才培养项目的开展为牵引，激发组织活力，提升组织效能。在财务中心开展了 “财 </w:t>
      </w:r>
      <w:r>
        <w:rPr>
          <w:color w:val="000000"/>
          <w:spacing w:val="0"/>
          <w:w w:val="100"/>
          <w:position w:val="0"/>
        </w:rPr>
        <w:t>智营”专项人才培养项目，在人力资源岗位开展了 “伯乐营”专项人才培养项目，在供应链岗位开展了 “精工营”专项人才 培养项目、在营销岗位开展了 “尖兵营”专项人才培养项目。</w:t>
      </w:r>
    </w:p>
    <w:p>
      <w:pPr>
        <w:pStyle w:val="Style34"/>
        <w:keepNext/>
        <w:keepLines/>
        <w:widowControl w:val="0"/>
        <w:shd w:val="clear" w:color="auto" w:fill="auto"/>
        <w:bidi w:val="0"/>
        <w:spacing w:before="0" w:after="26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、劳务外包情况</w:t>
      </w:r>
      <w:bookmarkEnd w:id="592"/>
      <w:bookmarkEnd w:id="593"/>
      <w:bookmarkEnd w:id="595"/>
    </w:p>
    <w:p>
      <w:pPr>
        <w:pStyle w:val="Style31"/>
        <w:keepNext w:val="0"/>
        <w:keepLines w:val="0"/>
        <w:widowControl w:val="0"/>
        <w:shd w:val="clear" w:color="auto" w:fill="auto"/>
        <w:bidi w:val="0"/>
        <w:spacing w:before="0" w:after="300"/>
        <w:ind w:left="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700" w:right="541" w:bottom="1566" w:left="110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540" w:after="540" w:line="240" w:lineRule="auto"/>
        <w:ind w:left="0" w:right="0" w:firstLine="0"/>
        <w:jc w:val="center"/>
      </w:pPr>
      <w:bookmarkStart w:id="596" w:name="bookmark596"/>
      <w:bookmarkStart w:id="597" w:name="bookmark597"/>
      <w:bookmarkStart w:id="598" w:name="bookmark598"/>
      <w:bookmarkStart w:id="599" w:name="bookmark599"/>
      <w:r>
        <w:rPr>
          <w:color w:val="000000"/>
          <w:spacing w:val="0"/>
          <w:w w:val="100"/>
          <w:position w:val="0"/>
        </w:rPr>
        <w:t>第十节公司治理</w:t>
      </w:r>
      <w:bookmarkEnd w:id="597"/>
      <w:bookmarkEnd w:id="598"/>
      <w:bookmarkEnd w:id="599"/>
      <w:bookmarkEnd w:id="596"/>
    </w:p>
    <w:p>
      <w:pPr>
        <w:pStyle w:val="Style26"/>
        <w:keepNext/>
        <w:keepLines/>
        <w:widowControl w:val="0"/>
        <w:shd w:val="clear" w:color="auto" w:fill="auto"/>
        <w:tabs>
          <w:tab w:pos="567" w:val="left"/>
        </w:tabs>
        <w:bidi w:val="0"/>
        <w:spacing w:before="0" w:after="20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一</w:t>
      </w:r>
      <w:bookmarkEnd w:id="602"/>
      <w:r>
        <w:rPr>
          <w:color w:val="000000"/>
          <w:spacing w:val="0"/>
          <w:w w:val="100"/>
          <w:position w:val="0"/>
          <w:sz w:val="24"/>
          <w:szCs w:val="24"/>
        </w:rPr>
        <w:t>、</w:t>
        <w:tab/>
        <w:t>公司治理的基本状况</w:t>
      </w:r>
      <w:bookmarkEnd w:id="600"/>
      <w:bookmarkEnd w:id="601"/>
      <w:bookmarkEnd w:id="603"/>
    </w:p>
    <w:p>
      <w:pPr>
        <w:pStyle w:val="Style38"/>
        <w:keepNext w:val="0"/>
        <w:keepLines w:val="0"/>
        <w:widowControl w:val="0"/>
        <w:shd w:val="clear" w:color="auto" w:fill="auto"/>
        <w:bidi w:val="0"/>
        <w:spacing w:before="0" w:after="200" w:line="469" w:lineRule="exact"/>
        <w:ind w:left="0" w:right="0" w:firstLine="620"/>
        <w:jc w:val="both"/>
      </w:pPr>
      <w:r>
        <w:rPr>
          <w:color w:val="000000"/>
          <w:spacing w:val="0"/>
          <w:w w:val="100"/>
          <w:position w:val="0"/>
        </w:rPr>
        <w:t>报告期内，公司严格按照《公司法》、《证券法》、《上市公司治理准则》、《深圳证券交易所股票上 市规则》、《深圳证券交易所上市公司规范运作指引》及中国证监会有关法律法规要求，不断完善公司法人治 理结构、建立健全公司内部管理和控制制度，规范运作。公司切实维护全体股东特别是中小股东的利益，公司 治理的实际情况符合中国证监会有关上市公司治理的规范性文件的要求。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67" w:val="left"/>
        </w:tabs>
        <w:bidi w:val="0"/>
        <w:spacing w:before="0" w:after="20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w:t>
        <w:tab/>
        <w:t>公司相对于控股股东在业务、人员、资产、机构、财务等方面的独立情况</w:t>
      </w:r>
      <w:bookmarkEnd w:id="604"/>
      <w:bookmarkEnd w:id="605"/>
      <w:bookmarkEnd w:id="607"/>
    </w:p>
    <w:p>
      <w:pPr>
        <w:pStyle w:val="Style38"/>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公司成立以来，严格按照《公司法》、《证券法》等有关法律、法规和公司章程的要求规范运作，具有独 立完整的供应、生产、销售、研发系统，完全独立运作、独立承担责任和风险。公司与控股股东在业务、人员、 资产、机构、财务等方面完全分开，具有独立完整的业务及自主经营能力。</w:t>
      </w:r>
    </w:p>
    <w:p>
      <w:pPr>
        <w:pStyle w:val="Style38"/>
        <w:keepNext w:val="0"/>
        <w:keepLines w:val="0"/>
        <w:widowControl w:val="0"/>
        <w:numPr>
          <w:ilvl w:val="0"/>
          <w:numId w:val="49"/>
        </w:numPr>
        <w:shd w:val="clear" w:color="auto" w:fill="auto"/>
        <w:tabs>
          <w:tab w:pos="735" w:val="left"/>
        </w:tabs>
        <w:bidi w:val="0"/>
        <w:spacing w:before="0" w:after="0" w:line="469" w:lineRule="exact"/>
        <w:ind w:left="0" w:right="0" w:firstLine="420"/>
        <w:jc w:val="both"/>
      </w:pPr>
      <w:bookmarkStart w:id="608" w:name="bookmark608"/>
      <w:bookmarkEnd w:id="608"/>
      <w:r>
        <w:rPr>
          <w:color w:val="000000"/>
          <w:spacing w:val="0"/>
          <w:w w:val="100"/>
          <w:position w:val="0"/>
        </w:rPr>
        <w:t>业务独立</w:t>
      </w:r>
    </w:p>
    <w:p>
      <w:pPr>
        <w:pStyle w:val="Style3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公司具有独立开展业务的能力，拥有独立的经营决策权和实施权，并完全独立于控股股东、实际控制人及 其控制的其他企业。公司与控股股东、实际控制人及其控制的其他企业间不存在同业竞争或者显失公允的关联 交易。本公司拥有独立完整的业务，具备独立面向市场自主经营的能力。</w:t>
      </w:r>
    </w:p>
    <w:p>
      <w:pPr>
        <w:pStyle w:val="Style38"/>
        <w:keepNext w:val="0"/>
        <w:keepLines w:val="0"/>
        <w:widowControl w:val="0"/>
        <w:numPr>
          <w:ilvl w:val="0"/>
          <w:numId w:val="49"/>
        </w:numPr>
        <w:shd w:val="clear" w:color="auto" w:fill="auto"/>
        <w:tabs>
          <w:tab w:pos="750" w:val="left"/>
        </w:tabs>
        <w:bidi w:val="0"/>
        <w:spacing w:before="0" w:after="0" w:line="469" w:lineRule="exact"/>
        <w:ind w:left="0" w:right="0" w:firstLine="420"/>
        <w:jc w:val="both"/>
      </w:pPr>
      <w:bookmarkStart w:id="609" w:name="bookmark609"/>
      <w:bookmarkEnd w:id="609"/>
      <w:r>
        <w:rPr>
          <w:color w:val="000000"/>
          <w:spacing w:val="0"/>
          <w:w w:val="100"/>
          <w:position w:val="0"/>
        </w:rPr>
        <w:t>资产完整</w:t>
      </w:r>
    </w:p>
    <w:p>
      <w:pPr>
        <w:pStyle w:val="Style3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公司拥有独立、完整的生产经营场所，以及与生产经营有关的生产系统、辅助生产系统、配套系统和土地 使用权、商标、专利、非专利技术的所有权或者使用权，具有独立完整的原料采购、生产、销售等配套设施及 固定资产。公司对所有资产拥有完全的控制支配权，不存在资产、资金被各股东、实际控制人及其控制的其他 企业违规占用而损害公司利益的情况。</w:t>
      </w:r>
    </w:p>
    <w:p>
      <w:pPr>
        <w:pStyle w:val="Style38"/>
        <w:keepNext w:val="0"/>
        <w:keepLines w:val="0"/>
        <w:widowControl w:val="0"/>
        <w:numPr>
          <w:ilvl w:val="0"/>
          <w:numId w:val="49"/>
        </w:numPr>
        <w:shd w:val="clear" w:color="auto" w:fill="auto"/>
        <w:tabs>
          <w:tab w:pos="750" w:val="left"/>
        </w:tabs>
        <w:bidi w:val="0"/>
        <w:spacing w:before="0" w:after="0" w:line="469" w:lineRule="exact"/>
        <w:ind w:left="0" w:right="0" w:firstLine="420"/>
        <w:jc w:val="both"/>
      </w:pPr>
      <w:bookmarkStart w:id="610" w:name="bookmark610"/>
      <w:bookmarkEnd w:id="610"/>
      <w:r>
        <w:rPr>
          <w:color w:val="000000"/>
          <w:spacing w:val="0"/>
          <w:w w:val="100"/>
          <w:position w:val="0"/>
        </w:rPr>
        <w:t>人员独立</w:t>
      </w:r>
    </w:p>
    <w:p>
      <w:pPr>
        <w:pStyle w:val="Style38"/>
        <w:keepNext w:val="0"/>
        <w:keepLines w:val="0"/>
        <w:widowControl w:val="0"/>
        <w:shd w:val="clear" w:color="auto" w:fill="auto"/>
        <w:bidi w:val="0"/>
        <w:spacing w:before="0" w:after="0" w:line="466" w:lineRule="exact"/>
        <w:ind w:left="0" w:right="0" w:firstLine="420"/>
        <w:jc w:val="both"/>
      </w:pPr>
      <w:r>
        <w:rPr>
          <w:color w:val="000000"/>
          <w:spacing w:val="0"/>
          <w:w w:val="100"/>
          <w:position w:val="0"/>
        </w:rPr>
        <w:t xml:space="preserve">公司董事、监事及高级管理人员均严格按照《公司法》、《公司章程》规定的程序推选和任免，不存在股 东超越公司股东大会和董事会做出人事任免决定的情况。公司的人事及工资管理与股东单位完全分离，公司总 经理、副总经理、财务负责人和董事会秘书等高级管理人员未在控股股东、实际控制人及其控制的其他企业中 </w:t>
      </w:r>
      <w:r>
        <w:rPr>
          <w:color w:val="000000"/>
          <w:spacing w:val="0"/>
          <w:w w:val="100"/>
          <w:position w:val="0"/>
        </w:rPr>
        <w:t>担任除董事、监事以外的其他职务，未在控股股东、实际控制人及其控制的其他企业领薪；公司财务人员未在 控股股东、实际控制人及其控制的其他企业中兼职；公司董事、高级管理人员不存在兼任监事的情形。同时， 公司建立并独立执行人力资源及薪酬管理制度。</w:t>
      </w:r>
    </w:p>
    <w:p>
      <w:pPr>
        <w:pStyle w:val="Style38"/>
        <w:keepNext w:val="0"/>
        <w:keepLines w:val="0"/>
        <w:widowControl w:val="0"/>
        <w:numPr>
          <w:ilvl w:val="0"/>
          <w:numId w:val="51"/>
        </w:numPr>
        <w:shd w:val="clear" w:color="auto" w:fill="auto"/>
        <w:tabs>
          <w:tab w:pos="726" w:val="left"/>
        </w:tabs>
        <w:bidi w:val="0"/>
        <w:spacing w:before="0" w:after="0" w:line="473" w:lineRule="exact"/>
        <w:ind w:left="0" w:right="0" w:firstLine="420"/>
        <w:jc w:val="both"/>
      </w:pPr>
      <w:bookmarkStart w:id="611" w:name="bookmark611"/>
      <w:bookmarkEnd w:id="611"/>
      <w:r>
        <w:rPr>
          <w:color w:val="000000"/>
          <w:spacing w:val="0"/>
          <w:w w:val="100"/>
          <w:position w:val="0"/>
        </w:rPr>
        <w:t>机构独立</w:t>
      </w:r>
    </w:p>
    <w:p>
      <w:pPr>
        <w:pStyle w:val="Style38"/>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公司通过股东大会、董事会、监事会以及独立董事制度，强化了公司的分权制衡和相互监督，形成了有效 的法人治理结构。在内部机构设置上，公司建立了适应自身发展需要的组织机构，明确了各机构职能，定员定 岗，并制定了相应的内部管理与控制制度，独立开展生产经营活动。公司与控股股东、实际控制人及其控制的 其他企业间不存在机构混同的情形。自公司设立以来，未发生股东干预本公司正常生产经营活动的情况。</w:t>
      </w:r>
    </w:p>
    <w:p>
      <w:pPr>
        <w:pStyle w:val="Style38"/>
        <w:keepNext w:val="0"/>
        <w:keepLines w:val="0"/>
        <w:widowControl w:val="0"/>
        <w:numPr>
          <w:ilvl w:val="0"/>
          <w:numId w:val="53"/>
        </w:numPr>
        <w:shd w:val="clear" w:color="auto" w:fill="auto"/>
        <w:tabs>
          <w:tab w:pos="726" w:val="left"/>
        </w:tabs>
        <w:bidi w:val="0"/>
        <w:spacing w:before="0" w:after="0" w:line="469" w:lineRule="exact"/>
        <w:ind w:left="0" w:right="0" w:firstLine="420"/>
        <w:jc w:val="both"/>
      </w:pPr>
      <w:bookmarkStart w:id="612" w:name="bookmark612"/>
      <w:bookmarkEnd w:id="612"/>
      <w:r>
        <w:rPr>
          <w:color w:val="000000"/>
          <w:spacing w:val="0"/>
          <w:w w:val="100"/>
          <w:position w:val="0"/>
        </w:rPr>
        <w:t>财务独立</w:t>
      </w:r>
    </w:p>
    <w:p>
      <w:pPr>
        <w:pStyle w:val="Style38"/>
        <w:keepNext w:val="0"/>
        <w:keepLines w:val="0"/>
        <w:widowControl w:val="0"/>
        <w:shd w:val="clear" w:color="auto" w:fill="auto"/>
        <w:bidi w:val="0"/>
        <w:spacing w:before="0" w:after="420" w:line="469" w:lineRule="exact"/>
        <w:ind w:left="0" w:right="0" w:firstLine="420"/>
        <w:jc w:val="both"/>
      </w:pPr>
      <w:r>
        <w:rPr>
          <w:color w:val="000000"/>
          <w:spacing w:val="0"/>
          <w:w w:val="100"/>
          <w:position w:val="0"/>
        </w:rPr>
        <w:t>公司在财务上规范运作、独立运行，设立了独立的财务部门，配备了独立的财务人员，建立了独立的会计 核算体系，制定了《财务管理制度》、《关联交易决策制度》、《投资决策管理制度》、《对外担保制度》等 多项内控制度且严格执行，独立进行财务决策，享有充分独立的资金调配权，财务会计制度和财务管理制度符 合上市公司的要求。公司开设独立的银行账户，作为独立的纳税人，依法独立进行纳税申报和履行纳税义务。 公司根据企业发展规划，自主决定投资计划和资金安排，不存在公司股东干预公司财务决策、资金使用的情况; 不存在以资产、权益或信誉为股东单位或任何个人债务提供担保，或以本公司名义的借款、授信额度转借给前 述法人或个人使用的情形。</w:t>
      </w:r>
    </w:p>
    <w:p>
      <w:pPr>
        <w:pStyle w:val="Style26"/>
        <w:keepNext/>
        <w:keepLines/>
        <w:widowControl w:val="0"/>
        <w:shd w:val="clear" w:color="auto" w:fill="auto"/>
        <w:bidi w:val="0"/>
        <w:spacing w:before="0" w:after="10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三</w:t>
      </w:r>
      <w:bookmarkEnd w:id="615"/>
      <w:r>
        <w:rPr>
          <w:color w:val="000000"/>
          <w:spacing w:val="0"/>
          <w:w w:val="100"/>
          <w:position w:val="0"/>
          <w:sz w:val="24"/>
          <w:szCs w:val="24"/>
        </w:rPr>
        <w:t>、同业竞争情况</w:t>
      </w:r>
      <w:bookmarkEnd w:id="613"/>
      <w:bookmarkEnd w:id="614"/>
      <w:bookmarkEnd w:id="616"/>
    </w:p>
    <w:p>
      <w:pPr>
        <w:pStyle w:val="Style31"/>
        <w:keepNext w:val="0"/>
        <w:keepLines w:val="0"/>
        <w:widowControl w:val="0"/>
        <w:shd w:val="clear" w:color="auto" w:fill="auto"/>
        <w:bidi w:val="0"/>
        <w:spacing w:before="0" w:after="36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四</w:t>
      </w:r>
      <w:bookmarkEnd w:id="619"/>
      <w:r>
        <w:rPr>
          <w:color w:val="000000"/>
          <w:spacing w:val="0"/>
          <w:w w:val="100"/>
          <w:position w:val="0"/>
          <w:sz w:val="24"/>
          <w:szCs w:val="24"/>
        </w:rPr>
        <w:t>、报告期内召开的年度股东大会和临时股东大会的有关情况</w:t>
      </w:r>
      <w:bookmarkEnd w:id="617"/>
      <w:bookmarkEnd w:id="618"/>
      <w:bookmarkEnd w:id="620"/>
    </w:p>
    <w:p>
      <w:pPr>
        <w:pStyle w:val="Style34"/>
        <w:keepNext/>
        <w:keepLines/>
        <w:widowControl w:val="0"/>
        <w:shd w:val="clear" w:color="auto" w:fill="auto"/>
        <w:bidi w:val="0"/>
        <w:spacing w:before="0" w:after="32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、本报告期股东大会情况</w:t>
      </w:r>
      <w:bookmarkEnd w:id="621"/>
      <w:bookmarkEnd w:id="622"/>
      <w:bookmarkEnd w:id="624"/>
    </w:p>
    <w:tbl>
      <w:tblPr>
        <w:tblOverlap w:val="never"/>
        <w:jc w:val="center"/>
        <w:tblLayout w:type="fixed"/>
      </w:tblPr>
      <w:tblGrid>
        <w:gridCol w:w="1699"/>
        <w:gridCol w:w="1310"/>
        <w:gridCol w:w="1070"/>
        <w:gridCol w:w="1589"/>
        <w:gridCol w:w="1742"/>
        <w:gridCol w:w="2165"/>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投资者参</w:t>
            </w:r>
          </w:p>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与比例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26" w:lineRule="exact"/>
              <w:ind w:left="0" w:right="0" w:firstLine="0"/>
              <w:jc w:val="left"/>
            </w:pP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w:t>
            </w:r>
            <w:r>
              <w:rPr>
                <w:color w:val="000000"/>
                <w:spacing w:val="0"/>
                <w:w w:val="100"/>
                <w:position w:val="0"/>
              </w:rPr>
              <w:t xml:space="preserve">2019 </w:t>
            </w:r>
            <w:r>
              <w:rPr>
                <w:rFonts w:ascii="SimSun" w:eastAsia="SimSun" w:hAnsi="SimSun" w:cs="SimSun"/>
                <w:color w:val="000000"/>
                <w:spacing w:val="0"/>
                <w:w w:val="100"/>
                <w:position w:val="0"/>
              </w:rPr>
              <w:t>年度股东大会决议公告》</w:t>
            </w:r>
          </w:p>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2020-032</w:t>
            </w:r>
            <w:r>
              <w:rPr>
                <w:rFonts w:ascii="SimSun" w:eastAsia="SimSun" w:hAnsi="SimSun" w:cs="SimSun"/>
                <w:color w:val="000000"/>
                <w:spacing w:val="0"/>
                <w:w w:val="100"/>
                <w:position w:val="0"/>
              </w:rPr>
              <w:t>）</w:t>
            </w:r>
          </w:p>
        </w:tc>
      </w:tr>
      <w:tr>
        <w:trPr>
          <w:trHeight w:val="12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www.cninfo.com.cn</w:t>
            </w:r>
            <w:r>
              <w:rPr>
                <w:rFonts w:ascii="SimSun" w:eastAsia="SimSun" w:hAnsi="SimSun" w:cs="SimSun"/>
                <w:color w:val="000000"/>
                <w:spacing w:val="0"/>
                <w:w w:val="100"/>
                <w:position w:val="0"/>
              </w:rPr>
              <w:t>《</w:t>
            </w:r>
            <w:r>
              <w:rPr>
                <w:color w:val="000000"/>
                <w:spacing w:val="0"/>
                <w:w w:val="100"/>
                <w:position w:val="0"/>
              </w:rPr>
              <w:t xml:space="preserve">2020 </w:t>
            </w:r>
            <w:r>
              <w:rPr>
                <w:rFonts w:ascii="SimSun" w:eastAsia="SimSun" w:hAnsi="SimSun" w:cs="SimSun"/>
                <w:color w:val="000000"/>
                <w:spacing w:val="0"/>
                <w:w w:val="100"/>
                <w:position w:val="0"/>
              </w:rPr>
              <w:t>年第一次临时股东大会 决议公告》（公告编号：</w:t>
            </w:r>
          </w:p>
        </w:tc>
      </w:tr>
    </w:tbl>
    <w:tbl>
      <w:tblPr>
        <w:tblOverlap w:val="never"/>
        <w:jc w:val="center"/>
        <w:tblLayout w:type="fixed"/>
      </w:tblPr>
      <w:tblGrid>
        <w:gridCol w:w="1699"/>
        <w:gridCol w:w="1310"/>
        <w:gridCol w:w="1070"/>
        <w:gridCol w:w="1589"/>
        <w:gridCol w:w="1742"/>
        <w:gridCol w:w="216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2020-043</w:t>
            </w:r>
            <w:r>
              <w:rPr>
                <w:rFonts w:ascii="SimSun" w:eastAsia="SimSun" w:hAnsi="SimSun" w:cs="SimSun"/>
                <w:color w:val="000000"/>
                <w:spacing w:val="0"/>
                <w:w w:val="100"/>
                <w:position w:val="0"/>
              </w:rPr>
              <w:t>)</w:t>
            </w:r>
          </w:p>
        </w:tc>
      </w:tr>
      <w:tr>
        <w:trPr>
          <w:trHeight w:val="15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312" w:lineRule="exact"/>
              <w:ind w:left="0" w:right="0" w:firstLine="0"/>
              <w:jc w:val="left"/>
            </w:pP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w:t>
            </w:r>
            <w:r>
              <w:rPr>
                <w:color w:val="000000"/>
                <w:spacing w:val="0"/>
                <w:w w:val="100"/>
                <w:position w:val="0"/>
              </w:rPr>
              <w:t xml:space="preserve">2020 </w:t>
            </w:r>
            <w:r>
              <w:rPr>
                <w:rFonts w:ascii="SimSun" w:eastAsia="SimSun" w:hAnsi="SimSun" w:cs="SimSun"/>
                <w:color w:val="000000"/>
                <w:spacing w:val="0"/>
                <w:w w:val="100"/>
                <w:position w:val="0"/>
              </w:rPr>
              <w:t xml:space="preserve">年第一次临时股东大会 决议公告》（公告编号： </w:t>
            </w:r>
            <w:r>
              <w:rPr>
                <w:color w:val="000000"/>
                <w:spacing w:val="0"/>
                <w:w w:val="100"/>
                <w:position w:val="0"/>
              </w:rPr>
              <w:t>2020-066</w:t>
            </w:r>
            <w:r>
              <w:rPr>
                <w:rFonts w:ascii="SimSun" w:eastAsia="SimSun" w:hAnsi="SimSun" w:cs="SimSu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、表决权恢复的优先股股东请求召开临时股东大会</w:t>
      </w:r>
      <w:bookmarkEnd w:id="625"/>
      <w:bookmarkEnd w:id="626"/>
      <w:bookmarkEnd w:id="62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五</w:t>
      </w:r>
      <w:bookmarkEnd w:id="631"/>
      <w:r>
        <w:rPr>
          <w:color w:val="000000"/>
          <w:spacing w:val="0"/>
          <w:w w:val="100"/>
          <w:position w:val="0"/>
          <w:sz w:val="24"/>
          <w:szCs w:val="24"/>
        </w:rPr>
        <w:t>、报告期内独立董事履行职责的情况</w:t>
      </w:r>
      <w:bookmarkEnd w:id="629"/>
      <w:bookmarkEnd w:id="630"/>
      <w:bookmarkEnd w:id="632"/>
    </w:p>
    <w:p>
      <w:pPr>
        <w:pStyle w:val="Style34"/>
        <w:keepNext/>
        <w:keepLines/>
        <w:widowControl w:val="0"/>
        <w:shd w:val="clear" w:color="auto" w:fill="auto"/>
        <w:bidi w:val="0"/>
        <w:spacing w:before="0" w:after="30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、独立董事出席董事会及股东大会的情况</w:t>
      </w:r>
      <w:bookmarkEnd w:id="633"/>
      <w:bookmarkEnd w:id="634"/>
      <w:bookmarkEnd w:id="636"/>
    </w:p>
    <w:tbl>
      <w:tblPr>
        <w:tblOverlap w:val="never"/>
        <w:jc w:val="center"/>
        <w:tblLayout w:type="fixed"/>
      </w:tblPr>
      <w:tblGrid>
        <w:gridCol w:w="1435"/>
        <w:gridCol w:w="1162"/>
        <w:gridCol w:w="1166"/>
        <w:gridCol w:w="1162"/>
        <w:gridCol w:w="1162"/>
        <w:gridCol w:w="1162"/>
        <w:gridCol w:w="1344"/>
        <w:gridCol w:w="989"/>
      </w:tblGrid>
      <w:tr>
        <w:trPr>
          <w:trHeight w:val="326" w:hRule="exact"/>
        </w:trPr>
        <w:tc>
          <w:tcPr>
            <w:gridSpan w:val="8"/>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94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参加董事会</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 参加董事会 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出席股东 大会次数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赵健康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吕洪仁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1</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傅怀全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4"/>
        <w:keepNext/>
        <w:keepLines/>
        <w:widowControl w:val="0"/>
        <w:shd w:val="clear" w:color="auto" w:fill="auto"/>
        <w:tabs>
          <w:tab w:pos="385" w:val="left"/>
        </w:tabs>
        <w:bidi w:val="0"/>
        <w:spacing w:before="0" w:after="22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独立董事对公司有关事项提出异议的情况</w:t>
      </w:r>
      <w:bookmarkEnd w:id="637"/>
      <w:bookmarkEnd w:id="638"/>
      <w:bookmarkEnd w:id="640"/>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独立董事对公司有关事项是否提出异议 口是"否</w:t>
      </w:r>
    </w:p>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85" w:val="left"/>
        </w:tabs>
        <w:bidi w:val="0"/>
        <w:spacing w:before="0" w:after="3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w:t>
        <w:tab/>
        <w:t>独立董事履行职责的其他说明</w:t>
      </w:r>
      <w:bookmarkEnd w:id="641"/>
      <w:bookmarkEnd w:id="642"/>
      <w:bookmarkEnd w:id="644"/>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0" w:line="314" w:lineRule="exact"/>
        <w:ind w:left="0" w:right="0" w:firstLine="280"/>
        <w:jc w:val="both"/>
      </w:pPr>
      <w:r>
        <w:rPr>
          <w:color w:val="000000"/>
          <w:spacing w:val="0"/>
          <w:w w:val="100"/>
          <w:position w:val="0"/>
        </w:rPr>
        <w:t>报告期内，公司独立董事严格按照中国证监会、深交所及《公司章程》的相关规定，开展工作：</w:t>
      </w:r>
    </w:p>
    <w:p>
      <w:pPr>
        <w:pStyle w:val="Style31"/>
        <w:keepNext w:val="0"/>
        <w:keepLines w:val="0"/>
        <w:widowControl w:val="0"/>
        <w:numPr>
          <w:ilvl w:val="0"/>
          <w:numId w:val="55"/>
        </w:numPr>
        <w:shd w:val="clear" w:color="auto" w:fill="auto"/>
        <w:tabs>
          <w:tab w:pos="584" w:val="left"/>
        </w:tabs>
        <w:bidi w:val="0"/>
        <w:spacing w:before="0" w:after="0" w:line="314" w:lineRule="exact"/>
        <w:ind w:left="0" w:right="0" w:firstLine="280"/>
        <w:jc w:val="both"/>
      </w:pPr>
      <w:bookmarkStart w:id="645" w:name="bookmark645"/>
      <w:bookmarkEnd w:id="645"/>
      <w:r>
        <w:rPr>
          <w:color w:val="000000"/>
          <w:spacing w:val="0"/>
          <w:w w:val="100"/>
          <w:position w:val="0"/>
        </w:rPr>
        <w:t>在董事会审议决策重大事项时，独立董事对事先提供的资料进行审核，必要时对相关部门和人员进行询问，并利用自 身专业知识，独立、客观、审慎地行使表决权，有效履行独立董事的职责，促进董事会决策科学、合理，切实维护公司及全 体股东的利益。</w:t>
      </w:r>
    </w:p>
    <w:p>
      <w:pPr>
        <w:pStyle w:val="Style31"/>
        <w:keepNext w:val="0"/>
        <w:keepLines w:val="0"/>
        <w:widowControl w:val="0"/>
        <w:numPr>
          <w:ilvl w:val="0"/>
          <w:numId w:val="55"/>
        </w:numPr>
        <w:shd w:val="clear" w:color="auto" w:fill="auto"/>
        <w:tabs>
          <w:tab w:pos="584" w:val="left"/>
        </w:tabs>
        <w:bidi w:val="0"/>
        <w:spacing w:before="0" w:after="300" w:line="314" w:lineRule="exact"/>
        <w:ind w:left="0" w:right="0" w:firstLine="280"/>
        <w:jc w:val="both"/>
      </w:pPr>
      <w:bookmarkStart w:id="646" w:name="bookmark646"/>
      <w:bookmarkEnd w:id="646"/>
      <w:r>
        <w:rPr>
          <w:color w:val="000000"/>
          <w:spacing w:val="0"/>
          <w:w w:val="100"/>
          <w:position w:val="0"/>
        </w:rPr>
        <w:t>及时、深入了解公司经营状况、管理情况及董事会、股东大会决议执行情况，并对公司经营策略、关联交易、募集资 金使用情况等事项发表独立意见。</w:t>
      </w:r>
    </w:p>
    <w:p>
      <w:pPr>
        <w:pStyle w:val="Style26"/>
        <w:keepNext/>
        <w:keepLines/>
        <w:widowControl w:val="0"/>
        <w:shd w:val="clear" w:color="auto" w:fill="auto"/>
        <w:tabs>
          <w:tab w:pos="521" w:val="left"/>
        </w:tabs>
        <w:bidi w:val="0"/>
        <w:spacing w:before="0" w:after="2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六</w:t>
      </w:r>
      <w:bookmarkEnd w:id="649"/>
      <w:r>
        <w:rPr>
          <w:color w:val="000000"/>
          <w:spacing w:val="0"/>
          <w:w w:val="100"/>
          <w:position w:val="0"/>
          <w:sz w:val="24"/>
          <w:szCs w:val="24"/>
        </w:rPr>
        <w:t>、</w:t>
        <w:tab/>
        <w:t>董事会下设专门委员会在报告期内履行职责情况</w:t>
      </w:r>
      <w:bookmarkEnd w:id="647"/>
      <w:bookmarkEnd w:id="648"/>
      <w:bookmarkEnd w:id="650"/>
    </w:p>
    <w:p>
      <w:pPr>
        <w:pStyle w:val="Style34"/>
        <w:keepNext/>
        <w:keepLines/>
        <w:widowControl w:val="0"/>
        <w:numPr>
          <w:ilvl w:val="0"/>
          <w:numId w:val="57"/>
        </w:numPr>
        <w:shd w:val="clear" w:color="auto" w:fill="auto"/>
        <w:tabs>
          <w:tab w:pos="695" w:val="left"/>
        </w:tabs>
        <w:bidi w:val="0"/>
        <w:spacing w:before="0" w:after="140" w:line="362" w:lineRule="exact"/>
        <w:ind w:left="0" w:right="0" w:firstLine="380"/>
        <w:jc w:val="left"/>
      </w:pPr>
      <w:bookmarkStart w:id="651" w:name="bookmark651"/>
      <w:bookmarkStart w:id="652" w:name="bookmark652"/>
      <w:bookmarkStart w:id="653" w:name="bookmark653"/>
      <w:bookmarkStart w:id="654" w:name="bookmark654"/>
      <w:bookmarkEnd w:id="653"/>
      <w:r>
        <w:rPr>
          <w:b w:val="0"/>
          <w:bCs w:val="0"/>
          <w:color w:val="000000"/>
          <w:spacing w:val="0"/>
          <w:w w:val="100"/>
          <w:position w:val="0"/>
        </w:rPr>
        <w:t>董事会审计委员会</w:t>
      </w:r>
      <w:bookmarkEnd w:id="651"/>
      <w:bookmarkEnd w:id="652"/>
      <w:bookmarkEnd w:id="654"/>
    </w:p>
    <w:p>
      <w:pPr>
        <w:pStyle w:val="Style38"/>
        <w:keepNext w:val="0"/>
        <w:keepLines w:val="0"/>
        <w:widowControl w:val="0"/>
        <w:shd w:val="clear" w:color="auto" w:fill="auto"/>
        <w:bidi w:val="0"/>
        <w:spacing w:before="0" w:line="361" w:lineRule="exact"/>
        <w:ind w:left="0" w:right="0" w:firstLine="420"/>
        <w:jc w:val="both"/>
      </w:pPr>
      <w:bookmarkStart w:id="655" w:name="bookmark655"/>
      <w:r>
        <w:rPr>
          <w:color w:val="000000"/>
          <w:spacing w:val="0"/>
          <w:w w:val="100"/>
          <w:position w:val="0"/>
        </w:rPr>
        <w:t>报告期内，董事会审计委员会严格按照相关法律法规及《公司章程》、公司《董事会审计委员会工作 细则》的规定开展相关工作。报告期内，审计委员会定期审核公司的财务信息，听取审计工作总结，在向 董事会提交季度、中期及年度财务报告前，审计委员会均进行了先行审阅。报告期，审计委员会进行了改 选。在</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年度审计工作中，审计委员会会同外部审计机构、公司内审部和财务部共同协商确定年度财 务报告审计工作的时间安排和重点审计范围，并持续关注审计进程的推进，确保审计的独立性和审计工作 按时保质完成。</w:t>
      </w:r>
      <w:bookmarkEnd w:id="655"/>
    </w:p>
    <w:p>
      <w:pPr>
        <w:pStyle w:val="Style34"/>
        <w:keepNext/>
        <w:keepLines/>
        <w:widowControl w:val="0"/>
        <w:numPr>
          <w:ilvl w:val="0"/>
          <w:numId w:val="57"/>
        </w:numPr>
        <w:shd w:val="clear" w:color="auto" w:fill="auto"/>
        <w:tabs>
          <w:tab w:pos="714" w:val="left"/>
        </w:tabs>
        <w:bidi w:val="0"/>
        <w:spacing w:before="0" w:after="140" w:line="362" w:lineRule="exact"/>
        <w:ind w:left="0" w:right="0" w:firstLine="380"/>
        <w:jc w:val="left"/>
      </w:pPr>
      <w:bookmarkStart w:id="656" w:name="bookmark656"/>
      <w:bookmarkStart w:id="657" w:name="bookmark657"/>
      <w:bookmarkStart w:id="658" w:name="bookmark658"/>
      <w:bookmarkStart w:id="659" w:name="bookmark659"/>
      <w:bookmarkEnd w:id="658"/>
      <w:r>
        <w:rPr>
          <w:b w:val="0"/>
          <w:bCs w:val="0"/>
          <w:color w:val="000000"/>
          <w:spacing w:val="0"/>
          <w:w w:val="100"/>
          <w:position w:val="0"/>
        </w:rPr>
        <w:t>董事会薪酬与考核委员会</w:t>
      </w:r>
      <w:bookmarkEnd w:id="656"/>
      <w:bookmarkEnd w:id="657"/>
      <w:bookmarkEnd w:id="659"/>
    </w:p>
    <w:p>
      <w:pPr>
        <w:pStyle w:val="Style38"/>
        <w:keepNext w:val="0"/>
        <w:keepLines w:val="0"/>
        <w:widowControl w:val="0"/>
        <w:shd w:val="clear" w:color="auto" w:fill="auto"/>
        <w:bidi w:val="0"/>
        <w:spacing w:before="0" w:line="365" w:lineRule="exact"/>
        <w:ind w:left="0" w:right="0" w:firstLine="420"/>
        <w:jc w:val="both"/>
      </w:pPr>
      <w:bookmarkStart w:id="660" w:name="bookmark660"/>
      <w:r>
        <w:rPr>
          <w:color w:val="000000"/>
          <w:spacing w:val="0"/>
          <w:w w:val="100"/>
          <w:position w:val="0"/>
        </w:rPr>
        <w:t>报告期内，董事会薪酬与考核委员会严格按照相关法律法规及《公司章程》等的规定开展相关工作。 报告期内，薪酬与考核委员会进行了改选；参与讨论并审议董事及管理层考核激励方案。</w:t>
      </w:r>
      <w:bookmarkEnd w:id="660"/>
    </w:p>
    <w:p>
      <w:pPr>
        <w:pStyle w:val="Style34"/>
        <w:keepNext/>
        <w:keepLines/>
        <w:widowControl w:val="0"/>
        <w:numPr>
          <w:ilvl w:val="0"/>
          <w:numId w:val="57"/>
        </w:numPr>
        <w:shd w:val="clear" w:color="auto" w:fill="auto"/>
        <w:tabs>
          <w:tab w:pos="714" w:val="left"/>
        </w:tabs>
        <w:bidi w:val="0"/>
        <w:spacing w:before="0" w:after="140" w:line="362" w:lineRule="exact"/>
        <w:ind w:left="0" w:right="0" w:firstLine="380"/>
        <w:jc w:val="left"/>
      </w:pPr>
      <w:bookmarkStart w:id="661" w:name="bookmark661"/>
      <w:bookmarkStart w:id="662" w:name="bookmark662"/>
      <w:bookmarkStart w:id="663" w:name="bookmark663"/>
      <w:bookmarkStart w:id="664" w:name="bookmark664"/>
      <w:bookmarkEnd w:id="663"/>
      <w:r>
        <w:rPr>
          <w:b w:val="0"/>
          <w:bCs w:val="0"/>
          <w:color w:val="000000"/>
          <w:spacing w:val="0"/>
          <w:w w:val="100"/>
          <w:position w:val="0"/>
        </w:rPr>
        <w:t>董事会战略委员会</w:t>
      </w:r>
      <w:bookmarkEnd w:id="661"/>
      <w:bookmarkEnd w:id="662"/>
      <w:bookmarkEnd w:id="664"/>
    </w:p>
    <w:p>
      <w:pPr>
        <w:pStyle w:val="Style38"/>
        <w:keepNext w:val="0"/>
        <w:keepLines w:val="0"/>
        <w:widowControl w:val="0"/>
        <w:shd w:val="clear" w:color="auto" w:fill="auto"/>
        <w:bidi w:val="0"/>
        <w:spacing w:before="0" w:line="362" w:lineRule="exact"/>
        <w:ind w:left="0" w:right="0" w:firstLine="420"/>
        <w:jc w:val="both"/>
      </w:pPr>
      <w:bookmarkStart w:id="665" w:name="bookmark665"/>
      <w:r>
        <w:rPr>
          <w:color w:val="000000"/>
          <w:spacing w:val="0"/>
          <w:w w:val="100"/>
          <w:position w:val="0"/>
        </w:rPr>
        <w:t>报告期内，董事会战略委员会严格按照相关法律法规及《公司章程》等的规定开展相关工作。报告期 内，战略委员会进行了改选，战略委员会参与各业务板块未来发展规划的研讨，为子公司发展策略提供咨 询服务。并顺利完成了公司董事会第五届战略委员会的选举工作。</w:t>
      </w:r>
      <w:bookmarkEnd w:id="665"/>
    </w:p>
    <w:p>
      <w:pPr>
        <w:pStyle w:val="Style34"/>
        <w:keepNext/>
        <w:keepLines/>
        <w:widowControl w:val="0"/>
        <w:numPr>
          <w:ilvl w:val="0"/>
          <w:numId w:val="57"/>
        </w:numPr>
        <w:shd w:val="clear" w:color="auto" w:fill="auto"/>
        <w:tabs>
          <w:tab w:pos="714" w:val="left"/>
        </w:tabs>
        <w:bidi w:val="0"/>
        <w:spacing w:before="0" w:after="140" w:line="362" w:lineRule="exact"/>
        <w:ind w:left="0" w:right="0" w:firstLine="380"/>
        <w:jc w:val="left"/>
      </w:pPr>
      <w:bookmarkStart w:id="666" w:name="bookmark666"/>
      <w:bookmarkStart w:id="667" w:name="bookmark667"/>
      <w:bookmarkStart w:id="668" w:name="bookmark668"/>
      <w:bookmarkStart w:id="669" w:name="bookmark669"/>
      <w:bookmarkEnd w:id="668"/>
      <w:r>
        <w:rPr>
          <w:b w:val="0"/>
          <w:bCs w:val="0"/>
          <w:color w:val="000000"/>
          <w:spacing w:val="0"/>
          <w:w w:val="100"/>
          <w:position w:val="0"/>
        </w:rPr>
        <w:t>董事会提名委员会</w:t>
      </w:r>
      <w:bookmarkEnd w:id="666"/>
      <w:bookmarkEnd w:id="667"/>
      <w:bookmarkEnd w:id="669"/>
    </w:p>
    <w:p>
      <w:pPr>
        <w:pStyle w:val="Style38"/>
        <w:keepNext w:val="0"/>
        <w:keepLines w:val="0"/>
        <w:widowControl w:val="0"/>
        <w:shd w:val="clear" w:color="auto" w:fill="auto"/>
        <w:bidi w:val="0"/>
        <w:spacing w:before="0" w:after="340" w:line="362" w:lineRule="exact"/>
        <w:ind w:left="0" w:right="0" w:firstLine="420"/>
        <w:jc w:val="both"/>
      </w:pPr>
      <w:bookmarkStart w:id="670" w:name="bookmark670"/>
      <w:r>
        <w:rPr>
          <w:color w:val="000000"/>
          <w:spacing w:val="0"/>
          <w:w w:val="100"/>
          <w:position w:val="0"/>
        </w:rPr>
        <w:t>报告期内，董事会提名委员会严格按照相关法律法规及《公司章程》等的规定开展相关工作。报告期 内，提名委员会进行了改选；公司董事会提名委员会对公司董事会换届董事候选人的相关专业背景和工作 经验等进行了审查，并向董事会提出建议。</w:t>
      </w:r>
      <w:bookmarkEnd w:id="670"/>
    </w:p>
    <w:p>
      <w:pPr>
        <w:pStyle w:val="Style26"/>
        <w:keepNext/>
        <w:keepLines/>
        <w:widowControl w:val="0"/>
        <w:shd w:val="clear" w:color="auto" w:fill="auto"/>
        <w:tabs>
          <w:tab w:pos="521" w:val="left"/>
        </w:tabs>
        <w:bidi w:val="0"/>
        <w:spacing w:before="0" w:after="24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七</w:t>
      </w:r>
      <w:bookmarkEnd w:id="673"/>
      <w:r>
        <w:rPr>
          <w:color w:val="000000"/>
          <w:spacing w:val="0"/>
          <w:w w:val="100"/>
          <w:position w:val="0"/>
          <w:sz w:val="24"/>
          <w:szCs w:val="24"/>
        </w:rPr>
        <w:t>、</w:t>
        <w:tab/>
        <w:t>监事会工作情况</w:t>
      </w:r>
      <w:bookmarkEnd w:id="671"/>
      <w:bookmarkEnd w:id="672"/>
      <w:bookmarkEnd w:id="674"/>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 口是"否</w:t>
      </w:r>
    </w:p>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1" w:val="left"/>
        </w:tabs>
        <w:bidi w:val="0"/>
        <w:spacing w:before="0" w:after="24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八</w:t>
      </w:r>
      <w:bookmarkEnd w:id="677"/>
      <w:r>
        <w:rPr>
          <w:color w:val="000000"/>
          <w:spacing w:val="0"/>
          <w:w w:val="100"/>
          <w:position w:val="0"/>
          <w:sz w:val="24"/>
          <w:szCs w:val="24"/>
        </w:rPr>
        <w:t>、</w:t>
        <w:tab/>
        <w:t>高级管理人员的考评及激励情况</w:t>
      </w:r>
      <w:bookmarkEnd w:id="675"/>
      <w:bookmarkEnd w:id="676"/>
      <w:bookmarkEnd w:id="678"/>
    </w:p>
    <w:p>
      <w:pPr>
        <w:pStyle w:val="Style31"/>
        <w:keepNext w:val="0"/>
        <w:keepLines w:val="0"/>
        <w:widowControl w:val="0"/>
        <w:shd w:val="clear" w:color="auto" w:fill="auto"/>
        <w:bidi w:val="0"/>
        <w:spacing w:before="0" w:after="0"/>
        <w:ind w:left="0" w:right="0" w:firstLine="420"/>
        <w:jc w:val="both"/>
      </w:pPr>
      <w:r>
        <w:rPr>
          <w:color w:val="000000"/>
          <w:spacing w:val="0"/>
          <w:w w:val="100"/>
          <w:position w:val="0"/>
        </w:rPr>
        <w:t>为保证公司业绩持续、稳定的增长，有效激励公司高级管理人员更好地履行工作职责，明确各自权利义务，公司每年会 根据全年经营管理目标和绩效管理制度制定各业务板块总经理、副总经理等各级管理人员的考核责任状，将薪酬回报与绩效 目标的完成情况挂钩。在与各位高管充分沟通后落实并签订责任状，做到职责明确、目标明确，并利用完善的机制进行考核。 同时也通过各种激励措施激发员工潜能，具体措施如下：</w:t>
      </w:r>
    </w:p>
    <w:p>
      <w:pPr>
        <w:pStyle w:val="Style31"/>
        <w:keepNext w:val="0"/>
        <w:keepLines w:val="0"/>
        <w:widowControl w:val="0"/>
        <w:numPr>
          <w:ilvl w:val="0"/>
          <w:numId w:val="59"/>
        </w:numPr>
        <w:shd w:val="clear" w:color="auto" w:fill="auto"/>
        <w:tabs>
          <w:tab w:pos="675" w:val="left"/>
        </w:tabs>
        <w:bidi w:val="0"/>
        <w:spacing w:before="0" w:after="0"/>
        <w:ind w:left="0" w:right="0" w:firstLine="420"/>
        <w:jc w:val="both"/>
      </w:pPr>
      <w:bookmarkStart w:id="679" w:name="bookmark679"/>
      <w:bookmarkEnd w:id="679"/>
      <w:r>
        <w:rPr>
          <w:color w:val="000000"/>
          <w:spacing w:val="0"/>
          <w:w w:val="100"/>
          <w:position w:val="0"/>
        </w:rPr>
        <w:t>事业合伙人机制：子公司重点骨干以参股的形式参与到公司管理经营，将员工利益与企业发展捆绑，有效调动员工工 作积极性。</w:t>
      </w:r>
    </w:p>
    <w:p>
      <w:pPr>
        <w:pStyle w:val="Style31"/>
        <w:keepNext w:val="0"/>
        <w:keepLines w:val="0"/>
        <w:widowControl w:val="0"/>
        <w:numPr>
          <w:ilvl w:val="0"/>
          <w:numId w:val="59"/>
        </w:numPr>
        <w:shd w:val="clear" w:color="auto" w:fill="auto"/>
        <w:tabs>
          <w:tab w:pos="670" w:val="left"/>
        </w:tabs>
        <w:bidi w:val="0"/>
        <w:spacing w:before="0" w:after="0"/>
        <w:ind w:left="0" w:right="0" w:firstLine="420"/>
        <w:jc w:val="both"/>
      </w:pPr>
      <w:bookmarkStart w:id="680" w:name="bookmark680"/>
      <w:bookmarkEnd w:id="680"/>
      <w:r>
        <w:rPr>
          <w:color w:val="000000"/>
          <w:spacing w:val="0"/>
          <w:w w:val="100"/>
          <w:position w:val="0"/>
        </w:rPr>
        <w:t xml:space="preserve">长效激励机制：进一步建立健全公司长效激励、约束机制，吸引和留住优秀人才，充分调动公司中高层管理人员及核 心技术、业务人员的积极性，有效地将股东利益、公司利益和经营者个人利益结合在一起，提高管理效率和经营管理者的积 </w:t>
      </w:r>
      <w:r>
        <w:rPr>
          <w:color w:val="000000"/>
          <w:spacing w:val="0"/>
          <w:w w:val="100"/>
          <w:position w:val="0"/>
        </w:rPr>
        <w:t>极性、创造性与责任心，提高公司可持续发展能力。</w:t>
      </w:r>
    </w:p>
    <w:p>
      <w:pPr>
        <w:pStyle w:val="Style31"/>
        <w:keepNext w:val="0"/>
        <w:keepLines w:val="0"/>
        <w:widowControl w:val="0"/>
        <w:numPr>
          <w:ilvl w:val="0"/>
          <w:numId w:val="59"/>
        </w:numPr>
        <w:shd w:val="clear" w:color="auto" w:fill="auto"/>
        <w:tabs>
          <w:tab w:pos="680" w:val="left"/>
        </w:tabs>
        <w:bidi w:val="0"/>
        <w:spacing w:before="0" w:after="0" w:line="317" w:lineRule="exact"/>
        <w:ind w:left="0" w:right="0" w:firstLine="380"/>
        <w:jc w:val="left"/>
      </w:pPr>
      <w:bookmarkStart w:id="681" w:name="bookmark681"/>
      <w:bookmarkEnd w:id="681"/>
      <w:r>
        <w:rPr>
          <w:color w:val="000000"/>
          <w:spacing w:val="0"/>
          <w:w w:val="100"/>
          <w:position w:val="0"/>
        </w:rPr>
        <w:t>多样性的激励措施：本着风险共担，利益共享，多维度激励优秀人才的原则，公司相继出台多项项目类奖励管理办法、 购房激励管理办法等有效措施，不断激发员工的创造力，增加员工归属感。</w:t>
      </w:r>
    </w:p>
    <w:p>
      <w:pPr>
        <w:pStyle w:val="Style31"/>
        <w:keepNext w:val="0"/>
        <w:keepLines w:val="0"/>
        <w:widowControl w:val="0"/>
        <w:numPr>
          <w:ilvl w:val="0"/>
          <w:numId w:val="59"/>
        </w:numPr>
        <w:shd w:val="clear" w:color="auto" w:fill="auto"/>
        <w:tabs>
          <w:tab w:pos="670" w:val="left"/>
        </w:tabs>
        <w:bidi w:val="0"/>
        <w:spacing w:before="0" w:after="340" w:line="317" w:lineRule="exact"/>
        <w:ind w:left="0" w:right="0" w:firstLine="380"/>
        <w:jc w:val="left"/>
      </w:pPr>
      <w:bookmarkStart w:id="682" w:name="bookmark682"/>
      <w:bookmarkEnd w:id="682"/>
      <w:r>
        <w:rPr>
          <w:color w:val="000000"/>
          <w:spacing w:val="0"/>
          <w:w w:val="100"/>
          <w:position w:val="0"/>
        </w:rPr>
        <w:t>强调干部能上能下、人才招聘采取内外结合的方式，使优秀人才在竞争中不断提升业务水平，同时，公司非常注重高 管团队综合能力的提升，通过内训、外出考察参观、对标学习等多种方式使高管团队经营管理水平不断提升。</w:t>
      </w:r>
    </w:p>
    <w:p>
      <w:pPr>
        <w:pStyle w:val="Style26"/>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九</w:t>
      </w:r>
      <w:bookmarkEnd w:id="685"/>
      <w:r>
        <w:rPr>
          <w:color w:val="000000"/>
          <w:spacing w:val="0"/>
          <w:w w:val="100"/>
          <w:position w:val="0"/>
          <w:sz w:val="24"/>
          <w:szCs w:val="24"/>
        </w:rPr>
        <w:t>、内部控制评价报告</w:t>
      </w:r>
      <w:bookmarkEnd w:id="683"/>
      <w:bookmarkEnd w:id="684"/>
      <w:bookmarkEnd w:id="686"/>
    </w:p>
    <w:p>
      <w:pPr>
        <w:pStyle w:val="Style34"/>
        <w:keepNext/>
        <w:keepLines/>
        <w:widowControl w:val="0"/>
        <w:shd w:val="clear" w:color="auto" w:fill="auto"/>
        <w:tabs>
          <w:tab w:pos="368" w:val="left"/>
        </w:tabs>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报告期内发现的内部控制重大缺陷的具体情况</w:t>
      </w:r>
      <w:bookmarkEnd w:id="687"/>
      <w:bookmarkEnd w:id="688"/>
      <w:bookmarkEnd w:id="690"/>
    </w:p>
    <w:p>
      <w:pPr>
        <w:pStyle w:val="Style3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口是"否</w:t>
      </w:r>
    </w:p>
    <w:p>
      <w:pPr>
        <w:pStyle w:val="Style34"/>
        <w:keepNext/>
        <w:keepLines/>
        <w:widowControl w:val="0"/>
        <w:shd w:val="clear" w:color="auto" w:fill="auto"/>
        <w:tabs>
          <w:tab w:pos="378" w:val="left"/>
        </w:tabs>
        <w:bidi w:val="0"/>
        <w:spacing w:before="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内控自我评价报告</w:t>
      </w:r>
      <w:bookmarkEnd w:id="691"/>
      <w:bookmarkEnd w:id="692"/>
      <w:bookmarkEnd w:id="694"/>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一般缺陷、重要缺陷、重大缺陷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一般缺陷、重要缺陷、重大缺陷</w:t>
            </w:r>
          </w:p>
        </w:tc>
      </w:tr>
      <w:tr>
        <w:trPr>
          <w:trHeight w:val="1651"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一般缺陷（潜在错报〈利润总额</w:t>
            </w:r>
            <w:r>
              <w:rPr>
                <w:color w:val="000000"/>
                <w:spacing w:val="0"/>
                <w:w w:val="100"/>
                <w:position w:val="0"/>
              </w:rPr>
              <w:t>*2%</w:t>
            </w:r>
            <w:r>
              <w:rPr>
                <w:rFonts w:ascii="SimSun" w:eastAsia="SimSun" w:hAnsi="SimSun" w:cs="SimSun"/>
                <w:color w:val="000000"/>
                <w:spacing w:val="0"/>
                <w:w w:val="100"/>
                <w:position w:val="0"/>
              </w:rPr>
              <w:t>）、 重要缺陷（利润总额</w:t>
            </w:r>
            <w:r>
              <w:rPr>
                <w:color w:val="000000"/>
                <w:spacing w:val="0"/>
                <w:w w:val="100"/>
                <w:position w:val="0"/>
              </w:rPr>
              <w:t xml:space="preserve">*2% </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潜在错报＜ 利润总额</w:t>
            </w:r>
            <w:r>
              <w:rPr>
                <w:color w:val="000000"/>
                <w:spacing w:val="0"/>
                <w:w w:val="100"/>
                <w:position w:val="0"/>
              </w:rPr>
              <w:t>*5%</w:t>
            </w:r>
            <w:r>
              <w:rPr>
                <w:rFonts w:ascii="SimSun" w:eastAsia="SimSun" w:hAnsi="SimSun" w:cs="SimSun"/>
                <w:color w:val="000000"/>
                <w:spacing w:val="0"/>
                <w:w w:val="100"/>
                <w:position w:val="0"/>
              </w:rPr>
              <w:t xml:space="preserve">）、重大缺陷（潜在错报 </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利润总额</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一般缺陷（直接财产损失金额〈利润 总额</w:t>
            </w:r>
            <w:r>
              <w:rPr>
                <w:color w:val="000000"/>
                <w:spacing w:val="0"/>
                <w:w w:val="100"/>
                <w:position w:val="0"/>
              </w:rPr>
              <w:t>*2%</w:t>
            </w:r>
            <w:r>
              <w:rPr>
                <w:rFonts w:ascii="SimSun" w:eastAsia="SimSun" w:hAnsi="SimSun" w:cs="SimSun"/>
                <w:color w:val="000000"/>
                <w:spacing w:val="0"/>
                <w:w w:val="100"/>
                <w:position w:val="0"/>
              </w:rPr>
              <w:t>）、重要缺陷（利润总额</w:t>
            </w:r>
            <w:r>
              <w:rPr>
                <w:color w:val="000000"/>
                <w:spacing w:val="0"/>
                <w:w w:val="100"/>
                <w:position w:val="0"/>
              </w:rPr>
              <w:t xml:space="preserve">*2% </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 xml:space="preserve">直接财产损失金额〈利润总额 </w:t>
            </w:r>
            <w:r>
              <w:rPr>
                <w:color w:val="000000"/>
                <w:spacing w:val="0"/>
                <w:w w:val="100"/>
                <w:position w:val="0"/>
              </w:rPr>
              <w:t>*5%</w:t>
            </w:r>
            <w:r>
              <w:rPr>
                <w:rFonts w:ascii="SimSun" w:eastAsia="SimSun" w:hAnsi="SimSun" w:cs="SimSun"/>
                <w:color w:val="000000"/>
                <w:spacing w:val="0"/>
                <w:w w:val="100"/>
                <w:position w:val="0"/>
              </w:rPr>
              <w:t>）、重大缺陷（直接财产损失金 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利润总额</w:t>
            </w:r>
            <w:r>
              <w:rPr>
                <w:color w:val="000000"/>
                <w:spacing w:val="0"/>
                <w:w w:val="100"/>
                <w:position w:val="0"/>
              </w:rPr>
              <w:t>*5%</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339" w:line="1" w:lineRule="exact"/>
      </w:pPr>
    </w:p>
    <w:p>
      <w:pPr>
        <w:pStyle w:val="Style26"/>
        <w:keepNext/>
        <w:keepLines/>
        <w:widowControl w:val="0"/>
        <w:shd w:val="clear" w:color="auto" w:fill="auto"/>
        <w:bidi w:val="0"/>
        <w:spacing w:before="0" w:after="260" w:line="240" w:lineRule="auto"/>
        <w:ind w:left="0" w:right="0" w:firstLine="0"/>
        <w:jc w:val="both"/>
      </w:pPr>
      <w:bookmarkStart w:id="695" w:name="bookmark695"/>
      <w:bookmarkStart w:id="696" w:name="bookmark696"/>
      <w:bookmarkStart w:id="697" w:name="bookmark697"/>
      <w:r>
        <w:rPr>
          <w:color w:val="000000"/>
          <w:spacing w:val="0"/>
          <w:w w:val="100"/>
          <w:position w:val="0"/>
          <w:sz w:val="24"/>
          <w:szCs w:val="24"/>
        </w:rPr>
        <w:t>十、内部控制审计报告或鉴证报告</w:t>
      </w:r>
      <w:bookmarkEnd w:id="695"/>
      <w:bookmarkEnd w:id="696"/>
      <w:bookmarkEnd w:id="697"/>
    </w:p>
    <w:p>
      <w:pPr>
        <w:pStyle w:val="Style31"/>
        <w:keepNext w:val="0"/>
        <w:keepLines w:val="0"/>
        <w:widowControl w:val="0"/>
        <w:shd w:val="clear" w:color="auto" w:fill="auto"/>
        <w:bidi w:val="0"/>
        <w:spacing w:before="0" w:after="60" w:line="322" w:lineRule="exact"/>
        <w:ind w:left="0" w:right="0" w:firstLine="0"/>
        <w:jc w:val="both"/>
      </w:pPr>
      <w:r>
        <w:rPr>
          <w:color w:val="000000"/>
          <w:spacing w:val="0"/>
          <w:w w:val="100"/>
          <w:position w:val="0"/>
        </w:rPr>
        <w:t>内部控制鉴证报告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center"/>
      </w:pPr>
      <w:r>
        <w:rPr>
          <w:color w:val="000000"/>
          <w:spacing w:val="0"/>
          <w:w w:val="100"/>
          <w:position w:val="0"/>
        </w:rPr>
        <w:t>内部控制鉴证报告中的审议意见段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22" w:lineRule="exact"/>
        <w:ind w:left="0" w:right="0" w:firstLine="0"/>
        <w:jc w:val="left"/>
      </w:pPr>
      <w:r>
        <w:rPr>
          <w:color w:val="000000"/>
          <w:spacing w:val="0"/>
          <w:w w:val="100"/>
          <w:position w:val="0"/>
        </w:rPr>
        <w:t>万马股份公司按照《企业内部控制基本规范》及相关规定于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日在所有重大方面保持了与财务报告相关 的有效的内部控制。</w:t>
      </w:r>
      <w:r>
        <w:br w:type="page"/>
      </w:r>
    </w:p>
    <w:tbl>
      <w:tblPr>
        <w:tblOverlap w:val="never"/>
        <w:jc w:val="center"/>
        <w:tblLayout w:type="fixed"/>
      </w:tblPr>
      <w:tblGrid>
        <w:gridCol w:w="3019"/>
        <w:gridCol w:w="6562"/>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1"/>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638" w:right="541" w:bottom="1585" w:left="1106" w:header="0" w:footer="3" w:gutter="0"/>
          <w:cols w:space="720"/>
          <w:noEndnote/>
          <w:rtlGutter w:val="0"/>
          <w:docGrid w:linePitch="360"/>
        </w:sectPr>
      </w:pPr>
      <w:r>
        <w:rPr>
          <w:color w:val="000000"/>
          <w:spacing w:val="0"/>
          <w:w w:val="100"/>
          <w:position w:val="0"/>
        </w:rPr>
        <w:t>”是□否</w:t>
      </w:r>
    </w:p>
    <w:p>
      <w:pPr>
        <w:pStyle w:val="Style9"/>
        <w:keepNext/>
        <w:keepLines/>
        <w:widowControl w:val="0"/>
        <w:shd w:val="clear" w:color="auto" w:fill="auto"/>
        <w:bidi w:val="0"/>
        <w:spacing w:before="0" w:after="420" w:line="240" w:lineRule="auto"/>
        <w:ind w:left="0" w:right="0" w:firstLine="0"/>
        <w:jc w:val="center"/>
      </w:pPr>
      <w:bookmarkStart w:id="698" w:name="bookmark698"/>
      <w:bookmarkStart w:id="699" w:name="bookmark699"/>
      <w:bookmarkStart w:id="700" w:name="bookmark700"/>
      <w:bookmarkStart w:id="701" w:name="bookmark701"/>
      <w:r>
        <w:rPr>
          <w:color w:val="000000"/>
          <w:spacing w:val="0"/>
          <w:w w:val="100"/>
          <w:position w:val="0"/>
        </w:rPr>
        <w:t>第十一节公司债券相关情况</w:t>
      </w:r>
      <w:bookmarkEnd w:id="699"/>
      <w:bookmarkEnd w:id="700"/>
      <w:bookmarkEnd w:id="701"/>
      <w:bookmarkEnd w:id="698"/>
    </w:p>
    <w:p>
      <w:pPr>
        <w:pStyle w:val="Style31"/>
        <w:keepNext w:val="0"/>
        <w:keepLines w:val="0"/>
        <w:widowControl w:val="0"/>
        <w:shd w:val="clear" w:color="auto" w:fill="auto"/>
        <w:bidi w:val="0"/>
        <w:spacing w:before="0" w:after="0" w:line="360" w:lineRule="exact"/>
        <w:ind w:left="0" w:right="0" w:firstLine="0"/>
        <w:jc w:val="left"/>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2180" w:right="541" w:bottom="2180" w:left="110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9"/>
        <w:keepNext/>
        <w:keepLines/>
        <w:widowControl w:val="0"/>
        <w:shd w:val="clear" w:color="auto" w:fill="auto"/>
        <w:bidi w:val="0"/>
        <w:spacing w:before="540" w:after="520" w:line="240" w:lineRule="auto"/>
        <w:ind w:left="0" w:right="0" w:firstLine="0"/>
        <w:jc w:val="center"/>
      </w:pPr>
      <w:bookmarkStart w:id="702" w:name="bookmark702"/>
      <w:bookmarkStart w:id="703" w:name="bookmark703"/>
      <w:bookmarkStart w:id="704" w:name="bookmark704"/>
      <w:bookmarkStart w:id="705" w:name="bookmark705"/>
      <w:r>
        <w:rPr>
          <w:color w:val="000000"/>
          <w:spacing w:val="0"/>
          <w:w w:val="100"/>
          <w:position w:val="0"/>
        </w:rPr>
        <w:t>第十二节财务报告</w:t>
      </w:r>
      <w:bookmarkEnd w:id="703"/>
      <w:bookmarkEnd w:id="704"/>
      <w:bookmarkEnd w:id="705"/>
      <w:bookmarkEnd w:id="702"/>
    </w:p>
    <w:p>
      <w:pPr>
        <w:pStyle w:val="Style29"/>
        <w:keepNext w:val="0"/>
        <w:keepLines w:val="0"/>
        <w:widowControl w:val="0"/>
        <w:shd w:val="clear" w:color="auto" w:fill="auto"/>
        <w:bidi w:val="0"/>
        <w:spacing w:before="0" w:after="0" w:line="240" w:lineRule="auto"/>
        <w:ind w:left="240" w:right="0" w:firstLine="0"/>
        <w:jc w:val="left"/>
        <w:rPr>
          <w:sz w:val="24"/>
          <w:szCs w:val="24"/>
        </w:rPr>
      </w:pPr>
      <w:bookmarkStart w:id="706" w:name="bookmark706"/>
      <w:r>
        <w:rPr>
          <w:b/>
          <w:bCs/>
          <w:color w:val="000000"/>
          <w:spacing w:val="0"/>
          <w:w w:val="100"/>
          <w:position w:val="0"/>
          <w:sz w:val="24"/>
          <w:szCs w:val="24"/>
        </w:rPr>
        <w:t>、审计报告</w:t>
      </w:r>
      <w:bookmarkEnd w:id="706"/>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XYZH/202</w:t>
            </w:r>
            <w:r>
              <w:rPr>
                <w:color w:val="000000"/>
                <w:spacing w:val="0"/>
                <w:w w:val="100"/>
                <w:position w:val="0"/>
              </w:rPr>
              <w:t>1</w:t>
            </w:r>
            <w:r>
              <w:rPr>
                <w:color w:val="000000"/>
                <w:spacing w:val="0"/>
                <w:w w:val="100"/>
                <w:position w:val="0"/>
              </w:rPr>
              <w:t>SHAA</w:t>
            </w:r>
            <w:r>
              <w:rPr>
                <w:color w:val="000000"/>
                <w:spacing w:val="0"/>
                <w:w w:val="100"/>
                <w:position w:val="0"/>
              </w:rPr>
              <w:t>10022</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叶胜平、提汝明</w:t>
            </w:r>
          </w:p>
        </w:tc>
      </w:tr>
    </w:tbl>
    <w:p>
      <w:pPr>
        <w:widowControl w:val="0"/>
        <w:spacing w:after="279" w:line="1" w:lineRule="exact"/>
      </w:pPr>
    </w:p>
    <w:p>
      <w:pPr>
        <w:pStyle w:val="Style38"/>
        <w:keepNext w:val="0"/>
        <w:keepLines w:val="0"/>
        <w:widowControl w:val="0"/>
        <w:shd w:val="clear" w:color="auto" w:fill="auto"/>
        <w:bidi w:val="0"/>
        <w:spacing w:before="0" w:after="0" w:line="311" w:lineRule="exact"/>
        <w:ind w:left="0" w:right="0" w:firstLine="0"/>
        <w:jc w:val="center"/>
        <w:rPr>
          <w:sz w:val="22"/>
          <w:szCs w:val="22"/>
        </w:rPr>
      </w:pPr>
      <w:r>
        <w:rPr>
          <w:b/>
          <w:bCs/>
          <w:color w:val="000000"/>
          <w:spacing w:val="0"/>
          <w:w w:val="100"/>
          <w:position w:val="0"/>
          <w:sz w:val="22"/>
          <w:szCs w:val="22"/>
        </w:rPr>
        <w:t>审计报告</w:t>
      </w:r>
    </w:p>
    <w:p>
      <w:pPr>
        <w:pStyle w:val="Style38"/>
        <w:keepNext w:val="0"/>
        <w:keepLines w:val="0"/>
        <w:widowControl w:val="0"/>
        <w:shd w:val="clear" w:color="auto" w:fill="auto"/>
        <w:bidi w:val="0"/>
        <w:spacing w:before="0" w:after="0" w:line="311" w:lineRule="exact"/>
        <w:ind w:left="0" w:right="0" w:firstLine="7680"/>
        <w:jc w:val="both"/>
        <w:rPr>
          <w:sz w:val="22"/>
          <w:szCs w:val="22"/>
        </w:rPr>
      </w:pPr>
      <w:r>
        <w:rPr>
          <w:color w:val="000000"/>
          <w:spacing w:val="0"/>
          <w:w w:val="100"/>
          <w:position w:val="0"/>
          <w:sz w:val="22"/>
          <w:szCs w:val="22"/>
        </w:rPr>
        <w:t xml:space="preserve">XYZH/2021SHAA10022 </w:t>
      </w:r>
      <w:r>
        <w:rPr>
          <w:b/>
          <w:bCs/>
          <w:color w:val="000000"/>
          <w:spacing w:val="0"/>
          <w:w w:val="100"/>
          <w:position w:val="0"/>
          <w:sz w:val="22"/>
          <w:szCs w:val="22"/>
        </w:rPr>
        <w:t>浙江万马股份有限公司全体股东：</w:t>
      </w:r>
    </w:p>
    <w:p>
      <w:pPr>
        <w:pStyle w:val="Style38"/>
        <w:keepNext w:val="0"/>
        <w:keepLines w:val="0"/>
        <w:widowControl w:val="0"/>
        <w:shd w:val="clear" w:color="auto" w:fill="auto"/>
        <w:bidi w:val="0"/>
        <w:spacing w:before="0" w:after="0" w:line="311" w:lineRule="exact"/>
        <w:ind w:left="0" w:right="0" w:firstLine="460"/>
        <w:jc w:val="left"/>
        <w:rPr>
          <w:sz w:val="22"/>
          <w:szCs w:val="22"/>
        </w:rPr>
      </w:pPr>
      <w:r>
        <w:rPr>
          <w:b/>
          <w:bCs/>
          <w:color w:val="000000"/>
          <w:spacing w:val="0"/>
          <w:w w:val="100"/>
          <w:position w:val="0"/>
          <w:sz w:val="22"/>
          <w:szCs w:val="22"/>
        </w:rPr>
        <w:t>审计意见</w:t>
      </w:r>
    </w:p>
    <w:p>
      <w:pPr>
        <w:pStyle w:val="Style38"/>
        <w:keepNext w:val="0"/>
        <w:keepLines w:val="0"/>
        <w:widowControl w:val="0"/>
        <w:shd w:val="clear" w:color="auto" w:fill="auto"/>
        <w:bidi w:val="0"/>
        <w:spacing w:before="0" w:after="0" w:line="311" w:lineRule="exact"/>
        <w:ind w:left="0" w:right="0" w:firstLine="460"/>
        <w:jc w:val="left"/>
        <w:rPr>
          <w:sz w:val="22"/>
          <w:szCs w:val="22"/>
        </w:rPr>
      </w:pPr>
      <w:r>
        <w:rPr>
          <w:color w:val="000000"/>
          <w:spacing w:val="0"/>
          <w:w w:val="100"/>
          <w:position w:val="0"/>
          <w:sz w:val="22"/>
          <w:szCs w:val="22"/>
        </w:rPr>
        <w:t>我们审计了浙江万马股份有限公司（以下简称万马股份公司）财务报表，包括2020年12月31日的 合并及母公司资产负债表，2020年度的合并及母公司利润表、合并及母公司现金流量表、合并及母公 司股东权益变动表，以及相关财务报表附注。</w:t>
      </w:r>
    </w:p>
    <w:p>
      <w:pPr>
        <w:pStyle w:val="Style38"/>
        <w:keepNext w:val="0"/>
        <w:keepLines w:val="0"/>
        <w:widowControl w:val="0"/>
        <w:shd w:val="clear" w:color="auto" w:fill="auto"/>
        <w:bidi w:val="0"/>
        <w:spacing w:before="0" w:after="0" w:line="311" w:lineRule="exact"/>
        <w:ind w:left="0" w:right="0" w:firstLine="460"/>
        <w:jc w:val="left"/>
        <w:rPr>
          <w:sz w:val="22"/>
          <w:szCs w:val="22"/>
        </w:rPr>
      </w:pPr>
      <w:r>
        <w:rPr>
          <w:color w:val="000000"/>
          <w:spacing w:val="0"/>
          <w:w w:val="100"/>
          <w:position w:val="0"/>
          <w:sz w:val="22"/>
          <w:szCs w:val="22"/>
        </w:rPr>
        <w:t>我们认为，后附的财务报表在所有重大方面按照企业会计准则的规定编制，公允反映了万马股份 公司2020年12月31日的合并及母公司财务状况以及2020年度的合并及母公司经营成果和现金流量。</w:t>
      </w:r>
    </w:p>
    <w:p>
      <w:pPr>
        <w:pStyle w:val="Style38"/>
        <w:keepNext w:val="0"/>
        <w:keepLines w:val="0"/>
        <w:widowControl w:val="0"/>
        <w:shd w:val="clear" w:color="auto" w:fill="auto"/>
        <w:bidi w:val="0"/>
        <w:spacing w:before="0" w:after="0" w:line="311" w:lineRule="exact"/>
        <w:ind w:left="0" w:right="0" w:firstLine="460"/>
        <w:jc w:val="left"/>
        <w:rPr>
          <w:sz w:val="22"/>
          <w:szCs w:val="22"/>
        </w:rPr>
      </w:pPr>
      <w:r>
        <w:rPr>
          <w:b/>
          <w:bCs/>
          <w:color w:val="000000"/>
          <w:spacing w:val="0"/>
          <w:w w:val="100"/>
          <w:position w:val="0"/>
          <w:sz w:val="22"/>
          <w:szCs w:val="22"/>
        </w:rPr>
        <w:t>形成审计意见的基础</w:t>
      </w:r>
    </w:p>
    <w:p>
      <w:pPr>
        <w:pStyle w:val="Style38"/>
        <w:keepNext w:val="0"/>
        <w:keepLines w:val="0"/>
        <w:widowControl w:val="0"/>
        <w:shd w:val="clear" w:color="auto" w:fill="auto"/>
        <w:bidi w:val="0"/>
        <w:spacing w:before="0" w:after="0" w:line="311" w:lineRule="exact"/>
        <w:ind w:left="0" w:right="0" w:firstLine="460"/>
        <w:jc w:val="left"/>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注册会计师对财务报表 审计的责任</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部分进一步阐述了我们在这些准则下的责任。按照中国注册会计师职业道德守则，我们 独立于万马股份公司，并履行了职业道德方面的其他责任。我们相信，我们获取的审计证据是充分、 适当的，为发表审计意见提供了基础。</w:t>
      </w:r>
    </w:p>
    <w:p>
      <w:pPr>
        <w:pStyle w:val="Style38"/>
        <w:keepNext w:val="0"/>
        <w:keepLines w:val="0"/>
        <w:widowControl w:val="0"/>
        <w:shd w:val="clear" w:color="auto" w:fill="auto"/>
        <w:bidi w:val="0"/>
        <w:spacing w:before="0" w:after="0" w:line="311" w:lineRule="exact"/>
        <w:ind w:left="0" w:right="0" w:firstLine="460"/>
        <w:jc w:val="left"/>
        <w:rPr>
          <w:sz w:val="22"/>
          <w:szCs w:val="22"/>
        </w:rPr>
      </w:pPr>
      <w:r>
        <w:rPr>
          <w:b/>
          <w:bCs/>
          <w:color w:val="000000"/>
          <w:spacing w:val="0"/>
          <w:w w:val="100"/>
          <w:position w:val="0"/>
          <w:sz w:val="22"/>
          <w:szCs w:val="22"/>
        </w:rPr>
        <w:t>关键审计事项</w:t>
      </w:r>
    </w:p>
    <w:p>
      <w:pPr>
        <w:pStyle w:val="Style38"/>
        <w:keepNext w:val="0"/>
        <w:keepLines w:val="0"/>
        <w:widowControl w:val="0"/>
        <w:shd w:val="clear" w:color="auto" w:fill="auto"/>
        <w:bidi w:val="0"/>
        <w:spacing w:before="0" w:after="60" w:line="311" w:lineRule="exact"/>
        <w:ind w:left="0" w:right="0" w:firstLine="460"/>
        <w:jc w:val="left"/>
        <w:rPr>
          <w:sz w:val="22"/>
          <w:szCs w:val="22"/>
        </w:rPr>
      </w:pPr>
      <w:r>
        <w:rPr>
          <w:color w:val="000000"/>
          <w:spacing w:val="0"/>
          <w:w w:val="100"/>
          <w:position w:val="0"/>
          <w:sz w:val="22"/>
          <w:szCs w:val="22"/>
        </w:rPr>
        <w:t>关键审计事项是我们根据职业判断，认为对本期财务报表审计最为重要的事项。这些事项的应对</w:t>
      </w:r>
    </w:p>
    <w:p>
      <w:pPr>
        <w:pStyle w:val="Style29"/>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以对财务报表整体进行审计并形成审计意见为背景，我们不对这些事项单独发表意见。</w:t>
      </w:r>
    </w:p>
    <w:tbl>
      <w:tblPr>
        <w:tblOverlap w:val="never"/>
        <w:jc w:val="left"/>
        <w:tblLayout w:type="fixed"/>
      </w:tblPr>
      <w:tblGrid>
        <w:gridCol w:w="4114"/>
        <w:gridCol w:w="5381"/>
      </w:tblGrid>
      <w:tr>
        <w:trPr>
          <w:trHeight w:val="384"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应收账款坏账准备计提事项</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审计中的应对</w:t>
            </w:r>
          </w:p>
        </w:tc>
      </w:tr>
      <w:tr>
        <w:trPr>
          <w:trHeight w:val="25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400"/>
              <w:jc w:val="both"/>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日，万马股份公司的应收账 款余额为</w:t>
            </w:r>
            <w:r>
              <w:rPr>
                <w:color w:val="000000"/>
                <w:spacing w:val="0"/>
                <w:w w:val="100"/>
                <w:position w:val="0"/>
              </w:rPr>
              <w:t>2,868,317,025.35</w:t>
            </w:r>
            <w:r>
              <w:rPr>
                <w:rFonts w:ascii="SimSun" w:eastAsia="SimSun" w:hAnsi="SimSun" w:cs="SimSun"/>
                <w:color w:val="000000"/>
                <w:spacing w:val="0"/>
                <w:w w:val="100"/>
                <w:position w:val="0"/>
              </w:rPr>
              <w:t xml:space="preserve">元，坏账准备余额为 </w:t>
            </w:r>
            <w:r>
              <w:rPr>
                <w:color w:val="000000"/>
                <w:spacing w:val="0"/>
                <w:w w:val="100"/>
                <w:position w:val="0"/>
              </w:rPr>
              <w:t>181,522,096.7</w:t>
            </w:r>
            <w:r>
              <w:rPr>
                <w:rFonts w:ascii="SimSun" w:eastAsia="SimSun" w:hAnsi="SimSun" w:cs="SimSun"/>
                <w:color w:val="000000"/>
                <w:spacing w:val="0"/>
                <w:w w:val="100"/>
                <w:position w:val="0"/>
              </w:rPr>
              <w:t>元，账面价值较高。若应收账款不能按 期收回或无法收回而发生坏账，对财务报表影响较 为重大，且坏账准备的计提涉及管理层的判断和估 计，故列为关键审计事项。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360"/>
              <w:jc w:val="left"/>
            </w:pPr>
            <w:r>
              <w:rPr>
                <w:rFonts w:ascii="SimSun" w:eastAsia="SimSun" w:hAnsi="SimSun" w:cs="SimSun"/>
                <w:color w:val="000000"/>
                <w:spacing w:val="0"/>
                <w:w w:val="100"/>
                <w:position w:val="0"/>
              </w:rPr>
              <w:t>我们执行的主要审计程序如下：</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我们审阅万马股份公司应收账款计提的内控流程，评估关键假设及 数据的合理性。</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我们审阅万马股份公司应收账款的坏账准备计提过程，评估所采用 坏账准备计提会计政策的合理性。</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我们分析及比较万马股份公司本年度及过去应收账款的坏账准备 的合理及一致性。</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我们与管理层讨论应收账款回收情况及可能存在的回收风险。</w:t>
            </w:r>
          </w:p>
        </w:tc>
      </w:tr>
      <w:tr>
        <w:trPr>
          <w:trHeight w:val="379"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套期会计事项</w:t>
            </w:r>
          </w:p>
        </w:tc>
      </w:tr>
      <w:tr>
        <w:trPr>
          <w:trHeight w:val="3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关键审计事项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审计中的应对</w:t>
            </w:r>
          </w:p>
        </w:tc>
      </w:tr>
    </w:tbl>
    <w:p>
      <w:pPr>
        <w:widowControl w:val="0"/>
        <w:spacing w:line="1" w:lineRule="exact"/>
        <w:sectPr>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left"/>
        <w:tblLayout w:type="fixed"/>
      </w:tblPr>
      <w:tblGrid>
        <w:gridCol w:w="4114"/>
        <w:gridCol w:w="5381"/>
      </w:tblGrid>
      <w:tr>
        <w:trPr>
          <w:trHeight w:val="38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480"/>
              <w:jc w:val="both"/>
            </w:pPr>
            <w:r>
              <w:rPr>
                <w:rFonts w:ascii="SimSun" w:eastAsia="SimSun" w:hAnsi="SimSun" w:cs="SimSun"/>
                <w:color w:val="000000"/>
                <w:spacing w:val="0"/>
                <w:w w:val="100"/>
                <w:position w:val="0"/>
              </w:rPr>
              <w:t>万马股份公司将期铜合约作为套期工具、将很 可能发生的预期交易（铜的采购）作为被套期项目 开展套期保值业务。如万马股份公司合并财务报表 附注七、</w:t>
            </w:r>
            <w:r>
              <w:rPr>
                <w:color w:val="000000"/>
                <w:spacing w:val="0"/>
                <w:w w:val="100"/>
                <w:position w:val="0"/>
              </w:rPr>
              <w:t>60</w:t>
            </w:r>
            <w:r>
              <w:rPr>
                <w:rFonts w:ascii="SimSun" w:eastAsia="SimSun" w:hAnsi="SimSun" w:cs="SimSun"/>
                <w:color w:val="000000"/>
                <w:spacing w:val="0"/>
                <w:w w:val="100"/>
                <w:position w:val="0"/>
              </w:rPr>
              <w:t>所述，截止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日，万马股份 公司套期工具累计利得或损失</w:t>
            </w:r>
            <w:r>
              <w:rPr>
                <w:color w:val="000000"/>
                <w:spacing w:val="0"/>
                <w:w w:val="100"/>
                <w:position w:val="0"/>
              </w:rPr>
              <w:t>201,657,969.89</w:t>
            </w:r>
            <w:r>
              <w:rPr>
                <w:rFonts w:ascii="SimSun" w:eastAsia="SimSun" w:hAnsi="SimSun" w:cs="SimSun"/>
                <w:color w:val="000000"/>
                <w:spacing w:val="0"/>
                <w:w w:val="100"/>
                <w:position w:val="0"/>
              </w:rPr>
              <w:t>元，套 期储备余额</w:t>
            </w:r>
            <w:r>
              <w:rPr>
                <w:color w:val="000000"/>
                <w:spacing w:val="0"/>
                <w:w w:val="100"/>
                <w:position w:val="0"/>
              </w:rPr>
              <w:t>96,915,145.10</w:t>
            </w:r>
            <w:r>
              <w:rPr>
                <w:rFonts w:ascii="SimSun" w:eastAsia="SimSun" w:hAnsi="SimSun" w:cs="SimSun"/>
                <w:color w:val="000000"/>
                <w:spacing w:val="0"/>
                <w:w w:val="100"/>
                <w:position w:val="0"/>
              </w:rPr>
              <w:t>元，涉及的金额比较大且套 期会计处理较为复杂，故列为关键审计事项。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260"/>
              <w:jc w:val="both"/>
            </w:pPr>
            <w:r>
              <w:rPr>
                <w:rFonts w:ascii="SimSun" w:eastAsia="SimSun" w:hAnsi="SimSun" w:cs="SimSun"/>
                <w:color w:val="000000"/>
                <w:spacing w:val="0"/>
                <w:w w:val="100"/>
                <w:position w:val="0"/>
              </w:rPr>
              <w:t>我们执行的主要审计程序如下：</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我们审阅万马股份公司套期会计相关的内部控制的设计与执行情 况。</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我们审阅万马股份公司套期会计的核算程序，评估所采用套期会计 政策的合理性。</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我们取得万马股份公司套期会计业务台账核对至期铜保证金账户 对账单，检查分析套期损益的合理性。</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我们采用抽样方式，对被套期项目铜的采购核对至采购合同等支持 性文件；通过与管理层讨论及审阅相关支持性文件，评估套期有效 性的合理性。</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我们执行期铜保证金账户的函证程序，检查套期会计相关科目期末 余额的准确性。</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sz w:val="18"/>
                <w:szCs w:val="18"/>
              </w:rPr>
              <w:t>商誉减值事项</w:t>
            </w: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480"/>
              <w:jc w:val="both"/>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日，万马股份公司非同一控 制下并购浙江万马集团特种电子电缆有限公司形成 商誉</w:t>
            </w:r>
            <w:r>
              <w:rPr>
                <w:color w:val="000000"/>
                <w:spacing w:val="0"/>
                <w:w w:val="100"/>
                <w:position w:val="0"/>
              </w:rPr>
              <w:t>295,460,125.84</w:t>
            </w:r>
            <w:r>
              <w:rPr>
                <w:rFonts w:ascii="SimSun" w:eastAsia="SimSun" w:hAnsi="SimSun" w:cs="SimSun"/>
                <w:color w:val="000000"/>
                <w:spacing w:val="0"/>
                <w:w w:val="100"/>
                <w:position w:val="0"/>
              </w:rPr>
              <w:t>元，因商誉金额重大，且商誉减 值准备的计提涉及管理层的判断和估计，故为关键 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360"/>
              <w:jc w:val="both"/>
            </w:pPr>
            <w:r>
              <w:rPr>
                <w:rFonts w:ascii="SimSun" w:eastAsia="SimSun" w:hAnsi="SimSun" w:cs="SimSun"/>
                <w:color w:val="000000"/>
                <w:spacing w:val="0"/>
                <w:w w:val="100"/>
                <w:position w:val="0"/>
              </w:rPr>
              <w:t>我们执行的主要审计程序如下：</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了解商誉减值评估管理的流程和控制；</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评价管理层向外聘专家提供的数据的准确性及相关性；</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评价商誉减值测试的估值方法、资产组划分的合理性；</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评价管理层采用的估值模型中采用的关键假设的适当性及所引用 参数的合理性；</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将预计未来现金流量现值时的基础数据与历史数据及其他支持性 证据进行核对，并考虑合理性；</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基于我们对事实和情况的了解，评价管理层在减值测试中预计未来 现金流量现值时运用的重大估计和判断的合理性。</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借助专家复核管理层外聘专家商誉相关资产组价值评估方法的合 理性及价值结果的合理性。</w:t>
            </w:r>
          </w:p>
        </w:tc>
      </w:tr>
    </w:tbl>
    <w:p>
      <w:pPr>
        <w:widowControl w:val="0"/>
        <w:spacing w:after="99" w:line="1" w:lineRule="exact"/>
      </w:pPr>
    </w:p>
    <w:p>
      <w:pPr>
        <w:pStyle w:val="Style38"/>
        <w:keepNext w:val="0"/>
        <w:keepLines w:val="0"/>
        <w:widowControl w:val="0"/>
        <w:shd w:val="clear" w:color="auto" w:fill="auto"/>
        <w:bidi w:val="0"/>
        <w:spacing w:before="0" w:after="200" w:line="240" w:lineRule="auto"/>
        <w:ind w:left="0" w:right="0" w:firstLine="460"/>
        <w:jc w:val="left"/>
        <w:rPr>
          <w:sz w:val="22"/>
          <w:szCs w:val="22"/>
        </w:rPr>
      </w:pPr>
      <w:r>
        <w:rPr>
          <w:b/>
          <w:bCs/>
          <w:color w:val="000000"/>
          <w:spacing w:val="0"/>
          <w:w w:val="100"/>
          <w:position w:val="0"/>
          <w:sz w:val="22"/>
          <w:szCs w:val="22"/>
        </w:rPr>
        <w:t>其他信息</w:t>
      </w:r>
    </w:p>
    <w:p>
      <w:pPr>
        <w:pStyle w:val="Style38"/>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 xml:space="preserve">万马股份公司管理层（以下简称管理层）对其他信息负责。其他信息包括万马股份公司2020年年度 </w:t>
      </w:r>
      <w:r>
        <w:rPr>
          <w:color w:val="000000"/>
          <w:spacing w:val="0"/>
          <w:w w:val="100"/>
          <w:position w:val="0"/>
          <w:sz w:val="22"/>
          <w:szCs w:val="22"/>
        </w:rPr>
        <w:t>报告中涵盖的信息，但不包括财务报表和我们的审计报告。</w:t>
      </w:r>
    </w:p>
    <w:p>
      <w:pPr>
        <w:pStyle w:val="Style38"/>
        <w:keepNext w:val="0"/>
        <w:keepLines w:val="0"/>
        <w:widowControl w:val="0"/>
        <w:shd w:val="clear" w:color="auto" w:fill="auto"/>
        <w:bidi w:val="0"/>
        <w:spacing w:before="0" w:after="0" w:line="467" w:lineRule="exact"/>
        <w:ind w:left="0" w:right="0" w:firstLine="460"/>
        <w:jc w:val="left"/>
        <w:rPr>
          <w:sz w:val="22"/>
          <w:szCs w:val="22"/>
        </w:rPr>
      </w:pPr>
      <w:r>
        <w:rPr>
          <w:color w:val="000000"/>
          <w:spacing w:val="0"/>
          <w:w w:val="100"/>
          <w:position w:val="0"/>
          <w:sz w:val="22"/>
          <w:szCs w:val="22"/>
        </w:rPr>
        <w:t>我们对财务报表发表的审计意见不涵盖其他信息，我们也不对其他信息发表任何形式的鉴证结 论。</w:t>
      </w:r>
    </w:p>
    <w:p>
      <w:pPr>
        <w:pStyle w:val="Style38"/>
        <w:keepNext w:val="0"/>
        <w:keepLines w:val="0"/>
        <w:widowControl w:val="0"/>
        <w:shd w:val="clear" w:color="auto" w:fill="auto"/>
        <w:bidi w:val="0"/>
        <w:spacing w:before="0" w:after="0" w:line="467" w:lineRule="exact"/>
        <w:ind w:left="0" w:right="0" w:firstLine="460"/>
        <w:jc w:val="left"/>
        <w:rPr>
          <w:sz w:val="22"/>
          <w:szCs w:val="22"/>
        </w:rPr>
      </w:pPr>
      <w:r>
        <w:rPr>
          <w:color w:val="000000"/>
          <w:spacing w:val="0"/>
          <w:w w:val="100"/>
          <w:position w:val="0"/>
          <w:sz w:val="22"/>
          <w:szCs w:val="22"/>
        </w:rPr>
        <w:t>结合我们对财务报表的审计，我们的责任是阅读其他信息，在此过程中，考虑其他信息是否与财 务报表或我们在审计过程中了解到的情况存在重大不一致或者似乎存在重大错报。</w:t>
      </w:r>
    </w:p>
    <w:p>
      <w:pPr>
        <w:pStyle w:val="Style38"/>
        <w:keepNext w:val="0"/>
        <w:keepLines w:val="0"/>
        <w:widowControl w:val="0"/>
        <w:shd w:val="clear" w:color="auto" w:fill="auto"/>
        <w:bidi w:val="0"/>
        <w:spacing w:before="0" w:after="0" w:line="467" w:lineRule="exact"/>
        <w:ind w:left="0" w:right="0" w:firstLine="460"/>
        <w:jc w:val="left"/>
        <w:rPr>
          <w:sz w:val="22"/>
          <w:szCs w:val="22"/>
        </w:rPr>
      </w:pPr>
      <w:r>
        <w:rPr>
          <w:color w:val="000000"/>
          <w:spacing w:val="0"/>
          <w:w w:val="100"/>
          <w:position w:val="0"/>
          <w:sz w:val="22"/>
          <w:szCs w:val="22"/>
        </w:rPr>
        <w:t>基于我们已执行的工作，如果我们确定其他信息存在重大错报，我们应当报告该事实。在这方面, 我们无任何事项需要报告。</w:t>
      </w:r>
    </w:p>
    <w:p>
      <w:pPr>
        <w:pStyle w:val="Style38"/>
        <w:keepNext w:val="0"/>
        <w:keepLines w:val="0"/>
        <w:widowControl w:val="0"/>
        <w:shd w:val="clear" w:color="auto" w:fill="auto"/>
        <w:bidi w:val="0"/>
        <w:spacing w:before="0" w:after="0" w:line="467" w:lineRule="exact"/>
        <w:ind w:left="0" w:right="0" w:firstLine="460"/>
        <w:jc w:val="both"/>
        <w:rPr>
          <w:sz w:val="22"/>
          <w:szCs w:val="22"/>
        </w:rPr>
      </w:pPr>
      <w:r>
        <w:rPr>
          <w:b/>
          <w:bCs/>
          <w:color w:val="000000"/>
          <w:spacing w:val="0"/>
          <w:w w:val="100"/>
          <w:position w:val="0"/>
          <w:sz w:val="22"/>
          <w:szCs w:val="22"/>
        </w:rPr>
        <w:t>管理层和治理层对财务报表的责任</w:t>
      </w:r>
    </w:p>
    <w:p>
      <w:pPr>
        <w:pStyle w:val="Style38"/>
        <w:keepNext w:val="0"/>
        <w:keepLines w:val="0"/>
        <w:widowControl w:val="0"/>
        <w:shd w:val="clear" w:color="auto" w:fill="auto"/>
        <w:bidi w:val="0"/>
        <w:spacing w:before="0" w:after="0" w:line="467" w:lineRule="exact"/>
        <w:ind w:left="0" w:right="0" w:firstLine="460"/>
        <w:jc w:val="left"/>
        <w:rPr>
          <w:sz w:val="22"/>
          <w:szCs w:val="22"/>
        </w:rPr>
      </w:pPr>
      <w:r>
        <w:rPr>
          <w:color w:val="000000"/>
          <w:spacing w:val="0"/>
          <w:w w:val="100"/>
          <w:position w:val="0"/>
          <w:sz w:val="22"/>
          <w:szCs w:val="22"/>
        </w:rPr>
        <w:t>管理层负责按照企业会计准则的规定编制财务报表，使其实现公允反映，并设计、执行和维护必 要的内部控制，以使财务报表不存在由于舞弊或错误导致的重大错报。</w:t>
      </w:r>
    </w:p>
    <w:p>
      <w:pPr>
        <w:pStyle w:val="Style3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在编制财务报表时，管理层负责评估万马股份公司的持续经营能力，披露与持续经营相关的事项 （如适用），并运用持续经营假设，除非管理层计划清算万马股份公司、终止运营或别无其他现实的 选择。</w:t>
      </w:r>
    </w:p>
    <w:p>
      <w:pPr>
        <w:pStyle w:val="Style3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治理层负责监督万马股份公司的财务报告过程。</w:t>
      </w:r>
    </w:p>
    <w:p>
      <w:pPr>
        <w:pStyle w:val="Style38"/>
        <w:keepNext w:val="0"/>
        <w:keepLines w:val="0"/>
        <w:widowControl w:val="0"/>
        <w:shd w:val="clear" w:color="auto" w:fill="auto"/>
        <w:bidi w:val="0"/>
        <w:spacing w:before="0" w:after="0" w:line="468" w:lineRule="exact"/>
        <w:ind w:left="0" w:right="0" w:firstLine="460"/>
        <w:jc w:val="both"/>
        <w:rPr>
          <w:sz w:val="22"/>
          <w:szCs w:val="22"/>
        </w:rPr>
      </w:pPr>
      <w:r>
        <w:rPr>
          <w:b/>
          <w:bCs/>
          <w:color w:val="000000"/>
          <w:spacing w:val="0"/>
          <w:w w:val="100"/>
          <w:position w:val="0"/>
          <w:sz w:val="22"/>
          <w:szCs w:val="22"/>
        </w:rPr>
        <w:t>注册会计师对财务报表审计的责任</w:t>
      </w:r>
    </w:p>
    <w:p>
      <w:pPr>
        <w:pStyle w:val="Style3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3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在按照审计准则执行审计工作的过程中，我们运用职业判断，并保持职业怀疑。同时，我们也执 行以下工作：</w:t>
      </w:r>
    </w:p>
    <w:p>
      <w:pPr>
        <w:pStyle w:val="Style3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识别和评估由于舞弊或错误导致的财务报表重大错报风险，设计和实施审计程序以应对这些风 险，并获取充分、适当的审计证据，作为发表审计意见的基础。由于舞弊可能涉及串通、伪造、故意 遗漏、虚假陈述或凌驾于内部控制之上，未能发现由于舞弊导致的重大错报的风险高于未能发现由于 错误导致的重大错报的风险。</w:t>
      </w:r>
    </w:p>
    <w:p>
      <w:pPr>
        <w:pStyle w:val="Style38"/>
        <w:keepNext w:val="0"/>
        <w:keepLines w:val="0"/>
        <w:widowControl w:val="0"/>
        <w:shd w:val="clear" w:color="auto" w:fill="auto"/>
        <w:bidi w:val="0"/>
        <w:spacing w:before="0" w:after="0" w:line="509" w:lineRule="exact"/>
        <w:ind w:left="460" w:right="0" w:firstLine="0"/>
        <w:jc w:val="left"/>
        <w:rPr>
          <w:sz w:val="22"/>
          <w:szCs w:val="22"/>
        </w:rPr>
      </w:pPr>
      <w:r>
        <w:rPr>
          <w:color w:val="000000"/>
          <w:spacing w:val="0"/>
          <w:w w:val="100"/>
          <w:position w:val="0"/>
          <w:sz w:val="22"/>
          <w:szCs w:val="22"/>
        </w:rPr>
        <w:t>了解与审计相关的内部控制，以设计恰当的审计程序，但目的并非对内部控制的有效性发表意见。 评价管理层选用会计政策的恰当性和作出会计估计及相关披露的合理性。</w:t>
      </w:r>
    </w:p>
    <w:p>
      <w:pPr>
        <w:pStyle w:val="Style38"/>
        <w:keepNext w:val="0"/>
        <w:keepLines w:val="0"/>
        <w:widowControl w:val="0"/>
        <w:shd w:val="clear" w:color="auto" w:fill="auto"/>
        <w:bidi w:val="0"/>
        <w:spacing w:before="0" w:after="0" w:line="470" w:lineRule="exact"/>
        <w:ind w:left="0" w:right="0" w:firstLine="460"/>
        <w:jc w:val="both"/>
        <w:rPr>
          <w:sz w:val="22"/>
          <w:szCs w:val="22"/>
        </w:rPr>
      </w:pPr>
      <w:r>
        <w:rPr>
          <w:color w:val="000000"/>
          <w:spacing w:val="0"/>
          <w:w w:val="100"/>
          <w:position w:val="0"/>
          <w:sz w:val="22"/>
          <w:szCs w:val="22"/>
        </w:rPr>
        <w:t>对管理层使用持续经营假设的恰当性得出结论。同时，根据获取的审计证据，就可能导致对万马 股份公司持续经营能力产生重大疑虑的事项或情况是否存在重大不确定性得出结论。如果我们得出结 论认为存在重大不确定性，审计准则要求我们在审计报告中提请报表使用者注意财务报表中的相关披 露；如果披露不充分，我们应当发表非无保留意见。我们的结论基于截至审计报告日可获得的信息。 然而，未来的事项或情况可能导致万马股份公司不能持续经营。</w:t>
      </w:r>
    </w:p>
    <w:p>
      <w:pPr>
        <w:pStyle w:val="Style38"/>
        <w:keepNext w:val="0"/>
        <w:keepLines w:val="0"/>
        <w:widowControl w:val="0"/>
        <w:shd w:val="clear" w:color="auto" w:fill="auto"/>
        <w:bidi w:val="0"/>
        <w:spacing w:before="0" w:after="0" w:line="470" w:lineRule="exact"/>
        <w:ind w:left="0" w:right="0" w:firstLine="460"/>
        <w:jc w:val="left"/>
        <w:rPr>
          <w:sz w:val="22"/>
          <w:szCs w:val="22"/>
        </w:rPr>
      </w:pPr>
      <w:r>
        <w:rPr>
          <w:color w:val="000000"/>
          <w:spacing w:val="0"/>
          <w:w w:val="100"/>
          <w:position w:val="0"/>
          <w:sz w:val="22"/>
          <w:szCs w:val="22"/>
        </w:rPr>
        <w:t>评价财务报表的总体列报、结构和内容，并评价财务报表是否公允反映相关交易和事项。</w:t>
      </w:r>
    </w:p>
    <w:p>
      <w:pPr>
        <w:pStyle w:val="Style38"/>
        <w:keepNext w:val="0"/>
        <w:keepLines w:val="0"/>
        <w:widowControl w:val="0"/>
        <w:shd w:val="clear" w:color="auto" w:fill="auto"/>
        <w:bidi w:val="0"/>
        <w:spacing w:before="0" w:after="0" w:line="470" w:lineRule="exact"/>
        <w:ind w:left="0" w:right="0" w:firstLine="460"/>
        <w:jc w:val="both"/>
        <w:rPr>
          <w:sz w:val="22"/>
          <w:szCs w:val="22"/>
        </w:rPr>
      </w:pPr>
      <w:r>
        <w:rPr>
          <w:color w:val="000000"/>
          <w:spacing w:val="0"/>
          <w:w w:val="100"/>
          <w:position w:val="0"/>
          <w:sz w:val="22"/>
          <w:szCs w:val="22"/>
        </w:rPr>
        <w:t>就万马股份公司中实体或业务活动的财务信息获取充分、适当的审计证据，以对财务报表发表审 计意见。我们负责指导、监督和执行集团审计，并对审计意见承担全部责任。</w:t>
      </w:r>
    </w:p>
    <w:p>
      <w:pPr>
        <w:pStyle w:val="Style38"/>
        <w:keepNext w:val="0"/>
        <w:keepLines w:val="0"/>
        <w:widowControl w:val="0"/>
        <w:shd w:val="clear" w:color="auto" w:fill="auto"/>
        <w:bidi w:val="0"/>
        <w:spacing w:before="0" w:after="0" w:line="470" w:lineRule="exact"/>
        <w:ind w:left="0" w:right="0" w:firstLine="460"/>
        <w:jc w:val="both"/>
        <w:rPr>
          <w:sz w:val="22"/>
          <w:szCs w:val="22"/>
        </w:rPr>
      </w:pPr>
      <w:r>
        <w:rPr>
          <w:color w:val="000000"/>
          <w:spacing w:val="0"/>
          <w:w w:val="100"/>
          <w:position w:val="0"/>
          <w:sz w:val="22"/>
          <w:szCs w:val="22"/>
        </w:rPr>
        <w:t>我们与治理层就计划的审计范围、时间安排和重大审计发现等事项进行沟通，包括沟通我们在审 计中识别出的值得关注的内部控制缺陷。</w:t>
      </w:r>
    </w:p>
    <w:p>
      <w:pPr>
        <w:pStyle w:val="Style38"/>
        <w:keepNext w:val="0"/>
        <w:keepLines w:val="0"/>
        <w:widowControl w:val="0"/>
        <w:shd w:val="clear" w:color="auto" w:fill="auto"/>
        <w:bidi w:val="0"/>
        <w:spacing w:before="0" w:after="0" w:line="470" w:lineRule="exact"/>
        <w:ind w:left="0" w:right="0" w:firstLine="460"/>
        <w:jc w:val="both"/>
        <w:rPr>
          <w:sz w:val="22"/>
          <w:szCs w:val="22"/>
        </w:rPr>
      </w:pPr>
      <w:r>
        <w:rPr>
          <w:color w:val="000000"/>
          <w:spacing w:val="0"/>
          <w:w w:val="100"/>
          <w:position w:val="0"/>
          <w:sz w:val="22"/>
          <w:szCs w:val="22"/>
        </w:rPr>
        <w:t>我们还就已遵守与独立性相关的职业道德要求向治理层提供声明，并与治理层沟通可能被合理认 为影响我们独立性的所有关系和其他事项，以及相关的防范措施（如适用）。</w:t>
      </w:r>
      <w:r>
        <w:br w:type="page"/>
      </w:r>
    </w:p>
    <w:p>
      <w:pPr>
        <w:pStyle w:val="Style38"/>
        <w:keepNext w:val="0"/>
        <w:keepLines w:val="0"/>
        <w:widowControl w:val="0"/>
        <w:shd w:val="clear" w:color="auto" w:fill="auto"/>
        <w:bidi w:val="0"/>
        <w:spacing w:before="0" w:after="460" w:line="467" w:lineRule="exact"/>
        <w:ind w:left="0" w:right="0" w:firstLine="460"/>
        <w:jc w:val="left"/>
        <w:rPr>
          <w:sz w:val="22"/>
          <w:szCs w:val="22"/>
        </w:rPr>
      </w:pPr>
      <w:r>
        <w:rPr>
          <w:color w:val="000000"/>
          <w:spacing w:val="0"/>
          <w:w w:val="100"/>
          <w:position w:val="0"/>
          <w:sz w:val="22"/>
          <w:szCs w:val="22"/>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38"/>
        <w:keepNext w:val="0"/>
        <w:keepLines w:val="0"/>
        <w:widowControl w:val="0"/>
        <w:shd w:val="clear" w:color="auto" w:fill="auto"/>
        <w:tabs>
          <w:tab w:pos="3513" w:val="left"/>
        </w:tabs>
        <w:bidi w:val="0"/>
        <w:spacing w:before="0" w:after="380" w:line="240" w:lineRule="auto"/>
        <w:ind w:left="0" w:right="0" w:firstLine="940"/>
        <w:jc w:val="left"/>
        <w:rPr>
          <w:sz w:val="22"/>
          <w:szCs w:val="22"/>
        </w:rPr>
      </w:pPr>
      <w:r>
        <mc:AlternateContent>
          <mc:Choice Requires="wps">
            <w:drawing>
              <wp:anchor distT="0" distB="843915" distL="114300" distR="114300" simplePos="0" relativeHeight="125829382" behindDoc="0" locked="0" layoutInCell="1" allowOverlap="1">
                <wp:simplePos x="0" y="0"/>
                <wp:positionH relativeFrom="page">
                  <wp:posOffset>560070</wp:posOffset>
                </wp:positionH>
                <wp:positionV relativeFrom="paragraph">
                  <wp:posOffset>12700</wp:posOffset>
                </wp:positionV>
                <wp:extent cx="2401570" cy="173990"/>
                <wp:wrapSquare wrapText="right"/>
                <wp:docPr id="291" name="Shape 291"/>
                <a:graphic xmlns:a="http://schemas.openxmlformats.org/drawingml/2006/main">
                  <a:graphicData uri="http://schemas.microsoft.com/office/word/2010/wordprocessingShape">
                    <wps:wsp>
                      <wps:cNvSpPr txBox="1"/>
                      <wps:spPr>
                        <a:xfrm>
                          <a:ext cx="2401570" cy="1739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信永中和会计师事务所（特殊普通合伙）</w:t>
                            </w:r>
                          </w:p>
                        </w:txbxContent>
                      </wps:txbx>
                      <wps:bodyPr wrap="none" lIns="0" tIns="0" rIns="0" bIns="0">
                        <a:noAutoFit/>
                      </wps:bodyPr>
                    </wps:wsp>
                  </a:graphicData>
                </a:graphic>
              </wp:anchor>
            </w:drawing>
          </mc:Choice>
          <mc:Fallback>
            <w:pict>
              <v:shape id="_x0000_s1317" type="#_x0000_t202" style="position:absolute;margin-left:44.100000000000001pt;margin-top:1.pt;width:189.09999999999999pt;height:13.700000000000001pt;z-index:-125829371;mso-wrap-distance-left:9.pt;mso-wrap-distance-right:9.pt;mso-wrap-distance-bottom:66.450000000000003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信永中和会计师事务所（特殊普通合伙）</w:t>
                      </w:r>
                    </w:p>
                  </w:txbxContent>
                </v:textbox>
                <w10:wrap type="square" side="right" anchorx="page"/>
              </v:shape>
            </w:pict>
          </mc:Fallback>
        </mc:AlternateContent>
      </w:r>
      <w:r>
        <mc:AlternateContent>
          <mc:Choice Requires="wps">
            <w:drawing>
              <wp:anchor distT="841375" distB="0" distL="1098550" distR="702310" simplePos="0" relativeHeight="125829384" behindDoc="0" locked="0" layoutInCell="1" allowOverlap="1">
                <wp:simplePos x="0" y="0"/>
                <wp:positionH relativeFrom="page">
                  <wp:posOffset>1544320</wp:posOffset>
                </wp:positionH>
                <wp:positionV relativeFrom="paragraph">
                  <wp:posOffset>854075</wp:posOffset>
                </wp:positionV>
                <wp:extent cx="829310" cy="176530"/>
                <wp:wrapSquare wrapText="right"/>
                <wp:docPr id="293" name="Shape 293"/>
                <a:graphic xmlns:a="http://schemas.openxmlformats.org/drawingml/2006/main">
                  <a:graphicData uri="http://schemas.microsoft.com/office/word/2010/wordprocessingShape">
                    <wps:wsp>
                      <wps:cNvSpPr txBox="1"/>
                      <wps:spPr>
                        <a:xfrm>
                          <a:ext cx="829310" cy="1765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 北京</w:t>
                            </w:r>
                          </w:p>
                        </w:txbxContent>
                      </wps:txbx>
                      <wps:bodyPr wrap="none" lIns="0" tIns="0" rIns="0" bIns="0">
                        <a:noAutoFit/>
                      </wps:bodyPr>
                    </wps:wsp>
                  </a:graphicData>
                </a:graphic>
              </wp:anchor>
            </w:drawing>
          </mc:Choice>
          <mc:Fallback>
            <w:pict>
              <v:shape id="_x0000_s1319" type="#_x0000_t202" style="position:absolute;margin-left:121.60000000000001pt;margin-top:67.25pt;width:65.299999999999997pt;height:13.9pt;z-index:-125829369;mso-wrap-distance-left:86.5pt;mso-wrap-distance-top:66.25pt;mso-wrap-distance-right:55.300000000000004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 北京</w:t>
                      </w:r>
                    </w:p>
                  </w:txbxContent>
                </v:textbox>
                <w10:wrap type="square" side="right" anchorx="page"/>
              </v:shape>
            </w:pict>
          </mc:Fallback>
        </mc:AlternateContent>
      </w:r>
      <w:r>
        <w:rPr>
          <w:color w:val="000000"/>
          <w:spacing w:val="0"/>
          <w:w w:val="100"/>
          <w:position w:val="0"/>
          <w:sz w:val="22"/>
          <w:szCs w:val="22"/>
        </w:rPr>
        <w:t>中国注册会计师：</w:t>
        <w:tab/>
        <w:t>（项目合伙人）</w:t>
      </w:r>
    </w:p>
    <w:p>
      <w:pPr>
        <w:pStyle w:val="Style38"/>
        <w:keepNext w:val="0"/>
        <w:keepLines w:val="0"/>
        <w:widowControl w:val="0"/>
        <w:shd w:val="clear" w:color="auto" w:fill="auto"/>
        <w:bidi w:val="0"/>
        <w:spacing w:before="0" w:after="380" w:line="240" w:lineRule="auto"/>
        <w:ind w:left="0" w:right="0" w:firstLine="940"/>
        <w:jc w:val="left"/>
        <w:rPr>
          <w:sz w:val="22"/>
          <w:szCs w:val="22"/>
        </w:rPr>
      </w:pPr>
      <w:r>
        <w:rPr>
          <w:color w:val="000000"/>
          <w:spacing w:val="0"/>
          <w:w w:val="100"/>
          <w:position w:val="0"/>
          <w:sz w:val="22"/>
          <w:szCs w:val="22"/>
        </w:rPr>
        <w:t>中国注册会计师：</w:t>
      </w:r>
    </w:p>
    <w:p>
      <w:pPr>
        <w:pStyle w:val="Style38"/>
        <w:keepNext w:val="0"/>
        <w:keepLines w:val="0"/>
        <w:widowControl w:val="0"/>
        <w:shd w:val="clear" w:color="auto" w:fill="auto"/>
        <w:bidi w:val="0"/>
        <w:spacing w:before="0" w:after="680" w:line="240" w:lineRule="auto"/>
        <w:ind w:left="0" w:right="0" w:firstLine="94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二一年四月二十七日</w:t>
      </w:r>
    </w:p>
    <w:p>
      <w:pPr>
        <w:pStyle w:val="Style26"/>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r>
        <w:rPr>
          <w:color w:val="000000"/>
          <w:spacing w:val="0"/>
          <w:w w:val="100"/>
          <w:position w:val="0"/>
          <w:sz w:val="24"/>
          <w:szCs w:val="24"/>
        </w:rPr>
        <w:t>二、财务报表</w:t>
      </w:r>
      <w:bookmarkEnd w:id="707"/>
      <w:bookmarkEnd w:id="708"/>
      <w:bookmarkEnd w:id="70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、合并资产负债表</w:t>
      </w:r>
      <w:bookmarkEnd w:id="710"/>
      <w:bookmarkEnd w:id="711"/>
      <w:bookmarkEnd w:id="71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编制单位：浙江万马股份有限公司</w:t>
      </w:r>
    </w:p>
    <w:p>
      <w:pPr>
        <w:pStyle w:val="Style29"/>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4517"/>
        <w:gridCol w:w="2530"/>
        <w:gridCol w:w="253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1,514,791,414.58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1,167,696,694.63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56,383,738.48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77,525,430.77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512,488,491.98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361,455,996.63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2,686,794,928.65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2,806,834,635.35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385,741,006.13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374,014,153.83</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125,472,077.21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78,716,900.51</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121,307,624.69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134,394,748.62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784,048,636.87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671,197,091.05</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132,645,195.86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center"/>
        <w:tblLayout w:type="fixed"/>
      </w:tblPr>
      <w:tblGrid>
        <w:gridCol w:w="4517"/>
        <w:gridCol w:w="2530"/>
        <w:gridCol w:w="253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136,741,623.75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189,365,984.10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6,456,414,738.20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5,861,201,635.49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24,133,401.04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22,634,983.57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27,039,765.00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27,039,765.00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13,451,959.00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14,760,474.94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1,167,651,690.16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1,039,842,652.21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80,015,549.90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168,907,354.22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261,941,473.35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180,282,570.19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196,377,869.64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222,629,218.00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9,014,435.35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10,403,761.14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55,388,901.13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50,199,775.59</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50,523,347.19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1,885,538,391.76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1,736,700,554.86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8,341,953,129.96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7,597,902,190.35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179,194,979.92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955,542,843.60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2,594,373.26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1,530,514,647.38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883,361,291.82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991,013,661.83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656,720,635.27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244,914,844.52</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91,919,618.66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77,093,943.81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75,795,024.29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36,625,983.80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32,360,632.03</w:t>
            </w:r>
          </w:p>
        </w:tc>
      </w:tr>
    </w:tbl>
    <w:p>
      <w:pPr>
        <w:widowControl w:val="0"/>
        <w:spacing w:line="1" w:lineRule="exact"/>
      </w:pPr>
      <w:r>
        <w:br w:type="page"/>
      </w:r>
    </w:p>
    <w:tbl>
      <w:tblPr>
        <w:tblOverlap w:val="never"/>
        <w:jc w:val="center"/>
        <w:tblLayout w:type="fixed"/>
      </w:tblPr>
      <w:tblGrid>
        <w:gridCol w:w="4517"/>
        <w:gridCol w:w="2530"/>
        <w:gridCol w:w="253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118,114,774.18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148,380,586.26</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181,807,565.11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194,143,719.92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149,299,388.02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3,400,428,894.61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3,149,569,619.07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300,371,799.96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114,584,137.97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66,181,691.17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49,366,990.41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25,989,713.28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5,513,384.78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22,585,944.39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415,129,148.80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169,464,513.16</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3,815,558,043.41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3,319,034,132.23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1,035,489,098.00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1,035,489,098.00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1,558,436,051.93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1,555,197,713.12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82,144,510.27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-1,358,775.43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303,772,997.10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259,313,962.64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1,543,087,541.16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1,400,735,829.60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4,522,930,198.46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4,249,377,827.93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3,464,888.09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29,490,230.19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4,526,395,086.55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4,278,868,058.12</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8,341,953,129.96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7,597,902,190.35</w:t>
            </w:r>
          </w:p>
        </w:tc>
      </w:tr>
    </w:tbl>
    <w:p>
      <w:pPr>
        <w:widowControl w:val="0"/>
        <w:spacing w:after="339" w:line="1" w:lineRule="exact"/>
      </w:pPr>
    </w:p>
    <w:p>
      <w:pPr>
        <w:pStyle w:val="Style31"/>
        <w:keepNext w:val="0"/>
        <w:keepLines w:val="0"/>
        <w:widowControl w:val="0"/>
        <w:shd w:val="clear" w:color="auto" w:fill="auto"/>
        <w:tabs>
          <w:tab w:pos="3490" w:val="left"/>
          <w:tab w:pos="7526" w:val="left"/>
        </w:tabs>
        <w:bidi w:val="0"/>
        <w:spacing w:before="0" w:after="0" w:line="240" w:lineRule="auto"/>
        <w:ind w:left="0" w:right="0" w:firstLine="0"/>
        <w:jc w:val="both"/>
      </w:pPr>
      <w:r>
        <w:rPr>
          <w:color w:val="000000"/>
          <w:spacing w:val="0"/>
          <w:w w:val="100"/>
          <w:position w:val="0"/>
        </w:rPr>
        <w:t>法定代表人：孟宪洪</w:t>
        <w:tab/>
        <w:t>主管会计工作负责人：董杰</w:t>
        <w:tab/>
        <w:t>会计机构负责人：丁大雷</w:t>
      </w:r>
      <w:r>
        <w:br w:type="page"/>
      </w:r>
    </w:p>
    <w:p>
      <w:pPr>
        <w:pStyle w:val="Style34"/>
        <w:keepNext/>
        <w:keepLines/>
        <w:widowControl w:val="0"/>
        <w:shd w:val="clear" w:color="auto" w:fill="auto"/>
        <w:bidi w:val="0"/>
        <w:spacing w:before="0" w:after="36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、母公司资产负债表</w:t>
      </w:r>
      <w:bookmarkEnd w:id="714"/>
      <w:bookmarkEnd w:id="715"/>
      <w:bookmarkEnd w:id="7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17"/>
        <w:gridCol w:w="2520"/>
        <w:gridCol w:w="254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795,224,837.40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657,851,205.44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41,843,487.00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73,241,295.06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209,992,402.07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132,757,002.06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1,593,015,081.25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1,831,777,056.71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78,877,130.29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80,344,491.10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27,146,305.37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15,686,197.66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896,458,886.05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761,186,828.62</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540,256,136.70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451,616,772.65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126,110,105.95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50,423.61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6,821,617.40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4,308,974,795.69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4,011,282,466.70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1,794,402,446.61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1,537,305,343.65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301,972,140.98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327,407,718.78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11,711,012.78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2,398,920.20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109,723,365.43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71,692,182.53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2,027,112.42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3,394,859.41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27,739,637.95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23,808,127.10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48,016,918.71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2,296,092,634.88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1,966,507,151.67</w:t>
            </w:r>
          </w:p>
        </w:tc>
      </w:tr>
      <w:tr>
        <w:trPr>
          <w:trHeight w:val="322"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6,605,067,430.57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5,977,789,618.37</w:t>
            </w:r>
          </w:p>
        </w:tc>
      </w:tr>
    </w:tbl>
    <w:p>
      <w:pPr>
        <w:widowControl w:val="0"/>
        <w:spacing w:line="1" w:lineRule="exac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center"/>
        <w:tblLayout w:type="fixed"/>
      </w:tblPr>
      <w:tblGrid>
        <w:gridCol w:w="4517"/>
        <w:gridCol w:w="2520"/>
        <w:gridCol w:w="254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159,090,671.24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725,244,153.21</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1,168,060,000.00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684,590,000.00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718,242,327.18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452,955,746.39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204,467,402.26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53,369,619.45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17,855,561.38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20,672,711.06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4,639,257.00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15,616,878.91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54,889,332.91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61,170,898.56</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171,988,715.31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49,885,333.01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54,907,676.05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2,398,020,817.48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2,220,025,466.44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290,347,067.13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104,769,624.08</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10,314,546.77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324,011.25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17,236,528.64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318,588,142.54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106,143,635.33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2,716,608,960.02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2,326,169,101.77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1,035,489,098.00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1,035,489,098.00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1,717,724,514.22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1,717,724,514.22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58,449,098.33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-1,937,072.66</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156,133,565.22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134,864,175.08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920,662,194.78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765,479,801.96</w:t>
            </w:r>
          </w:p>
        </w:tc>
      </w:tr>
    </w:tbl>
    <w:p>
      <w:pPr>
        <w:widowControl w:val="0"/>
        <w:spacing w:line="1" w:lineRule="exact"/>
      </w:pPr>
      <w:r>
        <w:br w:type="page"/>
      </w:r>
    </w:p>
    <w:tbl>
      <w:tblPr>
        <w:tblOverlap w:val="never"/>
        <w:jc w:val="center"/>
        <w:tblLayout w:type="fixed"/>
      </w:tblPr>
      <w:tblGrid>
        <w:gridCol w:w="4517"/>
        <w:gridCol w:w="2520"/>
        <w:gridCol w:w="254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3,888,458,470.55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3,651,620,516.60</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6,605,067,430.57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5,977,789,618.37</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、合并利润表</w:t>
      </w:r>
      <w:bookmarkEnd w:id="718"/>
      <w:bookmarkEnd w:id="719"/>
      <w:bookmarkEnd w:id="7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50"/>
        <w:gridCol w:w="2477"/>
        <w:gridCol w:w="2549"/>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9,321,789,268.60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9,745,408,784.22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9,321,789,268.60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9,745,408,784.22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9,110,244,633.45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9,496,927,449.39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7,895,910,772.41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8,112,274,003.49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25,204,051.08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33,796,374.80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516,243,949.88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665,292,600.25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247,947,027.18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241,804,537.14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346,836,148.02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364,143,468.70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78,102,684.88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79,616,465.01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41,249,806.80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73,529,586.98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4,789,061.55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7,557,152.58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110,445,049.65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100,058,132.74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10,882,381.76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10,596,214.28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-501,582.53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-4,178,553.64</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343,039.53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2,775,219.73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-47,831,247.39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-35,620,720.93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-39,860,764.94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-78,130,676.41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资产处置收益（损失以号填列）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-2,239,775.42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-2,919,377.56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243,283,318.34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245,240,126.68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13,661,917.25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16,112,729.64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8,587,639.62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6,243,121.32</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四、利润总额（亏损总额以"一”号填列）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248,357,595.97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255,109,735.00</w:t>
            </w:r>
          </w:p>
        </w:tc>
      </w:tr>
    </w:tbl>
    <w:p>
      <w:pPr>
        <w:widowControl w:val="0"/>
        <w:spacing w:line="1" w:lineRule="exact"/>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center"/>
        <w:tblLayout w:type="fixed"/>
      </w:tblPr>
      <w:tblGrid>
        <w:gridCol w:w="4550"/>
        <w:gridCol w:w="2477"/>
        <w:gridCol w:w="2549"/>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22,297,316.73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22,224,973.45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226,060,279.24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232,884,761.55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226,060,279.24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232,884,761.55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223,052,864.45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220,879,359.32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3,007,414.79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12,005,402.23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83,503,285.70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34,428,658.37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83,503,285.70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34,350,241.73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83,503,285.70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34,350,241.73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83,894,687.63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34,178,501.35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-391,401.93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171,740.38</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78,416.64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309,563,564.94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267,313,419.92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306,556,150.15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255,229,601.05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3,007,414.79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12,083,818.87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0.2133</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31"/>
        <w:keepNext w:val="0"/>
        <w:keepLines w:val="0"/>
        <w:widowControl w:val="0"/>
        <w:shd w:val="clear" w:color="auto" w:fill="auto"/>
        <w:tabs>
          <w:tab w:pos="3456" w:val="left"/>
          <w:tab w:pos="7555" w:val="left"/>
        </w:tabs>
        <w:bidi w:val="0"/>
        <w:spacing w:before="0" w:after="360" w:line="240" w:lineRule="auto"/>
        <w:ind w:left="0" w:right="0" w:firstLine="0"/>
        <w:jc w:val="left"/>
      </w:pPr>
      <w:r>
        <w:rPr>
          <w:color w:val="000000"/>
          <w:spacing w:val="0"/>
          <w:w w:val="100"/>
          <w:position w:val="0"/>
        </w:rPr>
        <w:t>法定代表人：孟宪洪</w:t>
        <w:tab/>
        <w:t>主管会计工作负责人：董杰</w:t>
        <w:tab/>
        <w:t>会计机构负责人：丁大雷</w:t>
      </w:r>
    </w:p>
    <w:p>
      <w:pPr>
        <w:pStyle w:val="Style34"/>
        <w:keepNext/>
        <w:keepLines/>
        <w:widowControl w:val="0"/>
        <w:shd w:val="clear" w:color="auto" w:fill="auto"/>
        <w:bidi w:val="0"/>
        <w:spacing w:before="0" w:after="3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4</w:t>
      </w:r>
      <w:bookmarkEnd w:id="724"/>
      <w:r>
        <w:rPr>
          <w:color w:val="000000"/>
          <w:spacing w:val="0"/>
          <w:w w:val="100"/>
          <w:position w:val="0"/>
        </w:rPr>
        <w:t>、母公司利润表</w:t>
      </w:r>
      <w:bookmarkEnd w:id="722"/>
      <w:bookmarkEnd w:id="723"/>
      <w:bookmarkEnd w:id="7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70"/>
        <w:gridCol w:w="2448"/>
        <w:gridCol w:w="2563"/>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5,493,590,168.58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6,174,299,772.11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4,787,640,548.59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5,319,693,018.98</w:t>
            </w:r>
          </w:p>
        </w:tc>
      </w:tr>
      <w:tr>
        <w:trPr>
          <w:trHeight w:val="322"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8,380,380.52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14,581,505.17</w:t>
            </w:r>
          </w:p>
        </w:tc>
      </w:tr>
    </w:tbl>
    <w:p>
      <w:pPr>
        <w:widowControl w:val="0"/>
        <w:spacing w:line="1" w:lineRule="exact"/>
      </w:pPr>
      <w:r>
        <w:br w:type="page"/>
      </w:r>
    </w:p>
    <w:tbl>
      <w:tblPr>
        <w:tblOverlap w:val="never"/>
        <w:jc w:val="center"/>
        <w:tblLayout w:type="fixed"/>
      </w:tblPr>
      <w:tblGrid>
        <w:gridCol w:w="4570"/>
        <w:gridCol w:w="2448"/>
        <w:gridCol w:w="2563"/>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344,856,339.92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386,354,304.24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71,034,270.88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65,906,064.89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176,927,650.03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207,158,693.53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31,105,902.47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61,677,405.91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34,826,673.49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65,848,352.99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23,396,842.37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13,385,968.05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43,693,379.74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37,625,121.60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123,197,155.42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5,497,865.20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807,102.96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38,649.88</w:t>
            </w: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以摊余成本计量的金融资产终止确认收益</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-3,165,675.00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4,287,700.00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-27,657,152.81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-22,431,038.90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-5,455,714.47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-6,036,287.07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资产处置收益（损失以号填列）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75,965.03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-3,306.84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204,333,034.08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137,868,833.38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6,722,686.12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8,979,520.72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1,281,956.88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354,004.32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209,773,763.32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146,494,349.78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-2,920,138.07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3,268,257.72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212,693,901.39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143,226,092.06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（一）持续经营净利润（净亏损以“一”号填列）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212,693,901.39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143,226,092.06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60,386,170.99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33,758,242.99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60,386,170.99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33,758,242.99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60,386,170.99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33,758,242.99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273,080,072.38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176,984,335.05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70"/>
        <w:gridCol w:w="2448"/>
        <w:gridCol w:w="2563"/>
      </w:tblGrid>
      <w:tr>
        <w:trPr>
          <w:trHeight w:val="331"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5</w:t>
      </w:r>
      <w:bookmarkEnd w:id="728"/>
      <w:r>
        <w:rPr>
          <w:color w:val="000000"/>
          <w:spacing w:val="0"/>
          <w:w w:val="100"/>
          <w:position w:val="0"/>
        </w:rPr>
        <w:t>、合并现金流量表</w:t>
      </w:r>
      <w:bookmarkEnd w:id="726"/>
      <w:bookmarkEnd w:id="727"/>
      <w:bookmarkEnd w:id="7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88"/>
        <w:gridCol w:w="2323"/>
        <w:gridCol w:w="217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23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7,923,565,273.91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8,227,184,932.09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122,407,765.98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118,646,814.38</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330,956,614.71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326,000,617.66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8,376,929,654.60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8,671,832,364.13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6,248,456,882.56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6,316,604,910.68</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469,127,308.94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448,295,565.57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195,555,551.82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241,886,162.60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760,042,308.23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792,878,051.76</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7,673,182,051.55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7,799,664,690.61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703,747,603.05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872,167,673.52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10,366,754.19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13,303,489.26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3,616,223.80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28,207,441.13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9,209,219,761.33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8,068,433,688.81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9,223,202,739.32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8,109,944,619.20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268,475,352.53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235,026,520.08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27,716,001.44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bl>
    <w:p>
      <w:pPr>
        <w:widowControl w:val="0"/>
        <w:spacing w:line="1" w:lineRule="exact"/>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0" w:h="16840"/>
          <w:pgMar w:top="1657" w:right="780" w:bottom="1446" w:left="868" w:header="0" w:footer="3" w:gutter="0"/>
          <w:cols w:space="720"/>
          <w:noEndnote/>
          <w:titlePg/>
          <w:rtlGutter w:val="0"/>
          <w:docGrid w:linePitch="360"/>
        </w:sectPr>
      </w:pPr>
    </w:p>
    <w:tbl>
      <w:tblPr>
        <w:tblOverlap w:val="never"/>
        <w:jc w:val="center"/>
        <w:tblLayout w:type="fixed"/>
      </w:tblPr>
      <w:tblGrid>
        <w:gridCol w:w="5088"/>
        <w:gridCol w:w="2323"/>
        <w:gridCol w:w="2170"/>
      </w:tblGrid>
      <w:tr>
        <w:trPr>
          <w:trHeight w:val="32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8,919,836,885.57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7,961,703,678.21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9,216,028,239.54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8,198,730,198.29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7,174,499.78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-88,785,579.09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857,249,665.98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1,522,010,859.10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23,453,305.78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15,183,295.95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880,702,971.76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1,537,194,155.05</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1,158,372,451.06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1,951,448,102.53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82,918,896.06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98,754,475.93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150,148,512.84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11,501,917.87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1,391,439,859.96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2,061,704,496.33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-510,736,888.20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-524,510,341.28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-3,232,707.14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686,450.34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196,952,507.49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259,558,203.49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930,356,057.07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670,797,853.58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1,127,308,564.56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930,356,057.07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6</w:t>
      </w:r>
      <w:bookmarkEnd w:id="732"/>
      <w:r>
        <w:rPr>
          <w:color w:val="000000"/>
          <w:spacing w:val="0"/>
          <w:w w:val="100"/>
          <w:position w:val="0"/>
        </w:rPr>
        <w:t>、母公司现金流量表</w:t>
      </w:r>
      <w:bookmarkEnd w:id="730"/>
      <w:bookmarkEnd w:id="731"/>
      <w:bookmarkEnd w:id="7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9"/>
        <w:gridCol w:w="2352"/>
        <w:gridCol w:w="216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5,339,124,649.53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6,110,624,450.79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40,284,000.00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32,659,200.00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142,319,175.64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314,376,395.28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5,521,727,825.17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6,457,660,046.07</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4,322,347,996.18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4,719,981,503.61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139,474,523.09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128,426,390.01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71,192,061.92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91,412,168.36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478,756,155.79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642,745,620.45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5,011,770,736.98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5,582,565,682.43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509,957,088.19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875,094,363.64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605,000,000.00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121,879,982.36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3,371,099.21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2,589,700.00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601,700.00</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69"/>
        <w:gridCol w:w="2352"/>
        <w:gridCol w:w="216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5,329,106,363.20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3,803,613,426.03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5,453,576,045.56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4,412,586,225.24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67,092,091.93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9,147,129.75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256,290,000.00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316,519,481.00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5,223,954,484.63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4,122,904,576.36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5,547,336,576.56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4,448,571,187.11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-93,760,531.00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-35,984,961.87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693,727,693.84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1,189,543,500.00</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233,758,000.00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37,158,710.57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927,485,693.84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1,226,702,210.57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895,700,000.00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1,682,245,524.73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75,054,031.66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90,083,284.64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357,889,182.99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36,418,736.11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1,328,643,214.65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1,808,747,545.48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-401,157,520.81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-582,045,334.91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30,032.87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99,558.56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15,069,069.25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257,163,625.42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467,985,335.53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210,821,710.11</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483,054,404.78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467,985,335.53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7</w:t>
      </w:r>
      <w:bookmarkEnd w:id="736"/>
      <w:r>
        <w:rPr>
          <w:color w:val="000000"/>
          <w:spacing w:val="0"/>
          <w:w w:val="100"/>
          <w:position w:val="0"/>
        </w:rPr>
        <w:t>、合并所有者权益变动表</w:t>
      </w:r>
      <w:bookmarkEnd w:id="734"/>
      <w:bookmarkEnd w:id="735"/>
      <w:bookmarkEnd w:id="73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490"/>
        <w:gridCol w:w="470"/>
        <w:gridCol w:w="403"/>
        <w:gridCol w:w="470"/>
        <w:gridCol w:w="581"/>
        <w:gridCol w:w="586"/>
        <w:gridCol w:w="586"/>
        <w:gridCol w:w="581"/>
        <w:gridCol w:w="586"/>
        <w:gridCol w:w="581"/>
        <w:gridCol w:w="586"/>
        <w:gridCol w:w="586"/>
        <w:gridCol w:w="581"/>
        <w:gridCol w:w="586"/>
        <w:gridCol w:w="586"/>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26"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 者权 益合 计</w:t>
            </w:r>
          </w:p>
        </w:tc>
      </w:tr>
      <w:tr>
        <w:trPr>
          <w:trHeight w:val="322"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140"/>
              <w:jc w:val="left"/>
            </w:pPr>
            <w:r>
              <w:rPr>
                <w:rFonts w:ascii="SimSun" w:eastAsia="SimSun" w:hAnsi="SimSun" w:cs="SimSun"/>
                <w:color w:val="000000"/>
                <w:spacing w:val="0"/>
                <w:w w:val="100"/>
                <w:position w:val="0"/>
              </w:rPr>
              <w:t>股 本</w:t>
            </w:r>
          </w:p>
        </w:tc>
        <w:tc>
          <w:tcPr>
            <w:gridSpan w:val="3"/>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140"/>
              <w:jc w:val="lef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14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r>
      <w:tr>
        <w:trPr>
          <w:trHeight w:val="317" w:hRule="exact"/>
        </w:trPr>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8,86</w:t>
            </w:r>
          </w:p>
        </w:tc>
      </w:tr>
      <w:tr>
        <w:trPr>
          <w:trHeight w:val="307"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8,05</w:t>
            </w:r>
          </w:p>
        </w:tc>
      </w:tr>
      <w:tr>
        <w:trPr>
          <w:trHeight w:val="61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8.12</w:t>
            </w:r>
          </w:p>
        </w:tc>
      </w:tr>
      <w:tr>
        <w:trPr>
          <w:trHeight w:val="317"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490"/>
        <w:gridCol w:w="470"/>
        <w:gridCol w:w="403"/>
        <w:gridCol w:w="470"/>
        <w:gridCol w:w="581"/>
        <w:gridCol w:w="586"/>
        <w:gridCol w:w="586"/>
        <w:gridCol w:w="581"/>
        <w:gridCol w:w="586"/>
        <w:gridCol w:w="581"/>
        <w:gridCol w:w="586"/>
        <w:gridCol w:w="586"/>
        <w:gridCol w:w="581"/>
        <w:gridCol w:w="586"/>
        <w:gridCol w:w="586"/>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29,4</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4,27</w:t>
            </w:r>
          </w:p>
        </w:tc>
      </w:tr>
      <w:tr>
        <w:trPr>
          <w:trHeight w:val="317" w:hRule="exact"/>
        </w:trPr>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8,86</w:t>
            </w:r>
          </w:p>
        </w:tc>
      </w:tr>
      <w:tr>
        <w:trPr>
          <w:trHeight w:val="307"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8,05</w:t>
            </w:r>
          </w:p>
        </w:tc>
      </w:tr>
      <w:tr>
        <w:trPr>
          <w:trHeight w:val="30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8.12</w:t>
            </w: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3,23</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247,</w:t>
            </w:r>
          </w:p>
        </w:tc>
      </w:tr>
      <w:tr>
        <w:trPr>
          <w:trHeight w:val="312"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025,</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527,</w:t>
            </w:r>
          </w:p>
        </w:tc>
      </w:tr>
      <w:tr>
        <w:trPr>
          <w:trHeight w:val="226" w:hRule="exact"/>
        </w:trPr>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342.</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028.</w:t>
            </w:r>
          </w:p>
        </w:tc>
      </w:tr>
      <w:tr>
        <w:trPr>
          <w:trHeight w:val="154" w:hRule="exact"/>
        </w:trPr>
        <w:tc>
          <w:tcPr>
            <w:vMerge/>
            <w:tcBorders>
              <w:left w:val="single" w:sz="4"/>
            </w:tcBorders>
            <w:shd w:val="clear" w:color="auto" w:fill="D4D4D4"/>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w:t>
            </w:r>
          </w:p>
        </w:tc>
      </w:tr>
      <w:tr>
        <w:trPr>
          <w:trHeight w:val="240"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309,</w:t>
            </w:r>
          </w:p>
        </w:tc>
      </w:tr>
      <w:tr>
        <w:trPr>
          <w:trHeight w:val="235" w:hRule="exact"/>
        </w:trPr>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556,</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563,</w:t>
            </w:r>
          </w:p>
        </w:tc>
      </w:tr>
      <w:tr>
        <w:trPr>
          <w:trHeight w:val="144" w:hRule="exact"/>
        </w:trPr>
        <w:tc>
          <w:tcPr>
            <w:vMerge/>
            <w:tcBorders>
              <w:left w:val="single" w:sz="4"/>
            </w:tcBorders>
            <w:shd w:val="clear" w:color="auto" w:fill="D4D4D4"/>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7,41</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4D4D4"/>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564.</w:t>
            </w:r>
          </w:p>
        </w:tc>
      </w:tr>
      <w:tr>
        <w:trPr>
          <w:trHeight w:val="154" w:hRule="exact"/>
        </w:trPr>
        <w:tc>
          <w:tcPr>
            <w:vMerge/>
            <w:tcBorders>
              <w:left w:val="single" w:sz="4"/>
            </w:tcBorders>
            <w:shd w:val="clear" w:color="auto" w:fill="D4D4D4"/>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4.79</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w:t>
            </w:r>
          </w:p>
        </w:tc>
      </w:tr>
      <w:tr>
        <w:trPr>
          <w:trHeight w:val="240"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（二）所有者</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w:t>
            </w: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r>
      <w:tr>
        <w:trPr>
          <w:trHeight w:val="403"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r>
      <w:tr>
        <w:trPr>
          <w:trHeight w:val="3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w:t>
            </w:r>
          </w:p>
        </w:tc>
      </w:tr>
      <w:tr>
        <w:trPr>
          <w:trHeight w:val="307"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w:t>
            </w:r>
          </w:p>
        </w:tc>
      </w:tr>
      <w:tr>
        <w:trPr>
          <w:trHeight w:val="317" w:hRule="exact"/>
        </w:trPr>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w:t>
            </w:r>
          </w:p>
        </w:tc>
      </w:tr>
      <w:tr>
        <w:trPr>
          <w:trHeight w:val="317"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w:t>
            </w:r>
          </w:p>
        </w:tc>
      </w:tr>
      <w:tr>
        <w:trPr>
          <w:trHeight w:val="298"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w:t>
            </w:r>
          </w:p>
        </w:tc>
      </w:tr>
      <w:tr>
        <w:trPr>
          <w:trHeight w:val="32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w:t>
            </w:r>
          </w:p>
        </w:tc>
      </w:tr>
      <w:tr>
        <w:trPr>
          <w:trHeight w:val="3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center"/>
        <w:tblLayout w:type="fixed"/>
      </w:tblPr>
      <w:tblGrid>
        <w:gridCol w:w="1320"/>
        <w:gridCol w:w="490"/>
        <w:gridCol w:w="470"/>
        <w:gridCol w:w="403"/>
        <w:gridCol w:w="470"/>
        <w:gridCol w:w="581"/>
        <w:gridCol w:w="586"/>
        <w:gridCol w:w="586"/>
        <w:gridCol w:w="581"/>
        <w:gridCol w:w="586"/>
        <w:gridCol w:w="581"/>
        <w:gridCol w:w="586"/>
        <w:gridCol w:w="586"/>
        <w:gridCol w:w="581"/>
        <w:gridCol w:w="586"/>
        <w:gridCol w:w="586"/>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（或股东）的</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242,</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242,</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-6,6</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42.7</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56.8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04,4</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r>
        <w:trPr>
          <w:trHeight w:val="188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489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1,55</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8,43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6,05</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82.1</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44,5</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10.2</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997.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1.54</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3,08</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7.54</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4,52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0,19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3,46</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4,88</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4,52</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6,39</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5,08</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331"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322" w:hRule="exact"/>
        </w:trPr>
        <w:tc>
          <w:tcPr>
            <w:vMerge/>
            <w:tcBorders>
              <w:left w:val="single" w:sz="4"/>
            </w:tcBorders>
            <w:shd w:val="clear" w:color="auto" w:fill="D4D4D4"/>
            <w:vAlign w:val="bottom"/>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w:t>
            </w:r>
          </w:p>
        </w:tc>
      </w:tr>
      <w:tr>
        <w:trPr>
          <w:trHeight w:val="326" w:hRule="exact"/>
        </w:trPr>
        <w:tc>
          <w:tcPr>
            <w:tcBorders>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22"/>
              <w:keepNext w:val="0"/>
              <w:keepLines w:val="0"/>
              <w:widowControl w:val="0"/>
              <w:shd w:val="clear" w:color="auto" w:fill="auto"/>
              <w:tabs>
                <w:tab w:pos="442" w:val="left"/>
                <w:tab w:pos="6538" w:val="left"/>
              </w:tabs>
              <w:bidi w:val="0"/>
              <w:spacing w:before="0" w:after="0" w:line="240" w:lineRule="auto"/>
              <w:ind w:left="0" w:right="0" w:firstLine="0"/>
              <w:jc w:val="center"/>
            </w:pPr>
            <w:r>
              <w:rPr>
                <w:rFonts w:ascii="SimSun" w:eastAsia="SimSun" w:hAnsi="SimSun" w:cs="SimSun"/>
                <w:color w:val="000000"/>
                <w:spacing w:val="0"/>
                <w:w w:val="100"/>
                <w:position w:val="0"/>
              </w:rPr>
              <w:t>股</w:t>
              <w:tab/>
              <w:t>其他权益工具资本减：其他专项盈余一般未分 其</w:t>
              <w:tab/>
              <w:t>小</w:t>
            </w: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tcBorders>
              <w:left w:val="single" w:sz="4"/>
              <w:bottom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者权</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9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库存</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综合 收益</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公积</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配利 润</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益合</w:t>
            </w:r>
          </w:p>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计</w:t>
            </w:r>
          </w:p>
        </w:tc>
      </w:tr>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4,033</w:t>
            </w:r>
          </w:p>
        </w:tc>
      </w:tr>
      <w:tr>
        <w:trPr>
          <w:trHeight w:val="16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5,42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,387,</w:t>
            </w:r>
          </w:p>
        </w:tc>
      </w:tr>
      <w:tr>
        <w:trPr>
          <w:trHeight w:val="144" w:hRule="exact"/>
        </w:trPr>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6,167</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304.5</w:t>
            </w:r>
          </w:p>
        </w:tc>
      </w:tr>
      <w:tr>
        <w:trPr>
          <w:trHeight w:val="30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w:t>
            </w:r>
          </w:p>
        </w:tc>
      </w:tr>
      <w:tr>
        <w:trPr>
          <w:trHeight w:val="312"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755.9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2,884</w:t>
            </w:r>
          </w:p>
        </w:tc>
      </w:tr>
      <w:tr>
        <w:trPr>
          <w:trHeight w:val="23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31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17,40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4,032</w:t>
            </w:r>
          </w:p>
        </w:tc>
      </w:tr>
      <w:tr>
        <w:trPr>
          <w:trHeight w:val="16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p>
        </w:tc>
      </w:tr>
      <w:tr>
        <w:trPr>
          <w:trHeight w:val="144" w:hRule="exact"/>
        </w:trPr>
        <w:tc>
          <w:tcPr>
            <w:vMerge w:val="restart"/>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6,411</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420.1</w:t>
            </w:r>
          </w:p>
        </w:tc>
      </w:tr>
      <w:tr>
        <w:trPr>
          <w:trHeight w:val="30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00" w:lineRule="exact"/>
              <w:ind w:left="0" w:right="0" w:firstLine="0"/>
              <w:jc w:val="both"/>
            </w:pPr>
            <w:r>
              <w:rPr>
                <w:rFonts w:ascii="SimSun" w:eastAsia="SimSun" w:hAnsi="SimSun" w:cs="SimSun"/>
                <w:color w:val="000000"/>
                <w:spacing w:val="0"/>
                <w:w w:val="100"/>
                <w:position w:val="0"/>
              </w:rPr>
              <w:t>三、本期增减 变动金额（减 少以，，_，，号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3,818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03,63</w:t>
            </w:r>
          </w:p>
        </w:tc>
      </w:tr>
      <w:tr>
        <w:trPr>
          <w:trHeight w:val="158"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7.96</w:t>
            </w:r>
          </w:p>
        </w:tc>
      </w:tr>
      <w:tr>
        <w:trPr>
          <w:trHeight w:val="245"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267,3</w:t>
            </w:r>
          </w:p>
        </w:tc>
      </w:tr>
      <w:tr>
        <w:trPr>
          <w:trHeight w:val="168"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3,818</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w:t>
            </w: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9.92</w:t>
            </w:r>
          </w:p>
        </w:tc>
      </w:tr>
      <w:tr>
        <w:trPr>
          <w:trHeight w:val="23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（三）利润分</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36,9</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75.4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-57,</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653,</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857.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709,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09,78</w:t>
            </w:r>
          </w:p>
          <w:p>
            <w:pPr>
              <w:pStyle w:val="Style2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1.96</w:t>
            </w:r>
          </w:p>
        </w:tc>
      </w:tr>
      <w:tr>
        <w:trPr>
          <w:trHeight w:val="125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36,9</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75.4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-36,</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944,</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075.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-20,</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709,</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781.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709,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09,78</w:t>
            </w:r>
          </w:p>
          <w:p>
            <w:pPr>
              <w:pStyle w:val="Style2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1.96</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1,55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259,</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1,40</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4,24</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29,49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4,278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26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75.4</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5,82</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7,82</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8</w:t>
      </w:r>
      <w:bookmarkEnd w:id="740"/>
      <w:r>
        <w:rPr>
          <w:color w:val="000000"/>
          <w:spacing w:val="0"/>
          <w:w w:val="100"/>
          <w:position w:val="0"/>
        </w:rPr>
        <w:t>、母公司所有者权益变动表</w:t>
      </w:r>
      <w:bookmarkEnd w:id="738"/>
      <w:bookmarkEnd w:id="739"/>
      <w:bookmarkEnd w:id="74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所有者 权益合 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-1,937,</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3,651,62</w:t>
            </w:r>
          </w:p>
        </w:tc>
      </w:tr>
      <w:tr>
        <w:trPr>
          <w:trHeight w:val="154"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724,51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072.66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801.</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0,516.60</w:t>
            </w:r>
          </w:p>
        </w:tc>
      </w:tr>
      <w:tr>
        <w:trPr>
          <w:trHeight w:val="14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-1,937,</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3,651,62</w:t>
            </w:r>
          </w:p>
        </w:tc>
      </w:tr>
      <w:tr>
        <w:trPr>
          <w:trHeight w:val="154"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724,51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072.66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801.</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0,516.60</w:t>
            </w:r>
          </w:p>
        </w:tc>
      </w:tr>
      <w:tr>
        <w:trPr>
          <w:trHeight w:val="14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三、本期增减 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60,386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21,269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155,</w:t>
            </w:r>
          </w:p>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236,837,</w:t>
            </w:r>
          </w:p>
        </w:tc>
      </w:tr>
      <w:tr>
        <w:trPr>
          <w:trHeight w:val="163" w:hRule="exact"/>
        </w:trPr>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953.95</w:t>
            </w:r>
          </w:p>
        </w:tc>
      </w:tr>
      <w:tr>
        <w:trPr>
          <w:trHeight w:val="144" w:hRule="exact"/>
        </w:trPr>
        <w:tc>
          <w:tcPr>
            <w:vMerge/>
            <w:tcBorders>
              <w:left w:val="single" w:sz="4"/>
            </w:tcBorders>
            <w:shd w:val="clear" w:color="auto" w:fill="D4D4D4"/>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60,386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212,</w:t>
            </w:r>
          </w:p>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273,080,</w:t>
            </w:r>
          </w:p>
        </w:tc>
      </w:tr>
      <w:tr>
        <w:trPr>
          <w:trHeight w:val="163" w:hRule="exact"/>
        </w:trPr>
        <w:tc>
          <w:tcPr>
            <w:vMerge w:val="restart"/>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072.38</w:t>
            </w:r>
          </w:p>
        </w:tc>
      </w:tr>
      <w:tr>
        <w:trPr>
          <w:trHeight w:val="154" w:hRule="exact"/>
        </w:trPr>
        <w:tc>
          <w:tcPr>
            <w:vMerge/>
            <w:tcBorders>
              <w:left w:val="single" w:sz="4"/>
            </w:tcBorders>
            <w:shd w:val="clear" w:color="auto" w:fill="D4D4D4"/>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21,269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,390.1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11,50</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-36,242,</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118.43</w:t>
            </w:r>
          </w:p>
        </w:tc>
      </w:tr>
      <w:tr>
        <w:trPr>
          <w:trHeight w:val="13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21,269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,390.1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-21,2</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69,3</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90.1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（或股东）的</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-36,2</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42,11</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-36,242,</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118.43</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1,035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098.0</w:t>
            </w:r>
          </w:p>
          <w:p>
            <w:pPr>
              <w:pStyle w:val="Style2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724,51</w:t>
            </w:r>
          </w:p>
          <w:p>
            <w:pPr>
              <w:pStyle w:val="Style2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58,449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,098.3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156,13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3,565.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920,</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662,</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194.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3,888,45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8,470.55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1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 权益合 计</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20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18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6"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3,492,73</w:t>
            </w:r>
          </w:p>
        </w:tc>
      </w:tr>
      <w:tr>
        <w:trPr>
          <w:trHeight w:val="307" w:hRule="exact"/>
        </w:trPr>
        <w:tc>
          <w:tcPr>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8,261.6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8,124.06</w:t>
            </w:r>
          </w:p>
        </w:tc>
      </w:tr>
      <w:tr>
        <w:trPr>
          <w:trHeight w:val="14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2,607,83</w:t>
            </w:r>
          </w:p>
        </w:tc>
      </w:tr>
      <w:tr>
        <w:trPr>
          <w:trHeight w:val="355" w:hRule="exact"/>
        </w:trPr>
        <w:tc>
          <w:tcPr>
            <w:tcBorders>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r>
      <w:tr>
        <w:trPr>
          <w:trHeight w:val="35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3,495,34</w:t>
            </w:r>
          </w:p>
        </w:tc>
      </w:tr>
      <w:tr>
        <w:trPr>
          <w:trHeight w:val="154"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724,5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5,315.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41,56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6,101.0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5,963.51</w:t>
            </w: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00" w:lineRule="exact"/>
              <w:ind w:left="0" w:right="0" w:firstLine="0"/>
              <w:jc w:val="both"/>
            </w:pPr>
            <w:r>
              <w:rPr>
                <w:rFonts w:ascii="SimSun" w:eastAsia="SimSun" w:hAnsi="SimSun" w:cs="SimSun"/>
                <w:color w:val="000000"/>
                <w:spacing w:val="0"/>
                <w:w w:val="100"/>
                <w:position w:val="0"/>
              </w:rPr>
              <w:t>三、本期增减 变动金额（减 少以，，_，，号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33,75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14,32</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2,609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108,19</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156,274,</w:t>
            </w:r>
          </w:p>
        </w:tc>
      </w:tr>
      <w:tr>
        <w:trPr>
          <w:trHeight w:val="149"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553.09</w:t>
            </w: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176,984,</w:t>
            </w:r>
          </w:p>
        </w:tc>
      </w:tr>
      <w:tr>
        <w:trPr>
          <w:trHeight w:val="154"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6,092.0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335.05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（三）利润分</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14,32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-35,032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w:t>
            </w:r>
          </w:p>
        </w:tc>
      </w:tr>
      <w:tr>
        <w:trPr>
          <w:trHeight w:val="10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14,32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657" w:right="780" w:bottom="1446" w:left="868" w:header="0" w:footer="3" w:gutter="0"/>
          <w:cols w:space="720"/>
          <w:noEndnote/>
          <w:rtlGutter w:val="0"/>
          <w:docGrid w:linePitch="360"/>
        </w:sectPr>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1,03</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5,48</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9,09</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724,5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,072.6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134,8</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64,17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765,47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9,801.9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3,651,62</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0,516.60</w:t>
            </w:r>
          </w:p>
        </w:tc>
      </w:tr>
    </w:tbl>
    <w:p>
      <w:pPr>
        <w:pStyle w:val="Style29"/>
        <w:keepNext w:val="0"/>
        <w:keepLines w:val="0"/>
        <w:widowControl w:val="0"/>
        <w:shd w:val="clear" w:color="auto" w:fill="auto"/>
        <w:bidi w:val="0"/>
        <w:spacing w:before="0" w:after="0" w:line="240" w:lineRule="auto"/>
        <w:ind w:left="0" w:right="0" w:firstLine="0"/>
        <w:jc w:val="left"/>
        <w:rPr>
          <w:sz w:val="24"/>
          <w:szCs w:val="24"/>
        </w:rPr>
      </w:pPr>
      <w:bookmarkStart w:id="742" w:name="bookmark742"/>
      <w:r>
        <w:rPr>
          <w:b/>
          <w:bCs/>
          <w:color w:val="000000"/>
          <w:spacing w:val="0"/>
          <w:w w:val="100"/>
          <w:position w:val="0"/>
          <w:sz w:val="24"/>
          <w:szCs w:val="24"/>
        </w:rPr>
        <w:t>三、公司基本情况</w:t>
      </w:r>
      <w:bookmarkEnd w:id="742"/>
    </w:p>
    <w:p>
      <w:pPr>
        <w:widowControl w:val="0"/>
        <w:spacing w:after="239" w:line="1" w:lineRule="exact"/>
      </w:pPr>
    </w:p>
    <w:p>
      <w:pPr>
        <w:pStyle w:val="Style14"/>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浙江万马股份有限公司（以下简称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本公司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，在包含子公司时统称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本集团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）是以浙江万马电气 电缆集团有限公司（以下简称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电气电缆集团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）和张珊珊等15位自然人为发起人，由浙江万马集团电 缆有限公司（以下简称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电缆有限公司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）整体变更方式设立的股份有限公司，并于2007年2月6日在浙 江省工商行政管理局办理股份公司工商登记手续。本公司企业法人营业执照统一社会信用代码为 913300007043088475，公司住所：浙江省杭州市临安区青山湖街道鹤亭街896号；法定代表人：孟宪 洪；注册资本：人民币</w:t>
      </w:r>
      <w:r>
        <w:rPr>
          <w:color w:val="000000"/>
          <w:spacing w:val="0"/>
          <w:w w:val="100"/>
          <w:position w:val="0"/>
          <w:sz w:val="22"/>
          <w:szCs w:val="22"/>
        </w:rPr>
        <w:t>1,035,489,098.00</w:t>
      </w:r>
      <w:r>
        <w:rPr>
          <w:color w:val="000000"/>
          <w:spacing w:val="0"/>
          <w:w w:val="100"/>
          <w:position w:val="0"/>
          <w:sz w:val="22"/>
          <w:szCs w:val="22"/>
        </w:rPr>
        <w:t>元。</w:t>
      </w:r>
    </w:p>
    <w:p>
      <w:pPr>
        <w:pStyle w:val="Style14"/>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本集团从事电线电缆、高分子材料、汽车充电设备等产品的研发、生产和销售，以及汽车充电设 备的投资与运营服务。产品类别主要包括</w:t>
      </w:r>
      <w:r>
        <w:rPr>
          <w:color w:val="000000"/>
          <w:spacing w:val="0"/>
          <w:w w:val="100"/>
          <w:position w:val="0"/>
          <w:sz w:val="22"/>
          <w:szCs w:val="22"/>
        </w:rPr>
        <w:t>500k</w:t>
      </w:r>
      <w:r>
        <w:rPr>
          <w:color w:val="000000"/>
          <w:spacing w:val="0"/>
          <w:w w:val="100"/>
          <w:position w:val="0"/>
          <w:sz w:val="22"/>
          <w:szCs w:val="22"/>
        </w:rPr>
        <w:t>V及以下电力电缆，光缆、同轴与连接线等通信线缆， 硅烷、交联、低烟无卤、弹性体等高分子材料以及交流与直流充电设备。</w:t>
      </w:r>
    </w:p>
    <w:p>
      <w:pPr>
        <w:pStyle w:val="Style14"/>
        <w:keepNext w:val="0"/>
        <w:keepLines w:val="0"/>
        <w:widowControl w:val="0"/>
        <w:shd w:val="clear" w:color="auto" w:fill="auto"/>
        <w:bidi w:val="0"/>
        <w:spacing w:before="0" w:after="240" w:line="311" w:lineRule="exact"/>
        <w:ind w:left="0" w:right="0" w:firstLine="460"/>
        <w:jc w:val="left"/>
        <w:rPr>
          <w:sz w:val="22"/>
          <w:szCs w:val="22"/>
        </w:rPr>
      </w:pPr>
      <w:r>
        <w:rPr>
          <w:b/>
          <w:bCs/>
          <w:color w:val="000000"/>
          <w:spacing w:val="0"/>
          <w:w w:val="100"/>
          <w:position w:val="0"/>
          <w:sz w:val="22"/>
          <w:szCs w:val="22"/>
        </w:rPr>
        <w:t>合并财务报表范围</w:t>
      </w:r>
    </w:p>
    <w:p>
      <w:pPr>
        <w:pStyle w:val="Style14"/>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本集团合并财务报表范围包括浙江万马股份有限公司、浙江万马高分子材料集团有限公司、四川 万马高分子材料有限公司、浙江万马聚力新材料科技有限公司、清远万马新材料有限公司、湖州万马 高分子材料有限公司、浙江万马天屹通信线缆有限公司、浙江万马集团特种电子电缆有限公司、万马 奔腾新能源产业集团有限公司、浙江万马新能源有限公司、浙江万马光伏有限公司、浙江爱充网络科 技有限公司、上海万马乾驭电动汽车服务有限公司、香港骐骥国际发展有限公司、浙江万马专用线缆 科技有限公司、浙江万马电缆有限公司、万马联合新能源投资有限公司、江苏万充新能源科技有限公 司、苏州万充新能源科技有限公司、无锡万充新能源科技有限公司、武汉万爱新能源科技有限公司、 北京万京新能源科技有限公司、宁波万爱新能源科技有限公司、上海万遥新能源科技有限公司、福州 万充新能源科技有限公司、深圳万充新能源科技有限公司、陕西万充新能源科技有限公司、杭州万充 电力工程有限公司、重庆万充新能源科技有限公司、四川万充新能源科技有限公司、广州万充新能源 科技有限公司、海南万充新能源科技有限公司、佛山万爱新能源科技有限公司、</w:t>
      </w:r>
      <w:r>
        <w:rPr>
          <w:color w:val="000000"/>
          <w:spacing w:val="0"/>
          <w:w w:val="100"/>
          <w:position w:val="0"/>
          <w:sz w:val="22"/>
          <w:szCs w:val="22"/>
        </w:rPr>
        <w:t>Optrum Technology LLC、</w:t>
      </w:r>
      <w:r>
        <w:rPr>
          <w:color w:val="000000"/>
          <w:spacing w:val="0"/>
          <w:w w:val="100"/>
          <w:position w:val="0"/>
          <w:sz w:val="22"/>
          <w:szCs w:val="22"/>
        </w:rPr>
        <w:t>浙江万马家装有限公司、杭州以田科技有限公司、</w:t>
      </w:r>
      <w:r>
        <w:rPr>
          <w:color w:val="000000"/>
          <w:spacing w:val="0"/>
          <w:w w:val="100"/>
          <w:position w:val="0"/>
          <w:sz w:val="22"/>
          <w:szCs w:val="22"/>
        </w:rPr>
        <w:t>Wanma Cable （Vietnam） Co.,Ltd、Steed Networks Technologies Co.,Ltd、</w:t>
      </w:r>
      <w:r>
        <w:rPr>
          <w:color w:val="000000"/>
          <w:spacing w:val="0"/>
          <w:w w:val="100"/>
          <w:position w:val="0"/>
          <w:sz w:val="22"/>
          <w:szCs w:val="22"/>
        </w:rPr>
        <w:t>广州万马爱充新能源科技有限公司、浙江骏业科创科技有限公司 40家公司。</w:t>
      </w:r>
    </w:p>
    <w:p>
      <w:pPr>
        <w:pStyle w:val="Style14"/>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与上年相比，本年因新设湖州万马高分子材料有限公司增加1家公司；因注销山西万马新能源科 技有限公司减少1家公司，详见本附注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七、合并范围的变化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及本附注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九、在其他主体中的权益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相关 内容。</w:t>
      </w:r>
    </w:p>
    <w:p>
      <w:pPr>
        <w:pStyle w:val="Style26"/>
        <w:keepNext/>
        <w:keepLines/>
        <w:widowControl w:val="0"/>
        <w:shd w:val="clear" w:color="auto" w:fill="auto"/>
        <w:tabs>
          <w:tab w:pos="493" w:val="left"/>
        </w:tabs>
        <w:bidi w:val="0"/>
        <w:spacing w:before="0" w:after="300" w:line="360" w:lineRule="exact"/>
        <w:ind w:left="0" w:right="0" w:firstLine="0"/>
        <w:jc w:val="both"/>
      </w:pPr>
      <w:bookmarkStart w:id="743" w:name="bookmark743"/>
      <w:bookmarkStart w:id="744" w:name="bookmark744"/>
      <w:bookmarkStart w:id="745" w:name="bookmark745"/>
      <w:bookmarkStart w:id="746" w:name="bookmark746"/>
      <w:r>
        <w:rPr>
          <w:color w:val="000000"/>
          <w:spacing w:val="0"/>
          <w:w w:val="100"/>
          <w:position w:val="0"/>
          <w:sz w:val="24"/>
          <w:szCs w:val="24"/>
        </w:rPr>
        <w:t>四</w:t>
      </w:r>
      <w:bookmarkEnd w:id="745"/>
      <w:r>
        <w:rPr>
          <w:color w:val="000000"/>
          <w:spacing w:val="0"/>
          <w:w w:val="100"/>
          <w:position w:val="0"/>
          <w:sz w:val="24"/>
          <w:szCs w:val="24"/>
        </w:rPr>
        <w:t>、</w:t>
        <w:tab/>
        <w:t>财务报表的编制基础</w:t>
      </w:r>
      <w:bookmarkEnd w:id="743"/>
      <w:bookmarkEnd w:id="744"/>
      <w:bookmarkEnd w:id="746"/>
    </w:p>
    <w:p>
      <w:pPr>
        <w:pStyle w:val="Style34"/>
        <w:keepNext/>
        <w:keepLines/>
        <w:widowControl w:val="0"/>
        <w:shd w:val="clear" w:color="auto" w:fill="auto"/>
        <w:tabs>
          <w:tab w:pos="813" w:val="left"/>
        </w:tabs>
        <w:bidi w:val="0"/>
        <w:spacing w:before="0" w:after="0" w:line="360" w:lineRule="exact"/>
        <w:ind w:left="0" w:right="0" w:firstLine="44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编制基础</w:t>
      </w:r>
      <w:bookmarkEnd w:id="747"/>
      <w:bookmarkEnd w:id="748"/>
      <w:bookmarkEnd w:id="750"/>
    </w:p>
    <w:p>
      <w:pPr>
        <w:pStyle w:val="Style14"/>
        <w:keepNext w:val="0"/>
        <w:keepLines w:val="0"/>
        <w:widowControl w:val="0"/>
        <w:shd w:val="clear" w:color="auto" w:fill="auto"/>
        <w:bidi w:val="0"/>
        <w:spacing w:before="0" w:after="0" w:line="360" w:lineRule="exact"/>
        <w:ind w:left="0" w:right="0"/>
        <w:jc w:val="both"/>
        <w:rPr>
          <w:sz w:val="22"/>
          <w:szCs w:val="22"/>
        </w:rPr>
      </w:pPr>
      <w:r>
        <w:rPr>
          <w:color w:val="000000"/>
          <w:spacing w:val="0"/>
          <w:w w:val="100"/>
          <w:position w:val="0"/>
          <w:sz w:val="22"/>
          <w:szCs w:val="22"/>
        </w:rPr>
        <w:t>本集团财务报表以持续经营为基础，根据实际发生的交易和事项，按照财政部颁布的《企业会计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所述会计政策和会计估计编制。</w:t>
      </w:r>
    </w:p>
    <w:p>
      <w:pPr>
        <w:pStyle w:val="Style34"/>
        <w:keepNext/>
        <w:keepLines/>
        <w:widowControl w:val="0"/>
        <w:shd w:val="clear" w:color="auto" w:fill="auto"/>
        <w:tabs>
          <w:tab w:pos="822" w:val="left"/>
        </w:tabs>
        <w:bidi w:val="0"/>
        <w:spacing w:before="0" w:after="0" w:line="360" w:lineRule="exact"/>
        <w:ind w:left="0" w:right="0" w:firstLine="44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持续经营</w:t>
      </w:r>
      <w:bookmarkEnd w:id="751"/>
      <w:bookmarkEnd w:id="752"/>
      <w:bookmarkEnd w:id="754"/>
    </w:p>
    <w:p>
      <w:pPr>
        <w:pStyle w:val="Style14"/>
        <w:keepNext w:val="0"/>
        <w:keepLines w:val="0"/>
        <w:widowControl w:val="0"/>
        <w:shd w:val="clear" w:color="auto" w:fill="auto"/>
        <w:bidi w:val="0"/>
        <w:spacing w:before="0" w:after="400" w:line="360" w:lineRule="exact"/>
        <w:ind w:left="0" w:right="0"/>
        <w:jc w:val="both"/>
        <w:rPr>
          <w:sz w:val="22"/>
          <w:szCs w:val="22"/>
        </w:rPr>
      </w:pPr>
      <w:r>
        <w:rPr>
          <w:color w:val="000000"/>
          <w:spacing w:val="0"/>
          <w:w w:val="100"/>
          <w:position w:val="0"/>
          <w:sz w:val="22"/>
          <w:szCs w:val="22"/>
        </w:rPr>
        <w:t>本集团自本报告期末至少12个月内具备持续经营能力，无影响持续经营能力的重大事项。</w:t>
      </w:r>
    </w:p>
    <w:p>
      <w:pPr>
        <w:pStyle w:val="Style26"/>
        <w:keepNext/>
        <w:keepLines/>
        <w:widowControl w:val="0"/>
        <w:shd w:val="clear" w:color="auto" w:fill="auto"/>
        <w:tabs>
          <w:tab w:pos="512" w:val="left"/>
        </w:tabs>
        <w:bidi w:val="0"/>
        <w:spacing w:before="0" w:after="0" w:line="360" w:lineRule="exact"/>
        <w:ind w:left="0" w:right="0" w:firstLine="0"/>
        <w:jc w:val="left"/>
      </w:pPr>
      <w:bookmarkStart w:id="755" w:name="bookmark755"/>
      <w:bookmarkStart w:id="756" w:name="bookmark756"/>
      <w:bookmarkStart w:id="757" w:name="bookmark757"/>
      <w:bookmarkStart w:id="758" w:name="bookmark758"/>
      <w:r>
        <w:rPr>
          <w:color w:val="000000"/>
          <w:spacing w:val="0"/>
          <w:w w:val="100"/>
          <w:position w:val="0"/>
          <w:sz w:val="24"/>
          <w:szCs w:val="24"/>
        </w:rPr>
        <w:t>五</w:t>
      </w:r>
      <w:bookmarkEnd w:id="757"/>
      <w:r>
        <w:rPr>
          <w:color w:val="000000"/>
          <w:spacing w:val="0"/>
          <w:w w:val="100"/>
          <w:position w:val="0"/>
          <w:sz w:val="24"/>
          <w:szCs w:val="24"/>
        </w:rPr>
        <w:t>、</w:t>
        <w:tab/>
        <w:t>重要会计政策及会计估计</w:t>
      </w:r>
      <w:bookmarkEnd w:id="755"/>
      <w:bookmarkEnd w:id="756"/>
      <w:bookmarkEnd w:id="758"/>
    </w:p>
    <w:p>
      <w:pPr>
        <w:pStyle w:val="Style14"/>
        <w:keepNext w:val="0"/>
        <w:keepLines w:val="0"/>
        <w:widowControl w:val="0"/>
        <w:shd w:val="clear" w:color="auto" w:fill="auto"/>
        <w:bidi w:val="0"/>
        <w:spacing w:before="0" w:after="0" w:line="360" w:lineRule="exact"/>
        <w:ind w:left="0" w:right="0"/>
        <w:jc w:val="both"/>
        <w:rPr>
          <w:sz w:val="22"/>
          <w:szCs w:val="22"/>
        </w:rPr>
      </w:pPr>
      <w:r>
        <w:rPr>
          <w:color w:val="000000"/>
          <w:spacing w:val="0"/>
          <w:w w:val="100"/>
          <w:position w:val="0"/>
          <w:sz w:val="22"/>
          <w:szCs w:val="22"/>
        </w:rPr>
        <w:t>具体会计政策和会计估计提示：本集团根据实际生产经营特点制定的具体会计政策和会计估计包 括应收款项坏账准备的确认和计量、发出存货计量、固定资产分类及折旧方法、无形资产摊销、研发 费用资本化条件、收入确认和计量等。</w:t>
      </w:r>
    </w:p>
    <w:p>
      <w:pPr>
        <w:pStyle w:val="Style34"/>
        <w:keepNext/>
        <w:keepLines/>
        <w:widowControl w:val="0"/>
        <w:shd w:val="clear" w:color="auto" w:fill="auto"/>
        <w:tabs>
          <w:tab w:pos="813" w:val="left"/>
        </w:tabs>
        <w:bidi w:val="0"/>
        <w:spacing w:before="0" w:after="0" w:line="360" w:lineRule="exact"/>
        <w:ind w:left="0" w:right="0" w:firstLine="44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color w:val="000000"/>
          <w:spacing w:val="0"/>
          <w:w w:val="100"/>
          <w:position w:val="0"/>
        </w:rPr>
        <w:t>、</w:t>
        <w:tab/>
        <w:t>遵循企业会计准则的声明</w:t>
      </w:r>
      <w:bookmarkEnd w:id="759"/>
      <w:bookmarkEnd w:id="760"/>
      <w:bookmarkEnd w:id="762"/>
    </w:p>
    <w:p>
      <w:pPr>
        <w:pStyle w:val="Style14"/>
        <w:keepNext w:val="0"/>
        <w:keepLines w:val="0"/>
        <w:widowControl w:val="0"/>
        <w:shd w:val="clear" w:color="auto" w:fill="auto"/>
        <w:bidi w:val="0"/>
        <w:spacing w:before="0" w:after="0" w:line="355" w:lineRule="exact"/>
        <w:ind w:left="0" w:right="0"/>
        <w:jc w:val="both"/>
        <w:rPr>
          <w:sz w:val="22"/>
          <w:szCs w:val="22"/>
        </w:rPr>
      </w:pPr>
      <w:r>
        <w:rPr>
          <w:color w:val="000000"/>
          <w:spacing w:val="0"/>
          <w:w w:val="100"/>
          <w:position w:val="0"/>
          <w:sz w:val="22"/>
          <w:szCs w:val="22"/>
        </w:rPr>
        <w:t>本公司编制的财务报表符合企业会计准则的要求，真实、完整地反映了本公司及本集团的财务状 况、经营成果和现金流量等有关信息。</w:t>
      </w:r>
    </w:p>
    <w:p>
      <w:pPr>
        <w:pStyle w:val="Style34"/>
        <w:keepNext/>
        <w:keepLines/>
        <w:widowControl w:val="0"/>
        <w:shd w:val="clear" w:color="auto" w:fill="auto"/>
        <w:tabs>
          <w:tab w:pos="822" w:val="left"/>
        </w:tabs>
        <w:bidi w:val="0"/>
        <w:spacing w:before="0" w:after="0" w:line="355" w:lineRule="exact"/>
        <w:ind w:left="0" w:right="0" w:firstLine="44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会计期间</w:t>
      </w:r>
      <w:bookmarkEnd w:id="763"/>
      <w:bookmarkEnd w:id="764"/>
      <w:bookmarkEnd w:id="766"/>
    </w:p>
    <w:p>
      <w:pPr>
        <w:pStyle w:val="Style14"/>
        <w:keepNext w:val="0"/>
        <w:keepLines w:val="0"/>
        <w:widowControl w:val="0"/>
        <w:shd w:val="clear" w:color="auto" w:fill="auto"/>
        <w:bidi w:val="0"/>
        <w:spacing w:before="0" w:after="0" w:line="360" w:lineRule="exact"/>
        <w:ind w:left="0" w:right="0"/>
        <w:jc w:val="both"/>
        <w:rPr>
          <w:sz w:val="22"/>
          <w:szCs w:val="22"/>
        </w:rPr>
      </w:pPr>
      <w:r>
        <w:rPr>
          <w:color w:val="000000"/>
          <w:spacing w:val="0"/>
          <w:w w:val="100"/>
          <w:position w:val="0"/>
          <w:sz w:val="22"/>
          <w:szCs w:val="22"/>
        </w:rPr>
        <w:t>本集团的会计期间为公历1月1日至12月31日。</w:t>
      </w:r>
    </w:p>
    <w:p>
      <w:pPr>
        <w:pStyle w:val="Style34"/>
        <w:keepNext/>
        <w:keepLines/>
        <w:widowControl w:val="0"/>
        <w:shd w:val="clear" w:color="auto" w:fill="auto"/>
        <w:tabs>
          <w:tab w:pos="822" w:val="left"/>
        </w:tabs>
        <w:bidi w:val="0"/>
        <w:spacing w:before="0" w:after="0" w:line="360" w:lineRule="exact"/>
        <w:ind w:left="0" w:right="0" w:firstLine="44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w:t>
        <w:tab/>
        <w:t>营业周期</w:t>
      </w:r>
      <w:bookmarkEnd w:id="767"/>
      <w:bookmarkEnd w:id="768"/>
      <w:bookmarkEnd w:id="770"/>
    </w:p>
    <w:p>
      <w:pPr>
        <w:pStyle w:val="Style14"/>
        <w:keepNext w:val="0"/>
        <w:keepLines w:val="0"/>
        <w:widowControl w:val="0"/>
        <w:shd w:val="clear" w:color="auto" w:fill="auto"/>
        <w:bidi w:val="0"/>
        <w:spacing w:before="0" w:after="400" w:line="360" w:lineRule="exact"/>
        <w:ind w:left="0" w:right="0"/>
        <w:jc w:val="both"/>
        <w:rPr>
          <w:sz w:val="22"/>
          <w:szCs w:val="22"/>
        </w:rPr>
      </w:pPr>
      <w:r>
        <w:rPr>
          <w:color w:val="000000"/>
          <w:spacing w:val="0"/>
          <w:w w:val="100"/>
          <w:position w:val="0"/>
          <w:sz w:val="22"/>
          <w:szCs w:val="22"/>
        </w:rPr>
        <w:t>本集团的营业周期为公历1月1日至12月31日。</w:t>
      </w:r>
    </w:p>
    <w:p>
      <w:pPr>
        <w:pStyle w:val="Style34"/>
        <w:keepNext/>
        <w:keepLines/>
        <w:widowControl w:val="0"/>
        <w:shd w:val="clear" w:color="auto" w:fill="auto"/>
        <w:tabs>
          <w:tab w:pos="822" w:val="left"/>
        </w:tabs>
        <w:bidi w:val="0"/>
        <w:spacing w:before="0" w:after="0" w:line="360" w:lineRule="exact"/>
        <w:ind w:left="0" w:right="0" w:firstLine="44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4</w:t>
      </w:r>
      <w:bookmarkEnd w:id="773"/>
      <w:r>
        <w:rPr>
          <w:color w:val="000000"/>
          <w:spacing w:val="0"/>
          <w:w w:val="100"/>
          <w:position w:val="0"/>
        </w:rPr>
        <w:t>、</w:t>
        <w:tab/>
        <w:t>记账本位币</w:t>
      </w:r>
      <w:bookmarkEnd w:id="771"/>
      <w:bookmarkEnd w:id="772"/>
      <w:bookmarkEnd w:id="774"/>
    </w:p>
    <w:p>
      <w:pPr>
        <w:pStyle w:val="Style14"/>
        <w:keepNext w:val="0"/>
        <w:keepLines w:val="0"/>
        <w:widowControl w:val="0"/>
        <w:shd w:val="clear" w:color="auto" w:fill="auto"/>
        <w:bidi w:val="0"/>
        <w:spacing w:before="0" w:after="400" w:line="360" w:lineRule="exact"/>
        <w:ind w:left="0" w:right="0"/>
        <w:jc w:val="both"/>
        <w:rPr>
          <w:sz w:val="22"/>
          <w:szCs w:val="22"/>
        </w:rPr>
      </w:pPr>
      <w:r>
        <w:rPr>
          <w:color w:val="000000"/>
          <w:spacing w:val="0"/>
          <w:w w:val="100"/>
          <w:position w:val="0"/>
          <w:sz w:val="22"/>
          <w:szCs w:val="22"/>
        </w:rPr>
        <w:t>本集团以人民币为记账本位币。</w:t>
      </w:r>
    </w:p>
    <w:p>
      <w:pPr>
        <w:pStyle w:val="Style34"/>
        <w:keepNext/>
        <w:keepLines/>
        <w:widowControl w:val="0"/>
        <w:shd w:val="clear" w:color="auto" w:fill="auto"/>
        <w:tabs>
          <w:tab w:pos="822" w:val="left"/>
        </w:tabs>
        <w:bidi w:val="0"/>
        <w:spacing w:before="0" w:after="0" w:line="360" w:lineRule="exact"/>
        <w:ind w:left="0" w:right="0" w:firstLine="44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5</w:t>
      </w:r>
      <w:bookmarkEnd w:id="777"/>
      <w:r>
        <w:rPr>
          <w:color w:val="000000"/>
          <w:spacing w:val="0"/>
          <w:w w:val="100"/>
          <w:position w:val="0"/>
        </w:rPr>
        <w:t>、</w:t>
        <w:tab/>
        <w:t>同一控制下和非同一控制下企业合并的会计处理方法</w:t>
      </w:r>
      <w:bookmarkEnd w:id="775"/>
      <w:bookmarkEnd w:id="776"/>
      <w:bookmarkEnd w:id="778"/>
    </w:p>
    <w:p>
      <w:pPr>
        <w:pStyle w:val="Style14"/>
        <w:keepNext w:val="0"/>
        <w:keepLines w:val="0"/>
        <w:widowControl w:val="0"/>
        <w:shd w:val="clear" w:color="auto" w:fill="auto"/>
        <w:bidi w:val="0"/>
        <w:spacing w:before="0" w:after="0" w:line="360" w:lineRule="exact"/>
        <w:ind w:left="0" w:right="0"/>
        <w:jc w:val="both"/>
        <w:rPr>
          <w:sz w:val="22"/>
          <w:szCs w:val="22"/>
        </w:rPr>
      </w:pPr>
      <w:r>
        <w:rPr>
          <w:color w:val="000000"/>
          <w:spacing w:val="0"/>
          <w:w w:val="100"/>
          <w:position w:val="0"/>
          <w:sz w:val="22"/>
          <w:szCs w:val="22"/>
        </w:rPr>
        <w:t>本集团作为合并方，在同一控制下企业合并中取得的资产和负债，在合并日按被合并方在最终控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14"/>
        <w:keepNext w:val="0"/>
        <w:keepLines w:val="0"/>
        <w:widowControl w:val="0"/>
        <w:shd w:val="clear" w:color="auto" w:fill="auto"/>
        <w:bidi w:val="0"/>
        <w:spacing w:before="0" w:after="0" w:line="359" w:lineRule="exact"/>
        <w:ind w:left="0" w:right="0"/>
        <w:jc w:val="both"/>
        <w:rPr>
          <w:sz w:val="22"/>
          <w:szCs w:val="22"/>
        </w:rPr>
      </w:pPr>
      <w:r>
        <w:rPr>
          <w:color w:val="000000"/>
          <w:spacing w:val="0"/>
          <w:w w:val="100"/>
          <w:position w:val="0"/>
          <w:sz w:val="22"/>
          <w:szCs w:val="22"/>
        </w:rPr>
        <w:t>在非同一控制下企业合并中取得的被购买方可辨认资产、负债及或有负债在收购日以公允价值计 量。合并成本为本集团在购买日为取得对被购买方的控制权而支付的现金或非现金资产、发行或承担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34"/>
        <w:keepNext/>
        <w:keepLines/>
        <w:widowControl w:val="0"/>
        <w:shd w:val="clear" w:color="auto" w:fill="auto"/>
        <w:tabs>
          <w:tab w:pos="822" w:val="left"/>
        </w:tabs>
        <w:bidi w:val="0"/>
        <w:spacing w:before="0" w:after="0" w:line="359" w:lineRule="exact"/>
        <w:ind w:left="0" w:right="0" w:firstLine="44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6</w:t>
      </w:r>
      <w:bookmarkEnd w:id="781"/>
      <w:r>
        <w:rPr>
          <w:color w:val="000000"/>
          <w:spacing w:val="0"/>
          <w:w w:val="100"/>
          <w:position w:val="0"/>
        </w:rPr>
        <w:t>、</w:t>
        <w:tab/>
        <w:t>合并财务报表的编制方法</w:t>
      </w:r>
      <w:bookmarkEnd w:id="779"/>
      <w:bookmarkEnd w:id="780"/>
      <w:bookmarkEnd w:id="782"/>
    </w:p>
    <w:p>
      <w:pPr>
        <w:pStyle w:val="Style14"/>
        <w:keepNext w:val="0"/>
        <w:keepLines w:val="0"/>
        <w:widowControl w:val="0"/>
        <w:shd w:val="clear" w:color="auto" w:fill="auto"/>
        <w:bidi w:val="0"/>
        <w:spacing w:before="0" w:after="0" w:line="360" w:lineRule="exact"/>
        <w:ind w:left="0" w:right="0"/>
        <w:jc w:val="both"/>
        <w:rPr>
          <w:sz w:val="22"/>
          <w:szCs w:val="22"/>
        </w:rPr>
      </w:pPr>
      <w:r>
        <w:rPr>
          <w:color w:val="000000"/>
          <w:spacing w:val="0"/>
          <w:w w:val="100"/>
          <w:position w:val="0"/>
          <w:sz w:val="22"/>
          <w:szCs w:val="22"/>
        </w:rPr>
        <w:t>本集团将所有控制的子公司纳入合并财务报表范围。</w:t>
      </w:r>
    </w:p>
    <w:p>
      <w:pPr>
        <w:pStyle w:val="Style14"/>
        <w:keepNext w:val="0"/>
        <w:keepLines w:val="0"/>
        <w:widowControl w:val="0"/>
        <w:shd w:val="clear" w:color="auto" w:fill="auto"/>
        <w:bidi w:val="0"/>
        <w:spacing w:before="0" w:after="0" w:line="360" w:lineRule="exact"/>
        <w:ind w:left="0" w:right="0"/>
        <w:jc w:val="both"/>
        <w:rPr>
          <w:sz w:val="22"/>
          <w:szCs w:val="22"/>
        </w:rPr>
      </w:pPr>
      <w:r>
        <w:rPr>
          <w:color w:val="000000"/>
          <w:spacing w:val="0"/>
          <w:w w:val="100"/>
          <w:position w:val="0"/>
          <w:sz w:val="22"/>
          <w:szCs w:val="22"/>
        </w:rPr>
        <w:t>在编制合并财务报表时，子公司与本公司采用的会计政策或会计期间不一致的，按照本公司的会 计政策或会计期间对子公司财务报表进行必要的调整。</w:t>
      </w:r>
    </w:p>
    <w:p>
      <w:pPr>
        <w:pStyle w:val="Style14"/>
        <w:keepNext w:val="0"/>
        <w:keepLines w:val="0"/>
        <w:widowControl w:val="0"/>
        <w:shd w:val="clear" w:color="auto" w:fill="auto"/>
        <w:bidi w:val="0"/>
        <w:spacing w:before="0" w:after="0" w:line="362" w:lineRule="exact"/>
        <w:ind w:left="0" w:right="0"/>
        <w:jc w:val="both"/>
        <w:rPr>
          <w:sz w:val="22"/>
          <w:szCs w:val="22"/>
        </w:rPr>
      </w:pPr>
      <w:r>
        <w:rPr>
          <w:color w:val="000000"/>
          <w:spacing w:val="0"/>
          <w:w w:val="100"/>
          <w:position w:val="0"/>
          <w:sz w:val="22"/>
          <w:szCs w:val="22"/>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项目列示。</w:t>
      </w:r>
    </w:p>
    <w:p>
      <w:pPr>
        <w:pStyle w:val="Style14"/>
        <w:keepNext w:val="0"/>
        <w:keepLines w:val="0"/>
        <w:widowControl w:val="0"/>
        <w:shd w:val="clear" w:color="auto" w:fill="auto"/>
        <w:bidi w:val="0"/>
        <w:spacing w:before="0" w:after="0" w:line="355" w:lineRule="exact"/>
        <w:ind w:left="0" w:right="0"/>
        <w:jc w:val="both"/>
        <w:rPr>
          <w:sz w:val="22"/>
          <w:szCs w:val="22"/>
        </w:rPr>
      </w:pPr>
      <w:r>
        <w:rPr>
          <w:color w:val="000000"/>
          <w:spacing w:val="0"/>
          <w:w w:val="100"/>
          <w:position w:val="0"/>
          <w:sz w:val="22"/>
          <w:szCs w:val="22"/>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14"/>
        <w:keepNext w:val="0"/>
        <w:keepLines w:val="0"/>
        <w:widowControl w:val="0"/>
        <w:shd w:val="clear" w:color="auto" w:fill="auto"/>
        <w:bidi w:val="0"/>
        <w:spacing w:before="0" w:after="100" w:line="355" w:lineRule="exact"/>
        <w:ind w:left="0" w:right="0"/>
        <w:jc w:val="both"/>
        <w:rPr>
          <w:sz w:val="22"/>
          <w:szCs w:val="22"/>
        </w:rPr>
      </w:pPr>
      <w:r>
        <w:rPr>
          <w:color w:val="000000"/>
          <w:spacing w:val="0"/>
          <w:w w:val="100"/>
          <w:position w:val="0"/>
          <w:sz w:val="22"/>
          <w:szCs w:val="22"/>
        </w:rPr>
        <w:t>对于非同一控制下企业合并取得子公司，经营成果和现金流量自本集团取得控制权之日起纳入合 并财务报表。在编制合并财务报表时，以购买日确定的各项可辨认资产、负债及或有负债的公允价值 为基础对子公司的财务报表进行调整。</w:t>
      </w:r>
    </w:p>
    <w:p>
      <w:pPr>
        <w:pStyle w:val="Style34"/>
        <w:keepNext/>
        <w:keepLines/>
        <w:widowControl w:val="0"/>
        <w:shd w:val="clear" w:color="auto" w:fill="auto"/>
        <w:tabs>
          <w:tab w:pos="818" w:val="left"/>
        </w:tabs>
        <w:bidi w:val="0"/>
        <w:spacing w:before="0" w:after="0" w:line="372" w:lineRule="auto"/>
        <w:ind w:left="0" w:right="0" w:firstLine="44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7</w:t>
      </w:r>
      <w:bookmarkEnd w:id="785"/>
      <w:r>
        <w:rPr>
          <w:color w:val="000000"/>
          <w:spacing w:val="0"/>
          <w:w w:val="100"/>
          <w:position w:val="0"/>
        </w:rPr>
        <w:t>、</w:t>
        <w:tab/>
        <w:t>合营安排分类及共同经营会计处理方法</w:t>
      </w:r>
      <w:bookmarkEnd w:id="783"/>
      <w:bookmarkEnd w:id="784"/>
      <w:bookmarkEnd w:id="786"/>
    </w:p>
    <w:p>
      <w:pPr>
        <w:pStyle w:val="Style14"/>
        <w:keepNext w:val="0"/>
        <w:keepLines w:val="0"/>
        <w:widowControl w:val="0"/>
        <w:shd w:val="clear" w:color="auto" w:fill="auto"/>
        <w:bidi w:val="0"/>
        <w:spacing w:before="0" w:after="100" w:line="358" w:lineRule="exact"/>
        <w:ind w:left="0" w:right="0"/>
        <w:jc w:val="both"/>
        <w:rPr>
          <w:sz w:val="22"/>
          <w:szCs w:val="22"/>
        </w:rPr>
      </w:pPr>
      <w:r>
        <w:rPr>
          <w:color w:val="000000"/>
          <w:spacing w:val="0"/>
          <w:w w:val="100"/>
          <w:position w:val="0"/>
          <w:sz w:val="22"/>
          <w:szCs w:val="22"/>
        </w:rPr>
        <w:t>本集团的合营安排包括共同经营和合营企业。对于共同经营项目，本集团作为共同经营中的合营 方确认单独持有的资产和承担的负债，以及按份额确认持有的资产和承担的负债，根据相关约定单独 或按份额确认相关的收入和费用。与共同经营发生购买、销售不构成业务的资产交易的，仅确认因该 交易产生的损益中归属于共同经营其他参与方的部分。</w:t>
      </w:r>
    </w:p>
    <w:p>
      <w:pPr>
        <w:pStyle w:val="Style34"/>
        <w:keepNext/>
        <w:keepLines/>
        <w:widowControl w:val="0"/>
        <w:shd w:val="clear" w:color="auto" w:fill="auto"/>
        <w:tabs>
          <w:tab w:pos="822" w:val="left"/>
        </w:tabs>
        <w:bidi w:val="0"/>
        <w:spacing w:before="0" w:after="0" w:line="374" w:lineRule="auto"/>
        <w:ind w:left="0" w:right="0" w:firstLine="44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8</w:t>
      </w:r>
      <w:bookmarkEnd w:id="789"/>
      <w:r>
        <w:rPr>
          <w:color w:val="000000"/>
          <w:spacing w:val="0"/>
          <w:w w:val="100"/>
          <w:position w:val="0"/>
        </w:rPr>
        <w:t>、</w:t>
        <w:tab/>
        <w:t>现金及现金等价物的确定标准</w:t>
      </w:r>
      <w:bookmarkEnd w:id="787"/>
      <w:bookmarkEnd w:id="788"/>
      <w:bookmarkEnd w:id="790"/>
    </w:p>
    <w:p>
      <w:pPr>
        <w:pStyle w:val="Style14"/>
        <w:keepNext w:val="0"/>
        <w:keepLines w:val="0"/>
        <w:widowControl w:val="0"/>
        <w:shd w:val="clear" w:color="auto" w:fill="auto"/>
        <w:bidi w:val="0"/>
        <w:spacing w:before="0" w:after="100" w:line="350" w:lineRule="exact"/>
        <w:ind w:left="0" w:right="0"/>
        <w:jc w:val="both"/>
        <w:rPr>
          <w:sz w:val="22"/>
          <w:szCs w:val="22"/>
        </w:rPr>
      </w:pPr>
      <w:r>
        <w:rPr>
          <w:color w:val="000000"/>
          <w:spacing w:val="0"/>
          <w:w w:val="100"/>
          <w:position w:val="0"/>
          <w:sz w:val="22"/>
          <w:szCs w:val="22"/>
        </w:rPr>
        <w:t>本集团现金流量表之现金指库存现金以及可以随时用于支付的存款。现金流量表之现金等价物指 持有期限不超过3个月、流动性强、易于转换为已知金额现金且价值变动风险很小的投资。</w:t>
      </w:r>
    </w:p>
    <w:p>
      <w:pPr>
        <w:pStyle w:val="Style34"/>
        <w:keepNext/>
        <w:keepLines/>
        <w:widowControl w:val="0"/>
        <w:shd w:val="clear" w:color="auto" w:fill="auto"/>
        <w:tabs>
          <w:tab w:pos="822" w:val="left"/>
        </w:tabs>
        <w:bidi w:val="0"/>
        <w:spacing w:before="0" w:after="0" w:line="374" w:lineRule="auto"/>
        <w:ind w:left="0" w:right="0" w:firstLine="44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9</w:t>
      </w:r>
      <w:bookmarkEnd w:id="793"/>
      <w:r>
        <w:rPr>
          <w:color w:val="000000"/>
          <w:spacing w:val="0"/>
          <w:w w:val="100"/>
          <w:position w:val="0"/>
        </w:rPr>
        <w:t>、</w:t>
        <w:tab/>
        <w:t>外币业务和外币报表折算</w:t>
      </w:r>
      <w:bookmarkEnd w:id="791"/>
      <w:bookmarkEnd w:id="792"/>
      <w:bookmarkEnd w:id="794"/>
    </w:p>
    <w:p>
      <w:pPr>
        <w:pStyle w:val="Style14"/>
        <w:keepNext w:val="0"/>
        <w:keepLines w:val="0"/>
        <w:widowControl w:val="0"/>
        <w:shd w:val="clear" w:color="auto" w:fill="auto"/>
        <w:bidi w:val="0"/>
        <w:spacing w:before="0" w:after="0" w:line="358" w:lineRule="exact"/>
        <w:ind w:left="0" w:right="0"/>
        <w:jc w:val="both"/>
        <w:rPr>
          <w:sz w:val="22"/>
          <w:szCs w:val="22"/>
        </w:rPr>
      </w:pPr>
      <w:r>
        <w:rPr>
          <w:color w:val="000000"/>
          <w:spacing w:val="0"/>
          <w:w w:val="100"/>
          <w:position w:val="0"/>
          <w:sz w:val="22"/>
          <w:szCs w:val="22"/>
        </w:rPr>
        <w:t>外币交易</w:t>
      </w:r>
    </w:p>
    <w:p>
      <w:pPr>
        <w:pStyle w:val="Style14"/>
        <w:keepNext w:val="0"/>
        <w:keepLines w:val="0"/>
        <w:widowControl w:val="0"/>
        <w:shd w:val="clear" w:color="auto" w:fill="auto"/>
        <w:bidi w:val="0"/>
        <w:spacing w:before="0" w:after="0" w:line="358" w:lineRule="exact"/>
        <w:ind w:left="0" w:right="0"/>
        <w:jc w:val="both"/>
        <w:rPr>
          <w:sz w:val="22"/>
          <w:szCs w:val="22"/>
        </w:rPr>
      </w:pPr>
      <w:r>
        <w:rPr>
          <w:color w:val="000000"/>
          <w:spacing w:val="0"/>
          <w:w w:val="100"/>
          <w:position w:val="0"/>
          <w:sz w:val="22"/>
          <w:szCs w:val="22"/>
        </w:rPr>
        <w:t>本集团外币交易按交易发生日的即期汇率将外币金额折算为人民币金额。于资产负债表日，外币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14"/>
        <w:keepNext w:val="0"/>
        <w:keepLines w:val="0"/>
        <w:widowControl w:val="0"/>
        <w:shd w:val="clear" w:color="auto" w:fill="auto"/>
        <w:bidi w:val="0"/>
        <w:spacing w:before="0" w:after="0" w:line="358" w:lineRule="exact"/>
        <w:ind w:left="0" w:right="0"/>
        <w:jc w:val="both"/>
        <w:rPr>
          <w:sz w:val="22"/>
          <w:szCs w:val="22"/>
        </w:rPr>
      </w:pPr>
      <w:r>
        <w:rPr>
          <w:color w:val="000000"/>
          <w:spacing w:val="0"/>
          <w:w w:val="100"/>
          <w:position w:val="0"/>
          <w:sz w:val="22"/>
          <w:szCs w:val="22"/>
        </w:rPr>
        <w:t>外币财务报表的折算</w:t>
      </w:r>
    </w:p>
    <w:p>
      <w:pPr>
        <w:pStyle w:val="Style14"/>
        <w:keepNext w:val="0"/>
        <w:keepLines w:val="0"/>
        <w:widowControl w:val="0"/>
        <w:shd w:val="clear" w:color="auto" w:fill="auto"/>
        <w:bidi w:val="0"/>
        <w:spacing w:before="0" w:after="100" w:line="358" w:lineRule="exact"/>
        <w:ind w:left="0" w:right="0"/>
        <w:jc w:val="both"/>
        <w:rPr>
          <w:sz w:val="22"/>
          <w:szCs w:val="22"/>
        </w:rPr>
      </w:pPr>
      <w:r>
        <w:rPr>
          <w:color w:val="000000"/>
          <w:spacing w:val="0"/>
          <w:w w:val="100"/>
          <w:position w:val="0"/>
          <w:sz w:val="22"/>
          <w:szCs w:val="22"/>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未 分配利润</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外，均按业务发生时的即期汇率折算；利润表中的收入与费用项目，采用交易发生日的即 期汇率折算。上述折算产生的外币报表折算差额，在其他综合收益项目中列示。外币现金流量采用现 金流量发生日的即期汇率折算。汇率变动对现金的影响额，在现金流量表中单独列示。</w:t>
      </w:r>
    </w:p>
    <w:p>
      <w:pPr>
        <w:pStyle w:val="Style34"/>
        <w:keepNext/>
        <w:keepLines/>
        <w:widowControl w:val="0"/>
        <w:shd w:val="clear" w:color="auto" w:fill="auto"/>
        <w:tabs>
          <w:tab w:pos="918" w:val="left"/>
        </w:tabs>
        <w:bidi w:val="0"/>
        <w:spacing w:before="0" w:after="0" w:line="374" w:lineRule="auto"/>
        <w:ind w:left="0" w:right="0" w:firstLine="44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5"/>
      <w:bookmarkEnd w:id="796"/>
      <w:bookmarkEnd w:id="798"/>
    </w:p>
    <w:p>
      <w:pPr>
        <w:pStyle w:val="Style14"/>
        <w:keepNext w:val="0"/>
        <w:keepLines w:val="0"/>
        <w:widowControl w:val="0"/>
        <w:shd w:val="clear" w:color="auto" w:fill="auto"/>
        <w:bidi w:val="0"/>
        <w:spacing w:before="0" w:after="0" w:line="358" w:lineRule="exact"/>
        <w:ind w:left="0" w:right="0"/>
        <w:jc w:val="left"/>
        <w:rPr>
          <w:sz w:val="22"/>
          <w:szCs w:val="22"/>
        </w:rPr>
      </w:pPr>
      <w:r>
        <w:rPr>
          <w:color w:val="000000"/>
          <w:spacing w:val="0"/>
          <w:w w:val="100"/>
          <w:position w:val="0"/>
          <w:sz w:val="22"/>
          <w:szCs w:val="22"/>
        </w:rPr>
        <w:t>金融资产和金融负债</w:t>
      </w:r>
    </w:p>
    <w:p>
      <w:pPr>
        <w:pStyle w:val="Style14"/>
        <w:keepNext w:val="0"/>
        <w:keepLines w:val="0"/>
        <w:widowControl w:val="0"/>
        <w:shd w:val="clear" w:color="auto" w:fill="auto"/>
        <w:bidi w:val="0"/>
        <w:spacing w:before="0" w:after="0" w:line="358" w:lineRule="exact"/>
        <w:ind w:left="0" w:right="0"/>
        <w:jc w:val="left"/>
        <w:rPr>
          <w:sz w:val="22"/>
          <w:szCs w:val="22"/>
        </w:rPr>
      </w:pPr>
      <w:r>
        <w:rPr>
          <w:color w:val="000000"/>
          <w:spacing w:val="0"/>
          <w:w w:val="100"/>
          <w:position w:val="0"/>
          <w:sz w:val="22"/>
          <w:szCs w:val="22"/>
        </w:rPr>
        <w:t>本集团成为金融工具合同的一方时确认一项金融资产或金融负债。</w:t>
      </w:r>
    </w:p>
    <w:p>
      <w:pPr>
        <w:pStyle w:val="Style14"/>
        <w:keepNext w:val="0"/>
        <w:keepLines w:val="0"/>
        <w:widowControl w:val="0"/>
        <w:numPr>
          <w:ilvl w:val="0"/>
          <w:numId w:val="61"/>
        </w:numPr>
        <w:shd w:val="clear" w:color="auto" w:fill="auto"/>
        <w:bidi w:val="0"/>
        <w:spacing w:before="0" w:after="0" w:line="358" w:lineRule="exact"/>
        <w:ind w:left="0" w:right="0"/>
        <w:jc w:val="left"/>
        <w:rPr>
          <w:sz w:val="22"/>
          <w:szCs w:val="22"/>
        </w:rPr>
      </w:pPr>
      <w:bookmarkStart w:id="799" w:name="bookmark799"/>
      <w:bookmarkEnd w:id="799"/>
      <w:r>
        <w:rPr>
          <w:color w:val="000000"/>
          <w:spacing w:val="0"/>
          <w:w w:val="100"/>
          <w:position w:val="0"/>
          <w:sz w:val="22"/>
          <w:szCs w:val="22"/>
        </w:rPr>
        <w:t>金融资产</w:t>
      </w:r>
    </w:p>
    <w:p>
      <w:pPr>
        <w:pStyle w:val="Style14"/>
        <w:keepNext w:val="0"/>
        <w:keepLines w:val="0"/>
        <w:widowControl w:val="0"/>
        <w:numPr>
          <w:ilvl w:val="0"/>
          <w:numId w:val="63"/>
        </w:numPr>
        <w:shd w:val="clear" w:color="auto" w:fill="auto"/>
        <w:bidi w:val="0"/>
        <w:spacing w:before="0" w:after="0" w:line="358" w:lineRule="exact"/>
        <w:ind w:left="0" w:right="0"/>
        <w:jc w:val="left"/>
        <w:rPr>
          <w:sz w:val="22"/>
          <w:szCs w:val="22"/>
        </w:rPr>
      </w:pPr>
      <w:bookmarkStart w:id="800" w:name="bookmark800"/>
      <w:bookmarkEnd w:id="800"/>
      <w:r>
        <w:rPr>
          <w:color w:val="000000"/>
          <w:spacing w:val="0"/>
          <w:w w:val="100"/>
          <w:position w:val="0"/>
          <w:sz w:val="22"/>
          <w:szCs w:val="22"/>
        </w:rPr>
        <w:t>金融资产分类、确认依据和计量方法</w:t>
      </w:r>
    </w:p>
    <w:p>
      <w:pPr>
        <w:pStyle w:val="Style14"/>
        <w:keepNext w:val="0"/>
        <w:keepLines w:val="0"/>
        <w:widowControl w:val="0"/>
        <w:shd w:val="clear" w:color="auto" w:fill="auto"/>
        <w:bidi w:val="0"/>
        <w:spacing w:before="0" w:after="0" w:line="346" w:lineRule="exact"/>
        <w:ind w:left="0" w:right="0"/>
        <w:jc w:val="both"/>
        <w:rPr>
          <w:sz w:val="22"/>
          <w:szCs w:val="22"/>
        </w:rPr>
        <w:sectPr>
          <w:headerReference w:type="default" r:id="rId161"/>
          <w:footerReference w:type="default" r:id="rId162"/>
          <w:headerReference w:type="even" r:id="rId163"/>
          <w:footerReference w:type="even" r:id="rId164"/>
          <w:footnotePr>
            <w:pos w:val="pageBottom"/>
            <w:numFmt w:val="decimal"/>
            <w:numRestart w:val="continuous"/>
          </w:footnotePr>
          <w:type w:val="continuous"/>
          <w:pgSz w:w="11900" w:h="16840"/>
          <w:pgMar w:top="1657" w:right="780" w:bottom="1446" w:left="868" w:header="0" w:footer="3" w:gutter="0"/>
          <w:cols w:space="720"/>
          <w:noEndnote/>
          <w:rtlGutter w:val="0"/>
          <w:docGrid w:linePitch="360"/>
        </w:sectPr>
      </w:pPr>
      <w:r>
        <w:rPr>
          <w:color w:val="000000"/>
          <w:spacing w:val="0"/>
          <w:w w:val="100"/>
          <w:position w:val="0"/>
          <w:sz w:val="22"/>
          <w:szCs w:val="22"/>
        </w:rPr>
        <w:t xml:space="preserve">本集团根据管理金融资产的业务模式和金融资产的合同现金流特征，将金融资产分类为以摊余成 本计量的金融资产、以公允价值计量且其变动计入其他综合收益的金融资产、以公允价值计量且其变 </w:t>
      </w:r>
    </w:p>
    <w:p>
      <w:pPr>
        <w:pStyle w:val="Style14"/>
        <w:keepNext w:val="0"/>
        <w:keepLines w:val="0"/>
        <w:widowControl w:val="0"/>
        <w:shd w:val="clear" w:color="auto" w:fill="auto"/>
        <w:bidi w:val="0"/>
        <w:spacing w:before="0" w:after="0" w:line="346" w:lineRule="exact"/>
        <w:ind w:left="0" w:right="0" w:firstLine="0"/>
        <w:jc w:val="both"/>
        <w:rPr>
          <w:sz w:val="22"/>
          <w:szCs w:val="22"/>
        </w:rPr>
      </w:pPr>
      <w:r>
        <w:rPr>
          <w:color w:val="000000"/>
          <w:spacing w:val="0"/>
          <w:w w:val="100"/>
          <w:position w:val="0"/>
          <w:sz w:val="22"/>
          <w:szCs w:val="22"/>
        </w:rPr>
        <w:t>动计入当期损益的金融资产。</w:t>
      </w:r>
    </w:p>
    <w:p>
      <w:pPr>
        <w:pStyle w:val="Style14"/>
        <w:keepNext w:val="0"/>
        <w:keepLines w:val="0"/>
        <w:widowControl w:val="0"/>
        <w:shd w:val="clear" w:color="auto" w:fill="auto"/>
        <w:bidi w:val="0"/>
        <w:spacing w:before="0" w:after="0" w:line="357" w:lineRule="exact"/>
        <w:ind w:left="0" w:right="0" w:firstLine="460"/>
        <w:jc w:val="both"/>
        <w:rPr>
          <w:sz w:val="22"/>
          <w:szCs w:val="22"/>
        </w:rPr>
      </w:pPr>
      <w:r>
        <w:rPr>
          <w:color w:val="000000"/>
          <w:spacing w:val="0"/>
          <w:w w:val="100"/>
          <w:position w:val="0"/>
          <w:sz w:val="22"/>
          <w:szCs w:val="22"/>
        </w:rPr>
        <w:t>本集团将同时符合下列条件的金融资产分类为以摊余成本计量的金融资产：①管理该金融资产的 业务模式是以收取合同现金流量为目标。②该金融资产的合同条款规定，在特定日期产生的现金流量, 仅为对本金和以未偿付本金金额为基础的利息的支付。此类金融资产按照公允价值进行初始计量，相 关交易费用计入初始确认金额；以摊余成本进行后续计量。除被指定为被套期项目的，按照实际利率 法摊销初始金额与到期金额之间的差额，其摊销、减值、汇兑损益以及终止确认时产生的利得或损失, 计入当期损益。</w:t>
      </w:r>
    </w:p>
    <w:p>
      <w:pPr>
        <w:pStyle w:val="Style14"/>
        <w:keepNext w:val="0"/>
        <w:keepLines w:val="0"/>
        <w:widowControl w:val="0"/>
        <w:shd w:val="clear" w:color="auto" w:fill="auto"/>
        <w:bidi w:val="0"/>
        <w:spacing w:before="0" w:after="0" w:line="359" w:lineRule="exact"/>
        <w:ind w:left="0" w:right="0" w:firstLine="460"/>
        <w:jc w:val="both"/>
        <w:rPr>
          <w:sz w:val="22"/>
          <w:szCs w:val="22"/>
        </w:rPr>
      </w:pPr>
      <w:r>
        <w:rPr>
          <w:color w:val="000000"/>
          <w:spacing w:val="0"/>
          <w:w w:val="100"/>
          <w:position w:val="0"/>
          <w:sz w:val="22"/>
          <w:szCs w:val="22"/>
        </w:rPr>
        <w:t>本集团将同时符合下列条件的金融资产分类为以公允价值计量且其变动计入其他综合收益的金 融资产：①管理该金融资产的业务模式既以收取合同现金流量为目标又以出售该金融资产为目标。② 该金融资产的合同条款规定，在特定日期产生的现金流量，仅为对本金和以未偿付本金金额为基础的 利息的支付。此类金融资产按照公允价值进行初始计量，相关交易费用计入初始确认金额。除被指定 为被套期项目的，此类金融资产，除信用减值损失或利得、汇兑损益和按照实际利率法计算的该金融 资产利息之外，所产生的其他利得或损失，均计入其他综合收益；金融资产终止确认时，之前计入其 他综合收益的累计利得或损失应当从其他综合收益中转出，计入当期损益。</w:t>
      </w:r>
    </w:p>
    <w:p>
      <w:pPr>
        <w:pStyle w:val="Style14"/>
        <w:keepNext w:val="0"/>
        <w:keepLines w:val="0"/>
        <w:widowControl w:val="0"/>
        <w:shd w:val="clear" w:color="auto" w:fill="auto"/>
        <w:bidi w:val="0"/>
        <w:spacing w:before="0" w:after="0" w:line="356" w:lineRule="exact"/>
        <w:ind w:left="0" w:right="0" w:firstLine="460"/>
        <w:jc w:val="both"/>
        <w:rPr>
          <w:sz w:val="22"/>
          <w:szCs w:val="22"/>
        </w:rPr>
      </w:pPr>
      <w:r>
        <w:rPr>
          <w:color w:val="000000"/>
          <w:spacing w:val="0"/>
          <w:w w:val="100"/>
          <w:position w:val="0"/>
          <w:sz w:val="22"/>
          <w:szCs w:val="22"/>
        </w:rPr>
        <w:t>本集团按照实际利率法确认利息收入。利息收入根据金融资产账面余额乘以实际利率计算确定， 但下列情况除外：①对于购入或源生的已发生信用减值的金融资产，自初始确认起，按照该金融资产 的摊余成本和经信用调整的实际利率计算确定其利息收入。②对于购入或源生的未发生信用减值、但 在后续期间成为已发生信用减值的金融资产，在后续期间，按照该金融资产的摊余成本和实际利率计 算确定其利息收入。</w:t>
      </w:r>
    </w:p>
    <w:p>
      <w:pPr>
        <w:pStyle w:val="Style14"/>
        <w:keepNext w:val="0"/>
        <w:keepLines w:val="0"/>
        <w:widowControl w:val="0"/>
        <w:shd w:val="clear" w:color="auto" w:fill="auto"/>
        <w:bidi w:val="0"/>
        <w:spacing w:before="0" w:after="0" w:line="359" w:lineRule="exact"/>
        <w:ind w:left="0" w:right="0" w:firstLine="460"/>
        <w:jc w:val="both"/>
        <w:rPr>
          <w:sz w:val="22"/>
          <w:szCs w:val="22"/>
        </w:rPr>
      </w:pPr>
      <w:r>
        <w:rPr>
          <w:color w:val="000000"/>
          <w:spacing w:val="0"/>
          <w:w w:val="100"/>
          <w:position w:val="0"/>
          <w:sz w:val="22"/>
          <w:szCs w:val="22"/>
        </w:rPr>
        <w:t>本集团将非交易性权益工具投资指定为以公允价值计量且其变动计入其他综合收益的金融资产。 该指定一经作出，不得撤销。本集团指定的以公允价值计量且其变动计入其他综合收益的非交易性权 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w:t>
      </w:r>
    </w:p>
    <w:p>
      <w:pPr>
        <w:pStyle w:val="Style14"/>
        <w:keepNext w:val="0"/>
        <w:keepLines w:val="0"/>
        <w:widowControl w:val="0"/>
        <w:shd w:val="clear" w:color="auto" w:fill="auto"/>
        <w:bidi w:val="0"/>
        <w:spacing w:before="0" w:after="0" w:line="355" w:lineRule="exact"/>
        <w:ind w:left="0" w:right="0" w:firstLine="460"/>
        <w:jc w:val="both"/>
        <w:rPr>
          <w:sz w:val="22"/>
          <w:szCs w:val="22"/>
        </w:rPr>
      </w:pPr>
      <w:r>
        <w:rPr>
          <w:color w:val="000000"/>
          <w:spacing w:val="0"/>
          <w:w w:val="100"/>
          <w:position w:val="0"/>
          <w:sz w:val="22"/>
          <w:szCs w:val="22"/>
        </w:rPr>
        <w:t>除上述分类为以摊余成本计量的金融资产和分类为以公允价值计量且其变动计入其他综合收益 的金融资产之外的金融资产，本集团将其分类为以公允价值计量且其变动计入当期损益的金融资产。 此类金融资产按照公允价值进行初始计量，相关交易费用直接计入当期损益。此类金融资产的利得或 损失，计入当期损益。</w:t>
      </w:r>
    </w:p>
    <w:p>
      <w:pPr>
        <w:pStyle w:val="Style14"/>
        <w:keepNext w:val="0"/>
        <w:keepLines w:val="0"/>
        <w:widowControl w:val="0"/>
        <w:shd w:val="clear" w:color="auto" w:fill="auto"/>
        <w:bidi w:val="0"/>
        <w:spacing w:before="0" w:after="0" w:line="362" w:lineRule="exact"/>
        <w:ind w:left="0" w:right="0" w:firstLine="460"/>
        <w:jc w:val="both"/>
        <w:rPr>
          <w:sz w:val="22"/>
          <w:szCs w:val="22"/>
        </w:rPr>
      </w:pPr>
      <w:r>
        <w:rPr>
          <w:color w:val="000000"/>
          <w:spacing w:val="0"/>
          <w:w w:val="100"/>
          <w:position w:val="0"/>
          <w:sz w:val="22"/>
          <w:szCs w:val="22"/>
        </w:rPr>
        <w:t>本集团在非同一控制下的企业合并中确认的或有对价构成金融资产的，该金融资产分类为以公允 价值计量且其变动计入当期损益的金融资产。此外，在初始确认时，本集团将部分金融资产（包括权 益工具投资等）指定为以公允价值计量且其变动计入当期损益的金融资产。对于此类金融资产，本集 团采用公允价值进行后续计量，公允价值变动计入当期损益。自资产负债表日起预期持有超过一年的, 列示为其他非流动金融资产。</w:t>
      </w:r>
    </w:p>
    <w:p>
      <w:pPr>
        <w:pStyle w:val="Style14"/>
        <w:keepNext w:val="0"/>
        <w:keepLines w:val="0"/>
        <w:widowControl w:val="0"/>
        <w:shd w:val="clear" w:color="auto" w:fill="auto"/>
        <w:bidi w:val="0"/>
        <w:spacing w:before="0" w:after="0" w:line="362" w:lineRule="exact"/>
        <w:ind w:left="0" w:right="0" w:firstLine="460"/>
        <w:jc w:val="both"/>
        <w:rPr>
          <w:sz w:val="22"/>
          <w:szCs w:val="22"/>
        </w:rPr>
      </w:pPr>
      <w:r>
        <w:rPr>
          <w:color w:val="000000"/>
          <w:spacing w:val="0"/>
          <w:w w:val="100"/>
          <w:position w:val="0"/>
          <w:sz w:val="22"/>
          <w:szCs w:val="22"/>
        </w:rPr>
        <w:t>本集团在改变管理金融资产的业务模式时，对所有受影响的相关金融资产进行重分类。</w:t>
      </w:r>
    </w:p>
    <w:p>
      <w:pPr>
        <w:pStyle w:val="Style14"/>
        <w:keepNext w:val="0"/>
        <w:keepLines w:val="0"/>
        <w:widowControl w:val="0"/>
        <w:shd w:val="clear" w:color="auto" w:fill="auto"/>
        <w:bidi w:val="0"/>
        <w:spacing w:before="0" w:after="0" w:line="362" w:lineRule="exact"/>
        <w:ind w:left="0" w:right="0" w:firstLine="460"/>
        <w:jc w:val="both"/>
        <w:rPr>
          <w:sz w:val="22"/>
          <w:szCs w:val="22"/>
        </w:rPr>
      </w:pPr>
      <w:bookmarkStart w:id="801" w:name="bookmark801"/>
      <w:r>
        <w:rPr>
          <w:color w:val="000000"/>
          <w:spacing w:val="0"/>
          <w:w w:val="100"/>
          <w:position w:val="0"/>
          <w:sz w:val="22"/>
          <w:szCs w:val="22"/>
        </w:rPr>
        <w:t>2</w:t>
      </w:r>
      <w:bookmarkEnd w:id="801"/>
      <w:r>
        <w:rPr>
          <w:color w:val="000000"/>
          <w:spacing w:val="0"/>
          <w:w w:val="100"/>
          <w:position w:val="0"/>
          <w:sz w:val="22"/>
          <w:szCs w:val="22"/>
        </w:rPr>
        <w:t>）金融资产转移的确认依据和计量方法</w:t>
      </w:r>
    </w:p>
    <w:p>
      <w:pPr>
        <w:pStyle w:val="Style14"/>
        <w:keepNext w:val="0"/>
        <w:keepLines w:val="0"/>
        <w:widowControl w:val="0"/>
        <w:shd w:val="clear" w:color="auto" w:fill="auto"/>
        <w:bidi w:val="0"/>
        <w:spacing w:before="0" w:after="0" w:line="359" w:lineRule="exact"/>
        <w:ind w:left="0" w:right="0" w:firstLine="460"/>
        <w:jc w:val="both"/>
        <w:rPr>
          <w:sz w:val="22"/>
          <w:szCs w:val="22"/>
        </w:rPr>
      </w:pPr>
      <w:r>
        <w:rPr>
          <w:color w:val="000000"/>
          <w:spacing w:val="0"/>
          <w:w w:val="100"/>
          <w:position w:val="0"/>
          <w:sz w:val="22"/>
          <w:szCs w:val="22"/>
        </w:rPr>
        <w:t xml:space="preserve">本集团将满足下列条件之一的金融资产予以终止确认：①收取该金融资产现金流量的合同权利终 </w:t>
      </w:r>
      <w:r>
        <w:rPr>
          <w:color w:val="000000"/>
          <w:spacing w:val="0"/>
          <w:w w:val="100"/>
          <w:position w:val="0"/>
          <w:sz w:val="22"/>
          <w:szCs w:val="22"/>
        </w:rPr>
        <w:t>止；②金融资产发生转移，本集团转移了金融资产所有权上几乎所有风险和报酬；③金融资产发生转 移，本集团既没有转移也没有保留金融资产所有权上几乎所有风险和报酬，且未保留对该金融资产控 制的。</w:t>
      </w:r>
    </w:p>
    <w:p>
      <w:pPr>
        <w:pStyle w:val="Style14"/>
        <w:keepNext w:val="0"/>
        <w:keepLines w:val="0"/>
        <w:widowControl w:val="0"/>
        <w:shd w:val="clear" w:color="auto" w:fill="auto"/>
        <w:bidi w:val="0"/>
        <w:spacing w:before="0" w:after="0" w:line="361" w:lineRule="exact"/>
        <w:ind w:left="0" w:right="0" w:firstLine="460"/>
        <w:jc w:val="both"/>
        <w:rPr>
          <w:sz w:val="22"/>
          <w:szCs w:val="22"/>
        </w:rPr>
      </w:pPr>
      <w:r>
        <w:rPr>
          <w:color w:val="000000"/>
          <w:spacing w:val="0"/>
          <w:w w:val="100"/>
          <w:position w:val="0"/>
          <w:sz w:val="22"/>
          <w:szCs w:val="22"/>
        </w:rPr>
        <w:t>金融资产整体转移满足终止确认条件的，将所转移金融资产的账面价值，与因转移而收到的对价 及原直接计入其他综合收益的公允价值变动累计额中对应终止确认部分的金额（涉及转移的金融资产 的合同条款规定，在特定日期产生的现金流量，仅为对本金和以未偿付本金金额为基础的利息的支付） 之和的差额计入当期损益。</w:t>
      </w:r>
    </w:p>
    <w:p>
      <w:pPr>
        <w:pStyle w:val="Style14"/>
        <w:keepNext w:val="0"/>
        <w:keepLines w:val="0"/>
        <w:widowControl w:val="0"/>
        <w:shd w:val="clear" w:color="auto" w:fill="auto"/>
        <w:bidi w:val="0"/>
        <w:spacing w:before="0" w:after="0" w:line="361" w:lineRule="exact"/>
        <w:ind w:left="0" w:right="0" w:firstLine="460"/>
        <w:jc w:val="both"/>
        <w:rPr>
          <w:sz w:val="22"/>
          <w:szCs w:val="22"/>
        </w:rPr>
      </w:pPr>
      <w:r>
        <w:rPr>
          <w:color w:val="000000"/>
          <w:spacing w:val="0"/>
          <w:w w:val="100"/>
          <w:position w:val="0"/>
          <w:sz w:val="22"/>
          <w:szCs w:val="22"/>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资产的合同条款规定，在特定日期产生的现金流量，仅为对本金和以未偿付本金金额为基础的利息的 支付）之和，与分摊的前述金融资产整体账面价值的差额计入当期损益。</w:t>
      </w:r>
    </w:p>
    <w:p>
      <w:pPr>
        <w:pStyle w:val="Style14"/>
        <w:keepNext w:val="0"/>
        <w:keepLines w:val="0"/>
        <w:widowControl w:val="0"/>
        <w:shd w:val="clear" w:color="auto" w:fill="auto"/>
        <w:bidi w:val="0"/>
        <w:spacing w:before="0" w:after="0" w:line="358" w:lineRule="exact"/>
        <w:ind w:left="0" w:right="0" w:firstLine="460"/>
        <w:jc w:val="both"/>
        <w:rPr>
          <w:sz w:val="22"/>
          <w:szCs w:val="22"/>
        </w:rPr>
      </w:pPr>
      <w:r>
        <w:rPr>
          <w:color w:val="000000"/>
          <w:spacing w:val="0"/>
          <w:w w:val="100"/>
          <w:position w:val="0"/>
          <w:sz w:val="22"/>
          <w:szCs w:val="22"/>
        </w:rPr>
        <w:t>非交易性权益工具投资指定为以公允价值计量且其变动计入其他综合收益的金融资产终止确认 时，其账面价值与收到的对价以及原直接计入其他综合收益的公允价值变动累计额之和的差额，计入 留存收益。</w:t>
      </w:r>
    </w:p>
    <w:p>
      <w:pPr>
        <w:pStyle w:val="Style14"/>
        <w:keepNext w:val="0"/>
        <w:keepLines w:val="0"/>
        <w:widowControl w:val="0"/>
        <w:shd w:val="clear" w:color="auto" w:fill="auto"/>
        <w:bidi w:val="0"/>
        <w:spacing w:before="0" w:after="0" w:line="358" w:lineRule="exact"/>
        <w:ind w:left="0" w:right="0" w:firstLine="560"/>
        <w:jc w:val="both"/>
        <w:rPr>
          <w:sz w:val="22"/>
          <w:szCs w:val="22"/>
        </w:rPr>
      </w:pPr>
      <w:r>
        <w:rPr>
          <w:color w:val="000000"/>
          <w:spacing w:val="0"/>
          <w:w w:val="100"/>
          <w:position w:val="0"/>
          <w:sz w:val="22"/>
          <w:szCs w:val="22"/>
        </w:rPr>
        <w:t>（2 ）金融负债</w:t>
      </w:r>
    </w:p>
    <w:p>
      <w:pPr>
        <w:pStyle w:val="Style14"/>
        <w:keepNext w:val="0"/>
        <w:keepLines w:val="0"/>
        <w:widowControl w:val="0"/>
        <w:shd w:val="clear" w:color="auto" w:fill="auto"/>
        <w:bidi w:val="0"/>
        <w:spacing w:before="0" w:after="0" w:line="361" w:lineRule="exact"/>
        <w:ind w:left="0" w:right="0" w:firstLine="560"/>
        <w:jc w:val="both"/>
        <w:rPr>
          <w:sz w:val="22"/>
          <w:szCs w:val="22"/>
        </w:rPr>
      </w:pPr>
      <w:bookmarkStart w:id="802" w:name="bookmark802"/>
      <w:r>
        <w:rPr>
          <w:color w:val="000000"/>
          <w:spacing w:val="0"/>
          <w:w w:val="100"/>
          <w:position w:val="0"/>
          <w:sz w:val="22"/>
          <w:szCs w:val="22"/>
        </w:rPr>
        <w:t>1</w:t>
      </w:r>
      <w:bookmarkEnd w:id="802"/>
      <w:r>
        <w:rPr>
          <w:color w:val="000000"/>
          <w:spacing w:val="0"/>
          <w:w w:val="100"/>
          <w:position w:val="0"/>
          <w:sz w:val="22"/>
          <w:szCs w:val="22"/>
        </w:rPr>
        <w:t>）金融负债分类、确认依据和计量方法</w:t>
      </w:r>
    </w:p>
    <w:p>
      <w:pPr>
        <w:pStyle w:val="Style14"/>
        <w:keepNext w:val="0"/>
        <w:keepLines w:val="0"/>
        <w:widowControl w:val="0"/>
        <w:shd w:val="clear" w:color="auto" w:fill="auto"/>
        <w:bidi w:val="0"/>
        <w:spacing w:before="0" w:after="0" w:line="355" w:lineRule="exact"/>
        <w:ind w:left="0" w:right="0" w:firstLine="460"/>
        <w:jc w:val="both"/>
        <w:rPr>
          <w:sz w:val="22"/>
          <w:szCs w:val="22"/>
        </w:rPr>
      </w:pPr>
      <w:r>
        <w:rPr>
          <w:color w:val="000000"/>
          <w:spacing w:val="0"/>
          <w:w w:val="100"/>
          <w:position w:val="0"/>
          <w:sz w:val="22"/>
          <w:szCs w:val="22"/>
        </w:rPr>
        <w:t>本集团的金融负债于初始确认时分类为以公允价值计量且其变动计入当期损益的金融负债和其 他金融负债。</w:t>
      </w:r>
    </w:p>
    <w:p>
      <w:pPr>
        <w:pStyle w:val="Style14"/>
        <w:keepNext w:val="0"/>
        <w:keepLines w:val="0"/>
        <w:widowControl w:val="0"/>
        <w:shd w:val="clear" w:color="auto" w:fill="auto"/>
        <w:bidi w:val="0"/>
        <w:spacing w:before="0" w:after="0" w:line="355" w:lineRule="exact"/>
        <w:ind w:left="0" w:right="0" w:firstLine="460"/>
        <w:jc w:val="both"/>
        <w:rPr>
          <w:sz w:val="22"/>
          <w:szCs w:val="22"/>
        </w:rPr>
      </w:pPr>
      <w:r>
        <w:rPr>
          <w:color w:val="000000"/>
          <w:spacing w:val="0"/>
          <w:w w:val="100"/>
          <w:position w:val="0"/>
          <w:sz w:val="22"/>
          <w:szCs w:val="22"/>
        </w:rPr>
        <w:t>以公允价值计量且其变动计入当期损益的金融负债，包括交易性金融负债和初始确认时指定为以 公允价值计量且其变动计入当期损益的金融负债，相关分类依据参照金融资产分类依据进行披露。按 照公允价值进行后续计量，公允价值变动形成的利得或损失以及与该金融负债相关的股利和利息支出 计入当期损益。</w:t>
      </w:r>
    </w:p>
    <w:p>
      <w:pPr>
        <w:pStyle w:val="Style14"/>
        <w:keepNext w:val="0"/>
        <w:keepLines w:val="0"/>
        <w:widowControl w:val="0"/>
        <w:shd w:val="clear" w:color="auto" w:fill="auto"/>
        <w:bidi w:val="0"/>
        <w:spacing w:before="0" w:after="0" w:line="361" w:lineRule="exact"/>
        <w:ind w:left="0" w:right="0" w:firstLine="460"/>
        <w:jc w:val="both"/>
        <w:rPr>
          <w:sz w:val="22"/>
          <w:szCs w:val="22"/>
        </w:rPr>
      </w:pPr>
      <w:r>
        <w:rPr>
          <w:color w:val="000000"/>
          <w:spacing w:val="0"/>
          <w:w w:val="100"/>
          <w:position w:val="0"/>
          <w:sz w:val="22"/>
          <w:szCs w:val="22"/>
        </w:rPr>
        <w:t>其他金融负债采用实际利率法，按照摊余成本进行后续计量。除下列各项外，本集团将金融负债 分类为以摊余成本计量的金融负债：①以公允价值计量且其变动计入当期损益的金融负债，包括交易 性金融负债（含属于金融负债的衍生工具）和指定为以公允价值计量且其变动计入当期损益的金融负 债。②不符合终止确认条件的金融资产转移或继续涉入被转移金融资产所形成的金融负债。③不属于 以上①或②情形的财务担保合同，以及不属于以上①情形的以低于市场利率贷款的贷款承诺。</w:t>
      </w:r>
    </w:p>
    <w:p>
      <w:pPr>
        <w:pStyle w:val="Style14"/>
        <w:keepNext w:val="0"/>
        <w:keepLines w:val="0"/>
        <w:widowControl w:val="0"/>
        <w:shd w:val="clear" w:color="auto" w:fill="auto"/>
        <w:bidi w:val="0"/>
        <w:spacing w:before="0" w:after="0" w:line="361" w:lineRule="exact"/>
        <w:ind w:left="0" w:right="0" w:firstLine="460"/>
        <w:jc w:val="both"/>
        <w:rPr>
          <w:sz w:val="22"/>
          <w:szCs w:val="22"/>
        </w:rPr>
      </w:pPr>
      <w:r>
        <w:rPr>
          <w:color w:val="000000"/>
          <w:spacing w:val="0"/>
          <w:w w:val="100"/>
          <w:position w:val="0"/>
          <w:sz w:val="22"/>
          <w:szCs w:val="22"/>
        </w:rPr>
        <w:t>本集团将在非同一控制下的企业合并中作为购买方确认的或有对价形成金融负债的，按照以公允 价值计量且其变动计入当期损益进行会计处理。</w:t>
      </w:r>
    </w:p>
    <w:p>
      <w:pPr>
        <w:pStyle w:val="Style14"/>
        <w:keepNext w:val="0"/>
        <w:keepLines w:val="0"/>
        <w:widowControl w:val="0"/>
        <w:shd w:val="clear" w:color="auto" w:fill="auto"/>
        <w:bidi w:val="0"/>
        <w:spacing w:before="0" w:after="0" w:line="361" w:lineRule="exact"/>
        <w:ind w:left="0" w:right="0" w:firstLine="460"/>
        <w:jc w:val="both"/>
        <w:rPr>
          <w:sz w:val="22"/>
          <w:szCs w:val="22"/>
        </w:rPr>
      </w:pPr>
      <w:bookmarkStart w:id="803" w:name="bookmark803"/>
      <w:r>
        <w:rPr>
          <w:color w:val="000000"/>
          <w:spacing w:val="0"/>
          <w:w w:val="100"/>
          <w:position w:val="0"/>
          <w:sz w:val="22"/>
          <w:szCs w:val="22"/>
        </w:rPr>
        <w:t>2</w:t>
      </w:r>
      <w:bookmarkEnd w:id="803"/>
      <w:r>
        <w:rPr>
          <w:color w:val="000000"/>
          <w:spacing w:val="0"/>
          <w:w w:val="100"/>
          <w:position w:val="0"/>
          <w:sz w:val="22"/>
          <w:szCs w:val="22"/>
        </w:rPr>
        <w:t>）金融负债终止确认条件</w:t>
      </w:r>
    </w:p>
    <w:p>
      <w:pPr>
        <w:pStyle w:val="Style14"/>
        <w:keepNext w:val="0"/>
        <w:keepLines w:val="0"/>
        <w:widowControl w:val="0"/>
        <w:shd w:val="clear" w:color="auto" w:fill="auto"/>
        <w:bidi w:val="0"/>
        <w:spacing w:before="0" w:after="0" w:line="356" w:lineRule="exact"/>
        <w:ind w:left="0" w:right="0" w:firstLine="460"/>
        <w:jc w:val="both"/>
        <w:rPr>
          <w:sz w:val="22"/>
          <w:szCs w:val="22"/>
        </w:rPr>
      </w:pPr>
      <w:r>
        <w:rPr>
          <w:color w:val="000000"/>
          <w:spacing w:val="0"/>
          <w:w w:val="100"/>
          <w:position w:val="0"/>
          <w:sz w:val="22"/>
          <w:szCs w:val="22"/>
        </w:rPr>
        <w:t>当金融负债的现时义务全部或部分已经解除时，终止确认该金融负债或义务已解除的部分。本集 团与债权人之间签订协议，以承担新金融负债方式替换现存金融负债，且新金融负债与现存金融负债 的合同条款实质上不同的，终止确认现存金融负债，并同时确认新金融负债。本集团对现存金融负债 全部或部分的合同条款作出实质性修改的，终止确认现存金融负债或其一部分，同时将修改条款后的 金融负债确认为一项新金融负债。终止确认部分的账面价值与支付的对价之间的差额，计入当期损益。</w:t>
      </w:r>
    </w:p>
    <w:p>
      <w:pPr>
        <w:pStyle w:val="Style14"/>
        <w:keepNext w:val="0"/>
        <w:keepLines w:val="0"/>
        <w:widowControl w:val="0"/>
        <w:shd w:val="clear" w:color="auto" w:fill="auto"/>
        <w:tabs>
          <w:tab w:pos="755" w:val="left"/>
        </w:tabs>
        <w:bidi w:val="0"/>
        <w:spacing w:before="0" w:after="240" w:line="312" w:lineRule="exact"/>
        <w:ind w:left="0" w:right="0" w:firstLine="380"/>
        <w:jc w:val="both"/>
        <w:rPr>
          <w:sz w:val="22"/>
          <w:szCs w:val="22"/>
        </w:rPr>
      </w:pPr>
      <w:bookmarkStart w:id="804" w:name="bookmark804"/>
      <w:r>
        <w:rPr>
          <w:color w:val="000000"/>
          <w:spacing w:val="0"/>
          <w:w w:val="100"/>
          <w:position w:val="0"/>
          <w:sz w:val="22"/>
          <w:szCs w:val="22"/>
        </w:rPr>
        <w:t>（</w:t>
      </w:r>
      <w:bookmarkEnd w:id="804"/>
      <w:r>
        <w:rPr>
          <w:color w:val="000000"/>
          <w:spacing w:val="0"/>
          <w:w w:val="100"/>
          <w:position w:val="0"/>
          <w:sz w:val="22"/>
          <w:szCs w:val="22"/>
        </w:rPr>
        <w:t>3）</w:t>
        <w:tab/>
        <w:t>金融资产和金融负债的公允价值确定方法</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本集团以主要市场的价格计量金融资产和金融负债的公允价值，不存在主要市场的，以最有利市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负债直接或间接可观察的输入值；第三层次输入值是相关资产或负债的不可观察输入值。本集团优先 使用第一层次输入值，最后再使用第三层次输入值，公允价值计量结果所属的层次，由对公允价值计 量整体而言具有重大意义的输入值所属的最低层次决定。</w:t>
      </w:r>
    </w:p>
    <w:p>
      <w:pPr>
        <w:pStyle w:val="Style14"/>
        <w:keepNext w:val="0"/>
        <w:keepLines w:val="0"/>
        <w:widowControl w:val="0"/>
        <w:shd w:val="clear" w:color="auto" w:fill="auto"/>
        <w:bidi w:val="0"/>
        <w:spacing w:before="0" w:after="240" w:line="314" w:lineRule="exact"/>
        <w:ind w:left="0" w:right="0"/>
        <w:jc w:val="both"/>
        <w:rPr>
          <w:sz w:val="22"/>
          <w:szCs w:val="22"/>
        </w:rPr>
      </w:pPr>
      <w:r>
        <w:rPr>
          <w:color w:val="000000"/>
          <w:spacing w:val="0"/>
          <w:w w:val="100"/>
          <w:position w:val="0"/>
          <w:sz w:val="22"/>
          <w:szCs w:val="22"/>
        </w:rPr>
        <w:t>本集团对权益工具的投资以公允价值计量。但在有限情况下，如果用以确定公允价值的近期信息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w:t>
      </w:r>
    </w:p>
    <w:p>
      <w:pPr>
        <w:pStyle w:val="Style14"/>
        <w:keepNext w:val="0"/>
        <w:keepLines w:val="0"/>
        <w:widowControl w:val="0"/>
        <w:shd w:val="clear" w:color="auto" w:fill="auto"/>
        <w:tabs>
          <w:tab w:pos="755" w:val="left"/>
        </w:tabs>
        <w:bidi w:val="0"/>
        <w:spacing w:before="0" w:after="240" w:line="312" w:lineRule="exact"/>
        <w:ind w:left="0" w:right="0" w:firstLine="380"/>
        <w:jc w:val="both"/>
        <w:rPr>
          <w:sz w:val="22"/>
          <w:szCs w:val="22"/>
        </w:rPr>
      </w:pPr>
      <w:bookmarkStart w:id="805" w:name="bookmark805"/>
      <w:r>
        <w:rPr>
          <w:color w:val="000000"/>
          <w:spacing w:val="0"/>
          <w:w w:val="100"/>
          <w:position w:val="0"/>
          <w:sz w:val="22"/>
          <w:szCs w:val="22"/>
        </w:rPr>
        <w:t>（</w:t>
      </w:r>
      <w:bookmarkEnd w:id="805"/>
      <w:r>
        <w:rPr>
          <w:color w:val="000000"/>
          <w:spacing w:val="0"/>
          <w:w w:val="100"/>
          <w:position w:val="0"/>
          <w:sz w:val="22"/>
          <w:szCs w:val="22"/>
        </w:rPr>
        <w:t>4）</w:t>
        <w:tab/>
        <w:t>金融资产和金融负债的抵销</w:t>
      </w:r>
    </w:p>
    <w:p>
      <w:pPr>
        <w:pStyle w:val="Style14"/>
        <w:keepNext w:val="0"/>
        <w:keepLines w:val="0"/>
        <w:widowControl w:val="0"/>
        <w:shd w:val="clear" w:color="auto" w:fill="auto"/>
        <w:bidi w:val="0"/>
        <w:spacing w:before="0" w:after="240" w:line="310" w:lineRule="exact"/>
        <w:ind w:left="0" w:right="0"/>
        <w:jc w:val="both"/>
        <w:rPr>
          <w:sz w:val="22"/>
          <w:szCs w:val="22"/>
        </w:rPr>
      </w:pPr>
      <w:r>
        <w:rPr>
          <w:color w:val="000000"/>
          <w:spacing w:val="0"/>
          <w:w w:val="100"/>
          <w:position w:val="0"/>
          <w:sz w:val="22"/>
          <w:szCs w:val="22"/>
        </w:rPr>
        <w:t>本集团的金融资产和金融负债在资产负债表内分别列示，不相互抵销。但同时满足下列条件时， 以相互抵销后的净额在资产负债表内列示：（1）本集团具有抵销已确认金额的法定权利，且该种法 定权利是当前可执行的；（2）本集团计划以净额结算，或同时变现该金融资产和清偿该金融负债。</w:t>
      </w:r>
    </w:p>
    <w:p>
      <w:pPr>
        <w:pStyle w:val="Style14"/>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（5 ）金融负债与权益工具的区分及相关处理方法</w:t>
      </w:r>
    </w:p>
    <w:p>
      <w:pPr>
        <w:pStyle w:val="Style14"/>
        <w:keepNext w:val="0"/>
        <w:keepLines w:val="0"/>
        <w:widowControl w:val="0"/>
        <w:shd w:val="clear" w:color="auto" w:fill="auto"/>
        <w:bidi w:val="0"/>
        <w:spacing w:before="0" w:after="240" w:line="311" w:lineRule="exact"/>
        <w:ind w:left="0" w:right="0"/>
        <w:jc w:val="both"/>
        <w:rPr>
          <w:sz w:val="22"/>
          <w:szCs w:val="22"/>
        </w:rPr>
      </w:pPr>
      <w:r>
        <w:rPr>
          <w:color w:val="000000"/>
          <w:spacing w:val="0"/>
          <w:w w:val="100"/>
          <w:position w:val="0"/>
          <w:sz w:val="22"/>
          <w:szCs w:val="22"/>
        </w:rPr>
        <w:t>本集团按照以下原则区分金融负债与权益工具：（1）如果本集团不能无条件地避免以交付现金 或其他金融资产来履行一项合同义务，则该合同义务符合金融负债的定义。有些金融工具虽然没有明 确地包含交付现金或其他金融资产义务的条款和条件，但有可能通过其他条款和条件间接地形成合同 义务。（2）如果一项金融工具须用或可用本集团自身权益工具进行结算，需要考虑用于结算该工具 的本集团自身权益工具，是作为现金或其他金融资产的替代品，还是为了使该工具持有方享有在发行 方扣除所有负债后的资产中的剩余权益。如果是前者，该工具是发行方的金融负债；如果是后者，该 工具是发行方的权益工具。在某些情况下，一项金融工具合同规定本集团须用或可用自身权益工具结 算该金融工具，其中合同权利或合同义务的金额等于可获取或需交付的自身权益工具的数量乘以其结 算时的公允价值，则无论该合同权利或义务的金额是固定的，还是完全或部分地基于除本集团自身权 益工具的市场价格以外的变量的变动而变动，该合同分类为金融负债。</w:t>
      </w:r>
    </w:p>
    <w:p>
      <w:pPr>
        <w:pStyle w:val="Style14"/>
        <w:keepNext w:val="0"/>
        <w:keepLines w:val="0"/>
        <w:widowControl w:val="0"/>
        <w:shd w:val="clear" w:color="auto" w:fill="auto"/>
        <w:bidi w:val="0"/>
        <w:spacing w:before="0" w:after="240" w:line="314" w:lineRule="exact"/>
        <w:ind w:left="0" w:right="0"/>
        <w:jc w:val="both"/>
        <w:rPr>
          <w:sz w:val="22"/>
          <w:szCs w:val="22"/>
        </w:rPr>
      </w:pPr>
      <w:r>
        <w:rPr>
          <w:color w:val="000000"/>
          <w:spacing w:val="0"/>
          <w:w w:val="100"/>
          <w:position w:val="0"/>
          <w:sz w:val="22"/>
          <w:szCs w:val="22"/>
        </w:rPr>
        <w:t>本集团在合并报表中对金融工具（或其组成部分）进行分类时，考虑了集团成员和金融工具持有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金融工具或其组成部分属于金融负债的，相关利息、股利（或股息）、利得或损失，以及赎回或 再融资产生的利得或损失等，本集团计入当期损益。</w:t>
      </w:r>
    </w:p>
    <w:p>
      <w:pPr>
        <w:pStyle w:val="Style14"/>
        <w:keepNext w:val="0"/>
        <w:keepLines w:val="0"/>
        <w:widowControl w:val="0"/>
        <w:shd w:val="clear" w:color="auto" w:fill="auto"/>
        <w:bidi w:val="0"/>
        <w:spacing w:before="0" w:after="240" w:line="298" w:lineRule="exact"/>
        <w:ind w:left="0" w:right="0"/>
        <w:jc w:val="both"/>
        <w:rPr>
          <w:sz w:val="22"/>
          <w:szCs w:val="22"/>
        </w:rPr>
      </w:pPr>
      <w:r>
        <w:rPr>
          <w:color w:val="000000"/>
          <w:spacing w:val="0"/>
          <w:w w:val="100"/>
          <w:position w:val="0"/>
          <w:sz w:val="22"/>
          <w:szCs w:val="22"/>
        </w:rPr>
        <w:t>金融工具或其组成部分属于权益工具的，其发行（含再融资）、回购、出售或注销时，本集团作 为权益的变动处理，不确认权益工具的公允价值变动。</w:t>
      </w:r>
    </w:p>
    <w:p>
      <w:pPr>
        <w:pStyle w:val="Style14"/>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（6）金融资产减值</w:t>
      </w:r>
    </w:p>
    <w:p>
      <w:pPr>
        <w:pStyle w:val="Style14"/>
        <w:keepNext w:val="0"/>
        <w:keepLines w:val="0"/>
        <w:widowControl w:val="0"/>
        <w:shd w:val="clear" w:color="auto" w:fill="auto"/>
        <w:bidi w:val="0"/>
        <w:spacing w:before="0" w:after="240" w:line="312" w:lineRule="exact"/>
        <w:ind w:left="0" w:right="0" w:firstLine="380"/>
        <w:jc w:val="both"/>
        <w:rPr>
          <w:sz w:val="22"/>
          <w:szCs w:val="22"/>
        </w:rPr>
      </w:pPr>
      <w:bookmarkStart w:id="806" w:name="bookmark806"/>
      <w:r>
        <w:rPr>
          <w:color w:val="000000"/>
          <w:spacing w:val="0"/>
          <w:w w:val="100"/>
          <w:position w:val="0"/>
          <w:sz w:val="22"/>
          <w:szCs w:val="22"/>
        </w:rPr>
        <w:t>1</w:t>
      </w:r>
      <w:bookmarkEnd w:id="806"/>
      <w:r>
        <w:rPr>
          <w:color w:val="000000"/>
          <w:spacing w:val="0"/>
          <w:w w:val="100"/>
          <w:position w:val="0"/>
          <w:sz w:val="22"/>
          <w:szCs w:val="22"/>
        </w:rPr>
        <w:t>）金融资产减值的确认方法</w:t>
      </w:r>
    </w:p>
    <w:p>
      <w:pPr>
        <w:pStyle w:val="Style14"/>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本集团以预期信用损失为基础，对以摊余成本计量的金融资产、以公允价值计量且其变动计入其 他综合收益的债务工具投资、财务担保合同等计提减值准备并确认信用减值损失。</w:t>
      </w:r>
    </w:p>
    <w:p>
      <w:pPr>
        <w:pStyle w:val="Style14"/>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预期信用损失，是指以发生违约的风险为权重的金融工具信用损失的加权平均值。信用损失，是 指企业按照原实际利率折现的、根据合同应收的所有合同现金流量与预期收入的所有现金流量之间的 差额，即全部现金短缺的现值。</w:t>
      </w:r>
    </w:p>
    <w:p>
      <w:pPr>
        <w:pStyle w:val="Style14"/>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本集团对于不含重大融资成分的应收票据、应收账款及其他应收款等，均简化按照整个存续期的 预期信用损失计量损失准备。</w:t>
      </w:r>
    </w:p>
    <w:p>
      <w:pPr>
        <w:pStyle w:val="Style14"/>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对于购买或源生的已发生信用减值的金融资产，在资产负债表日仅将自初始确认后整个存续期内 预期信用损失的累计变动确认为损失准备。在每个资产负债表日，将整个存续期内预期信用损失的变 动金额作为减值损失或利得计入当期损益。即使该资产负债表日确定的整个存续期内预期损益损失小 于初始确认时估计现金流量所反映的预期信用损失的金额，也将预期信用损失的有利变动确认为减值 利得。</w:t>
      </w:r>
    </w:p>
    <w:p>
      <w:pPr>
        <w:pStyle w:val="Style14"/>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除上述采用简化计量方法和购买或源生的已发生信用减值意外的其他金融资产，本集团在每个资 产负债表日评估相关金融工具的信用风险自初始确认后是否已显著增加，并按照下列情形分别计量其 损失准备、预计预期信用损失及其变动：</w:t>
      </w:r>
    </w:p>
    <w:p>
      <w:pPr>
        <w:pStyle w:val="Style14"/>
        <w:keepNext w:val="0"/>
        <w:keepLines w:val="0"/>
        <w:widowControl w:val="0"/>
        <w:numPr>
          <w:ilvl w:val="0"/>
          <w:numId w:val="65"/>
        </w:numPr>
        <w:shd w:val="clear" w:color="auto" w:fill="auto"/>
        <w:tabs>
          <w:tab w:pos="794" w:val="left"/>
        </w:tabs>
        <w:bidi w:val="0"/>
        <w:spacing w:before="0" w:after="240" w:line="302" w:lineRule="exact"/>
        <w:ind w:left="0" w:right="0" w:firstLine="460"/>
        <w:jc w:val="both"/>
        <w:rPr>
          <w:sz w:val="22"/>
          <w:szCs w:val="22"/>
        </w:rPr>
      </w:pPr>
      <w:bookmarkStart w:id="807" w:name="bookmark807"/>
      <w:bookmarkEnd w:id="807"/>
      <w:r>
        <w:rPr>
          <w:color w:val="000000"/>
          <w:spacing w:val="0"/>
          <w:w w:val="100"/>
          <w:position w:val="0"/>
          <w:sz w:val="22"/>
          <w:szCs w:val="22"/>
        </w:rPr>
        <w:t>如果该金融工具的信用风险自初始确认后未显著增加，处于第一阶段，按照相当于该金融工 具未来12个月内预期信用损失的金额计量损失准备，并按照账面余额和实际利率利息收入。</w:t>
      </w:r>
    </w:p>
    <w:p>
      <w:pPr>
        <w:pStyle w:val="Style14"/>
        <w:keepNext w:val="0"/>
        <w:keepLines w:val="0"/>
        <w:widowControl w:val="0"/>
        <w:numPr>
          <w:ilvl w:val="0"/>
          <w:numId w:val="65"/>
        </w:numPr>
        <w:shd w:val="clear" w:color="auto" w:fill="auto"/>
        <w:tabs>
          <w:tab w:pos="799" w:val="left"/>
        </w:tabs>
        <w:bidi w:val="0"/>
        <w:spacing w:before="0" w:after="240" w:line="305" w:lineRule="exact"/>
        <w:ind w:left="0" w:right="0" w:firstLine="460"/>
        <w:jc w:val="both"/>
        <w:rPr>
          <w:sz w:val="22"/>
          <w:szCs w:val="22"/>
        </w:rPr>
      </w:pPr>
      <w:bookmarkStart w:id="808" w:name="bookmark808"/>
      <w:bookmarkEnd w:id="808"/>
      <w:r>
        <w:rPr>
          <w:color w:val="000000"/>
          <w:spacing w:val="0"/>
          <w:w w:val="100"/>
          <w:position w:val="0"/>
          <w:sz w:val="22"/>
          <w:szCs w:val="22"/>
        </w:rPr>
        <w:t>如果该金融工具的信用风险自初始确认后已显著增加但尚未发生信用减值的，处于第二阶段, 按照相当于该金融工具整个存续期内预期信用损失的金额计量损失准备，并按照账面余额和实际利率 利息收入。</w:t>
      </w:r>
    </w:p>
    <w:p>
      <w:pPr>
        <w:pStyle w:val="Style14"/>
        <w:keepNext w:val="0"/>
        <w:keepLines w:val="0"/>
        <w:widowControl w:val="0"/>
        <w:numPr>
          <w:ilvl w:val="0"/>
          <w:numId w:val="65"/>
        </w:numPr>
        <w:shd w:val="clear" w:color="auto" w:fill="auto"/>
        <w:tabs>
          <w:tab w:pos="799" w:val="left"/>
        </w:tabs>
        <w:bidi w:val="0"/>
        <w:spacing w:before="0" w:after="240" w:line="298" w:lineRule="exact"/>
        <w:ind w:left="0" w:right="0" w:firstLine="460"/>
        <w:jc w:val="both"/>
        <w:rPr>
          <w:sz w:val="22"/>
          <w:szCs w:val="22"/>
        </w:rPr>
      </w:pPr>
      <w:bookmarkStart w:id="809" w:name="bookmark809"/>
      <w:bookmarkEnd w:id="809"/>
      <w:r>
        <w:rPr>
          <w:color w:val="000000"/>
          <w:spacing w:val="0"/>
          <w:w w:val="100"/>
          <w:position w:val="0"/>
          <w:sz w:val="22"/>
          <w:szCs w:val="22"/>
        </w:rPr>
        <w:t>如果该金融工具自初始确认后已经发生信用减值的，处于第三阶段，按照相当于该金融工具 整个存续期内预期信用损失的金额计量损失准备，并按照摊余成本和实际利率利息收入</w:t>
      </w:r>
    </w:p>
    <w:p>
      <w:pPr>
        <w:pStyle w:val="Style14"/>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信用风险自初始确认后是否显著增加的判断：</w:t>
      </w:r>
    </w:p>
    <w:p>
      <w:pPr>
        <w:pStyle w:val="Style14"/>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如果某项金融工具在资产负债表日确定的预计存续期内的违约概率显著高于在初始确认时确定 的预计存续内的违约概率，则表明该金融工具的信用风险显著增加。但是，如果本集团确定金融工具 在资产负债表日只具有较低的信用风险，可以假设该金融工具的信用风险自初始确认后并未显著增 加。通常情况下，如果逾期超过30日，则表明金融工具的信用风险已经显著增加。除非本集团在无须 付出不必要的额外成本或努力的情况下即可获得合理且有依据的信息，证明即使逾期超过30日，信用 风险自初始确认后仍未显著增加。在确定信用风险自初始确认后是否显著增加时，本集团考虑无须付 出不必要的额外成本或努力即可获得的合理且有依据的信息，包括前瞻性信息。</w:t>
      </w:r>
    </w:p>
    <w:p>
      <w:pPr>
        <w:pStyle w:val="Style14"/>
        <w:keepNext w:val="0"/>
        <w:keepLines w:val="0"/>
        <w:widowControl w:val="0"/>
        <w:shd w:val="clear" w:color="auto" w:fill="auto"/>
        <w:bidi w:val="0"/>
        <w:spacing w:before="0" w:after="240" w:line="293" w:lineRule="exact"/>
        <w:ind w:left="0" w:right="0" w:firstLine="460"/>
        <w:jc w:val="both"/>
        <w:rPr>
          <w:sz w:val="22"/>
          <w:szCs w:val="22"/>
        </w:rPr>
      </w:pPr>
      <w:r>
        <w:rPr>
          <w:color w:val="000000"/>
          <w:spacing w:val="0"/>
          <w:w w:val="100"/>
          <w:position w:val="0"/>
          <w:sz w:val="22"/>
          <w:szCs w:val="22"/>
        </w:rPr>
        <w:t>除了单项评估风险的金融资产外，本集团基于共同风险特征将金融资产划分为不同的组合，在组 合的基础上评估信用风险。</w:t>
      </w:r>
    </w:p>
    <w:p>
      <w:pPr>
        <w:pStyle w:val="Style14"/>
        <w:keepNext w:val="0"/>
        <w:keepLines w:val="0"/>
        <w:widowControl w:val="0"/>
        <w:shd w:val="clear" w:color="auto" w:fill="auto"/>
        <w:bidi w:val="0"/>
        <w:spacing w:before="0" w:after="240" w:line="311" w:lineRule="exact"/>
        <w:ind w:left="0" w:right="0" w:firstLine="460"/>
        <w:jc w:val="both"/>
        <w:rPr>
          <w:sz w:val="22"/>
          <w:szCs w:val="22"/>
        </w:rPr>
      </w:pPr>
      <w:bookmarkStart w:id="810" w:name="bookmark810"/>
      <w:r>
        <w:rPr>
          <w:color w:val="000000"/>
          <w:spacing w:val="0"/>
          <w:w w:val="100"/>
          <w:position w:val="0"/>
          <w:sz w:val="22"/>
          <w:szCs w:val="22"/>
        </w:rPr>
        <w:t>2</w:t>
      </w:r>
      <w:bookmarkEnd w:id="810"/>
      <w:r>
        <w:rPr>
          <w:color w:val="000000"/>
          <w:spacing w:val="0"/>
          <w:w w:val="100"/>
          <w:position w:val="0"/>
          <w:sz w:val="22"/>
          <w:szCs w:val="22"/>
        </w:rPr>
        <w:t>）金融资产减值的会计处理</w:t>
      </w:r>
    </w:p>
    <w:p>
      <w:pPr>
        <w:pStyle w:val="Style14"/>
        <w:keepNext w:val="0"/>
        <w:keepLines w:val="0"/>
        <w:widowControl w:val="0"/>
        <w:shd w:val="clear" w:color="auto" w:fill="auto"/>
        <w:bidi w:val="0"/>
        <w:spacing w:before="0" w:after="600" w:line="311" w:lineRule="exact"/>
        <w:ind w:left="0" w:right="0" w:firstLine="460"/>
        <w:jc w:val="both"/>
        <w:rPr>
          <w:sz w:val="22"/>
          <w:szCs w:val="22"/>
        </w:rPr>
      </w:pPr>
      <w:r>
        <w:rPr>
          <w:color w:val="000000"/>
          <w:spacing w:val="0"/>
          <w:w w:val="100"/>
          <w:position w:val="0"/>
          <w:sz w:val="22"/>
          <w:szCs w:val="22"/>
        </w:rPr>
        <w:t xml:space="preserve">资产负债表日，公司计算各类金融资产的预期信用损失。如果该预计信用损失大于其当前减值准 </w:t>
      </w:r>
      <w:r>
        <w:rPr>
          <w:color w:val="000000"/>
          <w:spacing w:val="0"/>
          <w:w w:val="100"/>
          <w:position w:val="0"/>
          <w:sz w:val="22"/>
          <w:szCs w:val="22"/>
        </w:rPr>
        <w:t>备的账面金额，将其差额确认为减值损失；如果小于当期减值准备的账面金额，将其差额确认为减值 利得。</w:t>
      </w:r>
    </w:p>
    <w:p>
      <w:pPr>
        <w:pStyle w:val="Style34"/>
        <w:keepNext/>
        <w:keepLines/>
        <w:widowControl w:val="0"/>
        <w:shd w:val="clear" w:color="auto" w:fill="auto"/>
        <w:bidi w:val="0"/>
        <w:spacing w:before="0" w:after="300" w:line="312" w:lineRule="exact"/>
        <w:ind w:left="0" w:right="0" w:firstLine="44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11"/>
      <w:bookmarkEnd w:id="812"/>
      <w:bookmarkEnd w:id="814"/>
    </w:p>
    <w:p>
      <w:pPr>
        <w:pStyle w:val="Style14"/>
        <w:keepNext w:val="0"/>
        <w:keepLines w:val="0"/>
        <w:widowControl w:val="0"/>
        <w:shd w:val="clear" w:color="auto" w:fill="auto"/>
        <w:bidi w:val="0"/>
        <w:spacing w:before="0" w:after="220" w:line="312" w:lineRule="exact"/>
        <w:ind w:left="0" w:right="0"/>
        <w:jc w:val="left"/>
        <w:rPr>
          <w:sz w:val="22"/>
          <w:szCs w:val="22"/>
        </w:rPr>
      </w:pPr>
      <w:r>
        <w:rPr>
          <w:color w:val="000000"/>
          <w:spacing w:val="0"/>
          <w:w w:val="100"/>
          <w:position w:val="0"/>
          <w:sz w:val="22"/>
          <w:szCs w:val="22"/>
        </w:rPr>
        <w:t>本集团对应收票据减值的确定原则参见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四、</w:t>
      </w:r>
      <w:r>
        <w:rPr>
          <w:color w:val="000000"/>
          <w:spacing w:val="0"/>
          <w:w w:val="100"/>
          <w:position w:val="0"/>
          <w:sz w:val="22"/>
          <w:szCs w:val="22"/>
        </w:rPr>
        <w:t>10.(6)</w:t>
      </w:r>
      <w:r>
        <w:rPr>
          <w:color w:val="000000"/>
          <w:spacing w:val="0"/>
          <w:w w:val="100"/>
          <w:position w:val="0"/>
          <w:sz w:val="22"/>
          <w:szCs w:val="22"/>
        </w:rPr>
        <w:t>金融资产减值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14"/>
        <w:keepNext w:val="0"/>
        <w:keepLines w:val="0"/>
        <w:widowControl w:val="0"/>
        <w:shd w:val="clear" w:color="auto" w:fill="auto"/>
        <w:bidi w:val="0"/>
        <w:spacing w:before="0" w:after="220" w:line="312" w:lineRule="exact"/>
        <w:ind w:left="0" w:right="0"/>
        <w:jc w:val="left"/>
        <w:rPr>
          <w:sz w:val="22"/>
          <w:szCs w:val="22"/>
        </w:rPr>
      </w:pPr>
      <w:r>
        <w:rPr>
          <w:color w:val="000000"/>
          <w:spacing w:val="0"/>
          <w:w w:val="100"/>
          <w:position w:val="0"/>
          <w:sz w:val="22"/>
          <w:szCs w:val="22"/>
        </w:rPr>
        <w:t>本集团对不含重大融资成分的应收票据，按照整个存续期的预期信用损失计量损失准备。</w:t>
      </w:r>
    </w:p>
    <w:p>
      <w:pPr>
        <w:pStyle w:val="Style14"/>
        <w:keepNext w:val="0"/>
        <w:keepLines w:val="0"/>
        <w:widowControl w:val="0"/>
        <w:shd w:val="clear" w:color="auto" w:fill="auto"/>
        <w:bidi w:val="0"/>
        <w:spacing w:before="0" w:line="312" w:lineRule="exact"/>
        <w:ind w:left="0" w:right="0"/>
        <w:jc w:val="left"/>
        <w:rPr>
          <w:sz w:val="22"/>
          <w:szCs w:val="22"/>
        </w:rPr>
      </w:pPr>
      <w:r>
        <w:rPr>
          <w:color w:val="000000"/>
          <w:spacing w:val="0"/>
          <w:w w:val="100"/>
          <w:position w:val="0"/>
          <w:sz w:val="22"/>
          <w:szCs w:val="22"/>
        </w:rPr>
        <w:t>应收票据的预期信用损失的确定方法及会计处理方法：基于应收票据的承兑人信用风险作为共同 风险特征，将其划分为不同组合，并确定预期信用损失会计估计政策：</w:t>
      </w:r>
    </w:p>
    <w:tbl>
      <w:tblPr>
        <w:tblOverlap w:val="never"/>
        <w:jc w:val="left"/>
        <w:tblLayout w:type="fixed"/>
      </w:tblPr>
      <w:tblGrid>
        <w:gridCol w:w="2035"/>
        <w:gridCol w:w="6701"/>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组合名称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预期信用损失会计估计政策</w:t>
            </w:r>
          </w:p>
        </w:tc>
      </w:tr>
      <w:tr>
        <w:trPr>
          <w:trHeight w:val="65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信用级别较高的银行承兑汇票，管理层评价该所持有的银行承兑汇票不存在重大的信 用风险，不会因银行违约而产生重大损失，因此无需计提坏账准备。</w:t>
            </w:r>
          </w:p>
        </w:tc>
      </w:tr>
      <w:tr>
        <w:trPr>
          <w:trHeight w:val="658"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信用级别一般的银行承兑汇票，按照预期信用损失计提坏账准备，与应收账款的组合 划分相同。</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按照预期信用损失计提坏账准备，与应收账款的组合划分相同。</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15"/>
      <w:bookmarkEnd w:id="816"/>
      <w:bookmarkEnd w:id="818"/>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本集团对应收账款减值的确定原则参见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五、</w:t>
      </w:r>
      <w:r>
        <w:rPr>
          <w:color w:val="000000"/>
          <w:spacing w:val="0"/>
          <w:w w:val="100"/>
          <w:position w:val="0"/>
          <w:sz w:val="22"/>
          <w:szCs w:val="22"/>
        </w:rPr>
        <w:t>10.(6)</w:t>
      </w:r>
      <w:r>
        <w:rPr>
          <w:color w:val="000000"/>
          <w:spacing w:val="0"/>
          <w:w w:val="100"/>
          <w:position w:val="0"/>
          <w:sz w:val="22"/>
          <w:szCs w:val="22"/>
        </w:rPr>
        <w:t>金融资产减值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14"/>
        <w:keepNext w:val="0"/>
        <w:keepLines w:val="0"/>
        <w:widowControl w:val="0"/>
        <w:shd w:val="clear" w:color="auto" w:fill="auto"/>
        <w:bidi w:val="0"/>
        <w:spacing w:before="0" w:after="40" w:line="317" w:lineRule="exact"/>
        <w:ind w:left="0" w:right="0"/>
        <w:jc w:val="both"/>
        <w:rPr>
          <w:sz w:val="22"/>
          <w:szCs w:val="22"/>
        </w:rPr>
      </w:pPr>
      <w:r>
        <w:rPr>
          <w:color w:val="000000"/>
          <w:spacing w:val="0"/>
          <w:w w:val="100"/>
          <w:position w:val="0"/>
          <w:sz w:val="22"/>
          <w:szCs w:val="22"/>
        </w:rPr>
        <w:t>本集团对于《企业会计准则第14号-收入准则》规范的交易形成且不含重大融资成分的应收账款, 始终按照相当于整个存续期内预期信用损失的金额计量其损失准备。</w:t>
      </w:r>
    </w:p>
    <w:p>
      <w:pPr>
        <w:pStyle w:val="Style14"/>
        <w:keepNext w:val="0"/>
        <w:keepLines w:val="0"/>
        <w:widowControl w:val="0"/>
        <w:shd w:val="clear" w:color="auto" w:fill="auto"/>
        <w:bidi w:val="0"/>
        <w:spacing w:before="0" w:line="312" w:lineRule="exact"/>
        <w:ind w:left="0" w:right="0"/>
        <w:jc w:val="both"/>
        <w:rPr>
          <w:sz w:val="22"/>
          <w:szCs w:val="22"/>
        </w:rPr>
      </w:pPr>
      <w:r>
        <w:rPr>
          <w:color w:val="000000"/>
          <w:spacing w:val="0"/>
          <w:w w:val="100"/>
          <w:position w:val="0"/>
          <w:sz w:val="22"/>
          <w:szCs w:val="22"/>
        </w:rPr>
        <w:t>应收账款的预期信用损失的确定方法及会计处理方法：本集团对信用风险显著不同的应收账款单 项评估信用风险，如：与对方存在争议或涉及诉讼、仲裁的应收账款；已有明显迹象表明债务人很可 能无法履行还款义务的应收账款等。除单项评估信用风险的应收账款外，本集团基于应收账款交易对 象、账龄等共同风险特征将应收账款划分为不同的组合，并确定预期信用损失会计估计政策：</w:t>
      </w:r>
    </w:p>
    <w:tbl>
      <w:tblPr>
        <w:tblOverlap w:val="never"/>
        <w:jc w:val="center"/>
        <w:tblLayout w:type="fixed"/>
      </w:tblPr>
      <w:tblGrid>
        <w:gridCol w:w="2107"/>
        <w:gridCol w:w="7306"/>
      </w:tblGrid>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组合名称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sz w:val="18"/>
                <w:szCs w:val="18"/>
              </w:rPr>
              <w:t>预期信用损失会计估计政策</w:t>
            </w:r>
          </w:p>
        </w:tc>
      </w:tr>
      <w:tr>
        <w:trPr>
          <w:trHeight w:val="9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单项认定组合(单项评估信 用风险)</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如有客观证据表明其已发生减值，按预计未来现金流量现值低于其账面价值的差额计提坏账 准备，计入当期损益。单独测试未发生减值的应收款项，将其归入账龄组合计提损失准备。</w:t>
            </w:r>
          </w:p>
        </w:tc>
      </w:tr>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考虑关联方公司的实际履约能力、历史回款情况，未曾发生坏账损失，管理层评价该类款项 具有较低的信用风险，因此无需计提坏账准备。</w:t>
            </w:r>
          </w:p>
        </w:tc>
      </w:tr>
      <w:tr>
        <w:trPr>
          <w:trHeight w:val="130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以应收账款的账龄为基础评估预期信用损失，并基于所有合理且有依据的信息，包括信用风 险评级、债务人所处行业及前瞻性等信息，运用以账龄表为基础的减值计算模型，以预计存 续期的历史违约损失率为基础，根据前瞻性资料估计并予以调整，计算出预期损失率，作为 组合应收账款损失准备的计提比例。</w:t>
            </w:r>
          </w:p>
        </w:tc>
      </w:tr>
    </w:tbl>
    <w:p>
      <w:pPr>
        <w:pStyle w:val="Style34"/>
        <w:keepNext/>
        <w:keepLines/>
        <w:widowControl w:val="0"/>
        <w:shd w:val="clear" w:color="auto" w:fill="auto"/>
        <w:bidi w:val="0"/>
        <w:spacing w:before="0" w:after="300" w:line="312" w:lineRule="exact"/>
        <w:ind w:left="0" w:right="0" w:firstLine="44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19"/>
      <w:bookmarkEnd w:id="820"/>
      <w:bookmarkEnd w:id="822"/>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对于合同现金流量特征与基本借贷安排相一致，且公司管理此类金融资产的业务模式为既以收取 合同现金流量为目标又以出售为目标的应收票据及应收账款，本公司将其分类为应收款项融资，以公 允价值计量且其变动计入其他综合收益。应收款项融资采用实际利率法确认的利息收入、减值损失及 汇兑差额确认为当期损益，其余公允价值变动计入其他综合收益。终止确认时，之前计入其他综合收 益的累计利得或损失从其他综合收益转出，计入当期损益。</w:t>
      </w:r>
    </w:p>
    <w:p>
      <w:pPr>
        <w:pStyle w:val="Style14"/>
        <w:keepNext w:val="0"/>
        <w:keepLines w:val="0"/>
        <w:widowControl w:val="0"/>
        <w:shd w:val="clear" w:color="auto" w:fill="auto"/>
        <w:bidi w:val="0"/>
        <w:spacing w:before="0" w:after="300" w:line="312" w:lineRule="exact"/>
        <w:ind w:left="0" w:right="0"/>
        <w:jc w:val="both"/>
        <w:rPr>
          <w:sz w:val="22"/>
          <w:szCs w:val="22"/>
        </w:rPr>
      </w:pPr>
      <w:r>
        <w:rPr>
          <w:color w:val="000000"/>
          <w:spacing w:val="0"/>
          <w:w w:val="100"/>
          <w:position w:val="0"/>
          <w:sz w:val="22"/>
          <w:szCs w:val="22"/>
        </w:rPr>
        <w:t>应收款项融资的预期信用损失的确定方法及会计处理方法参见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五、</w:t>
      </w:r>
      <w:r>
        <w:rPr>
          <w:color w:val="000000"/>
          <w:spacing w:val="0"/>
          <w:w w:val="100"/>
          <w:position w:val="0"/>
          <w:sz w:val="22"/>
          <w:szCs w:val="22"/>
        </w:rPr>
        <w:t>10.(6)</w:t>
      </w:r>
      <w:r>
        <w:rPr>
          <w:color w:val="000000"/>
          <w:spacing w:val="0"/>
          <w:w w:val="100"/>
          <w:position w:val="0"/>
          <w:sz w:val="22"/>
          <w:szCs w:val="22"/>
        </w:rPr>
        <w:t>金融资产减值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34"/>
        <w:keepNext/>
        <w:keepLines/>
        <w:widowControl w:val="0"/>
        <w:shd w:val="clear" w:color="auto" w:fill="auto"/>
        <w:bidi w:val="0"/>
        <w:spacing w:before="0" w:after="380" w:line="312" w:lineRule="exact"/>
        <w:ind w:left="0" w:right="0" w:firstLine="64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23"/>
      <w:bookmarkEnd w:id="824"/>
      <w:bookmarkEnd w:id="826"/>
    </w:p>
    <w:p>
      <w:pPr>
        <w:pStyle w:val="Style31"/>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240" w:line="312" w:lineRule="exact"/>
        <w:ind w:left="0" w:right="0"/>
        <w:jc w:val="left"/>
        <w:rPr>
          <w:sz w:val="22"/>
          <w:szCs w:val="22"/>
        </w:rPr>
      </w:pPr>
      <w:r>
        <w:rPr>
          <w:color w:val="000000"/>
          <w:spacing w:val="0"/>
          <w:w w:val="100"/>
          <w:position w:val="0"/>
          <w:sz w:val="22"/>
          <w:szCs w:val="22"/>
        </w:rPr>
        <w:t>本集团对其他应收款减值的确定原则参见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五、</w:t>
      </w:r>
      <w:r>
        <w:rPr>
          <w:color w:val="000000"/>
          <w:spacing w:val="0"/>
          <w:w w:val="100"/>
          <w:position w:val="0"/>
          <w:sz w:val="22"/>
          <w:szCs w:val="22"/>
        </w:rPr>
        <w:t>10.(6)</w:t>
      </w:r>
      <w:r>
        <w:rPr>
          <w:color w:val="000000"/>
          <w:spacing w:val="0"/>
          <w:w w:val="100"/>
          <w:position w:val="0"/>
          <w:sz w:val="22"/>
          <w:szCs w:val="22"/>
        </w:rPr>
        <w:t>金融资产减值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本集团对于其他应收款始终按照相当于整个存续期内预期信用损失的金额计量其损失准备。</w:t>
      </w:r>
    </w:p>
    <w:p>
      <w:pPr>
        <w:pStyle w:val="Style14"/>
        <w:keepNext w:val="0"/>
        <w:keepLines w:val="0"/>
        <w:widowControl w:val="0"/>
        <w:shd w:val="clear" w:color="auto" w:fill="auto"/>
        <w:bidi w:val="0"/>
        <w:spacing w:before="0" w:line="312" w:lineRule="exact"/>
        <w:ind w:left="0" w:right="0"/>
        <w:jc w:val="both"/>
        <w:rPr>
          <w:sz w:val="22"/>
          <w:szCs w:val="22"/>
        </w:rPr>
      </w:pPr>
      <w:r>
        <w:rPr>
          <w:color w:val="000000"/>
          <w:spacing w:val="0"/>
          <w:w w:val="100"/>
          <w:position w:val="0"/>
          <w:sz w:val="22"/>
          <w:szCs w:val="22"/>
        </w:rPr>
        <w:t>本集团对信用风险显著不同的金融资产单项评价信用风险，如：与对方存在争议或涉及诉讼、仲 裁的应收款项；已有明显迹象表明债务人很可能无法履行还款义务的应收款项等。除单项评估信用风 险的金融资产外，本集团基于其他应收款交易对象关系、款项性质等共同风险特征将其他应收款划分 为不同的组合，并确定预期信用损失会计估计政策：</w:t>
      </w:r>
    </w:p>
    <w:tbl>
      <w:tblPr>
        <w:tblOverlap w:val="never"/>
        <w:jc w:val="left"/>
        <w:tblLayout w:type="fixed"/>
      </w:tblPr>
      <w:tblGrid>
        <w:gridCol w:w="2093"/>
        <w:gridCol w:w="6643"/>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组合名称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sz w:val="18"/>
                <w:szCs w:val="18"/>
              </w:rPr>
              <w:t>预期信用损失会计估计政策</w:t>
            </w:r>
          </w:p>
        </w:tc>
      </w:tr>
      <w:tr>
        <w:trPr>
          <w:trHeight w:val="9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单项认定组合(单项评估 信用风险)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如有客观证据表明其已发生减值，按预计未来现金流量现值低于其账面价值的差额计 提坏账准备，计入当期损益。单独测试未发生减值的应收款项，将其归入账龄组合计 提损失准备。</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考虑关联方公司的实际履约能力、历史回款情况，未曾发生坏账损失，管理层评价该 类款项具有较低的信用风险，因此无需计提坏账准备。</w:t>
            </w:r>
          </w:p>
        </w:tc>
      </w:tr>
      <w:tr>
        <w:trPr>
          <w:trHeight w:val="128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以其他应收款的账龄为基础评估预期信用损失，并基于所有合理且有依据的信息，包 括信用风险评级、债务人所处行业及前瞻性等信息，运用以账龄表为基础的减值计算 模型，以预计存续期的历史违约损失率为基础，根据前瞻性资料估计并予以调整，计 算出预期损失率，作为组合其他应收款损失准备的计提比例。</w:t>
            </w:r>
          </w:p>
        </w:tc>
      </w:tr>
    </w:tbl>
    <w:p>
      <w:pPr>
        <w:pStyle w:val="Style29"/>
        <w:keepNext w:val="0"/>
        <w:keepLines w:val="0"/>
        <w:widowControl w:val="0"/>
        <w:shd w:val="clear" w:color="auto" w:fill="auto"/>
        <w:bidi w:val="0"/>
        <w:spacing w:before="0" w:after="0" w:line="240" w:lineRule="auto"/>
        <w:ind w:left="408" w:right="0" w:firstLine="0"/>
        <w:jc w:val="left"/>
        <w:rPr>
          <w:sz w:val="20"/>
          <w:szCs w:val="20"/>
        </w:rPr>
      </w:pPr>
      <w:bookmarkStart w:id="827" w:name="bookmark827"/>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、存货</w:t>
      </w:r>
      <w:bookmarkEnd w:id="827"/>
    </w:p>
    <w:p>
      <w:pPr>
        <w:widowControl w:val="0"/>
        <w:spacing w:after="239" w:line="1" w:lineRule="exact"/>
      </w:pPr>
    </w:p>
    <w:p>
      <w:pPr>
        <w:pStyle w:val="Style14"/>
        <w:keepNext w:val="0"/>
        <w:keepLines w:val="0"/>
        <w:widowControl w:val="0"/>
        <w:shd w:val="clear" w:color="auto" w:fill="auto"/>
        <w:bidi w:val="0"/>
        <w:spacing w:before="0" w:after="240" w:line="310" w:lineRule="exact"/>
        <w:ind w:left="0" w:right="0"/>
        <w:jc w:val="both"/>
        <w:rPr>
          <w:sz w:val="22"/>
          <w:szCs w:val="22"/>
        </w:rPr>
      </w:pPr>
      <w:r>
        <w:rPr>
          <w:color w:val="000000"/>
          <w:spacing w:val="0"/>
          <w:w w:val="100"/>
          <w:position w:val="0"/>
          <w:sz w:val="22"/>
          <w:szCs w:val="22"/>
        </w:rPr>
        <w:t>本集团存货主要包括原材料、周转材料、在产品、库存商品。</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存货实行永续盘存制，存货在取得时按实际成本计价；领用或发出存货，采用加权平均法确定其 实际成本。周转材料中铁质电缆盘采用分次摊销法，其他周转材料领用时一次摊销入成本。</w:t>
      </w:r>
    </w:p>
    <w:p>
      <w:pPr>
        <w:pStyle w:val="Style14"/>
        <w:keepNext w:val="0"/>
        <w:keepLines w:val="0"/>
        <w:widowControl w:val="0"/>
        <w:shd w:val="clear" w:color="auto" w:fill="auto"/>
        <w:bidi w:val="0"/>
        <w:spacing w:before="0" w:after="240" w:line="310" w:lineRule="exact"/>
        <w:ind w:left="0" w:right="0"/>
        <w:jc w:val="both"/>
        <w:rPr>
          <w:sz w:val="22"/>
          <w:szCs w:val="22"/>
        </w:rPr>
      </w:pPr>
      <w:r>
        <w:rPr>
          <w:color w:val="000000"/>
          <w:spacing w:val="0"/>
          <w:w w:val="100"/>
          <w:position w:val="0"/>
          <w:sz w:val="22"/>
          <w:szCs w:val="22"/>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34"/>
        <w:keepNext/>
        <w:keepLines/>
        <w:widowControl w:val="0"/>
        <w:shd w:val="clear" w:color="auto" w:fill="auto"/>
        <w:bidi w:val="0"/>
        <w:spacing w:before="0" w:after="300" w:line="314" w:lineRule="exact"/>
        <w:ind w:left="0" w:right="0" w:firstLine="44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28"/>
      <w:bookmarkEnd w:id="829"/>
      <w:bookmarkEnd w:id="831"/>
    </w:p>
    <w:p>
      <w:pPr>
        <w:pStyle w:val="Style14"/>
        <w:keepNext w:val="0"/>
        <w:keepLines w:val="0"/>
        <w:widowControl w:val="0"/>
        <w:numPr>
          <w:ilvl w:val="0"/>
          <w:numId w:val="67"/>
        </w:numPr>
        <w:shd w:val="clear" w:color="auto" w:fill="auto"/>
        <w:bidi w:val="0"/>
        <w:spacing w:before="0" w:after="240" w:line="314" w:lineRule="exact"/>
        <w:ind w:left="0" w:right="0"/>
        <w:jc w:val="both"/>
        <w:rPr>
          <w:sz w:val="22"/>
          <w:szCs w:val="22"/>
        </w:rPr>
      </w:pPr>
      <w:bookmarkStart w:id="832" w:name="bookmark832"/>
      <w:bookmarkEnd w:id="832"/>
      <w:r>
        <w:rPr>
          <w:color w:val="000000"/>
          <w:spacing w:val="0"/>
          <w:w w:val="100"/>
          <w:position w:val="0"/>
          <w:sz w:val="22"/>
          <w:szCs w:val="22"/>
        </w:rPr>
        <w:t>合同资产的确认方法及标准</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合同资产，是指本集团已向客户转让商品而有权收取对价的权利，且该权利取决于时间流逝之外 的其他因素。如本集团向客户销售两项可明确区分的商品，因已交付其中一项商品而有权收取款项， 但收取该款项还取决于交付另一项商品的，本集团将该收款权利作为合同资产。</w:t>
      </w:r>
    </w:p>
    <w:p>
      <w:pPr>
        <w:pStyle w:val="Style14"/>
        <w:keepNext w:val="0"/>
        <w:keepLines w:val="0"/>
        <w:widowControl w:val="0"/>
        <w:numPr>
          <w:ilvl w:val="0"/>
          <w:numId w:val="67"/>
        </w:numPr>
        <w:shd w:val="clear" w:color="auto" w:fill="auto"/>
        <w:bidi w:val="0"/>
        <w:spacing w:before="0" w:after="240" w:line="314" w:lineRule="exact"/>
        <w:ind w:left="0" w:right="0" w:firstLine="560"/>
        <w:jc w:val="both"/>
        <w:rPr>
          <w:sz w:val="22"/>
          <w:szCs w:val="22"/>
        </w:rPr>
      </w:pPr>
      <w:bookmarkStart w:id="833" w:name="bookmark833"/>
      <w:bookmarkEnd w:id="833"/>
      <w:r>
        <w:rPr>
          <w:color w:val="000000"/>
          <w:spacing w:val="0"/>
          <w:w w:val="100"/>
          <w:position w:val="0"/>
          <w:sz w:val="22"/>
          <w:szCs w:val="22"/>
        </w:rPr>
        <w:t>合同资产的预期信用损失的确定方法及会计处理方法</w:t>
      </w:r>
    </w:p>
    <w:p>
      <w:pPr>
        <w:pStyle w:val="Style14"/>
        <w:keepNext w:val="0"/>
        <w:keepLines w:val="0"/>
        <w:widowControl w:val="0"/>
        <w:shd w:val="clear" w:color="auto" w:fill="auto"/>
        <w:bidi w:val="0"/>
        <w:spacing w:before="0" w:after="240" w:line="314" w:lineRule="exact"/>
        <w:ind w:left="0" w:right="0"/>
        <w:jc w:val="left"/>
        <w:rPr>
          <w:sz w:val="22"/>
          <w:szCs w:val="22"/>
        </w:rPr>
      </w:pPr>
      <w:r>
        <w:rPr>
          <w:color w:val="000000"/>
          <w:spacing w:val="0"/>
          <w:w w:val="100"/>
          <w:position w:val="0"/>
          <w:sz w:val="22"/>
          <w:szCs w:val="22"/>
        </w:rPr>
        <w:t>合同资产的预期信用损失的确定方法，参照上述</w:t>
      </w:r>
      <w:r>
        <w:rPr>
          <w:color w:val="000000"/>
          <w:spacing w:val="0"/>
          <w:w w:val="100"/>
          <w:position w:val="0"/>
          <w:sz w:val="22"/>
          <w:szCs w:val="22"/>
        </w:rPr>
        <w:t>11.</w:t>
      </w:r>
      <w:r>
        <w:rPr>
          <w:color w:val="000000"/>
          <w:spacing w:val="0"/>
          <w:w w:val="100"/>
          <w:position w:val="0"/>
          <w:sz w:val="22"/>
          <w:szCs w:val="22"/>
        </w:rPr>
        <w:t>应收票据及</w:t>
      </w:r>
      <w:r>
        <w:rPr>
          <w:color w:val="000000"/>
          <w:spacing w:val="0"/>
          <w:w w:val="100"/>
          <w:position w:val="0"/>
          <w:sz w:val="22"/>
          <w:szCs w:val="22"/>
        </w:rPr>
        <w:t>12.</w:t>
      </w:r>
      <w:r>
        <w:rPr>
          <w:color w:val="000000"/>
          <w:spacing w:val="0"/>
          <w:w w:val="100"/>
          <w:position w:val="0"/>
          <w:sz w:val="22"/>
          <w:szCs w:val="22"/>
        </w:rPr>
        <w:t>应收账款相关内容描述。</w:t>
      </w:r>
    </w:p>
    <w:p>
      <w:pPr>
        <w:pStyle w:val="Style14"/>
        <w:keepNext w:val="0"/>
        <w:keepLines w:val="0"/>
        <w:widowControl w:val="0"/>
        <w:shd w:val="clear" w:color="auto" w:fill="auto"/>
        <w:bidi w:val="0"/>
        <w:spacing w:before="0" w:after="240" w:line="314" w:lineRule="exact"/>
        <w:ind w:left="0" w:right="0"/>
        <w:jc w:val="both"/>
        <w:rPr>
          <w:sz w:val="22"/>
          <w:szCs w:val="22"/>
        </w:rPr>
      </w:pPr>
      <w:r>
        <w:rPr>
          <w:color w:val="000000"/>
          <w:spacing w:val="0"/>
          <w:w w:val="100"/>
          <w:position w:val="0"/>
          <w:sz w:val="22"/>
          <w:szCs w:val="22"/>
        </w:rPr>
        <w:t>会计处理方法，本集团在资产负债表日计算合同资产预期信用损失，如果该预期信用损失大于当 前合同资产减值准备的账面金额，本集团将其差额确认为减值损失，借记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资产减值损失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 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。相反，本集团将差额确认为减值利得，做相反的会计记录。</w:t>
      </w:r>
    </w:p>
    <w:p>
      <w:pPr>
        <w:pStyle w:val="Style14"/>
        <w:keepNext w:val="0"/>
        <w:keepLines w:val="0"/>
        <w:widowControl w:val="0"/>
        <w:shd w:val="clear" w:color="auto" w:fill="auto"/>
        <w:bidi w:val="0"/>
        <w:spacing w:before="0" w:after="840" w:line="317" w:lineRule="exact"/>
        <w:ind w:left="0" w:right="0"/>
        <w:jc w:val="both"/>
        <w:rPr>
          <w:sz w:val="22"/>
          <w:szCs w:val="22"/>
        </w:rPr>
      </w:pPr>
      <w:r>
        <w:rPr>
          <w:color w:val="000000"/>
          <w:spacing w:val="0"/>
          <w:w w:val="100"/>
          <w:position w:val="0"/>
          <w:sz w:val="22"/>
          <w:szCs w:val="22"/>
        </w:rPr>
        <w:t>本集团实际发生信用损失，认定相关合同资产无法收回，经批准予以核销的，根据批准的核销金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资 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34"/>
        <w:keepNext/>
        <w:keepLines/>
        <w:widowControl w:val="0"/>
        <w:shd w:val="clear" w:color="auto" w:fill="auto"/>
        <w:bidi w:val="0"/>
        <w:spacing w:before="0" w:after="300" w:line="311" w:lineRule="exact"/>
        <w:ind w:left="0" w:right="0" w:firstLine="44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34"/>
      <w:bookmarkEnd w:id="835"/>
      <w:bookmarkEnd w:id="837"/>
    </w:p>
    <w:p>
      <w:pPr>
        <w:pStyle w:val="Style14"/>
        <w:keepNext w:val="0"/>
        <w:keepLines w:val="0"/>
        <w:widowControl w:val="0"/>
        <w:numPr>
          <w:ilvl w:val="0"/>
          <w:numId w:val="69"/>
        </w:numPr>
        <w:shd w:val="clear" w:color="auto" w:fill="auto"/>
        <w:tabs>
          <w:tab w:pos="875" w:val="left"/>
        </w:tabs>
        <w:bidi w:val="0"/>
        <w:spacing w:before="0" w:after="240" w:line="311" w:lineRule="exact"/>
        <w:ind w:left="0" w:right="0"/>
        <w:jc w:val="both"/>
        <w:rPr>
          <w:sz w:val="22"/>
          <w:szCs w:val="22"/>
        </w:rPr>
      </w:pPr>
      <w:bookmarkStart w:id="838" w:name="bookmark838"/>
      <w:bookmarkEnd w:id="838"/>
      <w:r>
        <w:rPr>
          <w:color w:val="000000"/>
          <w:spacing w:val="0"/>
          <w:w w:val="100"/>
          <w:position w:val="0"/>
          <w:sz w:val="22"/>
          <w:szCs w:val="22"/>
        </w:rPr>
        <w:t>与合同成本有关的资产金额的确定方法</w:t>
      </w:r>
    </w:p>
    <w:p>
      <w:pPr>
        <w:pStyle w:val="Style14"/>
        <w:keepNext w:val="0"/>
        <w:keepLines w:val="0"/>
        <w:widowControl w:val="0"/>
        <w:shd w:val="clear" w:color="auto" w:fill="auto"/>
        <w:bidi w:val="0"/>
        <w:spacing w:before="0" w:after="240" w:line="311" w:lineRule="exact"/>
        <w:ind w:left="0" w:right="0"/>
        <w:jc w:val="both"/>
        <w:rPr>
          <w:sz w:val="22"/>
          <w:szCs w:val="22"/>
        </w:rPr>
      </w:pPr>
      <w:r>
        <w:rPr>
          <w:color w:val="000000"/>
          <w:spacing w:val="0"/>
          <w:w w:val="100"/>
          <w:position w:val="0"/>
          <w:sz w:val="22"/>
          <w:szCs w:val="22"/>
        </w:rPr>
        <w:t>本集团与合同成本有关的资产包括合同履约成本和合同取得成本。</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合同履约成本，即本集团为履行合同发生的成本，不属于其他企业会计准则规范范围且同时满足 下列条件的，作为合同履约成本确认为一项资产：该成本与一份当前或预期取得的合同直接相关，包 括直接人工、直接材料、制造费用(或类似费用)、明确由客户承担的成本以及仅因该合同而发生的 其他成本；该成本增加了本集团未来用于履行履约义务的资源；该成本预期能够收回。</w:t>
      </w:r>
    </w:p>
    <w:p>
      <w:pPr>
        <w:pStyle w:val="Style14"/>
        <w:keepNext w:val="0"/>
        <w:keepLines w:val="0"/>
        <w:widowControl w:val="0"/>
        <w:shd w:val="clear" w:color="auto" w:fill="auto"/>
        <w:bidi w:val="0"/>
        <w:spacing w:before="0" w:after="100" w:line="311" w:lineRule="exact"/>
        <w:ind w:left="0" w:right="0"/>
        <w:jc w:val="both"/>
        <w:rPr>
          <w:sz w:val="22"/>
          <w:szCs w:val="22"/>
        </w:rPr>
      </w:pPr>
      <w:r>
        <w:rPr>
          <w:color w:val="000000"/>
          <w:spacing w:val="0"/>
          <w:w w:val="100"/>
          <w:position w:val="0"/>
          <w:sz w:val="22"/>
          <w:szCs w:val="22"/>
        </w:rPr>
        <w:t>合同取得成本，即本集团为取得合同发生的增量成本预期能够收回的，作为合同取得成本确认为 一项资产；该资产摊销期限不超过一年的，在发生时计入当期损益。增量成本，是指本集团不取得合 同就不会发生的成本(如销售佣金等)。本集团为取得合同发生的、除预期能够收回的增量成本之外 的其他支出(如无论是否取得合同均会发生的差旅费等)，在发生时计入当期损益，但是，明确由客 户承担的除外。</w:t>
      </w:r>
    </w:p>
    <w:p>
      <w:pPr>
        <w:pStyle w:val="Style14"/>
        <w:keepNext w:val="0"/>
        <w:keepLines w:val="0"/>
        <w:widowControl w:val="0"/>
        <w:numPr>
          <w:ilvl w:val="0"/>
          <w:numId w:val="69"/>
        </w:numPr>
        <w:shd w:val="clear" w:color="auto" w:fill="auto"/>
        <w:tabs>
          <w:tab w:pos="875" w:val="left"/>
        </w:tabs>
        <w:bidi w:val="0"/>
        <w:spacing w:before="0" w:after="240" w:line="311" w:lineRule="exact"/>
        <w:ind w:left="0" w:right="0"/>
        <w:jc w:val="both"/>
        <w:rPr>
          <w:sz w:val="22"/>
          <w:szCs w:val="22"/>
        </w:rPr>
      </w:pPr>
      <w:bookmarkStart w:id="839" w:name="bookmark839"/>
      <w:bookmarkEnd w:id="839"/>
      <w:r>
        <w:rPr>
          <w:color w:val="000000"/>
          <w:spacing w:val="0"/>
          <w:w w:val="100"/>
          <w:position w:val="0"/>
          <w:sz w:val="22"/>
          <w:szCs w:val="22"/>
        </w:rPr>
        <w:t>与合同成本有关的资产的摊销</w:t>
      </w:r>
    </w:p>
    <w:p>
      <w:pPr>
        <w:pStyle w:val="Style14"/>
        <w:keepNext w:val="0"/>
        <w:keepLines w:val="0"/>
        <w:widowControl w:val="0"/>
        <w:shd w:val="clear" w:color="auto" w:fill="auto"/>
        <w:bidi w:val="0"/>
        <w:spacing w:before="0" w:after="100" w:line="302" w:lineRule="exact"/>
        <w:ind w:left="0" w:right="0"/>
        <w:jc w:val="both"/>
        <w:rPr>
          <w:sz w:val="22"/>
          <w:szCs w:val="22"/>
        </w:rPr>
      </w:pPr>
      <w:r>
        <w:rPr>
          <w:color w:val="000000"/>
          <w:spacing w:val="0"/>
          <w:w w:val="100"/>
          <w:position w:val="0"/>
          <w:sz w:val="22"/>
          <w:szCs w:val="22"/>
        </w:rPr>
        <w:t>本集团与合同成本有关的资产采用与该资产相关的商品收入确认相同的基础进行摊销，计入当期 损益。</w:t>
      </w:r>
    </w:p>
    <w:p>
      <w:pPr>
        <w:pStyle w:val="Style14"/>
        <w:keepNext w:val="0"/>
        <w:keepLines w:val="0"/>
        <w:widowControl w:val="0"/>
        <w:numPr>
          <w:ilvl w:val="0"/>
          <w:numId w:val="69"/>
        </w:numPr>
        <w:shd w:val="clear" w:color="auto" w:fill="auto"/>
        <w:tabs>
          <w:tab w:pos="875" w:val="left"/>
        </w:tabs>
        <w:bidi w:val="0"/>
        <w:spacing w:before="0" w:after="240" w:line="311" w:lineRule="exact"/>
        <w:ind w:left="0" w:right="0"/>
        <w:jc w:val="both"/>
        <w:rPr>
          <w:sz w:val="22"/>
          <w:szCs w:val="22"/>
        </w:rPr>
      </w:pPr>
      <w:bookmarkStart w:id="840" w:name="bookmark840"/>
      <w:bookmarkEnd w:id="840"/>
      <w:r>
        <w:rPr>
          <w:color w:val="000000"/>
          <w:spacing w:val="0"/>
          <w:w w:val="100"/>
          <w:position w:val="0"/>
          <w:sz w:val="22"/>
          <w:szCs w:val="22"/>
        </w:rPr>
        <w:t>与合同成本有关的资产的减值</w:t>
      </w:r>
    </w:p>
    <w:p>
      <w:pPr>
        <w:pStyle w:val="Style14"/>
        <w:keepNext w:val="0"/>
        <w:keepLines w:val="0"/>
        <w:widowControl w:val="0"/>
        <w:shd w:val="clear" w:color="auto" w:fill="auto"/>
        <w:bidi w:val="0"/>
        <w:spacing w:before="0" w:after="240" w:line="311" w:lineRule="exact"/>
        <w:ind w:left="0" w:right="0"/>
        <w:jc w:val="both"/>
        <w:rPr>
          <w:sz w:val="22"/>
          <w:szCs w:val="22"/>
        </w:rPr>
      </w:pPr>
      <w:r>
        <w:rPr>
          <w:color w:val="000000"/>
          <w:spacing w:val="0"/>
          <w:w w:val="100"/>
          <w:position w:val="0"/>
          <w:sz w:val="22"/>
          <w:szCs w:val="22"/>
        </w:rPr>
        <w:t xml:space="preserve">本集团在确定与合同成本有关的资产的减值损失时，首先对按照其他相关企业会计准则确认的、 </w:t>
      </w:r>
      <w:r>
        <w:rPr>
          <w:color w:val="000000"/>
          <w:spacing w:val="0"/>
          <w:w w:val="100"/>
          <w:position w:val="0"/>
          <w:sz w:val="22"/>
          <w:szCs w:val="22"/>
        </w:rPr>
        <w:t>与合同有关的其他资产确定减值损失；然后根据其账面价值高于本集团因转让与该资产相关的商品预 期能够取得的剩余对价以及为转让该相关商品估计将要发生的成本这两项差额的，超出部分应当计提 减值准备，并确认为资产减值损失。</w:t>
      </w:r>
    </w:p>
    <w:p>
      <w:pPr>
        <w:pStyle w:val="Style14"/>
        <w:keepNext w:val="0"/>
        <w:keepLines w:val="0"/>
        <w:widowControl w:val="0"/>
        <w:shd w:val="clear" w:color="auto" w:fill="auto"/>
        <w:bidi w:val="0"/>
        <w:spacing w:before="0" w:after="340" w:line="307" w:lineRule="exact"/>
        <w:ind w:left="0" w:right="0"/>
        <w:jc w:val="both"/>
        <w:rPr>
          <w:sz w:val="22"/>
          <w:szCs w:val="22"/>
        </w:rPr>
      </w:pPr>
      <w:r>
        <w:rPr>
          <w:color w:val="000000"/>
          <w:spacing w:val="0"/>
          <w:w w:val="100"/>
          <w:position w:val="0"/>
          <w:sz w:val="22"/>
          <w:szCs w:val="22"/>
        </w:rPr>
        <w:t>以前期间减值的因素之后发生变化，使得前述差额高于该资产账面价值的，转回原已计提的资产 减值准备，并计入当期损益，但转回后的资产账面价值不应超过假定不计提减值准备情况下该资产在 转回日的账面价值。</w:t>
      </w:r>
    </w:p>
    <w:p>
      <w:pPr>
        <w:pStyle w:val="Style34"/>
        <w:keepNext/>
        <w:keepLines/>
        <w:widowControl w:val="0"/>
        <w:shd w:val="clear" w:color="auto" w:fill="auto"/>
        <w:tabs>
          <w:tab w:pos="918" w:val="left"/>
        </w:tabs>
        <w:bidi w:val="0"/>
        <w:spacing w:before="0" w:after="240" w:line="326" w:lineRule="auto"/>
        <w:ind w:left="0" w:right="0" w:firstLine="44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1"/>
      <w:bookmarkEnd w:id="842"/>
      <w:bookmarkEnd w:id="844"/>
    </w:p>
    <w:p>
      <w:pPr>
        <w:pStyle w:val="Style34"/>
        <w:keepNext/>
        <w:keepLines/>
        <w:widowControl w:val="0"/>
        <w:shd w:val="clear" w:color="auto" w:fill="auto"/>
        <w:tabs>
          <w:tab w:pos="918" w:val="left"/>
        </w:tabs>
        <w:bidi w:val="0"/>
        <w:spacing w:before="0" w:after="240" w:line="326" w:lineRule="auto"/>
        <w:ind w:left="0" w:right="0" w:firstLine="44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5"/>
      <w:bookmarkEnd w:id="846"/>
      <w:bookmarkEnd w:id="848"/>
    </w:p>
    <w:p>
      <w:pPr>
        <w:pStyle w:val="Style34"/>
        <w:keepNext/>
        <w:keepLines/>
        <w:widowControl w:val="0"/>
        <w:shd w:val="clear" w:color="auto" w:fill="auto"/>
        <w:tabs>
          <w:tab w:pos="927" w:val="left"/>
        </w:tabs>
        <w:bidi w:val="0"/>
        <w:spacing w:before="0" w:after="240" w:line="326" w:lineRule="auto"/>
        <w:ind w:left="0" w:right="0" w:firstLine="44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9"/>
      <w:bookmarkEnd w:id="850"/>
      <w:bookmarkEnd w:id="852"/>
    </w:p>
    <w:p>
      <w:pPr>
        <w:pStyle w:val="Style34"/>
        <w:keepNext/>
        <w:keepLines/>
        <w:widowControl w:val="0"/>
        <w:shd w:val="clear" w:color="auto" w:fill="auto"/>
        <w:tabs>
          <w:tab w:pos="927" w:val="left"/>
        </w:tabs>
        <w:bidi w:val="0"/>
        <w:spacing w:before="0" w:after="240" w:line="326" w:lineRule="auto"/>
        <w:ind w:left="0" w:right="0" w:firstLine="44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3"/>
      <w:bookmarkEnd w:id="854"/>
      <w:bookmarkEnd w:id="856"/>
    </w:p>
    <w:p>
      <w:pPr>
        <w:pStyle w:val="Style34"/>
        <w:keepNext/>
        <w:keepLines/>
        <w:widowControl w:val="0"/>
        <w:shd w:val="clear" w:color="auto" w:fill="auto"/>
        <w:tabs>
          <w:tab w:pos="927" w:val="left"/>
        </w:tabs>
        <w:bidi w:val="0"/>
        <w:spacing w:before="0" w:after="240" w:line="326" w:lineRule="auto"/>
        <w:ind w:left="0" w:right="0" w:firstLine="44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7"/>
      <w:bookmarkEnd w:id="858"/>
      <w:bookmarkEnd w:id="860"/>
    </w:p>
    <w:p>
      <w:pPr>
        <w:pStyle w:val="Style14"/>
        <w:keepNext w:val="0"/>
        <w:keepLines w:val="0"/>
        <w:widowControl w:val="0"/>
        <w:shd w:val="clear" w:color="auto" w:fill="auto"/>
        <w:bidi w:val="0"/>
        <w:spacing w:before="0" w:after="240" w:line="313" w:lineRule="exact"/>
        <w:ind w:left="0" w:right="0"/>
        <w:jc w:val="left"/>
        <w:rPr>
          <w:sz w:val="22"/>
          <w:szCs w:val="22"/>
        </w:rPr>
      </w:pPr>
      <w:r>
        <w:rPr>
          <w:color w:val="000000"/>
          <w:spacing w:val="0"/>
          <w:w w:val="100"/>
          <w:position w:val="0"/>
          <w:sz w:val="22"/>
          <w:szCs w:val="22"/>
        </w:rPr>
        <w:t>本集团长期股权投资主要是对子公司的投资、对联营企业的投资和对合营企业的投资。</w:t>
      </w:r>
    </w:p>
    <w:p>
      <w:pPr>
        <w:pStyle w:val="Style14"/>
        <w:keepNext w:val="0"/>
        <w:keepLines w:val="0"/>
        <w:widowControl w:val="0"/>
        <w:shd w:val="clear" w:color="auto" w:fill="auto"/>
        <w:bidi w:val="0"/>
        <w:spacing w:before="0" w:after="240" w:line="302" w:lineRule="exact"/>
        <w:ind w:left="0" w:right="0"/>
        <w:jc w:val="both"/>
        <w:rPr>
          <w:sz w:val="22"/>
          <w:szCs w:val="22"/>
        </w:rPr>
      </w:pPr>
      <w:r>
        <w:rPr>
          <w:color w:val="000000"/>
          <w:spacing w:val="0"/>
          <w:w w:val="100"/>
          <w:position w:val="0"/>
          <w:sz w:val="22"/>
          <w:szCs w:val="22"/>
        </w:rPr>
        <w:t>本集团对共同控制的判断依据是所有参与方或参与方组合集体控制该安排，并且该安排相关活动 的政策必须经过这些集体控制该安排的参与方一致同意。</w:t>
      </w:r>
    </w:p>
    <w:p>
      <w:pPr>
        <w:pStyle w:val="Style14"/>
        <w:keepNext w:val="0"/>
        <w:keepLines w:val="0"/>
        <w:widowControl w:val="0"/>
        <w:shd w:val="clear" w:color="auto" w:fill="auto"/>
        <w:bidi w:val="0"/>
        <w:spacing w:before="0" w:after="240" w:line="314" w:lineRule="exact"/>
        <w:ind w:left="0" w:right="0"/>
        <w:jc w:val="both"/>
        <w:rPr>
          <w:sz w:val="22"/>
          <w:szCs w:val="22"/>
        </w:rPr>
      </w:pPr>
      <w:r>
        <w:rPr>
          <w:color w:val="000000"/>
          <w:spacing w:val="0"/>
          <w:w w:val="100"/>
          <w:position w:val="0"/>
          <w:sz w:val="22"/>
          <w:szCs w:val="22"/>
        </w:rPr>
        <w:t>本集团直接或通过子公司间接拥有被投资单位20% （含）以上但低于50%的表决权时，通常认为 对被投资单位具有重大影响。持有被投资单位20%以下表决权的，还需要综合考虑在被投资单位的董 事会或类似权力机构中派有代表、或参与被投资单位财务和经营政策制定过程、或与被投资单位之间 发生重要交易、或向被投资单位派出管理人员、或向被投资单位提供关键技术资料等事实和情况判断 对被投资单位具有重大影响。</w:t>
      </w:r>
    </w:p>
    <w:p>
      <w:pPr>
        <w:pStyle w:val="Style14"/>
        <w:keepNext w:val="0"/>
        <w:keepLines w:val="0"/>
        <w:widowControl w:val="0"/>
        <w:shd w:val="clear" w:color="auto" w:fill="auto"/>
        <w:bidi w:val="0"/>
        <w:spacing w:before="0" w:after="240" w:line="310" w:lineRule="exact"/>
        <w:ind w:left="0" w:right="0"/>
        <w:jc w:val="both"/>
        <w:rPr>
          <w:sz w:val="22"/>
          <w:szCs w:val="22"/>
        </w:rPr>
      </w:pPr>
      <w:r>
        <w:rPr>
          <w:color w:val="000000"/>
          <w:spacing w:val="0"/>
          <w:w w:val="100"/>
          <w:position w:val="0"/>
          <w:sz w:val="22"/>
          <w:szCs w:val="22"/>
        </w:rPr>
        <w:t>对被投资单位形成控制的，为本集团的子公司。通过同一控制下的企业合并取得的长期股权投资，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14"/>
        <w:keepNext w:val="0"/>
        <w:keepLines w:val="0"/>
        <w:widowControl w:val="0"/>
        <w:shd w:val="clear" w:color="auto" w:fill="auto"/>
        <w:bidi w:val="0"/>
        <w:spacing w:before="0" w:after="240" w:line="313" w:lineRule="exact"/>
        <w:ind w:left="0" w:right="0"/>
        <w:jc w:val="left"/>
        <w:rPr>
          <w:sz w:val="22"/>
          <w:szCs w:val="22"/>
        </w:rPr>
      </w:pPr>
      <w:r>
        <w:rPr>
          <w:color w:val="000000"/>
          <w:spacing w:val="0"/>
          <w:w w:val="100"/>
          <w:position w:val="0"/>
          <w:sz w:val="22"/>
          <w:szCs w:val="22"/>
        </w:rPr>
        <w:t>通过非同一控制下的企业合并取得的长期股权投资，以合并成本作为初始投资成本。</w:t>
      </w:r>
    </w:p>
    <w:p>
      <w:pPr>
        <w:pStyle w:val="Style14"/>
        <w:keepNext w:val="0"/>
        <w:keepLines w:val="0"/>
        <w:widowControl w:val="0"/>
        <w:shd w:val="clear" w:color="auto" w:fill="auto"/>
        <w:bidi w:val="0"/>
        <w:spacing w:before="0" w:after="240" w:line="313" w:lineRule="exact"/>
        <w:ind w:left="0" w:right="0"/>
        <w:jc w:val="both"/>
        <w:rPr>
          <w:sz w:val="22"/>
          <w:szCs w:val="22"/>
        </w:rPr>
      </w:pPr>
      <w:r>
        <w:rPr>
          <w:color w:val="000000"/>
          <w:spacing w:val="0"/>
          <w:w w:val="100"/>
          <w:position w:val="0"/>
          <w:sz w:val="22"/>
          <w:szCs w:val="22"/>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为投资成本；投资者投入的长期股权投资，按照投资合同或协议约定的价值作为投资成本；以债务重 组、非货币性资产交换等方式取得的长期股权投资，根据相关企业会计准则的规定并结合公司的实际 情况确定投资成本的方法。</w:t>
      </w:r>
    </w:p>
    <w:p>
      <w:pPr>
        <w:pStyle w:val="Style14"/>
        <w:keepNext w:val="0"/>
        <w:keepLines w:val="0"/>
        <w:widowControl w:val="0"/>
        <w:shd w:val="clear" w:color="auto" w:fill="auto"/>
        <w:bidi w:val="0"/>
        <w:spacing w:before="0" w:after="240" w:line="313" w:lineRule="exact"/>
        <w:ind w:left="0" w:right="0"/>
        <w:jc w:val="left"/>
        <w:rPr>
          <w:sz w:val="22"/>
          <w:szCs w:val="22"/>
        </w:rPr>
      </w:pPr>
      <w:r>
        <w:rPr>
          <w:color w:val="000000"/>
          <w:spacing w:val="0"/>
          <w:w w:val="100"/>
          <w:position w:val="0"/>
          <w:sz w:val="22"/>
          <w:szCs w:val="22"/>
        </w:rPr>
        <w:t>本集团对子公司投资采用成本法核算、对合营企业及联营企业投资采用权益法核算。</w:t>
      </w:r>
    </w:p>
    <w:p>
      <w:pPr>
        <w:pStyle w:val="Style14"/>
        <w:keepNext w:val="0"/>
        <w:keepLines w:val="0"/>
        <w:widowControl w:val="0"/>
        <w:shd w:val="clear" w:color="auto" w:fill="auto"/>
        <w:bidi w:val="0"/>
        <w:spacing w:before="0" w:after="240" w:line="312" w:lineRule="exact"/>
        <w:ind w:left="0" w:right="0"/>
        <w:jc w:val="both"/>
        <w:rPr>
          <w:sz w:val="22"/>
          <w:szCs w:val="22"/>
        </w:rPr>
      </w:pPr>
      <w:r>
        <w:rPr>
          <w:color w:val="000000"/>
          <w:spacing w:val="0"/>
          <w:w w:val="100"/>
          <w:position w:val="0"/>
          <w:sz w:val="22"/>
          <w:szCs w:val="22"/>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14"/>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单位各项可辨认资产等的公允价值为基础，按照本公司的会计政策及会计期间，并抵销与联营企业及 合营企业之间发生的内部交易损益按照持股比例计算归属于投资企业的部分，对被投资单位的净利润 进行调整后确认。</w:t>
      </w:r>
    </w:p>
    <w:p>
      <w:pPr>
        <w:pStyle w:val="Style14"/>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资时将原计入所有者权益的部分按相应比例转入当期投资损益。</w:t>
      </w:r>
    </w:p>
    <w:p>
      <w:pPr>
        <w:pStyle w:val="Style14"/>
        <w:keepNext w:val="0"/>
        <w:keepLines w:val="0"/>
        <w:widowControl w:val="0"/>
        <w:shd w:val="clear" w:color="auto" w:fill="auto"/>
        <w:bidi w:val="0"/>
        <w:spacing w:before="0" w:after="240" w:line="298" w:lineRule="exact"/>
        <w:ind w:left="0" w:right="0" w:firstLine="460"/>
        <w:jc w:val="both"/>
        <w:rPr>
          <w:sz w:val="22"/>
          <w:szCs w:val="22"/>
        </w:rPr>
      </w:pPr>
      <w:r>
        <w:rPr>
          <w:color w:val="000000"/>
          <w:spacing w:val="0"/>
          <w:w w:val="100"/>
          <w:position w:val="0"/>
          <w:sz w:val="22"/>
          <w:szCs w:val="22"/>
        </w:rPr>
        <w:t>因处置部分股权投资等原因丧失了对被投资单位的共同控制或重大影响的，处置后的剩余股权改 按可供出售金融资产核算，剩余股权在丧失共同控制或重大影响之日的公允价值与账面价值之间的差 额计入当期损益。原股权投资因采用权益法核算而确认的其他综合收益，在终止采用权益法核算时采 用与被投资单位直接处置相关资产或负债相同的基础进行会计处理。</w:t>
      </w:r>
    </w:p>
    <w:p>
      <w:pPr>
        <w:pStyle w:val="Style14"/>
        <w:keepNext w:val="0"/>
        <w:keepLines w:val="0"/>
        <w:widowControl w:val="0"/>
        <w:shd w:val="clear" w:color="auto" w:fill="auto"/>
        <w:bidi w:val="0"/>
        <w:spacing w:before="0" w:after="320" w:line="312" w:lineRule="exact"/>
        <w:ind w:left="0" w:right="0" w:firstLine="460"/>
        <w:jc w:val="both"/>
        <w:rPr>
          <w:sz w:val="22"/>
          <w:szCs w:val="22"/>
        </w:rPr>
      </w:pPr>
      <w:r>
        <w:rPr>
          <w:color w:val="000000"/>
          <w:spacing w:val="0"/>
          <w:w w:val="100"/>
          <w:position w:val="0"/>
          <w:sz w:val="22"/>
          <w:szCs w:val="22"/>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共同控制或施加重大影响的，改按可供出售金融资产的有关规定进行会计处理，处置股权账面价值和 处置对价的差额计入投资收益，剩余股权在丧失控制之日的公允价值与账面价值间的差额计入当期投 资损益。</w:t>
      </w:r>
    </w:p>
    <w:p>
      <w:pPr>
        <w:pStyle w:val="Style14"/>
        <w:keepNext w:val="0"/>
        <w:keepLines w:val="0"/>
        <w:widowControl w:val="0"/>
        <w:shd w:val="clear" w:color="auto" w:fill="auto"/>
        <w:bidi w:val="0"/>
        <w:spacing w:before="0" w:after="320" w:line="326" w:lineRule="auto"/>
        <w:ind w:left="0" w:right="0" w:firstLine="360"/>
        <w:jc w:val="both"/>
        <w:rPr>
          <w:sz w:val="20"/>
          <w:szCs w:val="20"/>
        </w:rPr>
      </w:pPr>
      <w:bookmarkStart w:id="861" w:name="bookmark861"/>
      <w:bookmarkStart w:id="862" w:name="bookmark862"/>
      <w:r>
        <w:rPr>
          <w:rFonts w:ascii="Times New Roman" w:eastAsia="Times New Roman" w:hAnsi="Times New Roman" w:cs="Times New Roman"/>
          <w:b/>
          <w:bCs/>
          <w:color w:val="000000"/>
          <w:spacing w:val="0"/>
          <w:w w:val="100"/>
          <w:position w:val="0"/>
          <w:sz w:val="20"/>
          <w:szCs w:val="20"/>
        </w:rPr>
        <w:t>2</w:t>
      </w:r>
      <w:bookmarkEnd w:id="86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、投资性房地产</w:t>
      </w:r>
      <w:bookmarkEnd w:id="862"/>
    </w:p>
    <w:p>
      <w:pPr>
        <w:pStyle w:val="Style31"/>
        <w:keepNext w:val="0"/>
        <w:keepLines w:val="0"/>
        <w:widowControl w:val="0"/>
        <w:shd w:val="clear" w:color="auto" w:fill="auto"/>
        <w:bidi w:val="0"/>
        <w:spacing w:before="0" w:line="240" w:lineRule="auto"/>
        <w:ind w:left="0" w:right="0" w:firstLine="36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line="240" w:lineRule="auto"/>
        <w:ind w:left="0" w:right="0" w:firstLine="360"/>
        <w:jc w:val="both"/>
      </w:pPr>
      <w:r>
        <w:rPr>
          <w:color w:val="000000"/>
          <w:spacing w:val="0"/>
          <w:w w:val="100"/>
          <w:position w:val="0"/>
        </w:rPr>
        <w:t>成本法计量</w:t>
      </w:r>
    </w:p>
    <w:p>
      <w:pPr>
        <w:pStyle w:val="Style31"/>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折旧或摊销方法</w:t>
      </w:r>
    </w:p>
    <w:p>
      <w:pPr>
        <w:pStyle w:val="Style14"/>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本集团投资性房地产包括土地使用权、房屋建筑物。采用成本模式计量。</w:t>
      </w:r>
    </w:p>
    <w:p>
      <w:pPr>
        <w:pStyle w:val="Style14"/>
        <w:keepNext w:val="0"/>
        <w:keepLines w:val="0"/>
        <w:widowControl w:val="0"/>
        <w:shd w:val="clear" w:color="auto" w:fill="auto"/>
        <w:bidi w:val="0"/>
        <w:spacing w:before="0" w:line="312" w:lineRule="exact"/>
        <w:ind w:left="0" w:right="0" w:firstLine="460"/>
        <w:jc w:val="both"/>
        <w:rPr>
          <w:sz w:val="22"/>
          <w:szCs w:val="22"/>
        </w:rPr>
      </w:pPr>
      <w:r>
        <w:rPr>
          <w:color w:val="000000"/>
          <w:spacing w:val="0"/>
          <w:w w:val="100"/>
          <w:position w:val="0"/>
          <w:sz w:val="22"/>
          <w:szCs w:val="22"/>
        </w:rPr>
        <w:t>本集团投资性房地产采用平均年限方法计提折旧或摊销。各类投资性房地产的预计使用寿命、净 残值率及年折旧（摊销）率如下：</w:t>
      </w:r>
    </w:p>
    <w:tbl>
      <w:tblPr>
        <w:tblOverlap w:val="never"/>
        <w:jc w:val="center"/>
        <w:tblLayout w:type="fixed"/>
      </w:tblPr>
      <w:tblGrid>
        <w:gridCol w:w="2554"/>
        <w:gridCol w:w="2059"/>
        <w:gridCol w:w="2304"/>
        <w:gridCol w:w="1819"/>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预计残值率（%）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年折旧率（%）</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2.00</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97</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863" w:name="bookmark863"/>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sz w:val="20"/>
          <w:szCs w:val="20"/>
        </w:rPr>
        <w:t>、固定资产</w:t>
      </w:r>
      <w:bookmarkEnd w:id="863"/>
    </w:p>
    <w:p>
      <w:pPr>
        <w:widowControl w:val="0"/>
        <w:spacing w:after="359" w:line="1" w:lineRule="exact"/>
      </w:pPr>
    </w:p>
    <w:p>
      <w:pPr>
        <w:pStyle w:val="Style59"/>
        <w:keepNext/>
        <w:keepLines/>
        <w:widowControl w:val="0"/>
        <w:shd w:val="clear" w:color="auto" w:fill="auto"/>
        <w:bidi w:val="0"/>
        <w:spacing w:before="0" w:after="240" w:line="240" w:lineRule="auto"/>
        <w:ind w:left="0" w:right="0" w:firstLine="22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4"/>
      <w:bookmarkEnd w:id="865"/>
      <w:bookmarkEnd w:id="867"/>
    </w:p>
    <w:p>
      <w:pPr>
        <w:pStyle w:val="Style31"/>
        <w:keepNext w:val="0"/>
        <w:keepLines w:val="0"/>
        <w:widowControl w:val="0"/>
        <w:shd w:val="clear" w:color="auto" w:fill="auto"/>
        <w:bidi w:val="0"/>
        <w:spacing w:before="0" w:after="240" w:line="314" w:lineRule="exact"/>
        <w:ind w:left="0" w:right="0" w:firstLine="360"/>
        <w:jc w:val="both"/>
      </w:pPr>
      <w:r>
        <w:rPr>
          <w:color w:val="000000"/>
          <w:spacing w:val="0"/>
          <w:w w:val="100"/>
          <w:position w:val="0"/>
        </w:rPr>
        <w:t>本集团固定资产是指同时具有以下特征，即为生产商品、提供劳务、出租或经营管理而持有的，使用年限超过一年的有 形资产。固定资产在与其有关的经济利益很可能流入本集团、且其成本能够可靠计量时予以确认。本集团固定资产包括房 屋及建筑物、机器设备、运输设备、办公及其他设备。</w:t>
      </w:r>
    </w:p>
    <w:p>
      <w:pPr>
        <w:pStyle w:val="Style14"/>
        <w:keepNext w:val="0"/>
        <w:keepLines w:val="0"/>
        <w:widowControl w:val="0"/>
        <w:numPr>
          <w:ilvl w:val="0"/>
          <w:numId w:val="61"/>
        </w:numPr>
        <w:shd w:val="clear" w:color="auto" w:fill="auto"/>
        <w:bidi w:val="0"/>
        <w:spacing w:before="0" w:after="240" w:line="240" w:lineRule="auto"/>
        <w:ind w:left="0" w:right="0"/>
        <w:jc w:val="both"/>
        <w:rPr>
          <w:sz w:val="20"/>
          <w:szCs w:val="20"/>
        </w:rPr>
      </w:pPr>
      <w:bookmarkStart w:id="868" w:name="bookmark868"/>
      <w:bookmarkEnd w:id="868"/>
      <w:r>
        <w:rPr>
          <w:color w:val="000000"/>
          <w:spacing w:val="0"/>
          <w:w w:val="100"/>
          <w:position w:val="0"/>
          <w:sz w:val="20"/>
          <w:szCs w:val="20"/>
        </w:rPr>
        <w:t>折旧方法</w:t>
      </w:r>
    </w:p>
    <w:p>
      <w:pPr>
        <w:pStyle w:val="Style14"/>
        <w:keepNext w:val="0"/>
        <w:keepLines w:val="0"/>
        <w:widowControl w:val="0"/>
        <w:shd w:val="clear" w:color="auto" w:fill="auto"/>
        <w:bidi w:val="0"/>
        <w:spacing w:before="0" w:line="317" w:lineRule="exact"/>
        <w:ind w:left="0" w:right="0"/>
        <w:jc w:val="both"/>
        <w:rPr>
          <w:sz w:val="22"/>
          <w:szCs w:val="22"/>
        </w:rPr>
      </w:pPr>
      <w:r>
        <w:rPr>
          <w:color w:val="000000"/>
          <w:spacing w:val="0"/>
          <w:w w:val="100"/>
          <w:position w:val="0"/>
          <w:sz w:val="22"/>
          <w:szCs w:val="22"/>
        </w:rPr>
        <w:t>除已提足折旧仍继续使用的固定资产和单独计价入账的土地外，本集团对所有固定资产计提折 旧。计提折旧时采用平均年限法。本集团固定资产的分类折旧年限、预计净残值率、折旧率如下：</w:t>
      </w:r>
    </w:p>
    <w:tbl>
      <w:tblPr>
        <w:tblOverlap w:val="never"/>
        <w:jc w:val="center"/>
        <w:tblLayout w:type="fixed"/>
      </w:tblPr>
      <w:tblGrid>
        <w:gridCol w:w="1224"/>
        <w:gridCol w:w="2155"/>
        <w:gridCol w:w="2160"/>
        <w:gridCol w:w="2155"/>
        <w:gridCol w:w="1891"/>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预计残值率(%)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年折旧率(%)</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4. 75—11. </w:t>
            </w:r>
            <w:r>
              <w:rPr>
                <w:rFonts w:ascii="SimSun" w:eastAsia="SimSun" w:hAnsi="SimSun" w:cs="SimSun"/>
                <w:color w:val="000000"/>
                <w:spacing w:val="0"/>
                <w:w w:val="100"/>
                <w:position w:val="0"/>
                <w:sz w:val="18"/>
                <w:szCs w:val="18"/>
              </w:rPr>
              <w:t>875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9.50-19.40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 xml:space="preserve">19. 00-19. </w:t>
            </w:r>
            <w:r>
              <w:rPr>
                <w:rFonts w:ascii="SimSun" w:eastAsia="SimSun" w:hAnsi="SimSun" w:cs="SimSun"/>
                <w:color w:val="000000"/>
                <w:spacing w:val="0"/>
                <w:w w:val="100"/>
                <w:position w:val="0"/>
                <w:sz w:val="18"/>
                <w:szCs w:val="18"/>
              </w:rPr>
              <w:t>40</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19.00-19.40</w:t>
            </w:r>
          </w:p>
        </w:tc>
      </w:tr>
    </w:tbl>
    <w:p>
      <w:pPr>
        <w:widowControl w:val="0"/>
        <w:spacing w:after="199" w:line="1" w:lineRule="exact"/>
      </w:pPr>
    </w:p>
    <w:p>
      <w:pPr>
        <w:pStyle w:val="Style14"/>
        <w:keepNext w:val="0"/>
        <w:keepLines w:val="0"/>
        <w:widowControl w:val="0"/>
        <w:shd w:val="clear" w:color="auto" w:fill="auto"/>
        <w:bidi w:val="0"/>
        <w:spacing w:before="0" w:after="280" w:line="312" w:lineRule="exact"/>
        <w:ind w:left="0" w:right="0"/>
        <w:jc w:val="both"/>
        <w:rPr>
          <w:sz w:val="22"/>
          <w:szCs w:val="22"/>
        </w:rPr>
      </w:pPr>
      <w:r>
        <w:rPr>
          <w:color w:val="000000"/>
          <w:spacing w:val="0"/>
          <w:w w:val="100"/>
          <w:position w:val="0"/>
          <w:sz w:val="22"/>
          <w:szCs w:val="22"/>
        </w:rPr>
        <w:t>本集团于每年年度终了，对固定资产的预计使用寿命、预计净残值和折旧方法进行复核，如发生 改变，则作为会计估计变更处理。</w:t>
      </w:r>
    </w:p>
    <w:p>
      <w:pPr>
        <w:pStyle w:val="Style59"/>
        <w:keepNext/>
        <w:keepLines/>
        <w:widowControl w:val="0"/>
        <w:numPr>
          <w:ilvl w:val="0"/>
          <w:numId w:val="61"/>
        </w:numPr>
        <w:shd w:val="clear" w:color="auto" w:fill="auto"/>
        <w:bidi w:val="0"/>
        <w:spacing w:before="0" w:after="280" w:line="311" w:lineRule="exact"/>
        <w:ind w:left="0" w:right="0" w:firstLine="440"/>
        <w:jc w:val="both"/>
      </w:pPr>
      <w:bookmarkStart w:id="869" w:name="bookmark869"/>
      <w:bookmarkStart w:id="870" w:name="bookmark870"/>
      <w:bookmarkStart w:id="871" w:name="bookmark871"/>
      <w:bookmarkStart w:id="872" w:name="bookmark872"/>
      <w:bookmarkEnd w:id="871"/>
      <w:r>
        <w:rPr>
          <w:color w:val="000000"/>
          <w:spacing w:val="0"/>
          <w:w w:val="100"/>
          <w:position w:val="0"/>
        </w:rPr>
        <w:t>融资租入固定资产的认定依据、计价和折旧方法</w:t>
      </w:r>
      <w:bookmarkEnd w:id="869"/>
      <w:bookmarkEnd w:id="870"/>
      <w:bookmarkEnd w:id="872"/>
    </w:p>
    <w:p>
      <w:pPr>
        <w:pStyle w:val="Style34"/>
        <w:keepNext/>
        <w:keepLines/>
        <w:widowControl w:val="0"/>
        <w:shd w:val="clear" w:color="auto" w:fill="auto"/>
        <w:tabs>
          <w:tab w:pos="920" w:val="left"/>
        </w:tabs>
        <w:bidi w:val="0"/>
        <w:spacing w:before="0" w:after="280" w:line="311" w:lineRule="exact"/>
        <w:ind w:left="0" w:right="0" w:firstLine="44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3"/>
      <w:bookmarkEnd w:id="874"/>
      <w:bookmarkEnd w:id="876"/>
    </w:p>
    <w:p>
      <w:pPr>
        <w:pStyle w:val="Style14"/>
        <w:keepNext w:val="0"/>
        <w:keepLines w:val="0"/>
        <w:widowControl w:val="0"/>
        <w:shd w:val="clear" w:color="auto" w:fill="auto"/>
        <w:bidi w:val="0"/>
        <w:spacing w:before="0" w:after="280" w:line="317" w:lineRule="exact"/>
        <w:ind w:left="0" w:right="0"/>
        <w:jc w:val="both"/>
        <w:rPr>
          <w:sz w:val="22"/>
          <w:szCs w:val="22"/>
        </w:rPr>
      </w:pPr>
      <w:r>
        <w:rPr>
          <w:color w:val="000000"/>
          <w:spacing w:val="0"/>
          <w:w w:val="100"/>
          <w:position w:val="0"/>
          <w:sz w:val="22"/>
          <w:szCs w:val="22"/>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4"/>
        <w:keepNext/>
        <w:keepLines/>
        <w:widowControl w:val="0"/>
        <w:shd w:val="clear" w:color="auto" w:fill="auto"/>
        <w:tabs>
          <w:tab w:pos="920" w:val="left"/>
        </w:tabs>
        <w:bidi w:val="0"/>
        <w:spacing w:before="0" w:after="280" w:line="311" w:lineRule="exact"/>
        <w:ind w:left="0" w:right="0" w:firstLine="44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7"/>
      <w:bookmarkEnd w:id="878"/>
      <w:bookmarkEnd w:id="880"/>
    </w:p>
    <w:p>
      <w:pPr>
        <w:pStyle w:val="Style14"/>
        <w:keepNext w:val="0"/>
        <w:keepLines w:val="0"/>
        <w:widowControl w:val="0"/>
        <w:shd w:val="clear" w:color="auto" w:fill="auto"/>
        <w:bidi w:val="0"/>
        <w:spacing w:before="0" w:after="240" w:line="311" w:lineRule="exact"/>
        <w:ind w:left="0" w:right="0"/>
        <w:jc w:val="both"/>
        <w:rPr>
          <w:sz w:val="22"/>
          <w:szCs w:val="22"/>
        </w:rPr>
      </w:pPr>
      <w:r>
        <w:rPr>
          <w:color w:val="000000"/>
          <w:spacing w:val="0"/>
          <w:w w:val="100"/>
          <w:position w:val="0"/>
          <w:sz w:val="22"/>
          <w:szCs w:val="22"/>
        </w:rPr>
        <w:t>发生的可直接归属于需要经过1年以上的购建或者生产活动才能达到预定可使用或者可销售状态 的固定资产的借款费用，在资产支出已经发生、借款费用已经发生、为使资产达到预定可使用或可销 售状态所必要的购建或生产活动已经开始时，开始资本化；当购建或生产符合资本化条件的资产达到 预定可使用或可销售状态时，停止资本化，其后发生的借款费用计入当期损益。如果符合资本化条件 的资产在购建或者生产过程中发生非正常中断、且中断时间连续超过3个月，暂停借款费用的资本化, 直至资产的购建或生产活动重新开始。</w:t>
      </w:r>
    </w:p>
    <w:p>
      <w:pPr>
        <w:pStyle w:val="Style14"/>
        <w:keepNext w:val="0"/>
        <w:keepLines w:val="0"/>
        <w:widowControl w:val="0"/>
        <w:shd w:val="clear" w:color="auto" w:fill="auto"/>
        <w:bidi w:val="0"/>
        <w:spacing w:before="0" w:after="280" w:line="312" w:lineRule="exact"/>
        <w:ind w:left="0" w:right="0"/>
        <w:jc w:val="both"/>
        <w:rPr>
          <w:sz w:val="22"/>
          <w:szCs w:val="22"/>
        </w:rPr>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657" w:right="780" w:bottom="1446" w:left="868" w:header="0" w:footer="3" w:gutter="0"/>
          <w:cols w:space="720"/>
          <w:noEndnote/>
          <w:titlePg/>
          <w:rtlGutter w:val="0"/>
          <w:docGrid w:linePitch="360"/>
        </w:sectPr>
      </w:pPr>
      <w:r>
        <w:rPr>
          <w:color w:val="000000"/>
          <w:spacing w:val="0"/>
          <w:w w:val="100"/>
          <w:position w:val="0"/>
          <w:sz w:val="22"/>
          <w:szCs w:val="22"/>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34"/>
        <w:keepNext/>
        <w:keepLines/>
        <w:widowControl w:val="0"/>
        <w:shd w:val="clear" w:color="auto" w:fill="auto"/>
        <w:tabs>
          <w:tab w:pos="928" w:val="left"/>
        </w:tabs>
        <w:bidi w:val="0"/>
        <w:spacing w:before="0" w:after="300" w:line="310" w:lineRule="exact"/>
        <w:ind w:left="0" w:right="0" w:firstLine="44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81"/>
      <w:bookmarkEnd w:id="882"/>
      <w:bookmarkEnd w:id="884"/>
    </w:p>
    <w:p>
      <w:pPr>
        <w:pStyle w:val="Style34"/>
        <w:keepNext/>
        <w:keepLines/>
        <w:widowControl w:val="0"/>
        <w:shd w:val="clear" w:color="auto" w:fill="auto"/>
        <w:tabs>
          <w:tab w:pos="928" w:val="left"/>
        </w:tabs>
        <w:bidi w:val="0"/>
        <w:spacing w:before="0" w:after="300" w:line="310" w:lineRule="exact"/>
        <w:ind w:left="0" w:right="0" w:firstLine="44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5"/>
      <w:bookmarkEnd w:id="886"/>
      <w:bookmarkEnd w:id="888"/>
    </w:p>
    <w:p>
      <w:pPr>
        <w:pStyle w:val="Style34"/>
        <w:keepNext/>
        <w:keepLines/>
        <w:widowControl w:val="0"/>
        <w:shd w:val="clear" w:color="auto" w:fill="auto"/>
        <w:tabs>
          <w:tab w:pos="928" w:val="left"/>
        </w:tabs>
        <w:bidi w:val="0"/>
        <w:spacing w:before="0" w:after="300" w:line="310" w:lineRule="exact"/>
        <w:ind w:left="0" w:right="0" w:firstLine="44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9"/>
      <w:bookmarkEnd w:id="890"/>
      <w:bookmarkEnd w:id="892"/>
    </w:p>
    <w:p>
      <w:pPr>
        <w:pStyle w:val="Style34"/>
        <w:keepNext/>
        <w:keepLines/>
        <w:widowControl w:val="0"/>
        <w:shd w:val="clear" w:color="auto" w:fill="auto"/>
        <w:tabs>
          <w:tab w:pos="928" w:val="left"/>
        </w:tabs>
        <w:bidi w:val="0"/>
        <w:spacing w:before="0" w:after="300" w:line="310" w:lineRule="exact"/>
        <w:ind w:left="0" w:right="0" w:firstLine="44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3</w:t>
      </w:r>
      <w:bookmarkEnd w:id="89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3"/>
      <w:bookmarkEnd w:id="894"/>
      <w:bookmarkEnd w:id="896"/>
    </w:p>
    <w:p>
      <w:pPr>
        <w:pStyle w:val="Style59"/>
        <w:keepNext/>
        <w:keepLines/>
        <w:widowControl w:val="0"/>
        <w:shd w:val="clear" w:color="auto" w:fill="auto"/>
        <w:tabs>
          <w:tab w:pos="928" w:val="left"/>
        </w:tabs>
        <w:bidi w:val="0"/>
        <w:spacing w:before="0" w:after="300" w:line="310" w:lineRule="exact"/>
        <w:ind w:left="0" w:right="0" w:firstLine="44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97"/>
      <w:bookmarkEnd w:id="898"/>
      <w:bookmarkEnd w:id="900"/>
    </w:p>
    <w:p>
      <w:pPr>
        <w:pStyle w:val="Style14"/>
        <w:keepNext w:val="0"/>
        <w:keepLines w:val="0"/>
        <w:widowControl w:val="0"/>
        <w:shd w:val="clear" w:color="auto" w:fill="auto"/>
        <w:bidi w:val="0"/>
        <w:spacing w:before="0" w:after="240" w:line="310" w:lineRule="exact"/>
        <w:ind w:left="0" w:right="0"/>
        <w:jc w:val="both"/>
        <w:rPr>
          <w:sz w:val="22"/>
          <w:szCs w:val="22"/>
        </w:rPr>
      </w:pPr>
      <w:r>
        <w:rPr>
          <w:color w:val="000000"/>
          <w:spacing w:val="0"/>
          <w:w w:val="100"/>
          <w:position w:val="0"/>
          <w:sz w:val="22"/>
          <w:szCs w:val="22"/>
        </w:rPr>
        <w:t>本集团无形资产包括土地使用权、专利技术、办公软件等，按取得时的实际成本计量，其中，购 入的无形资产，按实际支付的价款和相关的其他支出作为实际成本；投资者投入的无形资产，按投资 合同或协议约定的价值确定实际成本，但合同或协议约定价值不公允的，按公允价值确定实际成本。</w:t>
      </w:r>
    </w:p>
    <w:p>
      <w:pPr>
        <w:pStyle w:val="Style14"/>
        <w:keepNext w:val="0"/>
        <w:keepLines w:val="0"/>
        <w:widowControl w:val="0"/>
        <w:shd w:val="clear" w:color="auto" w:fill="auto"/>
        <w:bidi w:val="0"/>
        <w:spacing w:before="0" w:after="300" w:line="312" w:lineRule="exact"/>
        <w:ind w:left="0" w:right="0"/>
        <w:jc w:val="both"/>
        <w:rPr>
          <w:sz w:val="22"/>
          <w:szCs w:val="22"/>
        </w:rPr>
      </w:pPr>
      <w:r>
        <w:rPr>
          <w:color w:val="000000"/>
          <w:spacing w:val="0"/>
          <w:w w:val="100"/>
          <w:position w:val="0"/>
          <w:sz w:val="22"/>
          <w:szCs w:val="22"/>
        </w:rPr>
        <w:t>土地使用权从出让起始日起，按其出让年限平均摊销；无形资产按预计使用年限、合同规定的受 益年限和法律规定的有效年限三者中最短者分期平均摊销。摊销金额按其受益对象计入相关资产成本 和当期损益。对使用寿命有限的无形资产的预计使用寿命及摊销方法于每年年度终了进行复核，如发 生改变，则作为会计估计变更处理。</w:t>
      </w:r>
    </w:p>
    <w:p>
      <w:pPr>
        <w:pStyle w:val="Style59"/>
        <w:keepNext/>
        <w:keepLines/>
        <w:widowControl w:val="0"/>
        <w:shd w:val="clear" w:color="auto" w:fill="auto"/>
        <w:tabs>
          <w:tab w:pos="928" w:val="left"/>
        </w:tabs>
        <w:bidi w:val="0"/>
        <w:spacing w:before="0" w:after="300" w:line="310" w:lineRule="exact"/>
        <w:ind w:left="0" w:right="0" w:firstLine="44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01"/>
      <w:bookmarkEnd w:id="902"/>
      <w:bookmarkEnd w:id="904"/>
    </w:p>
    <w:p>
      <w:pPr>
        <w:pStyle w:val="Style14"/>
        <w:keepNext w:val="0"/>
        <w:keepLines w:val="0"/>
        <w:widowControl w:val="0"/>
        <w:shd w:val="clear" w:color="auto" w:fill="auto"/>
        <w:bidi w:val="0"/>
        <w:spacing w:before="0" w:after="240" w:line="310" w:lineRule="exact"/>
        <w:ind w:left="0" w:right="0"/>
        <w:jc w:val="both"/>
        <w:rPr>
          <w:sz w:val="22"/>
          <w:szCs w:val="22"/>
        </w:rPr>
      </w:pPr>
      <w:r>
        <w:rPr>
          <w:color w:val="000000"/>
          <w:spacing w:val="0"/>
          <w:w w:val="100"/>
          <w:position w:val="0"/>
          <w:sz w:val="22"/>
          <w:szCs w:val="22"/>
        </w:rPr>
        <w:t>本集团的研究开发支出根据其性质以及研发活动最终形成无形资产是否具有较大不确定性，分为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14"/>
        <w:keepNext w:val="0"/>
        <w:keepLines w:val="0"/>
        <w:widowControl w:val="0"/>
        <w:shd w:val="clear" w:color="auto" w:fill="auto"/>
        <w:tabs>
          <w:tab w:pos="933" w:val="left"/>
        </w:tabs>
        <w:bidi w:val="0"/>
        <w:spacing w:before="0" w:after="240" w:line="310" w:lineRule="exact"/>
        <w:ind w:left="0" w:right="0"/>
        <w:jc w:val="both"/>
        <w:rPr>
          <w:sz w:val="22"/>
          <w:szCs w:val="22"/>
        </w:rPr>
      </w:pPr>
      <w:bookmarkStart w:id="905" w:name="bookmark905"/>
      <w:r>
        <w:rPr>
          <w:color w:val="000000"/>
          <w:spacing w:val="0"/>
          <w:w w:val="100"/>
          <w:position w:val="0"/>
          <w:sz w:val="22"/>
          <w:szCs w:val="22"/>
        </w:rPr>
        <w:t>（</w:t>
      </w:r>
      <w:bookmarkEnd w:id="905"/>
      <w:r>
        <w:rPr>
          <w:color w:val="000000"/>
          <w:spacing w:val="0"/>
          <w:w w:val="100"/>
          <w:position w:val="0"/>
          <w:sz w:val="22"/>
          <w:szCs w:val="22"/>
        </w:rPr>
        <w:t>1）</w:t>
        <w:tab/>
        <w:t>完成该无形资产以使其能够使用或出售在技术上具有可行性；</w:t>
      </w:r>
    </w:p>
    <w:p>
      <w:pPr>
        <w:pStyle w:val="Style14"/>
        <w:keepNext w:val="0"/>
        <w:keepLines w:val="0"/>
        <w:widowControl w:val="0"/>
        <w:shd w:val="clear" w:color="auto" w:fill="auto"/>
        <w:tabs>
          <w:tab w:pos="933" w:val="left"/>
        </w:tabs>
        <w:bidi w:val="0"/>
        <w:spacing w:before="0" w:after="240" w:line="310" w:lineRule="exact"/>
        <w:ind w:left="0" w:right="0"/>
        <w:jc w:val="both"/>
        <w:rPr>
          <w:sz w:val="22"/>
          <w:szCs w:val="22"/>
        </w:rPr>
      </w:pPr>
      <w:bookmarkStart w:id="906" w:name="bookmark906"/>
      <w:r>
        <w:rPr>
          <w:color w:val="000000"/>
          <w:spacing w:val="0"/>
          <w:w w:val="100"/>
          <w:position w:val="0"/>
          <w:sz w:val="22"/>
          <w:szCs w:val="22"/>
        </w:rPr>
        <w:t>（</w:t>
      </w:r>
      <w:bookmarkEnd w:id="906"/>
      <w:r>
        <w:rPr>
          <w:color w:val="000000"/>
          <w:spacing w:val="0"/>
          <w:w w:val="100"/>
          <w:position w:val="0"/>
          <w:sz w:val="22"/>
          <w:szCs w:val="22"/>
        </w:rPr>
        <w:t>2）</w:t>
        <w:tab/>
        <w:t>具有完成该无形资产并使用或出售的意图；</w:t>
      </w:r>
    </w:p>
    <w:p>
      <w:pPr>
        <w:pStyle w:val="Style14"/>
        <w:keepNext w:val="0"/>
        <w:keepLines w:val="0"/>
        <w:widowControl w:val="0"/>
        <w:shd w:val="clear" w:color="auto" w:fill="auto"/>
        <w:tabs>
          <w:tab w:pos="933" w:val="left"/>
        </w:tabs>
        <w:bidi w:val="0"/>
        <w:spacing w:before="0" w:after="240" w:line="310" w:lineRule="exact"/>
        <w:ind w:left="0" w:right="0"/>
        <w:jc w:val="left"/>
        <w:rPr>
          <w:sz w:val="22"/>
          <w:szCs w:val="22"/>
        </w:rPr>
      </w:pPr>
      <w:bookmarkStart w:id="907" w:name="bookmark907"/>
      <w:r>
        <w:rPr>
          <w:color w:val="000000"/>
          <w:spacing w:val="0"/>
          <w:w w:val="100"/>
          <w:position w:val="0"/>
          <w:sz w:val="22"/>
          <w:szCs w:val="22"/>
        </w:rPr>
        <w:t>（</w:t>
      </w:r>
      <w:bookmarkEnd w:id="907"/>
      <w:r>
        <w:rPr>
          <w:color w:val="000000"/>
          <w:spacing w:val="0"/>
          <w:w w:val="100"/>
          <w:position w:val="0"/>
          <w:sz w:val="22"/>
          <w:szCs w:val="22"/>
        </w:rPr>
        <w:t>3）</w:t>
        <w:tab/>
        <w:t>运用该无形资产生产的产品存在市场或无形资产自身存在市场；</w:t>
      </w:r>
    </w:p>
    <w:p>
      <w:pPr>
        <w:pStyle w:val="Style14"/>
        <w:keepNext w:val="0"/>
        <w:keepLines w:val="0"/>
        <w:widowControl w:val="0"/>
        <w:shd w:val="clear" w:color="auto" w:fill="auto"/>
        <w:tabs>
          <w:tab w:pos="1059" w:val="left"/>
        </w:tabs>
        <w:bidi w:val="0"/>
        <w:spacing w:before="0" w:after="240" w:line="307" w:lineRule="exact"/>
        <w:ind w:left="0" w:right="0"/>
        <w:jc w:val="both"/>
        <w:rPr>
          <w:sz w:val="22"/>
          <w:szCs w:val="22"/>
        </w:rPr>
      </w:pPr>
      <w:bookmarkStart w:id="908" w:name="bookmark908"/>
      <w:r>
        <w:rPr>
          <w:color w:val="000000"/>
          <w:spacing w:val="0"/>
          <w:w w:val="100"/>
          <w:position w:val="0"/>
          <w:sz w:val="22"/>
          <w:szCs w:val="22"/>
        </w:rPr>
        <w:t>（</w:t>
      </w:r>
      <w:bookmarkEnd w:id="908"/>
      <w:r>
        <w:rPr>
          <w:color w:val="000000"/>
          <w:spacing w:val="0"/>
          <w:w w:val="100"/>
          <w:position w:val="0"/>
          <w:sz w:val="22"/>
          <w:szCs w:val="22"/>
        </w:rPr>
        <w:t>4）</w:t>
        <w:tab/>
        <w:t>有足够的技术、财务资源和其他资源支持，以完成该无形资产的开发，并有能力使用或出 售该无形资产；</w:t>
      </w:r>
    </w:p>
    <w:p>
      <w:pPr>
        <w:pStyle w:val="Style14"/>
        <w:keepNext w:val="0"/>
        <w:keepLines w:val="0"/>
        <w:widowControl w:val="0"/>
        <w:shd w:val="clear" w:color="auto" w:fill="auto"/>
        <w:tabs>
          <w:tab w:pos="938" w:val="left"/>
        </w:tabs>
        <w:bidi w:val="0"/>
        <w:spacing w:before="0" w:after="240" w:line="310" w:lineRule="exact"/>
        <w:ind w:left="0" w:right="0"/>
        <w:jc w:val="left"/>
        <w:rPr>
          <w:sz w:val="22"/>
          <w:szCs w:val="22"/>
        </w:rPr>
      </w:pPr>
      <w:bookmarkStart w:id="909" w:name="bookmark909"/>
      <w:r>
        <w:rPr>
          <w:color w:val="000000"/>
          <w:spacing w:val="0"/>
          <w:w w:val="100"/>
          <w:position w:val="0"/>
          <w:sz w:val="22"/>
          <w:szCs w:val="22"/>
        </w:rPr>
        <w:t>（</w:t>
      </w:r>
      <w:bookmarkEnd w:id="909"/>
      <w:r>
        <w:rPr>
          <w:color w:val="000000"/>
          <w:spacing w:val="0"/>
          <w:w w:val="100"/>
          <w:position w:val="0"/>
          <w:sz w:val="22"/>
          <w:szCs w:val="22"/>
        </w:rPr>
        <w:t>5）</w:t>
        <w:tab/>
        <w:t>归属于该无形资产开发阶段的支出能够可靠地计量。</w:t>
      </w:r>
    </w:p>
    <w:p>
      <w:pPr>
        <w:pStyle w:val="Style14"/>
        <w:keepNext w:val="0"/>
        <w:keepLines w:val="0"/>
        <w:widowControl w:val="0"/>
        <w:shd w:val="clear" w:color="auto" w:fill="auto"/>
        <w:bidi w:val="0"/>
        <w:spacing w:before="0" w:after="300" w:line="314" w:lineRule="exact"/>
        <w:ind w:left="0" w:right="0"/>
        <w:jc w:val="both"/>
        <w:rPr>
          <w:sz w:val="22"/>
          <w:szCs w:val="22"/>
        </w:rPr>
      </w:pPr>
      <w:r>
        <w:rPr>
          <w:color w:val="000000"/>
          <w:spacing w:val="0"/>
          <w:w w:val="100"/>
          <w:position w:val="0"/>
          <w:sz w:val="22"/>
          <w:szCs w:val="22"/>
        </w:rPr>
        <w:t>不满足上述条件的开发阶段的支出，于发生时计入当期损益。前期已计入损益的开发支出在以后 期间不再确认为资产。已资本化的开发阶段的支出在资产负债表上列示为开发支出，自该项目达到预 定可使用状态之日起转为无形资产列报。</w:t>
      </w:r>
    </w:p>
    <w:p>
      <w:pPr>
        <w:pStyle w:val="Style34"/>
        <w:keepNext/>
        <w:keepLines/>
        <w:widowControl w:val="0"/>
        <w:shd w:val="clear" w:color="auto" w:fill="auto"/>
        <w:tabs>
          <w:tab w:pos="928" w:val="left"/>
        </w:tabs>
        <w:bidi w:val="0"/>
        <w:spacing w:before="0" w:after="300" w:line="310" w:lineRule="exact"/>
        <w:ind w:left="0" w:right="0" w:firstLine="44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10"/>
      <w:bookmarkEnd w:id="911"/>
      <w:bookmarkEnd w:id="913"/>
    </w:p>
    <w:p>
      <w:pPr>
        <w:pStyle w:val="Style14"/>
        <w:keepNext w:val="0"/>
        <w:keepLines w:val="0"/>
        <w:widowControl w:val="0"/>
        <w:shd w:val="clear" w:color="auto" w:fill="auto"/>
        <w:bidi w:val="0"/>
        <w:spacing w:before="0" w:after="300" w:line="310" w:lineRule="exact"/>
        <w:ind w:left="0" w:right="0"/>
        <w:jc w:val="both"/>
        <w:rPr>
          <w:sz w:val="22"/>
          <w:szCs w:val="22"/>
        </w:rPr>
      </w:pPr>
      <w:r>
        <w:rPr>
          <w:color w:val="000000"/>
          <w:spacing w:val="0"/>
          <w:w w:val="100"/>
          <w:position w:val="0"/>
          <w:sz w:val="22"/>
          <w:szCs w:val="22"/>
        </w:rPr>
        <w:t>本集团于每一资产负债表日对长期股权投资、采用成本模式计量的投资性房地产、固定资产、在 建工程、使用寿命有限的无形资产等项目进行检查，当存在减值迹象时，本集团进行减值测试。对商 誉和使用寿命不确定的无形资产，无论是否存在减值迹象，每年末均进行减值测试。</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资产的可收回金额是指资产的公允价值减去处置费用后的净额与资产预计未来现金流量的现值 两者之间的较高者。</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出现减值的迹象如下：</w:t>
      </w:r>
    </w:p>
    <w:p>
      <w:pPr>
        <w:pStyle w:val="Style14"/>
        <w:keepNext w:val="0"/>
        <w:keepLines w:val="0"/>
        <w:widowControl w:val="0"/>
        <w:shd w:val="clear" w:color="auto" w:fill="auto"/>
        <w:tabs>
          <w:tab w:pos="933" w:val="left"/>
        </w:tabs>
        <w:bidi w:val="0"/>
        <w:spacing w:before="0" w:after="220" w:line="312" w:lineRule="exact"/>
        <w:ind w:left="0" w:right="0"/>
        <w:jc w:val="both"/>
        <w:rPr>
          <w:sz w:val="22"/>
          <w:szCs w:val="22"/>
        </w:rPr>
      </w:pPr>
      <w:bookmarkStart w:id="914" w:name="bookmark914"/>
      <w:r>
        <w:rPr>
          <w:color w:val="000000"/>
          <w:spacing w:val="0"/>
          <w:w w:val="100"/>
          <w:position w:val="0"/>
          <w:sz w:val="22"/>
          <w:szCs w:val="22"/>
        </w:rPr>
        <w:t>（</w:t>
      </w:r>
      <w:bookmarkEnd w:id="914"/>
      <w:r>
        <w:rPr>
          <w:color w:val="000000"/>
          <w:spacing w:val="0"/>
          <w:w w:val="100"/>
          <w:position w:val="0"/>
          <w:sz w:val="22"/>
          <w:szCs w:val="22"/>
        </w:rPr>
        <w:t>1）</w:t>
        <w:tab/>
        <w:t>资产的市价当期大幅度下跌，其跌幅明显高于因时间的推移或者正常使用而预计的下跌；</w:t>
      </w:r>
    </w:p>
    <w:p>
      <w:pPr>
        <w:pStyle w:val="Style14"/>
        <w:keepNext w:val="0"/>
        <w:keepLines w:val="0"/>
        <w:widowControl w:val="0"/>
        <w:shd w:val="clear" w:color="auto" w:fill="auto"/>
        <w:tabs>
          <w:tab w:pos="1054" w:val="left"/>
        </w:tabs>
        <w:bidi w:val="0"/>
        <w:spacing w:before="0" w:after="220" w:line="322" w:lineRule="exact"/>
        <w:ind w:left="0" w:right="0"/>
        <w:jc w:val="both"/>
        <w:rPr>
          <w:sz w:val="22"/>
          <w:szCs w:val="22"/>
        </w:rPr>
      </w:pPr>
      <w:bookmarkStart w:id="915" w:name="bookmark915"/>
      <w:r>
        <w:rPr>
          <w:color w:val="000000"/>
          <w:spacing w:val="0"/>
          <w:w w:val="100"/>
          <w:position w:val="0"/>
          <w:sz w:val="22"/>
          <w:szCs w:val="22"/>
        </w:rPr>
        <w:t>（</w:t>
      </w:r>
      <w:bookmarkEnd w:id="915"/>
      <w:r>
        <w:rPr>
          <w:color w:val="000000"/>
          <w:spacing w:val="0"/>
          <w:w w:val="100"/>
          <w:position w:val="0"/>
          <w:sz w:val="22"/>
          <w:szCs w:val="22"/>
        </w:rPr>
        <w:t>2）</w:t>
        <w:tab/>
        <w:t>企业经营所处的经济、技术或者法律等环境以及资产所处的市场在当期或者将在近期发生 重大变化，从而对企业产生不利影响；</w:t>
      </w:r>
    </w:p>
    <w:p>
      <w:pPr>
        <w:pStyle w:val="Style14"/>
        <w:keepNext w:val="0"/>
        <w:keepLines w:val="0"/>
        <w:widowControl w:val="0"/>
        <w:shd w:val="clear" w:color="auto" w:fill="auto"/>
        <w:tabs>
          <w:tab w:pos="1059" w:val="left"/>
        </w:tabs>
        <w:bidi w:val="0"/>
        <w:spacing w:before="0" w:after="220" w:line="322" w:lineRule="exact"/>
        <w:ind w:left="0" w:right="0"/>
        <w:jc w:val="both"/>
        <w:rPr>
          <w:sz w:val="22"/>
          <w:szCs w:val="22"/>
        </w:rPr>
      </w:pPr>
      <w:bookmarkStart w:id="916" w:name="bookmark916"/>
      <w:r>
        <w:rPr>
          <w:color w:val="000000"/>
          <w:spacing w:val="0"/>
          <w:w w:val="100"/>
          <w:position w:val="0"/>
          <w:sz w:val="22"/>
          <w:szCs w:val="22"/>
        </w:rPr>
        <w:t>（</w:t>
      </w:r>
      <w:bookmarkEnd w:id="916"/>
      <w:r>
        <w:rPr>
          <w:color w:val="000000"/>
          <w:spacing w:val="0"/>
          <w:w w:val="100"/>
          <w:position w:val="0"/>
          <w:sz w:val="22"/>
          <w:szCs w:val="22"/>
        </w:rPr>
        <w:t>3）</w:t>
        <w:tab/>
        <w:t>市场利率或者其他市场投资报酬率在当期已经提高，从而影响企业计算资产预计未来现金 流量现值的折现率，导致资产可收回金额大幅度降低；</w:t>
      </w:r>
    </w:p>
    <w:p>
      <w:pPr>
        <w:pStyle w:val="Style14"/>
        <w:keepNext w:val="0"/>
        <w:keepLines w:val="0"/>
        <w:widowControl w:val="0"/>
        <w:shd w:val="clear" w:color="auto" w:fill="auto"/>
        <w:tabs>
          <w:tab w:pos="938" w:val="left"/>
        </w:tabs>
        <w:bidi w:val="0"/>
        <w:spacing w:before="0" w:after="220" w:line="312" w:lineRule="exact"/>
        <w:ind w:left="0" w:right="0"/>
        <w:jc w:val="both"/>
        <w:rPr>
          <w:sz w:val="22"/>
          <w:szCs w:val="22"/>
        </w:rPr>
      </w:pPr>
      <w:bookmarkStart w:id="917" w:name="bookmark917"/>
      <w:r>
        <w:rPr>
          <w:color w:val="000000"/>
          <w:spacing w:val="0"/>
          <w:w w:val="100"/>
          <w:position w:val="0"/>
          <w:sz w:val="22"/>
          <w:szCs w:val="22"/>
        </w:rPr>
        <w:t>（</w:t>
      </w:r>
      <w:bookmarkEnd w:id="917"/>
      <w:r>
        <w:rPr>
          <w:color w:val="000000"/>
          <w:spacing w:val="0"/>
          <w:w w:val="100"/>
          <w:position w:val="0"/>
          <w:sz w:val="22"/>
          <w:szCs w:val="22"/>
        </w:rPr>
        <w:t>4）</w:t>
        <w:tab/>
        <w:t>有证据表明资产已经陈旧过时或者其实体已经损坏；</w:t>
      </w:r>
    </w:p>
    <w:p>
      <w:pPr>
        <w:pStyle w:val="Style14"/>
        <w:keepNext w:val="0"/>
        <w:keepLines w:val="0"/>
        <w:widowControl w:val="0"/>
        <w:shd w:val="clear" w:color="auto" w:fill="auto"/>
        <w:tabs>
          <w:tab w:pos="938" w:val="left"/>
        </w:tabs>
        <w:bidi w:val="0"/>
        <w:spacing w:before="0" w:after="220" w:line="312" w:lineRule="exact"/>
        <w:ind w:left="0" w:right="0"/>
        <w:jc w:val="both"/>
        <w:rPr>
          <w:sz w:val="22"/>
          <w:szCs w:val="22"/>
        </w:rPr>
      </w:pPr>
      <w:bookmarkStart w:id="918" w:name="bookmark918"/>
      <w:r>
        <w:rPr>
          <w:color w:val="000000"/>
          <w:spacing w:val="0"/>
          <w:w w:val="100"/>
          <w:position w:val="0"/>
          <w:sz w:val="22"/>
          <w:szCs w:val="22"/>
        </w:rPr>
        <w:t>（</w:t>
      </w:r>
      <w:bookmarkEnd w:id="918"/>
      <w:r>
        <w:rPr>
          <w:color w:val="000000"/>
          <w:spacing w:val="0"/>
          <w:w w:val="100"/>
          <w:position w:val="0"/>
          <w:sz w:val="22"/>
          <w:szCs w:val="22"/>
        </w:rPr>
        <w:t>5）</w:t>
        <w:tab/>
        <w:t>资产已经或者将被闲置、终止使用或者计划提前处置；</w:t>
      </w:r>
    </w:p>
    <w:p>
      <w:pPr>
        <w:pStyle w:val="Style14"/>
        <w:keepNext w:val="0"/>
        <w:keepLines w:val="0"/>
        <w:widowControl w:val="0"/>
        <w:shd w:val="clear" w:color="auto" w:fill="auto"/>
        <w:tabs>
          <w:tab w:pos="1059" w:val="left"/>
        </w:tabs>
        <w:bidi w:val="0"/>
        <w:spacing w:before="0" w:after="220" w:line="322" w:lineRule="exact"/>
        <w:ind w:left="0" w:right="0"/>
        <w:jc w:val="both"/>
        <w:rPr>
          <w:sz w:val="22"/>
          <w:szCs w:val="22"/>
        </w:rPr>
      </w:pPr>
      <w:bookmarkStart w:id="919" w:name="bookmark919"/>
      <w:r>
        <w:rPr>
          <w:color w:val="000000"/>
          <w:spacing w:val="0"/>
          <w:w w:val="100"/>
          <w:position w:val="0"/>
          <w:sz w:val="22"/>
          <w:szCs w:val="22"/>
        </w:rPr>
        <w:t>（</w:t>
      </w:r>
      <w:bookmarkEnd w:id="919"/>
      <w:r>
        <w:rPr>
          <w:color w:val="000000"/>
          <w:spacing w:val="0"/>
          <w:w w:val="100"/>
          <w:position w:val="0"/>
          <w:sz w:val="22"/>
          <w:szCs w:val="22"/>
        </w:rPr>
        <w:t>6）</w:t>
        <w:tab/>
        <w:t>企业内部报告的证据表明资产的经济绩效已经低于或者将低于预期，如资产所创造的净现 金流量或者实现的营业利润（或者亏损）远远低于（或者高于）预计金额等；</w:t>
      </w:r>
    </w:p>
    <w:p>
      <w:pPr>
        <w:pStyle w:val="Style14"/>
        <w:keepNext w:val="0"/>
        <w:keepLines w:val="0"/>
        <w:widowControl w:val="0"/>
        <w:shd w:val="clear" w:color="auto" w:fill="auto"/>
        <w:tabs>
          <w:tab w:pos="938" w:val="left"/>
        </w:tabs>
        <w:bidi w:val="0"/>
        <w:spacing w:before="0" w:after="220" w:line="312" w:lineRule="exact"/>
        <w:ind w:left="0" w:right="0"/>
        <w:jc w:val="both"/>
        <w:rPr>
          <w:sz w:val="22"/>
          <w:szCs w:val="22"/>
        </w:rPr>
      </w:pPr>
      <w:bookmarkStart w:id="920" w:name="bookmark920"/>
      <w:r>
        <w:rPr>
          <w:color w:val="000000"/>
          <w:spacing w:val="0"/>
          <w:w w:val="100"/>
          <w:position w:val="0"/>
          <w:sz w:val="22"/>
          <w:szCs w:val="22"/>
        </w:rPr>
        <w:t>（</w:t>
      </w:r>
      <w:bookmarkEnd w:id="920"/>
      <w:r>
        <w:rPr>
          <w:color w:val="000000"/>
          <w:spacing w:val="0"/>
          <w:w w:val="100"/>
          <w:position w:val="0"/>
          <w:sz w:val="22"/>
          <w:szCs w:val="22"/>
        </w:rPr>
        <w:t>7）</w:t>
        <w:tab/>
        <w:t>其他表明资产可能已经发生减值的迹象。</w:t>
      </w:r>
    </w:p>
    <w:p>
      <w:pPr>
        <w:pStyle w:val="Style14"/>
        <w:keepNext w:val="0"/>
        <w:keepLines w:val="0"/>
        <w:widowControl w:val="0"/>
        <w:shd w:val="clear" w:color="auto" w:fill="auto"/>
        <w:bidi w:val="0"/>
        <w:spacing w:before="0" w:after="340" w:line="312" w:lineRule="exact"/>
        <w:ind w:left="0" w:right="0"/>
        <w:jc w:val="both"/>
        <w:rPr>
          <w:sz w:val="22"/>
          <w:szCs w:val="22"/>
        </w:rPr>
      </w:pPr>
      <w:r>
        <w:rPr>
          <w:color w:val="000000"/>
          <w:spacing w:val="0"/>
          <w:w w:val="100"/>
          <w:position w:val="0"/>
          <w:sz w:val="22"/>
          <w:szCs w:val="22"/>
        </w:rPr>
        <w:t>减值测试后，若该资产的账面价值超过其可收回金额，其差额确认为减值损失，上述资产的减值 损失一经确认，在以后会计期间不予转回。</w:t>
      </w:r>
    </w:p>
    <w:p>
      <w:pPr>
        <w:pStyle w:val="Style34"/>
        <w:keepNext/>
        <w:keepLines/>
        <w:widowControl w:val="0"/>
        <w:shd w:val="clear" w:color="auto" w:fill="auto"/>
        <w:tabs>
          <w:tab w:pos="928" w:val="left"/>
        </w:tabs>
        <w:bidi w:val="0"/>
        <w:spacing w:before="0" w:after="220" w:line="326" w:lineRule="auto"/>
        <w:ind w:left="0" w:right="0" w:firstLine="44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21"/>
      <w:bookmarkEnd w:id="922"/>
      <w:bookmarkEnd w:id="924"/>
    </w:p>
    <w:p>
      <w:pPr>
        <w:pStyle w:val="Style14"/>
        <w:keepNext w:val="0"/>
        <w:keepLines w:val="0"/>
        <w:widowControl w:val="0"/>
        <w:shd w:val="clear" w:color="auto" w:fill="auto"/>
        <w:bidi w:val="0"/>
        <w:spacing w:before="0" w:after="340" w:line="317" w:lineRule="exact"/>
        <w:ind w:left="0" w:right="0"/>
        <w:jc w:val="both"/>
        <w:rPr>
          <w:sz w:val="22"/>
          <w:szCs w:val="22"/>
        </w:rPr>
      </w:pPr>
      <w:r>
        <w:rPr>
          <w:color w:val="000000"/>
          <w:spacing w:val="0"/>
          <w:w w:val="100"/>
          <w:position w:val="0"/>
          <w:sz w:val="22"/>
          <w:szCs w:val="22"/>
        </w:rPr>
        <w:t>本集团的长期待摊费用在受益期内平均摊销，如果长期待摊费用项目不能使以后会计期间受益， 则将尚未摊销的该项目的摊余价值全部转入当期损益。</w:t>
      </w:r>
    </w:p>
    <w:p>
      <w:pPr>
        <w:pStyle w:val="Style34"/>
        <w:keepNext/>
        <w:keepLines/>
        <w:widowControl w:val="0"/>
        <w:shd w:val="clear" w:color="auto" w:fill="auto"/>
        <w:tabs>
          <w:tab w:pos="928" w:val="left"/>
        </w:tabs>
        <w:bidi w:val="0"/>
        <w:spacing w:before="0" w:after="220" w:line="326" w:lineRule="auto"/>
        <w:ind w:left="0" w:right="0" w:firstLine="44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25"/>
      <w:bookmarkEnd w:id="926"/>
      <w:bookmarkEnd w:id="928"/>
    </w:p>
    <w:p>
      <w:pPr>
        <w:pStyle w:val="Style14"/>
        <w:keepNext w:val="0"/>
        <w:keepLines w:val="0"/>
        <w:widowControl w:val="0"/>
        <w:shd w:val="clear" w:color="auto" w:fill="auto"/>
        <w:bidi w:val="0"/>
        <w:spacing w:before="0" w:after="340" w:line="312" w:lineRule="exact"/>
        <w:ind w:left="0" w:right="0"/>
        <w:jc w:val="both"/>
        <w:rPr>
          <w:sz w:val="22"/>
          <w:szCs w:val="22"/>
        </w:rPr>
      </w:pPr>
      <w:r>
        <w:rPr>
          <w:color w:val="000000"/>
          <w:spacing w:val="0"/>
          <w:w w:val="100"/>
          <w:position w:val="0"/>
          <w:sz w:val="22"/>
          <w:szCs w:val="22"/>
        </w:rPr>
        <w:t>合同负债反映本集团已收或应收客户对价而应向客户转让商品的义务。本集团在向客户转让商品 之前，客户已经支付了合同对价或本集团已经取得了无条件收取合同对价权利的，在客户实际支付款 项与到期应支付款项孰早时点，按照已收或应收的金额确认合同负债。</w:t>
      </w:r>
    </w:p>
    <w:p>
      <w:pPr>
        <w:pStyle w:val="Style34"/>
        <w:keepNext/>
        <w:keepLines/>
        <w:widowControl w:val="0"/>
        <w:shd w:val="clear" w:color="auto" w:fill="auto"/>
        <w:tabs>
          <w:tab w:pos="928" w:val="left"/>
        </w:tabs>
        <w:bidi w:val="0"/>
        <w:spacing w:before="0" w:after="220" w:line="326" w:lineRule="auto"/>
        <w:ind w:left="0" w:right="0" w:firstLine="44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29"/>
      <w:bookmarkEnd w:id="930"/>
      <w:bookmarkEnd w:id="932"/>
    </w:p>
    <w:p>
      <w:pPr>
        <w:pStyle w:val="Style59"/>
        <w:keepNext/>
        <w:keepLines/>
        <w:widowControl w:val="0"/>
        <w:shd w:val="clear" w:color="auto" w:fill="auto"/>
        <w:bidi w:val="0"/>
        <w:spacing w:before="0" w:after="280" w:line="312" w:lineRule="exact"/>
        <w:ind w:left="0" w:right="0" w:firstLine="440"/>
        <w:jc w:val="both"/>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33"/>
      <w:bookmarkEnd w:id="934"/>
      <w:bookmarkEnd w:id="936"/>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本集团职工薪酬包括短期薪酬、离职后福利和辞退福利。</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短期薪酬主要包括职工工资、奖金、津贴和补贴、职工福利费、社会保险费及住房公积金、工会 经费和职工教育经费等，在职工提供服务的会计期间，将实际发生的短期薪酬确认为负债，并按照受 益对象计入当期损益或相关资产成本。</w:t>
      </w:r>
    </w:p>
    <w:p>
      <w:pPr>
        <w:pStyle w:val="Style59"/>
        <w:keepNext/>
        <w:keepLines/>
        <w:widowControl w:val="0"/>
        <w:numPr>
          <w:ilvl w:val="0"/>
          <w:numId w:val="71"/>
        </w:numPr>
        <w:shd w:val="clear" w:color="auto" w:fill="auto"/>
        <w:tabs>
          <w:tab w:pos="848" w:val="left"/>
        </w:tabs>
        <w:bidi w:val="0"/>
        <w:spacing w:before="0" w:after="300" w:line="312" w:lineRule="exact"/>
        <w:ind w:left="0" w:right="0" w:firstLine="360"/>
        <w:jc w:val="both"/>
      </w:pPr>
      <w:bookmarkStart w:id="937" w:name="bookmark937"/>
      <w:bookmarkStart w:id="938" w:name="bookmark938"/>
      <w:bookmarkStart w:id="939" w:name="bookmark939"/>
      <w:bookmarkStart w:id="940" w:name="bookmark940"/>
      <w:bookmarkEnd w:id="939"/>
      <w:r>
        <w:rPr>
          <w:color w:val="000000"/>
          <w:spacing w:val="0"/>
          <w:w w:val="100"/>
          <w:position w:val="0"/>
        </w:rPr>
        <w:t>离职后福利的会计处理方法</w:t>
      </w:r>
      <w:bookmarkEnd w:id="937"/>
      <w:bookmarkEnd w:id="938"/>
      <w:bookmarkEnd w:id="940"/>
    </w:p>
    <w:p>
      <w:pPr>
        <w:pStyle w:val="Style14"/>
        <w:keepNext w:val="0"/>
        <w:keepLines w:val="0"/>
        <w:widowControl w:val="0"/>
        <w:shd w:val="clear" w:color="auto" w:fill="auto"/>
        <w:bidi w:val="0"/>
        <w:spacing w:before="0" w:after="300" w:line="312" w:lineRule="exact"/>
        <w:ind w:left="0" w:right="0"/>
        <w:jc w:val="both"/>
        <w:rPr>
          <w:sz w:val="22"/>
          <w:szCs w:val="22"/>
        </w:rPr>
      </w:pPr>
      <w:r>
        <w:rPr>
          <w:color w:val="000000"/>
          <w:spacing w:val="0"/>
          <w:w w:val="100"/>
          <w:position w:val="0"/>
          <w:sz w:val="22"/>
          <w:szCs w:val="22"/>
        </w:rPr>
        <w:t>离职后福利主要包括基本养老保险费、失业保险费等，按照公司承担的风险和义务，分类为设定 提存计划、设定受益计划。对于设定提存计划在根据在资产负债表日为换取职工在会计期间提供的服 务而向单独主体缴存的提存金确认为负债，并按照受益对象计入当期损益或相关资产成本。目前公司 不存在设定受益计划。</w:t>
      </w:r>
    </w:p>
    <w:p>
      <w:pPr>
        <w:pStyle w:val="Style59"/>
        <w:keepNext/>
        <w:keepLines/>
        <w:widowControl w:val="0"/>
        <w:numPr>
          <w:ilvl w:val="0"/>
          <w:numId w:val="71"/>
        </w:numPr>
        <w:shd w:val="clear" w:color="auto" w:fill="auto"/>
        <w:tabs>
          <w:tab w:pos="848" w:val="left"/>
        </w:tabs>
        <w:bidi w:val="0"/>
        <w:spacing w:before="0" w:after="300" w:line="312" w:lineRule="exact"/>
        <w:ind w:left="0" w:right="0" w:firstLine="360"/>
        <w:jc w:val="both"/>
      </w:pPr>
      <w:bookmarkStart w:id="941" w:name="bookmark941"/>
      <w:bookmarkStart w:id="942" w:name="bookmark942"/>
      <w:bookmarkStart w:id="943" w:name="bookmark943"/>
      <w:bookmarkStart w:id="944" w:name="bookmark944"/>
      <w:bookmarkEnd w:id="943"/>
      <w:r>
        <w:rPr>
          <w:color w:val="000000"/>
          <w:spacing w:val="0"/>
          <w:w w:val="100"/>
          <w:position w:val="0"/>
        </w:rPr>
        <w:t>辞退福利的会计处理方法</w:t>
      </w:r>
      <w:bookmarkEnd w:id="941"/>
      <w:bookmarkEnd w:id="942"/>
      <w:bookmarkEnd w:id="944"/>
    </w:p>
    <w:p>
      <w:pPr>
        <w:pStyle w:val="Style14"/>
        <w:keepNext w:val="0"/>
        <w:keepLines w:val="0"/>
        <w:widowControl w:val="0"/>
        <w:shd w:val="clear" w:color="auto" w:fill="auto"/>
        <w:bidi w:val="0"/>
        <w:spacing w:before="0" w:after="300" w:line="312" w:lineRule="exact"/>
        <w:ind w:left="0" w:right="0"/>
        <w:jc w:val="both"/>
        <w:rPr>
          <w:sz w:val="22"/>
          <w:szCs w:val="22"/>
        </w:rPr>
      </w:pPr>
      <w:r>
        <w:rPr>
          <w:color w:val="000000"/>
          <w:spacing w:val="0"/>
          <w:w w:val="100"/>
          <w:position w:val="0"/>
          <w:sz w:val="22"/>
          <w:szCs w:val="22"/>
        </w:rPr>
        <w:t>辞退福利是指公司在职工劳动合同到期之前解除与职工的劳动关系，或者为鼓励职工自愿接受裁 减而给予职工的补偿。在资产负债表日确认辞退福利产生的职工薪酬负债，并计入当期损益，其中对 超过一年予以支付的补偿款，按折现率折现后计入当期损益。</w:t>
      </w:r>
    </w:p>
    <w:p>
      <w:pPr>
        <w:pStyle w:val="Style59"/>
        <w:keepNext/>
        <w:keepLines/>
        <w:widowControl w:val="0"/>
        <w:numPr>
          <w:ilvl w:val="0"/>
          <w:numId w:val="71"/>
        </w:numPr>
        <w:shd w:val="clear" w:color="auto" w:fill="auto"/>
        <w:tabs>
          <w:tab w:pos="848" w:val="left"/>
        </w:tabs>
        <w:bidi w:val="0"/>
        <w:spacing w:before="0" w:after="300" w:line="312" w:lineRule="exact"/>
        <w:ind w:left="0" w:right="0" w:firstLine="360"/>
        <w:jc w:val="left"/>
      </w:pPr>
      <w:bookmarkStart w:id="945" w:name="bookmark945"/>
      <w:bookmarkStart w:id="946" w:name="bookmark946"/>
      <w:bookmarkStart w:id="947" w:name="bookmark947"/>
      <w:bookmarkStart w:id="948" w:name="bookmark948"/>
      <w:bookmarkEnd w:id="947"/>
      <w:r>
        <w:rPr>
          <w:color w:val="000000"/>
          <w:spacing w:val="0"/>
          <w:w w:val="100"/>
          <w:position w:val="0"/>
        </w:rPr>
        <w:t>其他长期职工福利的会计处理方法</w:t>
      </w:r>
      <w:bookmarkEnd w:id="945"/>
      <w:bookmarkEnd w:id="946"/>
      <w:bookmarkEnd w:id="948"/>
    </w:p>
    <w:p>
      <w:pPr>
        <w:pStyle w:val="Style34"/>
        <w:keepNext/>
        <w:keepLines/>
        <w:widowControl w:val="0"/>
        <w:shd w:val="clear" w:color="auto" w:fill="auto"/>
        <w:tabs>
          <w:tab w:pos="848" w:val="left"/>
        </w:tabs>
        <w:bidi w:val="0"/>
        <w:spacing w:before="0" w:after="300" w:line="312" w:lineRule="exact"/>
        <w:ind w:left="0" w:right="0" w:firstLine="36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49"/>
      <w:bookmarkEnd w:id="950"/>
      <w:bookmarkEnd w:id="952"/>
    </w:p>
    <w:p>
      <w:pPr>
        <w:pStyle w:val="Style34"/>
        <w:keepNext/>
        <w:keepLines/>
        <w:widowControl w:val="0"/>
        <w:shd w:val="clear" w:color="auto" w:fill="auto"/>
        <w:tabs>
          <w:tab w:pos="848" w:val="left"/>
        </w:tabs>
        <w:bidi w:val="0"/>
        <w:spacing w:before="0" w:after="300" w:line="312" w:lineRule="exact"/>
        <w:ind w:left="0" w:right="0" w:firstLine="36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53"/>
      <w:bookmarkEnd w:id="954"/>
      <w:bookmarkEnd w:id="956"/>
    </w:p>
    <w:p>
      <w:pPr>
        <w:pStyle w:val="Style34"/>
        <w:keepNext/>
        <w:keepLines/>
        <w:widowControl w:val="0"/>
        <w:shd w:val="clear" w:color="auto" w:fill="auto"/>
        <w:tabs>
          <w:tab w:pos="848" w:val="left"/>
        </w:tabs>
        <w:bidi w:val="0"/>
        <w:spacing w:before="0" w:after="300" w:line="312" w:lineRule="exact"/>
        <w:ind w:left="0" w:right="0" w:firstLine="36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57"/>
      <w:bookmarkEnd w:id="958"/>
      <w:bookmarkEnd w:id="960"/>
    </w:p>
    <w:p>
      <w:pPr>
        <w:pStyle w:val="Style34"/>
        <w:keepNext/>
        <w:keepLines/>
        <w:widowControl w:val="0"/>
        <w:shd w:val="clear" w:color="auto" w:fill="auto"/>
        <w:tabs>
          <w:tab w:pos="848" w:val="left"/>
        </w:tabs>
        <w:bidi w:val="0"/>
        <w:spacing w:before="0" w:after="300" w:line="312" w:lineRule="exact"/>
        <w:ind w:left="0" w:right="0" w:firstLine="36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61"/>
      <w:bookmarkEnd w:id="962"/>
      <w:bookmarkEnd w:id="964"/>
    </w:p>
    <w:p>
      <w:pPr>
        <w:pStyle w:val="Style34"/>
        <w:keepNext/>
        <w:keepLines/>
        <w:widowControl w:val="0"/>
        <w:shd w:val="clear" w:color="auto" w:fill="auto"/>
        <w:tabs>
          <w:tab w:pos="848" w:val="left"/>
        </w:tabs>
        <w:bidi w:val="0"/>
        <w:spacing w:before="0" w:after="380" w:line="312" w:lineRule="exact"/>
        <w:ind w:left="0" w:right="0" w:firstLine="36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65"/>
      <w:bookmarkEnd w:id="966"/>
      <w:bookmarkEnd w:id="968"/>
    </w:p>
    <w:p>
      <w:pPr>
        <w:pStyle w:val="Style31"/>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收入确认和计量所采用的会计政策</w:t>
      </w:r>
    </w:p>
    <w:p>
      <w:pPr>
        <w:pStyle w:val="Style14"/>
        <w:keepNext w:val="0"/>
        <w:keepLines w:val="0"/>
        <w:widowControl w:val="0"/>
        <w:shd w:val="clear" w:color="auto" w:fill="auto"/>
        <w:bidi w:val="0"/>
        <w:spacing w:before="0" w:after="240" w:line="312" w:lineRule="exact"/>
        <w:ind w:left="0" w:right="0" w:firstLine="360"/>
        <w:jc w:val="both"/>
        <w:rPr>
          <w:sz w:val="22"/>
          <w:szCs w:val="22"/>
        </w:rPr>
      </w:pPr>
      <w:r>
        <w:rPr>
          <w:color w:val="000000"/>
          <w:spacing w:val="0"/>
          <w:w w:val="100"/>
          <w:position w:val="0"/>
          <w:sz w:val="22"/>
          <w:szCs w:val="22"/>
        </w:rPr>
        <w:t>本集团的营业收入主要包括电缆线、高分子材料、充电桩销售及充电服务收入。</w:t>
      </w:r>
    </w:p>
    <w:p>
      <w:pPr>
        <w:pStyle w:val="Style14"/>
        <w:keepNext w:val="0"/>
        <w:keepLines w:val="0"/>
        <w:widowControl w:val="0"/>
        <w:numPr>
          <w:ilvl w:val="0"/>
          <w:numId w:val="73"/>
        </w:numPr>
        <w:shd w:val="clear" w:color="auto" w:fill="auto"/>
        <w:bidi w:val="0"/>
        <w:spacing w:before="0" w:after="240" w:line="312" w:lineRule="exact"/>
        <w:ind w:left="0" w:right="0" w:firstLine="360"/>
        <w:jc w:val="left"/>
        <w:rPr>
          <w:sz w:val="20"/>
          <w:szCs w:val="20"/>
        </w:rPr>
      </w:pPr>
      <w:bookmarkStart w:id="969" w:name="bookmark969"/>
      <w:bookmarkEnd w:id="969"/>
      <w:r>
        <w:rPr>
          <w:color w:val="000000"/>
          <w:spacing w:val="0"/>
          <w:w w:val="100"/>
          <w:position w:val="0"/>
          <w:sz w:val="20"/>
          <w:szCs w:val="20"/>
        </w:rPr>
        <w:t>收入确认一般原则</w:t>
      </w:r>
    </w:p>
    <w:p>
      <w:pPr>
        <w:pStyle w:val="Style14"/>
        <w:keepNext w:val="0"/>
        <w:keepLines w:val="0"/>
        <w:widowControl w:val="0"/>
        <w:shd w:val="clear" w:color="auto" w:fill="auto"/>
        <w:bidi w:val="0"/>
        <w:spacing w:before="0" w:after="240" w:line="317" w:lineRule="exact"/>
        <w:ind w:left="0" w:right="0"/>
        <w:jc w:val="both"/>
        <w:rPr>
          <w:sz w:val="22"/>
          <w:szCs w:val="22"/>
        </w:rPr>
      </w:pPr>
      <w:r>
        <w:rPr>
          <w:color w:val="000000"/>
          <w:spacing w:val="0"/>
          <w:w w:val="100"/>
          <w:position w:val="0"/>
          <w:sz w:val="22"/>
          <w:szCs w:val="22"/>
        </w:rPr>
        <w:t>本集团在履行了合同中的履约义务，即在客户取得相关商品或服务控制权时确认收入。取得相关 商品或服务控制权，是指能够主导该商品或服务的使用并从中获得几乎全部的经济利益。</w:t>
      </w:r>
    </w:p>
    <w:p>
      <w:pPr>
        <w:pStyle w:val="Style14"/>
        <w:keepNext w:val="0"/>
        <w:keepLines w:val="0"/>
        <w:widowControl w:val="0"/>
        <w:shd w:val="clear" w:color="auto" w:fill="auto"/>
        <w:bidi w:val="0"/>
        <w:spacing w:before="0" w:after="240" w:line="314" w:lineRule="exact"/>
        <w:ind w:left="0" w:right="0"/>
        <w:jc w:val="both"/>
        <w:rPr>
          <w:sz w:val="22"/>
          <w:szCs w:val="22"/>
        </w:rPr>
      </w:pPr>
      <w:r>
        <w:rPr>
          <w:color w:val="000000"/>
          <w:spacing w:val="0"/>
          <w:w w:val="100"/>
          <w:position w:val="0"/>
          <w:sz w:val="22"/>
          <w:szCs w:val="22"/>
        </w:rPr>
        <w:t>合同中包含两项或多项履约义务的，本集团在合同开始日，按照各单项履约义务所承诺商品或服 务的单独售价的相对比例，将交易价格分摊至各单项履约义务，按照分摊至各单项履约义务的交易价 格计量收入。</w:t>
      </w:r>
    </w:p>
    <w:p>
      <w:pPr>
        <w:pStyle w:val="Style14"/>
        <w:keepNext w:val="0"/>
        <w:keepLines w:val="0"/>
        <w:widowControl w:val="0"/>
        <w:shd w:val="clear" w:color="auto" w:fill="auto"/>
        <w:bidi w:val="0"/>
        <w:spacing w:before="0" w:after="300" w:line="312" w:lineRule="exact"/>
        <w:ind w:left="0" w:right="0"/>
        <w:jc w:val="both"/>
        <w:rPr>
          <w:sz w:val="22"/>
          <w:szCs w:val="22"/>
        </w:rPr>
      </w:pPr>
      <w:r>
        <w:rPr>
          <w:color w:val="000000"/>
          <w:spacing w:val="0"/>
          <w:w w:val="100"/>
          <w:position w:val="0"/>
          <w:sz w:val="22"/>
          <w:szCs w:val="22"/>
        </w:rPr>
        <w:t>交易价格是本集团因向客户转让商品或服务而预期有权收取的对价金额，不包括代第三方收取的 款项。本集团确认的交易价格不超过在相关不确定性消除时累计已确认收入极可能不会发生重大转回 的金额。预期将退还给客户的款项作为负债不计入交易价格。合同中存在重大融资成分的，本集团按 照假定客户在取得商品或服务控制权时即以现金支付的应付金额确定交易价格。该交易价格与合同对 价之间的差额，在合同期间内采用实际利率法摊销。合同开始日，本集团预计客户取得商品或服务控 制权与客户支付价款间隔不超过一年的，不考虑合同中存在的重大融资成分。</w:t>
      </w:r>
    </w:p>
    <w:p>
      <w:pPr>
        <w:pStyle w:val="Style14"/>
        <w:keepNext w:val="0"/>
        <w:keepLines w:val="0"/>
        <w:widowControl w:val="0"/>
        <w:shd w:val="clear" w:color="auto" w:fill="auto"/>
        <w:bidi w:val="0"/>
        <w:spacing w:before="0" w:after="220" w:line="312" w:lineRule="exact"/>
        <w:ind w:left="0" w:right="0" w:firstLine="400"/>
        <w:jc w:val="both"/>
        <w:rPr>
          <w:sz w:val="22"/>
          <w:szCs w:val="22"/>
        </w:rPr>
      </w:pPr>
      <w:r>
        <w:rPr>
          <w:color w:val="000000"/>
          <w:spacing w:val="0"/>
          <w:w w:val="100"/>
          <w:position w:val="0"/>
          <w:sz w:val="22"/>
          <w:szCs w:val="22"/>
        </w:rPr>
        <w:t>满足下列条件之一的，属于在某一时段内履行履约义务，否则，属于在某一时点履行履约义务：</w:t>
      </w:r>
    </w:p>
    <w:p>
      <w:pPr>
        <w:pStyle w:val="Style14"/>
        <w:keepNext w:val="0"/>
        <w:keepLines w:val="0"/>
        <w:widowControl w:val="0"/>
        <w:shd w:val="clear" w:color="auto" w:fill="auto"/>
        <w:tabs>
          <w:tab w:pos="724" w:val="left"/>
        </w:tabs>
        <w:bidi w:val="0"/>
        <w:spacing w:before="0" w:after="220" w:line="312" w:lineRule="exact"/>
        <w:ind w:left="0" w:right="0" w:firstLine="340"/>
        <w:jc w:val="both"/>
        <w:rPr>
          <w:sz w:val="22"/>
          <w:szCs w:val="22"/>
        </w:rPr>
      </w:pPr>
      <w:bookmarkStart w:id="970" w:name="bookmark970"/>
      <w:r>
        <w:rPr>
          <w:color w:val="000000"/>
          <w:spacing w:val="0"/>
          <w:w w:val="100"/>
          <w:position w:val="0"/>
          <w:sz w:val="22"/>
          <w:szCs w:val="22"/>
        </w:rPr>
        <w:t>1</w:t>
      </w:r>
      <w:bookmarkEnd w:id="970"/>
      <w:r>
        <w:rPr>
          <w:color w:val="000000"/>
          <w:spacing w:val="0"/>
          <w:w w:val="100"/>
          <w:position w:val="0"/>
          <w:sz w:val="22"/>
          <w:szCs w:val="22"/>
        </w:rPr>
        <w:t>）</w:t>
        <w:tab/>
        <w:t>客户在本集团履约的同时即取得并消耗本集团履约所带来的经济利益。</w:t>
      </w:r>
    </w:p>
    <w:p>
      <w:pPr>
        <w:pStyle w:val="Style14"/>
        <w:keepNext w:val="0"/>
        <w:keepLines w:val="0"/>
        <w:widowControl w:val="0"/>
        <w:shd w:val="clear" w:color="auto" w:fill="auto"/>
        <w:tabs>
          <w:tab w:pos="724" w:val="left"/>
        </w:tabs>
        <w:bidi w:val="0"/>
        <w:spacing w:before="0" w:after="220" w:line="312" w:lineRule="exact"/>
        <w:ind w:left="0" w:right="0" w:firstLine="340"/>
        <w:jc w:val="both"/>
        <w:rPr>
          <w:sz w:val="22"/>
          <w:szCs w:val="22"/>
        </w:rPr>
      </w:pPr>
      <w:bookmarkStart w:id="971" w:name="bookmark971"/>
      <w:r>
        <w:rPr>
          <w:color w:val="000000"/>
          <w:spacing w:val="0"/>
          <w:w w:val="100"/>
          <w:position w:val="0"/>
          <w:sz w:val="22"/>
          <w:szCs w:val="22"/>
        </w:rPr>
        <w:t>2</w:t>
      </w:r>
      <w:bookmarkEnd w:id="971"/>
      <w:r>
        <w:rPr>
          <w:color w:val="000000"/>
          <w:spacing w:val="0"/>
          <w:w w:val="100"/>
          <w:position w:val="0"/>
          <w:sz w:val="22"/>
          <w:szCs w:val="22"/>
        </w:rPr>
        <w:t>）</w:t>
        <w:tab/>
        <w:t>客户能够控制本集团履约过程中在建的商品。</w:t>
      </w:r>
    </w:p>
    <w:p>
      <w:pPr>
        <w:pStyle w:val="Style14"/>
        <w:keepNext w:val="0"/>
        <w:keepLines w:val="0"/>
        <w:widowControl w:val="0"/>
        <w:shd w:val="clear" w:color="auto" w:fill="auto"/>
        <w:tabs>
          <w:tab w:pos="724" w:val="left"/>
        </w:tabs>
        <w:bidi w:val="0"/>
        <w:spacing w:before="0" w:after="220" w:line="317" w:lineRule="exact"/>
        <w:ind w:left="0" w:right="0" w:firstLine="340"/>
        <w:jc w:val="both"/>
        <w:rPr>
          <w:sz w:val="22"/>
          <w:szCs w:val="22"/>
        </w:rPr>
      </w:pPr>
      <w:bookmarkStart w:id="972" w:name="bookmark972"/>
      <w:r>
        <w:rPr>
          <w:color w:val="000000"/>
          <w:spacing w:val="0"/>
          <w:w w:val="100"/>
          <w:position w:val="0"/>
          <w:sz w:val="22"/>
          <w:szCs w:val="22"/>
        </w:rPr>
        <w:t>3</w:t>
      </w:r>
      <w:bookmarkEnd w:id="972"/>
      <w:r>
        <w:rPr>
          <w:color w:val="000000"/>
          <w:spacing w:val="0"/>
          <w:w w:val="100"/>
          <w:position w:val="0"/>
          <w:sz w:val="22"/>
          <w:szCs w:val="22"/>
        </w:rPr>
        <w:t>）</w:t>
        <w:tab/>
        <w:t>本集团履约过程中所产出的商品具有不可替代用途，且本集团在整个合同期内有权就累计至今 已完成的履约部分收取款项。</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对于在某一时段内履行的履约义务，在该段时间内按照履约进度确认收入，并按照完工百分比法 确定履约进度。履约进度不能合理确定时，本集团已经发生的成本预计能够得到补偿的，按照已经发 生的成本金额确认收入，直到履约进度能够合理确定为止。</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对于在某一时点履行的履约义务，本集团在客户取得相关商品或服务控制权时点确认收入。在判 断客户是否已取得商品或服务控制权时，本集团考虑下列迹象：</w:t>
      </w:r>
    </w:p>
    <w:p>
      <w:pPr>
        <w:pStyle w:val="Style14"/>
        <w:keepNext w:val="0"/>
        <w:keepLines w:val="0"/>
        <w:widowControl w:val="0"/>
        <w:shd w:val="clear" w:color="auto" w:fill="auto"/>
        <w:tabs>
          <w:tab w:pos="789" w:val="left"/>
        </w:tabs>
        <w:bidi w:val="0"/>
        <w:spacing w:before="0" w:after="220" w:line="312" w:lineRule="exact"/>
        <w:ind w:left="0" w:right="0"/>
        <w:jc w:val="both"/>
        <w:rPr>
          <w:sz w:val="22"/>
          <w:szCs w:val="22"/>
        </w:rPr>
      </w:pPr>
      <w:bookmarkStart w:id="973" w:name="bookmark973"/>
      <w:r>
        <w:rPr>
          <w:color w:val="000000"/>
          <w:spacing w:val="0"/>
          <w:w w:val="100"/>
          <w:position w:val="0"/>
          <w:sz w:val="22"/>
          <w:szCs w:val="22"/>
        </w:rPr>
        <w:t>1</w:t>
      </w:r>
      <w:bookmarkEnd w:id="973"/>
      <w:r>
        <w:rPr>
          <w:color w:val="000000"/>
          <w:spacing w:val="0"/>
          <w:w w:val="100"/>
          <w:position w:val="0"/>
          <w:sz w:val="22"/>
          <w:szCs w:val="22"/>
        </w:rPr>
        <w:t>）</w:t>
        <w:tab/>
        <w:t>本集团就该商品或服务享有现时收款权利。</w:t>
      </w:r>
    </w:p>
    <w:p>
      <w:pPr>
        <w:pStyle w:val="Style14"/>
        <w:keepNext w:val="0"/>
        <w:keepLines w:val="0"/>
        <w:widowControl w:val="0"/>
        <w:shd w:val="clear" w:color="auto" w:fill="auto"/>
        <w:tabs>
          <w:tab w:pos="803" w:val="left"/>
        </w:tabs>
        <w:bidi w:val="0"/>
        <w:spacing w:before="0" w:after="220" w:line="312" w:lineRule="exact"/>
        <w:ind w:left="0" w:right="0"/>
        <w:jc w:val="both"/>
        <w:rPr>
          <w:sz w:val="22"/>
          <w:szCs w:val="22"/>
        </w:rPr>
      </w:pPr>
      <w:bookmarkStart w:id="974" w:name="bookmark974"/>
      <w:r>
        <w:rPr>
          <w:color w:val="000000"/>
          <w:spacing w:val="0"/>
          <w:w w:val="100"/>
          <w:position w:val="0"/>
          <w:sz w:val="22"/>
          <w:szCs w:val="22"/>
        </w:rPr>
        <w:t>2</w:t>
      </w:r>
      <w:bookmarkEnd w:id="974"/>
      <w:r>
        <w:rPr>
          <w:color w:val="000000"/>
          <w:spacing w:val="0"/>
          <w:w w:val="100"/>
          <w:position w:val="0"/>
          <w:sz w:val="22"/>
          <w:szCs w:val="22"/>
        </w:rPr>
        <w:t>）</w:t>
        <w:tab/>
        <w:t>本集团已将该商品的法定所有权转移给客户。</w:t>
      </w:r>
    </w:p>
    <w:p>
      <w:pPr>
        <w:pStyle w:val="Style14"/>
        <w:keepNext w:val="0"/>
        <w:keepLines w:val="0"/>
        <w:widowControl w:val="0"/>
        <w:shd w:val="clear" w:color="auto" w:fill="auto"/>
        <w:tabs>
          <w:tab w:pos="803" w:val="left"/>
        </w:tabs>
        <w:bidi w:val="0"/>
        <w:spacing w:before="0" w:after="220" w:line="312" w:lineRule="exact"/>
        <w:ind w:left="0" w:right="0"/>
        <w:jc w:val="both"/>
        <w:rPr>
          <w:sz w:val="22"/>
          <w:szCs w:val="22"/>
        </w:rPr>
      </w:pPr>
      <w:bookmarkStart w:id="975" w:name="bookmark975"/>
      <w:r>
        <w:rPr>
          <w:color w:val="000000"/>
          <w:spacing w:val="0"/>
          <w:w w:val="100"/>
          <w:position w:val="0"/>
          <w:sz w:val="22"/>
          <w:szCs w:val="22"/>
        </w:rPr>
        <w:t>3</w:t>
      </w:r>
      <w:bookmarkEnd w:id="975"/>
      <w:r>
        <w:rPr>
          <w:color w:val="000000"/>
          <w:spacing w:val="0"/>
          <w:w w:val="100"/>
          <w:position w:val="0"/>
          <w:sz w:val="22"/>
          <w:szCs w:val="22"/>
        </w:rPr>
        <w:t>）</w:t>
        <w:tab/>
        <w:t>本集团已将该商品实物转移给客户。</w:t>
      </w:r>
    </w:p>
    <w:p>
      <w:pPr>
        <w:pStyle w:val="Style14"/>
        <w:keepNext w:val="0"/>
        <w:keepLines w:val="0"/>
        <w:widowControl w:val="0"/>
        <w:shd w:val="clear" w:color="auto" w:fill="auto"/>
        <w:tabs>
          <w:tab w:pos="803" w:val="left"/>
        </w:tabs>
        <w:bidi w:val="0"/>
        <w:spacing w:before="0" w:after="220" w:line="312" w:lineRule="exact"/>
        <w:ind w:left="0" w:right="0"/>
        <w:jc w:val="both"/>
        <w:rPr>
          <w:sz w:val="22"/>
          <w:szCs w:val="22"/>
        </w:rPr>
      </w:pPr>
      <w:bookmarkStart w:id="976" w:name="bookmark976"/>
      <w:r>
        <w:rPr>
          <w:color w:val="000000"/>
          <w:spacing w:val="0"/>
          <w:w w:val="100"/>
          <w:position w:val="0"/>
          <w:sz w:val="22"/>
          <w:szCs w:val="22"/>
        </w:rPr>
        <w:t>4</w:t>
      </w:r>
      <w:bookmarkEnd w:id="976"/>
      <w:r>
        <w:rPr>
          <w:color w:val="000000"/>
          <w:spacing w:val="0"/>
          <w:w w:val="100"/>
          <w:position w:val="0"/>
          <w:sz w:val="22"/>
          <w:szCs w:val="22"/>
        </w:rPr>
        <w:t>）</w:t>
        <w:tab/>
        <w:t>本集团已将该商品所有权上的主要风险和报酬转移给客户。</w:t>
      </w:r>
    </w:p>
    <w:p>
      <w:pPr>
        <w:pStyle w:val="Style14"/>
        <w:keepNext w:val="0"/>
        <w:keepLines w:val="0"/>
        <w:widowControl w:val="0"/>
        <w:shd w:val="clear" w:color="auto" w:fill="auto"/>
        <w:tabs>
          <w:tab w:pos="832" w:val="left"/>
        </w:tabs>
        <w:bidi w:val="0"/>
        <w:spacing w:before="0" w:after="220" w:line="312" w:lineRule="exact"/>
        <w:ind w:left="0" w:right="0"/>
        <w:jc w:val="both"/>
        <w:rPr>
          <w:sz w:val="22"/>
          <w:szCs w:val="22"/>
        </w:rPr>
      </w:pPr>
      <w:bookmarkStart w:id="977" w:name="bookmark977"/>
      <w:r>
        <w:rPr>
          <w:color w:val="000000"/>
          <w:spacing w:val="0"/>
          <w:w w:val="100"/>
          <w:position w:val="0"/>
          <w:sz w:val="22"/>
          <w:szCs w:val="22"/>
        </w:rPr>
        <w:t>5</w:t>
      </w:r>
      <w:bookmarkEnd w:id="977"/>
      <w:r>
        <w:rPr>
          <w:color w:val="000000"/>
          <w:spacing w:val="0"/>
          <w:w w:val="100"/>
          <w:position w:val="0"/>
          <w:sz w:val="22"/>
          <w:szCs w:val="22"/>
        </w:rPr>
        <w:t>）</w:t>
        <w:tab/>
        <w:t>客户已接受该商品或服务等。</w:t>
      </w:r>
    </w:p>
    <w:p>
      <w:pPr>
        <w:pStyle w:val="Style14"/>
        <w:keepNext w:val="0"/>
        <w:keepLines w:val="0"/>
        <w:widowControl w:val="0"/>
        <w:shd w:val="clear" w:color="auto" w:fill="auto"/>
        <w:bidi w:val="0"/>
        <w:spacing w:before="0" w:after="220" w:line="312" w:lineRule="exact"/>
        <w:ind w:left="0" w:right="0" w:firstLine="400"/>
        <w:jc w:val="both"/>
        <w:rPr>
          <w:sz w:val="20"/>
          <w:szCs w:val="20"/>
        </w:rPr>
      </w:pPr>
      <w:bookmarkStart w:id="978" w:name="bookmark978"/>
      <w:r>
        <w:rPr>
          <w:color w:val="000000"/>
          <w:spacing w:val="0"/>
          <w:w w:val="100"/>
          <w:position w:val="0"/>
          <w:sz w:val="20"/>
          <w:szCs w:val="20"/>
        </w:rPr>
        <w:t>（</w:t>
      </w:r>
      <w:bookmarkEnd w:id="978"/>
      <w:r>
        <w:rPr>
          <w:color w:val="000000"/>
          <w:spacing w:val="0"/>
          <w:w w:val="100"/>
          <w:position w:val="0"/>
          <w:sz w:val="20"/>
          <w:szCs w:val="20"/>
        </w:rPr>
        <w:t>2）收入确认具体原则</w:t>
      </w:r>
    </w:p>
    <w:p>
      <w:pPr>
        <w:pStyle w:val="Style14"/>
        <w:keepNext w:val="0"/>
        <w:keepLines w:val="0"/>
        <w:widowControl w:val="0"/>
        <w:shd w:val="clear" w:color="auto" w:fill="auto"/>
        <w:tabs>
          <w:tab w:pos="382" w:val="left"/>
        </w:tabs>
        <w:bidi w:val="0"/>
        <w:spacing w:before="0" w:after="220" w:line="312" w:lineRule="exact"/>
        <w:ind w:left="0" w:right="0" w:firstLine="0"/>
        <w:jc w:val="both"/>
        <w:rPr>
          <w:sz w:val="22"/>
          <w:szCs w:val="22"/>
        </w:rPr>
      </w:pPr>
      <w:bookmarkStart w:id="979" w:name="bookmark979"/>
      <w:r>
        <w:rPr>
          <w:color w:val="000000"/>
          <w:spacing w:val="0"/>
          <w:w w:val="100"/>
          <w:position w:val="0"/>
          <w:sz w:val="22"/>
          <w:szCs w:val="22"/>
        </w:rPr>
        <w:t>1</w:t>
      </w:r>
      <w:bookmarkEnd w:id="979"/>
      <w:r>
        <w:rPr>
          <w:color w:val="000000"/>
          <w:spacing w:val="0"/>
          <w:w w:val="100"/>
          <w:position w:val="0"/>
          <w:sz w:val="22"/>
          <w:szCs w:val="22"/>
        </w:rPr>
        <w:t>）</w:t>
        <w:tab/>
        <w:t>国内销售收入确认方法</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同时满足下列条件：按购货方要求将电缆线、高分子材料、充电桩产品交付购货方，同时经与购 货方对电缆线、高分子材料、充电桩产品数量及外包装无异议进行确认，取得销售回执后商品法定所 有权、控制权及所有权上的主要风险和报酬转移给客户，并享有现时收款权利。</w:t>
      </w:r>
    </w:p>
    <w:p>
      <w:pPr>
        <w:pStyle w:val="Style14"/>
        <w:keepNext w:val="0"/>
        <w:keepLines w:val="0"/>
        <w:widowControl w:val="0"/>
        <w:shd w:val="clear" w:color="auto" w:fill="auto"/>
        <w:tabs>
          <w:tab w:pos="397" w:val="left"/>
        </w:tabs>
        <w:bidi w:val="0"/>
        <w:spacing w:before="0" w:after="220" w:line="312" w:lineRule="exact"/>
        <w:ind w:left="0" w:right="0" w:firstLine="0"/>
        <w:jc w:val="both"/>
        <w:rPr>
          <w:sz w:val="22"/>
          <w:szCs w:val="22"/>
        </w:rPr>
      </w:pPr>
      <w:bookmarkStart w:id="980" w:name="bookmark980"/>
      <w:r>
        <w:rPr>
          <w:color w:val="000000"/>
          <w:spacing w:val="0"/>
          <w:w w:val="100"/>
          <w:position w:val="0"/>
          <w:sz w:val="22"/>
          <w:szCs w:val="22"/>
        </w:rPr>
        <w:t>2</w:t>
      </w:r>
      <w:bookmarkEnd w:id="980"/>
      <w:r>
        <w:rPr>
          <w:color w:val="000000"/>
          <w:spacing w:val="0"/>
          <w:w w:val="100"/>
          <w:position w:val="0"/>
          <w:sz w:val="22"/>
          <w:szCs w:val="22"/>
        </w:rPr>
        <w:t>）</w:t>
        <w:tab/>
        <w:t>出口销售收入确认方法</w:t>
      </w:r>
    </w:p>
    <w:p>
      <w:pPr>
        <w:pStyle w:val="Style14"/>
        <w:keepNext w:val="0"/>
        <w:keepLines w:val="0"/>
        <w:widowControl w:val="0"/>
        <w:shd w:val="clear" w:color="auto" w:fill="auto"/>
        <w:bidi w:val="0"/>
        <w:spacing w:before="0" w:after="340" w:line="312" w:lineRule="exact"/>
        <w:ind w:left="0" w:right="0"/>
        <w:jc w:val="both"/>
        <w:rPr>
          <w:sz w:val="22"/>
          <w:szCs w:val="22"/>
        </w:rPr>
      </w:pPr>
      <w:r>
        <w:rPr>
          <w:color w:val="000000"/>
          <w:spacing w:val="0"/>
          <w:w w:val="100"/>
          <w:position w:val="0"/>
          <w:sz w:val="22"/>
          <w:szCs w:val="22"/>
        </w:rPr>
        <w:t>同时满足下列条件：根据与购货方达成出口销售合同规定的要求生产电缆线、高分子材料，经检 验合格后货物送达指定港口，办完报关出口手续，将提货单交付客户后商品法定所有权、控制权及所 有权上的主要风险和报酬转移给客户，并享有现时收款权利。</w:t>
      </w:r>
    </w:p>
    <w:p>
      <w:pPr>
        <w:pStyle w:val="Style34"/>
        <w:keepNext/>
        <w:keepLines/>
        <w:widowControl w:val="0"/>
        <w:shd w:val="clear" w:color="auto" w:fill="auto"/>
        <w:bidi w:val="0"/>
        <w:spacing w:before="0" w:after="220" w:line="326" w:lineRule="auto"/>
        <w:ind w:left="0" w:right="0" w:firstLine="40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81"/>
      <w:bookmarkEnd w:id="982"/>
      <w:bookmarkEnd w:id="984"/>
    </w:p>
    <w:p>
      <w:pPr>
        <w:pStyle w:val="Style14"/>
        <w:keepNext w:val="0"/>
        <w:keepLines w:val="0"/>
        <w:widowControl w:val="0"/>
        <w:shd w:val="clear" w:color="auto" w:fill="auto"/>
        <w:bidi w:val="0"/>
        <w:spacing w:before="0" w:after="220" w:line="310" w:lineRule="exact"/>
        <w:ind w:left="0" w:right="0"/>
        <w:jc w:val="both"/>
        <w:rPr>
          <w:sz w:val="22"/>
          <w:szCs w:val="22"/>
        </w:rPr>
      </w:pPr>
      <w:r>
        <w:rPr>
          <w:color w:val="000000"/>
          <w:spacing w:val="0"/>
          <w:w w:val="100"/>
          <w:position w:val="0"/>
          <w:sz w:val="22"/>
          <w:szCs w:val="22"/>
        </w:rPr>
        <w:t>本集团的政府补助包括与资产相关的政府补助、与收益相关的政府补助。其中，与资产相关的政 府补助，是指本集团取得的、用于购建或以其他方式形成长期资产的政府补助；与收益相关的政府补 助，是指除与资产相关的政府补助之外的政府补助。如果政府文件中未明确规定补助对象，本集团按 照上述区分原则进行判断，难以区分的，整体归类为与收益相关的政府补助。</w:t>
      </w:r>
    </w:p>
    <w:p>
      <w:pPr>
        <w:pStyle w:val="Style14"/>
        <w:keepNext w:val="0"/>
        <w:keepLines w:val="0"/>
        <w:widowControl w:val="0"/>
        <w:shd w:val="clear" w:color="auto" w:fill="auto"/>
        <w:bidi w:val="0"/>
        <w:spacing w:before="0" w:after="220" w:line="314" w:lineRule="exact"/>
        <w:ind w:left="0" w:right="0"/>
        <w:jc w:val="both"/>
        <w:rPr>
          <w:sz w:val="22"/>
          <w:szCs w:val="22"/>
        </w:rPr>
      </w:pPr>
      <w:r>
        <w:rPr>
          <w:color w:val="000000"/>
          <w:spacing w:val="0"/>
          <w:w w:val="100"/>
          <w:position w:val="0"/>
          <w:sz w:val="22"/>
          <w:szCs w:val="22"/>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名义金额（1元）计量。</w:t>
      </w:r>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与资产相关的政府补助确认为递延收益,在相关资产使用寿命内按照平均年限方法分期计入当期 损益。相关资产在使用寿命结束前被出售、转让、报废或发生毁损的，将尚未分配的相关递延收益余 额转入资产处置当期的损益。</w:t>
      </w:r>
    </w:p>
    <w:p>
      <w:pPr>
        <w:pStyle w:val="Style14"/>
        <w:keepNext w:val="0"/>
        <w:keepLines w:val="0"/>
        <w:widowControl w:val="0"/>
        <w:shd w:val="clear" w:color="auto" w:fill="auto"/>
        <w:bidi w:val="0"/>
        <w:spacing w:before="0" w:after="320" w:line="312" w:lineRule="exact"/>
        <w:ind w:left="0" w:right="0"/>
        <w:jc w:val="both"/>
        <w:rPr>
          <w:sz w:val="22"/>
          <w:szCs w:val="22"/>
        </w:rPr>
      </w:pPr>
      <w:r>
        <w:rPr>
          <w:color w:val="000000"/>
          <w:spacing w:val="0"/>
          <w:w w:val="100"/>
          <w:position w:val="0"/>
          <w:sz w:val="22"/>
          <w:szCs w:val="22"/>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其他收益或冲减相关成本费用。与日常活动无关的政府补助，计入营业外收支。</w:t>
      </w:r>
    </w:p>
    <w:p>
      <w:pPr>
        <w:pStyle w:val="Style34"/>
        <w:keepNext/>
        <w:keepLines/>
        <w:widowControl w:val="0"/>
        <w:shd w:val="clear" w:color="auto" w:fill="auto"/>
        <w:tabs>
          <w:tab w:pos="913" w:val="left"/>
        </w:tabs>
        <w:bidi w:val="0"/>
        <w:spacing w:before="0" w:after="220" w:line="326" w:lineRule="auto"/>
        <w:ind w:left="0" w:right="0" w:firstLine="44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5"/>
      <w:bookmarkEnd w:id="986"/>
      <w:bookmarkEnd w:id="988"/>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本集团递延所得税资产和递延所得税负债根据资产和负债的计税基础与其账面价值的差额（暂时 性差异）计算确认。对于按照税法规定能够于以后年度抵减应纳税所得额的可抵扣亏损，确认相应的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影响会计利润也不影响应纳税所得额（或可抵扣亏损）的非企业合并的交易中产生的资产或负债的初 始确认形成的暂时性差异，不确认相应的递延所得税资产和递延所得税负债。于资产负债表日，递延 所得税资产和递延所得税负债，按照预期收回该资产或清偿该负债期间的适用税率计量。</w:t>
      </w:r>
    </w:p>
    <w:p>
      <w:pPr>
        <w:pStyle w:val="Style14"/>
        <w:keepNext w:val="0"/>
        <w:keepLines w:val="0"/>
        <w:widowControl w:val="0"/>
        <w:shd w:val="clear" w:color="auto" w:fill="auto"/>
        <w:bidi w:val="0"/>
        <w:spacing w:before="0" w:after="320" w:line="298" w:lineRule="exact"/>
        <w:ind w:left="0" w:right="0"/>
        <w:jc w:val="both"/>
        <w:rPr>
          <w:sz w:val="22"/>
          <w:szCs w:val="22"/>
        </w:rPr>
      </w:pPr>
      <w:r>
        <w:rPr>
          <w:color w:val="000000"/>
          <w:spacing w:val="0"/>
          <w:w w:val="100"/>
          <w:position w:val="0"/>
          <w:sz w:val="22"/>
          <w:szCs w:val="22"/>
        </w:rPr>
        <w:t>本集团以很可能取得用来抵扣可抵扣暂时性差异、可抵扣亏损和税款抵减的未来应纳税所得额为 限，确认递延所得税资产。</w:t>
      </w:r>
    </w:p>
    <w:p>
      <w:pPr>
        <w:pStyle w:val="Style34"/>
        <w:keepNext/>
        <w:keepLines/>
        <w:widowControl w:val="0"/>
        <w:shd w:val="clear" w:color="auto" w:fill="auto"/>
        <w:tabs>
          <w:tab w:pos="913" w:val="left"/>
        </w:tabs>
        <w:bidi w:val="0"/>
        <w:spacing w:before="0" w:after="220" w:line="326" w:lineRule="auto"/>
        <w:ind w:left="0" w:right="0" w:firstLine="44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4</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89"/>
      <w:bookmarkEnd w:id="990"/>
      <w:bookmarkEnd w:id="992"/>
    </w:p>
    <w:p>
      <w:pPr>
        <w:pStyle w:val="Style59"/>
        <w:keepNext/>
        <w:keepLines/>
        <w:widowControl w:val="0"/>
        <w:shd w:val="clear" w:color="auto" w:fill="auto"/>
        <w:tabs>
          <w:tab w:pos="913" w:val="left"/>
        </w:tabs>
        <w:bidi w:val="0"/>
        <w:spacing w:before="0" w:after="320" w:line="312" w:lineRule="exact"/>
        <w:ind w:left="0" w:right="0" w:firstLine="44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93"/>
      <w:bookmarkEnd w:id="994"/>
      <w:bookmarkEnd w:id="996"/>
    </w:p>
    <w:p>
      <w:pPr>
        <w:pStyle w:val="Style14"/>
        <w:keepNext w:val="0"/>
        <w:keepLines w:val="0"/>
        <w:widowControl w:val="0"/>
        <w:shd w:val="clear" w:color="auto" w:fill="auto"/>
        <w:bidi w:val="0"/>
        <w:spacing w:before="0" w:after="220" w:line="312" w:lineRule="exact"/>
        <w:ind w:left="0" w:right="0"/>
        <w:jc w:val="both"/>
        <w:rPr>
          <w:sz w:val="22"/>
          <w:szCs w:val="22"/>
        </w:rPr>
      </w:pPr>
      <w:r>
        <w:rPr>
          <w:color w:val="000000"/>
          <w:spacing w:val="0"/>
          <w:w w:val="100"/>
          <w:position w:val="0"/>
          <w:sz w:val="22"/>
          <w:szCs w:val="22"/>
        </w:rPr>
        <w:t>本集团的租赁业务为经营租赁。</w:t>
      </w:r>
    </w:p>
    <w:p>
      <w:pPr>
        <w:pStyle w:val="Style14"/>
        <w:keepNext w:val="0"/>
        <w:keepLines w:val="0"/>
        <w:widowControl w:val="0"/>
        <w:shd w:val="clear" w:color="auto" w:fill="auto"/>
        <w:bidi w:val="0"/>
        <w:spacing w:before="0" w:after="320" w:line="293" w:lineRule="exact"/>
        <w:ind w:left="0" w:right="0"/>
        <w:jc w:val="both"/>
        <w:rPr>
          <w:sz w:val="22"/>
          <w:szCs w:val="22"/>
        </w:rPr>
      </w:pPr>
      <w:r>
        <w:rPr>
          <w:color w:val="000000"/>
          <w:spacing w:val="0"/>
          <w:w w:val="100"/>
          <w:position w:val="0"/>
          <w:sz w:val="22"/>
          <w:szCs w:val="22"/>
        </w:rPr>
        <w:t>本集团作为经营租赁承租方的租金在租赁期内的各个期间按直线法计入相关资产成本或当期损 益。</w:t>
      </w:r>
    </w:p>
    <w:p>
      <w:pPr>
        <w:pStyle w:val="Style59"/>
        <w:keepNext/>
        <w:keepLines/>
        <w:widowControl w:val="0"/>
        <w:shd w:val="clear" w:color="auto" w:fill="auto"/>
        <w:tabs>
          <w:tab w:pos="913" w:val="left"/>
        </w:tabs>
        <w:bidi w:val="0"/>
        <w:spacing w:before="0" w:after="320" w:line="312" w:lineRule="exact"/>
        <w:ind w:left="0" w:right="0" w:firstLine="440"/>
        <w:jc w:val="both"/>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00"/>
      <w:bookmarkEnd w:id="997"/>
      <w:bookmarkEnd w:id="998"/>
    </w:p>
    <w:p>
      <w:pPr>
        <w:pStyle w:val="Style34"/>
        <w:keepNext/>
        <w:keepLines/>
        <w:widowControl w:val="0"/>
        <w:shd w:val="clear" w:color="auto" w:fill="auto"/>
        <w:tabs>
          <w:tab w:pos="913" w:val="left"/>
        </w:tabs>
        <w:bidi w:val="0"/>
        <w:spacing w:before="0" w:after="220" w:line="326" w:lineRule="auto"/>
        <w:ind w:left="0" w:right="0" w:firstLine="44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4</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终止经营</w:t>
      </w:r>
      <w:bookmarkEnd w:id="1001"/>
      <w:bookmarkEnd w:id="1002"/>
      <w:bookmarkEnd w:id="1004"/>
    </w:p>
    <w:p>
      <w:pPr>
        <w:pStyle w:val="Style14"/>
        <w:keepNext w:val="0"/>
        <w:keepLines w:val="0"/>
        <w:widowControl w:val="0"/>
        <w:shd w:val="clear" w:color="auto" w:fill="auto"/>
        <w:bidi w:val="0"/>
        <w:spacing w:before="0" w:after="220" w:line="309" w:lineRule="exact"/>
        <w:ind w:left="0" w:right="0"/>
        <w:jc w:val="both"/>
        <w:rPr>
          <w:sz w:val="22"/>
          <w:szCs w:val="22"/>
        </w:rPr>
      </w:pPr>
      <w:r>
        <w:rPr>
          <w:color w:val="000000"/>
          <w:spacing w:val="0"/>
          <w:w w:val="100"/>
          <w:position w:val="0"/>
          <w:sz w:val="22"/>
          <w:szCs w:val="22"/>
        </w:rPr>
        <w:t>终止经营，是指本集团满足下列条件之一的、能够单独区分的组成部分，且该组成部分已经处置 或划分为持有待售类别：（1）该组成部分代表一项独立的主要业务或一个单独的主要经营地区；（2） 该组成部分是拟对一项独立的主要业务或一个单独的主要经营地区进行处置的一项相关联计划的一 部分；（3）该组成部分是专为转售而取得的子公司。</w:t>
      </w:r>
    </w:p>
    <w:p>
      <w:pPr>
        <w:pStyle w:val="Style34"/>
        <w:keepNext/>
        <w:keepLines/>
        <w:widowControl w:val="0"/>
        <w:shd w:val="clear" w:color="auto" w:fill="auto"/>
        <w:tabs>
          <w:tab w:pos="895" w:val="left"/>
        </w:tabs>
        <w:bidi w:val="0"/>
        <w:spacing w:before="0" w:after="280" w:line="312" w:lineRule="exact"/>
        <w:ind w:left="0" w:right="0" w:firstLine="44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4</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005"/>
      <w:bookmarkEnd w:id="1006"/>
      <w:bookmarkEnd w:id="1008"/>
    </w:p>
    <w:p>
      <w:pPr>
        <w:pStyle w:val="Style14"/>
        <w:keepNext w:val="0"/>
        <w:keepLines w:val="0"/>
        <w:widowControl w:val="0"/>
        <w:shd w:val="clear" w:color="auto" w:fill="auto"/>
        <w:bidi w:val="0"/>
        <w:spacing w:before="0" w:after="0" w:line="312" w:lineRule="exact"/>
        <w:ind w:left="0" w:right="0"/>
        <w:jc w:val="left"/>
        <w:rPr>
          <w:sz w:val="22"/>
          <w:szCs w:val="22"/>
        </w:rPr>
      </w:pPr>
      <w:r>
        <w:rPr>
          <w:color w:val="000000"/>
          <w:spacing w:val="0"/>
          <w:w w:val="100"/>
          <w:position w:val="0"/>
          <w:sz w:val="22"/>
          <w:szCs w:val="22"/>
        </w:rPr>
        <w:t>采用套期会计的依据、会计处理方法：</w:t>
      </w:r>
    </w:p>
    <w:p>
      <w:pPr>
        <w:pStyle w:val="Style14"/>
        <w:keepNext w:val="0"/>
        <w:keepLines w:val="0"/>
        <w:widowControl w:val="0"/>
        <w:shd w:val="clear" w:color="auto" w:fill="auto"/>
        <w:bidi w:val="0"/>
        <w:spacing w:before="0" w:after="0" w:line="312" w:lineRule="exact"/>
        <w:ind w:left="0" w:right="0"/>
        <w:jc w:val="both"/>
        <w:rPr>
          <w:sz w:val="22"/>
          <w:szCs w:val="22"/>
        </w:rPr>
      </w:pPr>
      <w:r>
        <w:rPr>
          <w:color w:val="000000"/>
          <w:spacing w:val="0"/>
          <w:w w:val="100"/>
          <w:position w:val="0"/>
          <w:sz w:val="22"/>
          <w:szCs w:val="22"/>
        </w:rPr>
        <w:t>本集团商品期货套期为现金流量套期，是指对被套期项目现金流量变动风险敞口进行的套期。以 很可能发生的预期交易为基础的被套期项目，应当指定在现金流量套期关系中。</w:t>
      </w:r>
    </w:p>
    <w:p>
      <w:pPr>
        <w:pStyle w:val="Style14"/>
        <w:keepNext w:val="0"/>
        <w:keepLines w:val="0"/>
        <w:widowControl w:val="0"/>
        <w:shd w:val="clear" w:color="auto" w:fill="auto"/>
        <w:bidi w:val="0"/>
        <w:spacing w:before="0" w:after="0" w:line="312" w:lineRule="exact"/>
        <w:ind w:left="0" w:right="0"/>
        <w:jc w:val="both"/>
        <w:rPr>
          <w:sz w:val="22"/>
          <w:szCs w:val="22"/>
        </w:rPr>
      </w:pPr>
      <w:r>
        <w:rPr>
          <w:color w:val="000000"/>
          <w:spacing w:val="0"/>
          <w:w w:val="100"/>
          <w:position w:val="0"/>
          <w:sz w:val="22"/>
          <w:szCs w:val="22"/>
        </w:rPr>
        <w:t>套期关系的指定及套期有效性的认定：1）在套期开始时，公司对套期关系（即套期工具和被套 期项目之间的关系）有正式指定，并准备关于套期关系、风险管理目标和套期策略的正式书面文件； 2）该套期预期高度有效，且符合公司最初为该套期关系所确定的风险管理策略；3）对预期交易的现 金流量套期，预期交易应当很可能发生，且必须使企业面临最终将影响损益的现金流量变动风险；4） 套期有效性能够可靠地计量；5）持续地对套期有效性进行评价，并确保该套期在套期关系被指定的 会计期间内高度有效。</w:t>
      </w:r>
    </w:p>
    <w:p>
      <w:pPr>
        <w:pStyle w:val="Style14"/>
        <w:keepNext w:val="0"/>
        <w:keepLines w:val="0"/>
        <w:widowControl w:val="0"/>
        <w:shd w:val="clear" w:color="auto" w:fill="auto"/>
        <w:bidi w:val="0"/>
        <w:spacing w:before="0" w:after="0" w:line="312" w:lineRule="exact"/>
        <w:ind w:left="0" w:right="0"/>
        <w:jc w:val="both"/>
        <w:rPr>
          <w:sz w:val="22"/>
          <w:szCs w:val="22"/>
        </w:rPr>
      </w:pPr>
      <w:r>
        <w:rPr>
          <w:color w:val="000000"/>
          <w:spacing w:val="0"/>
          <w:w w:val="100"/>
          <w:position w:val="0"/>
          <w:sz w:val="22"/>
          <w:szCs w:val="22"/>
        </w:rPr>
        <w:t>套期有效性要求：1）被套期项目与套期工具之间存在经济关系，使套期工具和被套期项目因被 套期风险而产生的公允价值或现金流量预期随着相同基础变量或经济上相关的类似基础变量变动发 生方向相反的变动；2）套期关系的套期比率，应当等于被套期项目的实际数量与用于对这些数量的 被套期项目进行套期的套期工具的实际数量之比，不应当反映被套期项目与套期工具所含风险的失 衡，这种失衡会产生套期无效（无论确认与否），并可能产生与套期会计目标不一致的会计结果；3） 经济关系产生的价值变动中，信用风险的影响不占主导地位。</w:t>
      </w:r>
    </w:p>
    <w:p>
      <w:pPr>
        <w:pStyle w:val="Style14"/>
        <w:keepNext w:val="0"/>
        <w:keepLines w:val="0"/>
        <w:widowControl w:val="0"/>
        <w:shd w:val="clear" w:color="auto" w:fill="auto"/>
        <w:bidi w:val="0"/>
        <w:spacing w:before="0" w:after="0" w:line="336" w:lineRule="exact"/>
        <w:ind w:left="0" w:right="0"/>
        <w:jc w:val="both"/>
        <w:rPr>
          <w:sz w:val="22"/>
          <w:szCs w:val="22"/>
        </w:rPr>
      </w:pPr>
      <w:r>
        <w:rPr>
          <w:color w:val="000000"/>
          <w:spacing w:val="0"/>
          <w:w w:val="100"/>
          <w:position w:val="0"/>
          <w:sz w:val="22"/>
          <w:szCs w:val="22"/>
        </w:rPr>
        <w:t>套期工具：套期工具是指企业为进行套期而指定的、其公允价值或现金流量变动预期可抵销被套 期项目的公允价值或现金流量变动的金融工具。</w:t>
      </w:r>
    </w:p>
    <w:p>
      <w:pPr>
        <w:pStyle w:val="Style14"/>
        <w:keepNext w:val="0"/>
        <w:keepLines w:val="0"/>
        <w:widowControl w:val="0"/>
        <w:shd w:val="clear" w:color="auto" w:fill="auto"/>
        <w:bidi w:val="0"/>
        <w:spacing w:before="0" w:after="0" w:line="311" w:lineRule="exact"/>
        <w:ind w:left="0" w:right="0"/>
        <w:jc w:val="both"/>
        <w:rPr>
          <w:sz w:val="22"/>
          <w:szCs w:val="22"/>
        </w:rPr>
      </w:pPr>
      <w:r>
        <w:rPr>
          <w:color w:val="000000"/>
          <w:spacing w:val="0"/>
          <w:w w:val="100"/>
          <w:position w:val="0"/>
          <w:sz w:val="22"/>
          <w:szCs w:val="22"/>
        </w:rPr>
        <w:t>本集团将购入的期铜合约作为套期工具。</w:t>
      </w:r>
    </w:p>
    <w:p>
      <w:pPr>
        <w:pStyle w:val="Style14"/>
        <w:keepNext w:val="0"/>
        <w:keepLines w:val="0"/>
        <w:widowControl w:val="0"/>
        <w:shd w:val="clear" w:color="auto" w:fill="auto"/>
        <w:bidi w:val="0"/>
        <w:spacing w:before="0" w:after="0" w:line="311" w:lineRule="exact"/>
        <w:ind w:left="0" w:right="0"/>
        <w:jc w:val="both"/>
        <w:rPr>
          <w:sz w:val="22"/>
          <w:szCs w:val="22"/>
        </w:rPr>
      </w:pPr>
      <w:r>
        <w:rPr>
          <w:color w:val="000000"/>
          <w:spacing w:val="0"/>
          <w:w w:val="100"/>
          <w:position w:val="0"/>
          <w:sz w:val="22"/>
          <w:szCs w:val="22"/>
        </w:rPr>
        <w:t>被套期项目：被套期项目可以是一项或一组存货、尚未确认的确定承诺以及很可能发生的预期交 易，也可以是上述项目的组成部分。被套期项目应当能够可靠计量。</w:t>
      </w:r>
    </w:p>
    <w:p>
      <w:pPr>
        <w:pStyle w:val="Style14"/>
        <w:keepNext w:val="0"/>
        <w:keepLines w:val="0"/>
        <w:widowControl w:val="0"/>
        <w:shd w:val="clear" w:color="auto" w:fill="auto"/>
        <w:bidi w:val="0"/>
        <w:spacing w:before="0" w:after="0" w:line="311" w:lineRule="exact"/>
        <w:ind w:left="0" w:right="0"/>
        <w:jc w:val="both"/>
        <w:rPr>
          <w:sz w:val="22"/>
          <w:szCs w:val="22"/>
        </w:rPr>
      </w:pPr>
      <w:r>
        <w:rPr>
          <w:color w:val="000000"/>
          <w:spacing w:val="0"/>
          <w:w w:val="100"/>
          <w:position w:val="0"/>
          <w:sz w:val="22"/>
          <w:szCs w:val="22"/>
        </w:rPr>
        <w:t>本集团将很可能发生的预期交易（铜的采购）作为被套期项目。</w:t>
      </w:r>
    </w:p>
    <w:p>
      <w:pPr>
        <w:pStyle w:val="Style14"/>
        <w:keepNext w:val="0"/>
        <w:keepLines w:val="0"/>
        <w:widowControl w:val="0"/>
        <w:shd w:val="clear" w:color="auto" w:fill="auto"/>
        <w:bidi w:val="0"/>
        <w:spacing w:before="0" w:after="0" w:line="311" w:lineRule="exact"/>
        <w:ind w:left="0" w:right="0"/>
        <w:jc w:val="both"/>
        <w:rPr>
          <w:sz w:val="22"/>
          <w:szCs w:val="22"/>
        </w:rPr>
      </w:pPr>
      <w:r>
        <w:rPr>
          <w:color w:val="000000"/>
          <w:spacing w:val="0"/>
          <w:w w:val="100"/>
          <w:position w:val="0"/>
          <w:sz w:val="22"/>
          <w:szCs w:val="22"/>
        </w:rPr>
        <w:t>现金流量套期会计处理原则</w:t>
      </w:r>
    </w:p>
    <w:p>
      <w:pPr>
        <w:pStyle w:val="Style14"/>
        <w:keepNext w:val="0"/>
        <w:keepLines w:val="0"/>
        <w:widowControl w:val="0"/>
        <w:shd w:val="clear" w:color="auto" w:fill="auto"/>
        <w:bidi w:val="0"/>
        <w:spacing w:before="0" w:after="0" w:line="311" w:lineRule="exact"/>
        <w:ind w:left="0" w:right="0"/>
        <w:jc w:val="both"/>
        <w:rPr>
          <w:sz w:val="22"/>
          <w:szCs w:val="22"/>
        </w:rPr>
      </w:pPr>
      <w:r>
        <w:rPr>
          <w:color w:val="000000"/>
          <w:spacing w:val="0"/>
          <w:w w:val="100"/>
          <w:position w:val="0"/>
          <w:sz w:val="22"/>
          <w:szCs w:val="22"/>
        </w:rPr>
        <w:t>对于现金流量套期，在套期关系存续期间，应当将套期工具累计利得或损失中不超过被套期项目 累计预计现金流量现值变动的部分作为有效套期部分（以下称为套期储备）计入其他综合收益，超过 部分作为无效套期部分计入当期损益。</w:t>
      </w:r>
    </w:p>
    <w:p>
      <w:pPr>
        <w:pStyle w:val="Style14"/>
        <w:keepNext w:val="0"/>
        <w:keepLines w:val="0"/>
        <w:widowControl w:val="0"/>
        <w:shd w:val="clear" w:color="auto" w:fill="auto"/>
        <w:bidi w:val="0"/>
        <w:spacing w:before="0" w:after="0" w:line="311" w:lineRule="exact"/>
        <w:ind w:left="0" w:right="0"/>
        <w:jc w:val="both"/>
        <w:rPr>
          <w:sz w:val="22"/>
          <w:szCs w:val="22"/>
        </w:rPr>
      </w:pPr>
      <w:r>
        <w:rPr>
          <w:color w:val="000000"/>
          <w:spacing w:val="0"/>
          <w:w w:val="100"/>
          <w:position w:val="0"/>
          <w:sz w:val="22"/>
          <w:szCs w:val="22"/>
        </w:rPr>
        <w:t>被套期项目为预期商品采购的，应当在确认相关存货时，将其套期储备转出并计入存货初始成本; 被套期项目为预期商品销售的，应当在该销售实现时，将其套期储备转出并计入销售收入；如果预期 交易随后成为一项确定承诺，且公司将该确定承诺指定为公允价值套期中的被套期项目，应当在指定 时，将其套期储备转出并计入该确定承诺的初始账面价值；预期交易预期不再发生时，应当将其套期 储备重分类至当期损益；如果现金流量套期储备累计金额是一项损失且公司预计在未来一个或多个会 计期间将无法弥补全部或部分损失，则应当立即将预计无法弥补的损失金额重分类计入当期损益。</w:t>
      </w:r>
    </w:p>
    <w:p>
      <w:pPr>
        <w:pStyle w:val="Style14"/>
        <w:keepNext w:val="0"/>
        <w:keepLines w:val="0"/>
        <w:widowControl w:val="0"/>
        <w:shd w:val="clear" w:color="auto" w:fill="auto"/>
        <w:bidi w:val="0"/>
        <w:spacing w:before="0" w:after="280" w:line="311" w:lineRule="exact"/>
        <w:ind w:left="0" w:right="0"/>
        <w:jc w:val="both"/>
        <w:rPr>
          <w:sz w:val="22"/>
          <w:szCs w:val="22"/>
        </w:rPr>
      </w:pPr>
      <w:r>
        <w:rPr>
          <w:color w:val="000000"/>
          <w:spacing w:val="0"/>
          <w:w w:val="100"/>
          <w:position w:val="0"/>
          <w:sz w:val="22"/>
          <w:szCs w:val="22"/>
        </w:rPr>
        <w:t>发生下列情况之一时，套期关系终止：1）因风险管理目标的变化，公司不能再指定既定的套期 关系；2）套期工具被平仓或到期交割；3）被套期项目风险敞口消失；4）套期关系不再满足商品期 货套期业务会计准则所规定有关套期会计的应用条件。</w:t>
      </w:r>
    </w:p>
    <w:p>
      <w:pPr>
        <w:pStyle w:val="Style34"/>
        <w:keepNext/>
        <w:keepLines/>
        <w:widowControl w:val="0"/>
        <w:shd w:val="clear" w:color="auto" w:fill="auto"/>
        <w:tabs>
          <w:tab w:pos="895" w:val="left"/>
        </w:tabs>
        <w:bidi w:val="0"/>
        <w:spacing w:before="0" w:after="280" w:line="312" w:lineRule="exact"/>
        <w:ind w:left="0" w:right="0" w:firstLine="44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009"/>
      <w:bookmarkEnd w:id="1010"/>
      <w:bookmarkEnd w:id="1012"/>
    </w:p>
    <w:p>
      <w:pPr>
        <w:pStyle w:val="Style59"/>
        <w:keepNext/>
        <w:keepLines/>
        <w:widowControl w:val="0"/>
        <w:shd w:val="clear" w:color="auto" w:fill="auto"/>
        <w:bidi w:val="0"/>
        <w:spacing w:before="0" w:after="400" w:line="312" w:lineRule="exact"/>
        <w:ind w:left="0" w:right="0" w:firstLine="22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3"/>
      <w:bookmarkEnd w:id="1014"/>
      <w:bookmarkEnd w:id="1016"/>
    </w:p>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565"/>
        <w:gridCol w:w="3811"/>
        <w:gridCol w:w="1205"/>
      </w:tblGrid>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4565"/>
        <w:gridCol w:w="3811"/>
        <w:gridCol w:w="1205"/>
      </w:tblGrid>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政部于</w:t>
            </w:r>
            <w:r>
              <w:rPr>
                <w:color w:val="000000"/>
                <w:spacing w:val="0"/>
                <w:w w:val="100"/>
                <w:position w:val="0"/>
              </w:rPr>
              <w:t>2017</w:t>
            </w:r>
            <w:r>
              <w:rPr>
                <w:rFonts w:ascii="SimSun" w:eastAsia="SimSun" w:hAnsi="SimSun" w:cs="SimSun"/>
                <w:color w:val="000000"/>
                <w:spacing w:val="0"/>
                <w:w w:val="100"/>
                <w:position w:val="0"/>
              </w:rPr>
              <w:t>年修订《企业会计准则第</w:t>
            </w:r>
            <w:r>
              <w:rPr>
                <w:color w:val="000000"/>
                <w:spacing w:val="0"/>
                <w:w w:val="100"/>
                <w:position w:val="0"/>
              </w:rPr>
              <w:t>14</w:t>
            </w:r>
            <w:r>
              <w:rPr>
                <w:rFonts w:ascii="SimSun" w:eastAsia="SimSun" w:hAnsi="SimSun" w:cs="SimSun"/>
                <w:color w:val="000000"/>
                <w:spacing w:val="0"/>
                <w:w w:val="100"/>
                <w:position w:val="0"/>
              </w:rPr>
              <w:t>号——收入》 (简称“新收入准则”)，并要求境内上市企业自</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相关会计政策变更已经本公司第五届董事会 第四次会议及第五届监事会第三次会议审议 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4"/>
        <w:keepNext w:val="0"/>
        <w:keepLines w:val="0"/>
        <w:widowControl w:val="0"/>
        <w:shd w:val="clear" w:color="auto" w:fill="auto"/>
        <w:bidi w:val="0"/>
        <w:spacing w:before="0" w:after="280" w:line="317" w:lineRule="exact"/>
        <w:ind w:left="0" w:right="0" w:firstLine="460"/>
        <w:jc w:val="both"/>
        <w:rPr>
          <w:sz w:val="22"/>
          <w:szCs w:val="22"/>
        </w:rPr>
      </w:pPr>
      <w:r>
        <w:rPr>
          <w:color w:val="000000"/>
          <w:spacing w:val="0"/>
          <w:w w:val="100"/>
          <w:position w:val="0"/>
          <w:sz w:val="22"/>
          <w:szCs w:val="22"/>
        </w:rPr>
        <w:t>本集团于2020年1月1日开始执行新收入准则，根据新收入准则的衔接规定，首次执行本准则的企 业，应当根据首次执行本准则的累计影响数，调整首次执行本准则当年年初留存收益及财务报表其他 相关项目金额，对可比期间信息不予调整。</w:t>
      </w:r>
    </w:p>
    <w:p>
      <w:pPr>
        <w:pStyle w:val="Style59"/>
        <w:keepNext/>
        <w:keepLines/>
        <w:widowControl w:val="0"/>
        <w:numPr>
          <w:ilvl w:val="0"/>
          <w:numId w:val="73"/>
        </w:numPr>
        <w:shd w:val="clear" w:color="auto" w:fill="auto"/>
        <w:tabs>
          <w:tab w:pos="493" w:val="left"/>
        </w:tabs>
        <w:bidi w:val="0"/>
        <w:spacing w:before="0" w:after="380" w:line="317" w:lineRule="exact"/>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重要会计估计变更</w:t>
      </w:r>
      <w:bookmarkEnd w:id="1017"/>
      <w:bookmarkEnd w:id="1018"/>
      <w:bookmarkEnd w:id="1020"/>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73"/>
        </w:numPr>
        <w:shd w:val="clear" w:color="auto" w:fill="auto"/>
        <w:tabs>
          <w:tab w:pos="493" w:val="left"/>
        </w:tabs>
        <w:bidi w:val="0"/>
        <w:spacing w:before="0" w:after="380" w:line="317" w:lineRule="exact"/>
        <w:ind w:left="0" w:right="0" w:firstLine="0"/>
        <w:jc w:val="both"/>
      </w:pPr>
      <w:bookmarkStart w:id="1021" w:name="bookmark1021"/>
      <w:bookmarkStart w:id="1022" w:name="bookmark1022"/>
      <w:bookmarkStart w:id="1023" w:name="bookmark1023"/>
      <w:bookmarkStart w:id="1024" w:name="bookmark1024"/>
      <w:bookmarkEnd w:id="102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21"/>
      <w:bookmarkEnd w:id="1022"/>
      <w:bookmarkEnd w:id="102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"是□否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61"/>
        <w:gridCol w:w="2237"/>
        <w:gridCol w:w="2237"/>
        <w:gridCol w:w="2246"/>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1,167,696,694.63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1,167,696,694.63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77,525,430.77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77,525,430.77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361,455,996.63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361,455,996.63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2,806,834,635.35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2,491,322,574.41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-315,512,060.94</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374,014,153.83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374,014,153.83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78,716,900.51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78,716,900.51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134,394,748.62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134,394,748.62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671,197,091.05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671,197,091.05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254,360,176.54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254,360,176.54</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189,365,984.10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189,365,984.10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bl>
    <w:p>
      <w:pPr>
        <w:sectPr>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2861"/>
        <w:gridCol w:w="2237"/>
        <w:gridCol w:w="2237"/>
        <w:gridCol w:w="2242"/>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5,861,201,635.49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5,800,049,751.09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-61,151,884.40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22,634,983.57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22,634,983.57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27,039,765.00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27,039,765.00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14,760,474.94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14,760,474.94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1,039,842,652.21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1,039,842,652.21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168,907,354.22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168,907,354.22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180,282,570.19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180,282,570.19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222,629,218.00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222,629,218.00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10,403,761.14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10,403,761.14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50,199,775.59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50,199,775.59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61,151,884.40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61,151,884.40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1,736,700,554.86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1,797,852,439.26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61,151,884.40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7,597,902,190.35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7,597,902,190.35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955,542,843.60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955,542,843.60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2,594,373.26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2,594,373.26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883,361,291.82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883,361,291.82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656,720,635.27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656,720,635.27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244,914,844.52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-244,914,844.52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200,802,715.83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200,802,715.83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75,795,024.29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75,795,024.29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32,360,632.03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32,360,632.03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148,380,586.26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148,380,586.26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61"/>
        <w:gridCol w:w="2237"/>
        <w:gridCol w:w="2237"/>
        <w:gridCol w:w="2242"/>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149,299,388.02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175,612,947.35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26,313,559.33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3,149,569,619.07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3,131,771,049.71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-17,798,569.36</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114,584,137.97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114,584,137.97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49,366,990.41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49,366,990.41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5,513,384.78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5,513,384.78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17,798,569.36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17,798,569.36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169,464,513.16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187,263,082.52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17,798,569.36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3,319,034,132.23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3,319,034,132.23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1,035,489,098.00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1,035,489,098.00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1,555,197,713.12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1,555,197,713.12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-1,358,775.43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-1,358,775.43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259,313,962.64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259,313,962.64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1,400,735,829.60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1,400,735,829.60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4,249,377,827.93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4,249,377,827.93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29,490,230.19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29,490,230.19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4,278,868,058.12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4,278,868,058.12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7,597,902,190.35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7,597,902,190.35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239" w:line="1" w:lineRule="exact"/>
      </w:pPr>
    </w:p>
    <w:p>
      <w:pPr>
        <w:pStyle w:val="Style38"/>
        <w:keepNext w:val="0"/>
        <w:keepLines w:val="0"/>
        <w:widowControl w:val="0"/>
        <w:shd w:val="clear" w:color="auto" w:fill="auto"/>
        <w:bidi w:val="0"/>
        <w:spacing w:before="0" w:after="420" w:line="312" w:lineRule="exact"/>
        <w:ind w:left="0" w:right="0" w:firstLine="460"/>
        <w:jc w:val="both"/>
        <w:rPr>
          <w:sz w:val="22"/>
          <w:szCs w:val="22"/>
        </w:r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662" w:right="855" w:bottom="1470" w:left="869" w:header="0" w:footer="3" w:gutter="0"/>
          <w:cols w:space="720"/>
          <w:noEndnote/>
          <w:rtlGutter w:val="0"/>
          <w:docGrid w:linePitch="360"/>
        </w:sectPr>
      </w:pPr>
      <w:r>
        <w:rPr>
          <w:color w:val="000000"/>
          <w:spacing w:val="0"/>
          <w:w w:val="100"/>
          <w:position w:val="0"/>
          <w:sz w:val="22"/>
          <w:szCs w:val="22"/>
        </w:rPr>
        <w:t xml:space="preserve">合并资产负债表调整情况说明：本集团按照收入准则的要求调整列报尚未完成合同的累积影响 数，包括尚未完成的合同中不满足无条件收款权的应收账款重分类为合同资产，一年以上的合同资产 重分类为其他非流动资产；在向客户转让商品之前，客户已经支付了合同对价的预收款项重分类为合 </w:t>
      </w:r>
    </w:p>
    <w:p>
      <w:pPr>
        <w:pStyle w:val="Style38"/>
        <w:keepNext w:val="0"/>
        <w:keepLines w:val="0"/>
        <w:widowControl w:val="0"/>
        <w:shd w:val="clear" w:color="auto" w:fill="auto"/>
        <w:bidi w:val="0"/>
        <w:spacing w:before="0" w:after="420" w:line="312" w:lineRule="exact"/>
        <w:ind w:left="0" w:right="0" w:firstLine="0"/>
        <w:jc w:val="both"/>
        <w:rPr>
          <w:sz w:val="22"/>
          <w:szCs w:val="22"/>
        </w:rPr>
      </w:pPr>
      <w:r>
        <w:rPr>
          <w:color w:val="000000"/>
          <w:spacing w:val="0"/>
          <w:w w:val="100"/>
          <w:position w:val="0"/>
          <w:sz w:val="22"/>
          <w:szCs w:val="22"/>
        </w:rPr>
        <w:t>同负债，属于待转销项税的部分重分类为其他流动负债，一年以上的合同负债重分类为其他非流动负 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2026"/>
        <w:gridCol w:w="2453"/>
        <w:gridCol w:w="2458"/>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657,851,205.44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657,851,205.44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73,241,295.06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73,241,295.06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132,757,002.06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132,757,002.06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1,831,777,056.71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1,525,073,181.27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-306,703,875.44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80,344,491.10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80,344,491.10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15,686,197.66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15,686,197.66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761,186,828.62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761,186,828.62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451,616,772.65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451,616,772.65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248,958,979.09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248,958,979.09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6,821,617.40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6,821,617.40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4,011,282,466.70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3,953,537,570.35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-57,744,896.35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1,537,305,343.65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1,537,305,343.65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327,407,718.78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327,407,718.78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2,398,920.20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2,398,920.20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71,692,182.53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71,692,182.53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3,394,859.41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3,394,859.41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23,808,127.10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23,808,127.10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57,744,896.35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57,744,896.35</w:t>
            </w:r>
          </w:p>
        </w:tc>
      </w:tr>
    </w:tbl>
    <w:p>
      <w:pPr>
        <w:spacing w:lineRule="exact" w:line="1"/>
        <w:rPr>
          <w:sz w:val="2"/>
          <w:szCs w:val="2"/>
        </w:rPr>
      </w:pPr>
      <w:r>
        <w:br w:type="page"/>
      </w:r>
    </w:p>
    <w:tbl>
      <w:tblPr>
        <w:tblOverlap w:val="never"/>
        <w:jc w:val="center"/>
        <w:tblLayout w:type="fixed"/>
      </w:tblPr>
      <w:tblGrid>
        <w:gridCol w:w="2640"/>
        <w:gridCol w:w="2026"/>
        <w:gridCol w:w="2453"/>
        <w:gridCol w:w="2458"/>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1,966,507,151.67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2,024,252,048.02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57,744,896.35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5,977,789,618.37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5,977,789,618.37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725,244,153.21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725,244,153.21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684,590,000.00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684,590,000.00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452,955,746.39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452,955,746.39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204,467,402.26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-204,467,402.26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166,669,261.31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166,669,261.31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20,672,711.06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20,672,711.06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15,616,878.91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15,616,878.91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61,170,898.56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61,170,898.56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54,907,676.05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77,933,589.01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23,025,912.96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2,220,025,466.44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2,205,253,238.45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-14,772,227.99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104,769,624.08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104,769,624.08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324,011.25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324,011.25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14,772,227.99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14,772,227.99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106,143,635.33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120,915,863.32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14,772,227.99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2,326,169,101.77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2,326,169,101.77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1,035,489,098.00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1,035,489,098.00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1,717,724,514.22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1,717,724,514.22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-1,937,072.66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-1,937,072.66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40"/>
        <w:gridCol w:w="2026"/>
        <w:gridCol w:w="2453"/>
        <w:gridCol w:w="2458"/>
      </w:tblGrid>
      <w:tr>
        <w:trPr>
          <w:trHeight w:val="32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134,864,175.08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134,864,175.08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765,479,801.96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765,479,801.96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3,651,620,516.60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3,651,620,516.60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0.00</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5,977,789,618.37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5,977,789,618.37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219" w:line="1" w:lineRule="exact"/>
      </w:pPr>
    </w:p>
    <w:p>
      <w:pPr>
        <w:pStyle w:val="Style38"/>
        <w:keepNext w:val="0"/>
        <w:keepLines w:val="0"/>
        <w:widowControl w:val="0"/>
        <w:shd w:val="clear" w:color="auto" w:fill="auto"/>
        <w:bidi w:val="0"/>
        <w:spacing w:before="0" w:after="300" w:line="314" w:lineRule="exact"/>
        <w:ind w:left="0" w:right="0" w:firstLine="460"/>
        <w:jc w:val="both"/>
        <w:rPr>
          <w:sz w:val="22"/>
          <w:szCs w:val="22"/>
        </w:rPr>
      </w:pPr>
      <w:r>
        <w:rPr>
          <w:color w:val="000000"/>
          <w:spacing w:val="0"/>
          <w:w w:val="100"/>
          <w:position w:val="0"/>
          <w:sz w:val="22"/>
          <w:szCs w:val="22"/>
        </w:rPr>
        <w:t>母公司资产负债表调整情况说明：本公司按照收入准则的要求调整列报尚未完成合同的累积影响 数，包括尚未完成的合同中不满足无条件收款权的应收账款重分类为合同资产，一年以上的合同资产 重分类为其他非流动资产；在向客户转让商品之前，客户已经支付了合同对价的预收款项重分类为合 同负债，属于待转销项税的部分重分类为其他流动负债，一年以上的合同负债重分类为其他非流动负 债。</w:t>
      </w:r>
    </w:p>
    <w:p>
      <w:pPr>
        <w:pStyle w:val="Style59"/>
        <w:keepNext/>
        <w:keepLines/>
        <w:widowControl w:val="0"/>
        <w:shd w:val="clear" w:color="auto" w:fill="auto"/>
        <w:bidi w:val="0"/>
        <w:spacing w:before="0" w:after="360" w:line="314"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5"/>
      <w:bookmarkEnd w:id="1026"/>
      <w:bookmarkEnd w:id="102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sz w:val="24"/>
          <w:szCs w:val="24"/>
        </w:rPr>
        <w:t>六</w:t>
      </w:r>
      <w:bookmarkEnd w:id="1031"/>
      <w:r>
        <w:rPr>
          <w:color w:val="000000"/>
          <w:spacing w:val="0"/>
          <w:w w:val="100"/>
          <w:position w:val="0"/>
          <w:sz w:val="24"/>
          <w:szCs w:val="24"/>
        </w:rPr>
        <w:t>、税项</w:t>
      </w:r>
      <w:bookmarkEnd w:id="1029"/>
      <w:bookmarkEnd w:id="1030"/>
      <w:bookmarkEnd w:id="1032"/>
    </w:p>
    <w:p>
      <w:pPr>
        <w:pStyle w:val="Style34"/>
        <w:keepNext/>
        <w:keepLines/>
        <w:widowControl w:val="0"/>
        <w:shd w:val="clear" w:color="auto" w:fill="auto"/>
        <w:bidi w:val="0"/>
        <w:spacing w:before="0" w:after="30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color w:val="000000"/>
          <w:spacing w:val="0"/>
          <w:w w:val="100"/>
          <w:position w:val="0"/>
        </w:rPr>
        <w:t>、主要税种及税率</w:t>
      </w:r>
      <w:bookmarkEnd w:id="1033"/>
      <w:bookmarkEnd w:id="1034"/>
      <w:bookmarkEnd w:id="1036"/>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16%</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31"/>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根据《财政部税务总局海关总署关于深化增值税改革有关政策的公告》（财政部税务总局海关总署公告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 xml:space="preserve">39 </w:t>
      </w:r>
      <w:r>
        <w:rPr>
          <w:color w:val="000000"/>
          <w:spacing w:val="0"/>
          <w:w w:val="100"/>
          <w:position w:val="0"/>
        </w:rPr>
        <w:t>号），本集团增值税税率自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日开始由</w:t>
      </w:r>
      <w:r>
        <w:rPr>
          <w:rFonts w:ascii="Times New Roman" w:eastAsia="Times New Roman" w:hAnsi="Times New Roman" w:cs="Times New Roman"/>
          <w:color w:val="000000"/>
          <w:spacing w:val="0"/>
          <w:w w:val="100"/>
          <w:position w:val="0"/>
        </w:rPr>
        <w:t>16%</w:t>
      </w:r>
      <w:r>
        <w:rPr>
          <w:color w:val="000000"/>
          <w:spacing w:val="0"/>
          <w:w w:val="100"/>
          <w:position w:val="0"/>
        </w:rPr>
        <w:t>调整为</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color w:val="000000"/>
          <w:spacing w:val="0"/>
          <w:w w:val="100"/>
          <w:position w:val="0"/>
        </w:rPr>
        <w:t>、税收优惠</w:t>
      </w:r>
      <w:bookmarkEnd w:id="1037"/>
      <w:bookmarkEnd w:id="1038"/>
      <w:bookmarkEnd w:id="1040"/>
    </w:p>
    <w:p>
      <w:pPr>
        <w:pStyle w:val="Style38"/>
        <w:keepNext w:val="0"/>
        <w:keepLines w:val="0"/>
        <w:widowControl w:val="0"/>
        <w:shd w:val="clear" w:color="auto" w:fill="auto"/>
        <w:bidi w:val="0"/>
        <w:spacing w:before="0" w:after="300" w:line="240" w:lineRule="auto"/>
        <w:ind w:left="0" w:right="0" w:firstLine="460"/>
        <w:jc w:val="left"/>
        <w:rPr>
          <w:sz w:val="22"/>
          <w:szCs w:val="22"/>
        </w:rPr>
      </w:pPr>
      <w:bookmarkStart w:id="1041" w:name="bookmark1041"/>
      <w:r>
        <w:rPr>
          <w:color w:val="000000"/>
          <w:spacing w:val="0"/>
          <w:w w:val="100"/>
          <w:position w:val="0"/>
          <w:sz w:val="22"/>
          <w:szCs w:val="22"/>
        </w:rPr>
        <w:t>（</w:t>
      </w:r>
      <w:bookmarkEnd w:id="1041"/>
      <w:r>
        <w:rPr>
          <w:color w:val="000000"/>
          <w:spacing w:val="0"/>
          <w:w w:val="100"/>
          <w:position w:val="0"/>
          <w:sz w:val="22"/>
          <w:szCs w:val="22"/>
        </w:rPr>
        <w:t>1）企业所得税</w:t>
      </w:r>
    </w:p>
    <w:p>
      <w:pPr>
        <w:pStyle w:val="Style38"/>
        <w:keepNext w:val="0"/>
        <w:keepLines w:val="0"/>
        <w:widowControl w:val="0"/>
        <w:shd w:val="clear" w:color="auto" w:fill="auto"/>
        <w:bidi w:val="0"/>
        <w:spacing w:before="0" w:line="240" w:lineRule="auto"/>
        <w:ind w:left="0" w:right="0" w:firstLine="460"/>
        <w:jc w:val="left"/>
        <w:rPr>
          <w:sz w:val="22"/>
          <w:szCs w:val="22"/>
        </w:rPr>
      </w:pPr>
      <w:bookmarkStart w:id="1042" w:name="bookmark1042"/>
      <w:r>
        <w:rPr>
          <w:color w:val="000000"/>
          <w:spacing w:val="0"/>
          <w:w w:val="100"/>
          <w:position w:val="0"/>
          <w:sz w:val="22"/>
          <w:szCs w:val="22"/>
        </w:rPr>
        <w:t>1</w:t>
      </w:r>
      <w:bookmarkEnd w:id="1042"/>
      <w:r>
        <w:rPr>
          <w:color w:val="000000"/>
          <w:spacing w:val="0"/>
          <w:w w:val="100"/>
          <w:position w:val="0"/>
          <w:sz w:val="22"/>
          <w:szCs w:val="22"/>
        </w:rPr>
        <w:t>）高新技术企业税收优惠</w:t>
      </w:r>
    </w:p>
    <w:tbl>
      <w:tblPr>
        <w:tblOverlap w:val="never"/>
        <w:jc w:val="center"/>
        <w:tblLayout w:type="fixed"/>
      </w:tblPr>
      <w:tblGrid>
        <w:gridCol w:w="3077"/>
        <w:gridCol w:w="1003"/>
        <w:gridCol w:w="5290"/>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纳税主体名称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所得税税率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税收优惠情况</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sz w:val="18"/>
                <w:szCs w:val="18"/>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30</w:t>
            </w:r>
            <w:r>
              <w:rPr>
                <w:rFonts w:ascii="SimSun" w:eastAsia="SimSun" w:hAnsi="SimSun" w:cs="SimSun"/>
                <w:color w:val="000000"/>
                <w:spacing w:val="0"/>
                <w:w w:val="100"/>
                <w:position w:val="0"/>
              </w:rPr>
              <w:t>日重新认定再次取得高新技术企业证书，</w:t>
            </w: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的企业所得税税率。</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日重新认定再次取得高新技术企业证书，</w:t>
            </w: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 xml:space="preserve">2020 </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的企业所得税税率。</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sz w:val="18"/>
                <w:szCs w:val="18"/>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30</w:t>
            </w:r>
            <w:r>
              <w:rPr>
                <w:rFonts w:ascii="SimSun" w:eastAsia="SimSun" w:hAnsi="SimSun" w:cs="SimSun"/>
                <w:color w:val="000000"/>
                <w:spacing w:val="0"/>
                <w:w w:val="100"/>
                <w:position w:val="0"/>
              </w:rPr>
              <w:t>日重新认定再次取得高新技术企业证书，</w:t>
            </w: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的企业所得税税率。</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日重新认定再次取得高新技术企业证书，</w:t>
            </w: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 xml:space="preserve">2020 </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的企业所得税税率。</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日重新认定再次取得高新技术企业证书，</w:t>
            </w: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年、</w:t>
            </w:r>
          </w:p>
        </w:tc>
      </w:tr>
    </w:tbl>
    <w:p>
      <w:pPr>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3077"/>
        <w:gridCol w:w="1003"/>
        <w:gridCol w:w="529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的企业所得税税率。</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日经认定取得高新技术企业证书，</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 业所得税税率。</w:t>
            </w:r>
          </w:p>
        </w:tc>
      </w:tr>
      <w:tr>
        <w:trPr>
          <w:trHeight w:val="55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浙江万马聚力新材料科技有限公司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日经认定取得高新技术企业证书，</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年适用</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的企 业所得税税率。</w:t>
            </w:r>
          </w:p>
        </w:tc>
      </w:tr>
    </w:tbl>
    <w:p>
      <w:pPr>
        <w:widowControl w:val="0"/>
        <w:spacing w:after="219" w:line="1" w:lineRule="exact"/>
      </w:pPr>
    </w:p>
    <w:p>
      <w:pPr>
        <w:pStyle w:val="Style38"/>
        <w:keepNext w:val="0"/>
        <w:keepLines w:val="0"/>
        <w:widowControl w:val="0"/>
        <w:shd w:val="clear" w:color="auto" w:fill="auto"/>
        <w:bidi w:val="0"/>
        <w:spacing w:before="0" w:after="220" w:line="311" w:lineRule="exact"/>
        <w:ind w:left="0" w:right="0" w:firstLine="460"/>
        <w:jc w:val="both"/>
        <w:rPr>
          <w:sz w:val="22"/>
          <w:szCs w:val="22"/>
        </w:rPr>
      </w:pPr>
      <w:r>
        <w:rPr>
          <w:color w:val="000000"/>
          <w:spacing w:val="0"/>
          <w:w w:val="100"/>
          <w:position w:val="0"/>
          <w:sz w:val="22"/>
          <w:szCs w:val="22"/>
        </w:rPr>
        <w:t>注：根据财政部、税务总局《关于实施小微企业普惠性税收减免政策的通知》（财税〔2019） 13 号），对小型微利企业年应纳税所得额不超过100万元的部分，减按25%计入应纳税所得额，按20%的 税率缴纳企业所得税；对年应纳税所得额超过100万元但不超过300万元的部分，减按50%计入应纳税 所得额，按20%的税率缴纳企业所得税。本公司之孙公司浙江万马聚力新材料科技有限公司满足小型 微利企业条件，2020年度享受小微企业普惠性税收减免政策。</w:t>
      </w:r>
    </w:p>
    <w:p>
      <w:pPr>
        <w:pStyle w:val="Style38"/>
        <w:keepNext w:val="0"/>
        <w:keepLines w:val="0"/>
        <w:widowControl w:val="0"/>
        <w:shd w:val="clear" w:color="auto" w:fill="auto"/>
        <w:tabs>
          <w:tab w:pos="778" w:val="left"/>
        </w:tabs>
        <w:bidi w:val="0"/>
        <w:spacing w:before="0" w:after="220" w:line="311" w:lineRule="exact"/>
        <w:ind w:left="0" w:right="0" w:firstLine="460"/>
        <w:jc w:val="both"/>
        <w:rPr>
          <w:sz w:val="22"/>
          <w:szCs w:val="22"/>
        </w:rPr>
      </w:pPr>
      <w:bookmarkStart w:id="1043" w:name="bookmark1043"/>
      <w:r>
        <w:rPr>
          <w:color w:val="000000"/>
          <w:spacing w:val="0"/>
          <w:w w:val="100"/>
          <w:position w:val="0"/>
          <w:sz w:val="22"/>
          <w:szCs w:val="22"/>
        </w:rPr>
        <w:t>2</w:t>
      </w:r>
      <w:bookmarkEnd w:id="1043"/>
      <w:r>
        <w:rPr>
          <w:color w:val="000000"/>
          <w:spacing w:val="0"/>
          <w:w w:val="100"/>
          <w:position w:val="0"/>
          <w:sz w:val="22"/>
          <w:szCs w:val="22"/>
        </w:rPr>
        <w:t>）</w:t>
        <w:tab/>
        <w:t>本公司、本公司之子公司浙江万马高分子材料集团有限公司、本公司之子公司浙江万马天屹 通信线缆有限公司为社会福利企业，参照财政部、国家税务总局《关于调整完善现行福利企业税收优 惠政策试点工作的通知》（财税[2006]111号）、《关于进一步做好调整现行福利企业税收优惠政策 试点工作的通知》（财税[2006]135号）的规定，企业所得税实施成本加成加计扣除办法，即可以按 照企业支付给残疾职工实际工资的2倍在税前扣除。</w:t>
      </w:r>
    </w:p>
    <w:p>
      <w:pPr>
        <w:pStyle w:val="Style38"/>
        <w:keepNext w:val="0"/>
        <w:keepLines w:val="0"/>
        <w:widowControl w:val="0"/>
        <w:shd w:val="clear" w:color="auto" w:fill="auto"/>
        <w:tabs>
          <w:tab w:pos="764" w:val="left"/>
        </w:tabs>
        <w:bidi w:val="0"/>
        <w:spacing w:before="0" w:after="220" w:line="322" w:lineRule="exact"/>
        <w:ind w:left="0" w:right="0" w:firstLine="460"/>
        <w:jc w:val="both"/>
        <w:rPr>
          <w:sz w:val="22"/>
          <w:szCs w:val="22"/>
        </w:rPr>
      </w:pPr>
      <w:bookmarkStart w:id="1044" w:name="bookmark1044"/>
      <w:r>
        <w:rPr>
          <w:color w:val="000000"/>
          <w:spacing w:val="0"/>
          <w:w w:val="100"/>
          <w:position w:val="0"/>
          <w:sz w:val="22"/>
          <w:szCs w:val="22"/>
        </w:rPr>
        <w:t>3</w:t>
      </w:r>
      <w:bookmarkEnd w:id="1044"/>
      <w:r>
        <w:rPr>
          <w:color w:val="000000"/>
          <w:spacing w:val="0"/>
          <w:w w:val="100"/>
          <w:position w:val="0"/>
          <w:sz w:val="22"/>
          <w:szCs w:val="22"/>
        </w:rPr>
        <w:t>）</w:t>
        <w:tab/>
        <w:t>参照财政部、国家税务总局《关于促进残疾人就业税收优惠政策的通知》（财税[2007]92号） 的规定，符合规定的社会福利企业取得的增值税退税免征企业所得税。</w:t>
      </w:r>
    </w:p>
    <w:p>
      <w:pPr>
        <w:pStyle w:val="Style38"/>
        <w:keepNext w:val="0"/>
        <w:keepLines w:val="0"/>
        <w:widowControl w:val="0"/>
        <w:shd w:val="clear" w:color="auto" w:fill="auto"/>
        <w:bidi w:val="0"/>
        <w:spacing w:before="0" w:after="220" w:line="311" w:lineRule="exact"/>
        <w:ind w:left="0" w:right="0" w:firstLine="460"/>
        <w:jc w:val="left"/>
        <w:rPr>
          <w:sz w:val="22"/>
          <w:szCs w:val="22"/>
        </w:rPr>
      </w:pPr>
      <w:bookmarkStart w:id="1045" w:name="bookmark1045"/>
      <w:r>
        <w:rPr>
          <w:color w:val="000000"/>
          <w:spacing w:val="0"/>
          <w:w w:val="100"/>
          <w:position w:val="0"/>
          <w:sz w:val="22"/>
          <w:szCs w:val="22"/>
        </w:rPr>
        <w:t>（</w:t>
      </w:r>
      <w:bookmarkEnd w:id="1045"/>
      <w:r>
        <w:rPr>
          <w:color w:val="000000"/>
          <w:spacing w:val="0"/>
          <w:w w:val="100"/>
          <w:position w:val="0"/>
          <w:sz w:val="22"/>
          <w:szCs w:val="22"/>
        </w:rPr>
        <w:t>2）增值税</w:t>
      </w:r>
    </w:p>
    <w:p>
      <w:pPr>
        <w:pStyle w:val="Style38"/>
        <w:keepNext w:val="0"/>
        <w:keepLines w:val="0"/>
        <w:widowControl w:val="0"/>
        <w:shd w:val="clear" w:color="auto" w:fill="auto"/>
        <w:bidi w:val="0"/>
        <w:spacing w:before="0" w:after="360" w:line="310" w:lineRule="exact"/>
        <w:ind w:left="0" w:right="0" w:firstLine="460"/>
        <w:jc w:val="both"/>
        <w:rPr>
          <w:sz w:val="22"/>
          <w:szCs w:val="22"/>
        </w:rPr>
      </w:pPr>
      <w:r>
        <w:rPr>
          <w:color w:val="000000"/>
          <w:spacing w:val="0"/>
          <w:w w:val="100"/>
          <w:position w:val="0"/>
          <w:sz w:val="22"/>
          <w:szCs w:val="22"/>
        </w:rPr>
        <w:t>本公司、本公司之子公司浙江万马高分子材料集团有限公司、本公司之子公司浙江万马天屹通信 线缆有限公司为社会福利企业，根据财政部、国家税务总局《关于促进残疾人就业增值税优惠政策的 通知》（财税[2016]52号）的规定，对安置残疾人的单位和个体工商户，实行由税务机关按纳税人安 置残疾人的人数，限额即征即退增值税的办法。安置的每位残疾人每月可退还的增值税具体限额，由 县级以上税务机关根据纳税人所在区县（含县级市、旗，下同）适用的经省（含自治区、直辖市、计 划单列市，下同）人民政府批准的月最低工资标准的4倍确定。</w:t>
      </w:r>
    </w:p>
    <w:p>
      <w:pPr>
        <w:pStyle w:val="Style34"/>
        <w:keepNext/>
        <w:keepLines/>
        <w:widowControl w:val="0"/>
        <w:shd w:val="clear" w:color="auto" w:fill="auto"/>
        <w:bidi w:val="0"/>
        <w:spacing w:before="0" w:after="220" w:line="324"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、其他</w:t>
      </w:r>
      <w:bookmarkEnd w:id="1046"/>
      <w:bookmarkEnd w:id="1047"/>
      <w:bookmarkEnd w:id="1049"/>
    </w:p>
    <w:p>
      <w:pPr>
        <w:pStyle w:val="Style38"/>
        <w:keepNext w:val="0"/>
        <w:keepLines w:val="0"/>
        <w:widowControl w:val="0"/>
        <w:shd w:val="clear" w:color="auto" w:fill="auto"/>
        <w:bidi w:val="0"/>
        <w:spacing w:before="0" w:after="300" w:line="312" w:lineRule="exact"/>
        <w:ind w:left="0" w:right="0" w:firstLine="460"/>
        <w:jc w:val="left"/>
        <w:rPr>
          <w:sz w:val="22"/>
          <w:szCs w:val="22"/>
        </w:rPr>
      </w:pPr>
      <w:r>
        <w:rPr>
          <w:color w:val="000000"/>
          <w:spacing w:val="0"/>
          <w:w w:val="100"/>
          <w:position w:val="0"/>
          <w:sz w:val="22"/>
          <w:szCs w:val="22"/>
        </w:rPr>
        <w:t>本公司之子公司香港骐骥国际发展有限公司注册地在香港，其纳税事宜遵循香港当地法律；本公 司之子公司</w:t>
      </w:r>
      <w:r>
        <w:rPr>
          <w:color w:val="000000"/>
          <w:spacing w:val="0"/>
          <w:w w:val="100"/>
          <w:position w:val="0"/>
          <w:sz w:val="22"/>
          <w:szCs w:val="22"/>
        </w:rPr>
        <w:t>Optrum Technology LLC</w:t>
      </w:r>
      <w:r>
        <w:rPr>
          <w:color w:val="000000"/>
          <w:spacing w:val="0"/>
          <w:w w:val="100"/>
          <w:position w:val="0"/>
          <w:sz w:val="22"/>
          <w:szCs w:val="22"/>
        </w:rPr>
        <w:t>注册地在美国德克萨斯州，其纳税事宜遵循德克萨斯州当地法律; 本公司之子公司万马线缆（越南）有限公司注册地在越南北宁市，其纳税事宜遵循越南北宁当地法律; 本公司之子公司</w:t>
      </w:r>
      <w:r>
        <w:rPr>
          <w:color w:val="000000"/>
          <w:spacing w:val="0"/>
          <w:w w:val="100"/>
          <w:position w:val="0"/>
          <w:sz w:val="22"/>
          <w:szCs w:val="22"/>
        </w:rPr>
        <w:t>Steed Networks Technologies Co. , Ltd</w:t>
      </w:r>
      <w:r>
        <w:rPr>
          <w:color w:val="000000"/>
          <w:spacing w:val="0"/>
          <w:w w:val="100"/>
          <w:position w:val="0"/>
          <w:sz w:val="22"/>
          <w:szCs w:val="22"/>
        </w:rPr>
        <w:t>注册地在柬埔寨金边市，其纳税事宜遵循柬 埔寨金边当地法律。</w:t>
      </w:r>
    </w:p>
    <w:p>
      <w:pPr>
        <w:pStyle w:val="Style26"/>
        <w:keepNext/>
        <w:keepLines/>
        <w:widowControl w:val="0"/>
        <w:shd w:val="clear" w:color="auto" w:fill="auto"/>
        <w:bidi w:val="0"/>
        <w:spacing w:before="0" w:after="300" w:line="311"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sz w:val="24"/>
          <w:szCs w:val="24"/>
        </w:rPr>
        <w:t>七</w:t>
      </w:r>
      <w:bookmarkEnd w:id="1052"/>
      <w:r>
        <w:rPr>
          <w:color w:val="000000"/>
          <w:spacing w:val="0"/>
          <w:w w:val="100"/>
          <w:position w:val="0"/>
          <w:sz w:val="24"/>
          <w:szCs w:val="24"/>
        </w:rPr>
        <w:t>、合并财务报表项目注释</w:t>
      </w:r>
      <w:bookmarkEnd w:id="1050"/>
      <w:bookmarkEnd w:id="1051"/>
      <w:bookmarkEnd w:id="1053"/>
    </w:p>
    <w:p>
      <w:pPr>
        <w:pStyle w:val="Style34"/>
        <w:keepNext/>
        <w:keepLines/>
        <w:widowControl w:val="0"/>
        <w:shd w:val="clear" w:color="auto" w:fill="auto"/>
        <w:bidi w:val="0"/>
        <w:spacing w:before="0" w:after="300" w:line="324"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4"/>
      <w:bookmarkEnd w:id="1055"/>
      <w:bookmarkEnd w:id="10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77,692.59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56,198.76</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1,113,913,069.54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888,240,509.15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400,800,652.45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279,399,986.72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1,514,791,414.58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1,167,696,694.63</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27,625,814.76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40,334,905.55</w:t>
            </w:r>
          </w:p>
        </w:tc>
      </w:tr>
    </w:tbl>
    <w:p>
      <w:pPr>
        <w:widowControl w:val="0"/>
        <w:spacing w:after="259" w:line="1" w:lineRule="exact"/>
      </w:pPr>
    </w:p>
    <w:p>
      <w:pPr>
        <w:pStyle w:val="Style38"/>
        <w:keepNext w:val="0"/>
        <w:keepLines w:val="0"/>
        <w:widowControl w:val="0"/>
        <w:shd w:val="clear" w:color="auto" w:fill="auto"/>
        <w:bidi w:val="0"/>
        <w:spacing w:before="0" w:after="340" w:line="362" w:lineRule="exact"/>
        <w:ind w:left="0" w:right="0" w:firstLine="460"/>
        <w:jc w:val="both"/>
        <w:rPr>
          <w:sz w:val="22"/>
          <w:szCs w:val="22"/>
        </w:rPr>
      </w:pPr>
      <w:r>
        <w:rPr>
          <w:color w:val="000000"/>
          <w:spacing w:val="0"/>
          <w:w w:val="100"/>
          <w:position w:val="0"/>
          <w:sz w:val="22"/>
          <w:szCs w:val="22"/>
        </w:rPr>
        <w:t xml:space="preserve">注：其他货币资金主要系存入银行的银行承兑汇票保证金、保函保证金、信用证保证金及协定存 款等；截止2020年12月31日，本集团使用受限资金共计387, 482, </w:t>
      </w:r>
      <w:r>
        <w:rPr>
          <w:color w:val="000000"/>
          <w:spacing w:val="0"/>
          <w:w w:val="100"/>
          <w:position w:val="0"/>
          <w:sz w:val="22"/>
          <w:szCs w:val="22"/>
        </w:rPr>
        <w:t xml:space="preserve">850. </w:t>
      </w:r>
      <w:r>
        <w:rPr>
          <w:color w:val="000000"/>
          <w:spacing w:val="0"/>
          <w:w w:val="100"/>
          <w:position w:val="0"/>
          <w:sz w:val="22"/>
          <w:szCs w:val="22"/>
        </w:rPr>
        <w:t>02元，包括保函保证金、信 用证保证金、银行承兑汇票保证金及协定存款，该等使用受限资金在现金流量表中不作为“现金及现 金等价物”列示。</w:t>
      </w:r>
    </w:p>
    <w:p>
      <w:pPr>
        <w:pStyle w:val="Style34"/>
        <w:keepNext/>
        <w:keepLines/>
        <w:widowControl w:val="0"/>
        <w:shd w:val="clear" w:color="auto" w:fill="auto"/>
        <w:bidi w:val="0"/>
        <w:spacing w:before="0" w:after="260" w:line="377"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color w:val="000000"/>
          <w:spacing w:val="0"/>
          <w:w w:val="100"/>
          <w:position w:val="0"/>
        </w:rPr>
        <w:t>、衍生金融资产</w:t>
      </w:r>
      <w:bookmarkEnd w:id="1057"/>
      <w:bookmarkEnd w:id="1058"/>
      <w:bookmarkEnd w:id="10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套期工具持仓保证金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32,283,045.50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52,069,179.06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套期工具公允价值变动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23,344,850.00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25,372,350.00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远期结购汇浮盈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755,842.98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83,901.71</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56,383,738.48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77,525,430.77</w:t>
            </w:r>
          </w:p>
        </w:tc>
      </w:tr>
    </w:tbl>
    <w:p>
      <w:pPr>
        <w:widowControl w:val="0"/>
        <w:spacing w:after="139" w:line="1" w:lineRule="exact"/>
      </w:pPr>
    </w:p>
    <w:p>
      <w:pPr>
        <w:pStyle w:val="Style38"/>
        <w:keepNext w:val="0"/>
        <w:keepLines w:val="0"/>
        <w:widowControl w:val="0"/>
        <w:shd w:val="clear" w:color="auto" w:fill="auto"/>
        <w:bidi w:val="0"/>
        <w:spacing w:before="0" w:after="340" w:line="240" w:lineRule="auto"/>
        <w:ind w:left="0" w:right="0" w:firstLine="460"/>
        <w:jc w:val="left"/>
        <w:rPr>
          <w:sz w:val="22"/>
          <w:szCs w:val="22"/>
        </w:rPr>
      </w:pPr>
      <w:r>
        <w:rPr>
          <w:color w:val="000000"/>
          <w:spacing w:val="0"/>
          <w:w w:val="100"/>
          <w:position w:val="0"/>
          <w:sz w:val="22"/>
          <w:szCs w:val="22"/>
        </w:rPr>
        <w:t>注：本公司对预期铜采购交易进行套期保值，将套期工具在本报表项目列示。</w:t>
      </w:r>
    </w:p>
    <w:p>
      <w:pPr>
        <w:pStyle w:val="Style34"/>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color w:val="000000"/>
          <w:spacing w:val="0"/>
          <w:w w:val="100"/>
          <w:position w:val="0"/>
        </w:rPr>
        <w:t>、应收票据</w:t>
      </w:r>
      <w:bookmarkEnd w:id="1061"/>
      <w:bookmarkEnd w:id="1062"/>
      <w:bookmarkEnd w:id="1064"/>
    </w:p>
    <w:p>
      <w:pPr>
        <w:pStyle w:val="Style59"/>
        <w:keepNext/>
        <w:keepLines/>
        <w:widowControl w:val="0"/>
        <w:shd w:val="clear" w:color="auto" w:fill="auto"/>
        <w:bidi w:val="0"/>
        <w:spacing w:before="0" w:after="34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5"/>
      <w:bookmarkEnd w:id="1066"/>
      <w:bookmarkEnd w:id="10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信用级别一般的银行承兑汇票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380,853,437.00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233,498,003.41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131,635,054.98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127,957,993.22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512,488,491.98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361,455,996.63</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40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按组合计提坏账 准备的应收票据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517,65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6,297.4</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5,167,8</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512,48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8,491.9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365,10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7,067.3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3,651,07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361,45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5,996.6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type w:val="continuous"/>
          <w:pgSz w:w="11900" w:h="16840"/>
          <w:pgMar w:top="1662" w:right="855" w:bottom="1470" w:left="869" w:header="0" w:footer="3" w:gutter="0"/>
          <w:cols w:space="720"/>
          <w:noEndnote/>
          <w:rtlGutter w:val="0"/>
          <w:docGrid w:linePitch="360"/>
        </w:sectPr>
      </w:pP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其中：信用级别一 般的银行承兑汇 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384,69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1,595.4</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74.31</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3,838,1</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380,85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3,437.0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235,85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6,569.1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2,358,56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233,49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8,003.4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商业承兑汇票组</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132,96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4,702.0</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25.69</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1,329,6</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131,63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5,054.9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129,25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0,498.2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1,292,50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127,95</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7,993.2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r>
      <w:tr>
        <w:trPr>
          <w:trHeight w:val="1032"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517,65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6,297.4</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5,167,8</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512,48</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8,491.9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365,10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7,067.3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3,651,07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361,45</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5,996.6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75"/>
        </w:numPr>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本期计提、收回或转回的坏账准备情况</w:t>
      </w:r>
      <w:bookmarkEnd w:id="1069"/>
      <w:bookmarkEnd w:id="1070"/>
      <w:bookmarkEnd w:id="1072"/>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50"/>
        <w:gridCol w:w="1459"/>
        <w:gridCol w:w="1421"/>
        <w:gridCol w:w="1070"/>
        <w:gridCol w:w="979"/>
        <w:gridCol w:w="1498"/>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信用级别一般的银 行承兑汇票组合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2,358,565.70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1,482,238.81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3,838,158.42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1,292,504.98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472,209.45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435,067.41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1,329,647.02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3,651,070.68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1,954,448.26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437,713.50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5,167,805.44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75"/>
        </w:numPr>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期末公司已质押的应收票据</w:t>
      </w:r>
      <w:bookmarkEnd w:id="1073"/>
      <w:bookmarkEnd w:id="1074"/>
      <w:bookmarkEnd w:id="10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信用级别一般的银行承兑汇票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170,234,068.16</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170,234,068.16</w:t>
            </w:r>
          </w:p>
        </w:tc>
      </w:tr>
    </w:tbl>
    <w:p>
      <w:pPr>
        <w:widowControl w:val="0"/>
        <w:spacing w:after="299" w:line="1" w:lineRule="exact"/>
      </w:pPr>
    </w:p>
    <w:p>
      <w:pPr>
        <w:pStyle w:val="Style59"/>
        <w:keepNext/>
        <w:keepLines/>
        <w:widowControl w:val="0"/>
        <w:numPr>
          <w:ilvl w:val="0"/>
          <w:numId w:val="75"/>
        </w:numPr>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期末公司已背书或贴现且在资产负债表日尚未到期的应收票据</w:t>
      </w:r>
      <w:bookmarkEnd w:id="1077"/>
      <w:bookmarkEnd w:id="1078"/>
      <w:bookmarkEnd w:id="10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信用级别一般的银行承兑汇票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99,254,464.42</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53,065,138.19</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152,319,602.61</w:t>
            </w:r>
          </w:p>
        </w:tc>
      </w:tr>
    </w:tbl>
    <w:p>
      <w:pPr>
        <w:widowControl w:val="0"/>
        <w:spacing w:after="339" w:line="1" w:lineRule="exact"/>
      </w:pPr>
    </w:p>
    <w:p>
      <w:pPr>
        <w:pStyle w:val="Style59"/>
        <w:keepNext/>
        <w:keepLines/>
        <w:widowControl w:val="0"/>
        <w:numPr>
          <w:ilvl w:val="0"/>
          <w:numId w:val="75"/>
        </w:numPr>
        <w:shd w:val="clear" w:color="auto" w:fill="auto"/>
        <w:bidi w:val="0"/>
        <w:spacing w:before="0" w:after="340" w:line="240" w:lineRule="auto"/>
        <w:ind w:left="0" w:right="0" w:firstLine="14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期末公司因出票人未履约而将其转应收账款的票据</w:t>
      </w:r>
      <w:bookmarkEnd w:id="1081"/>
      <w:bookmarkEnd w:id="1082"/>
      <w:bookmarkEnd w:id="10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信用级别一般的银行承兑汇票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200,000.00</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200,000.00</w:t>
            </w:r>
          </w:p>
        </w:tc>
      </w:tr>
    </w:tbl>
    <w:p>
      <w:pPr>
        <w:widowControl w:val="0"/>
        <w:spacing w:after="339" w:line="1" w:lineRule="exact"/>
      </w:pPr>
    </w:p>
    <w:p>
      <w:pPr>
        <w:pStyle w:val="Style59"/>
        <w:keepNext/>
        <w:keepLines/>
        <w:widowControl w:val="0"/>
        <w:numPr>
          <w:ilvl w:val="0"/>
          <w:numId w:val="75"/>
        </w:numPr>
        <w:shd w:val="clear" w:color="auto" w:fill="auto"/>
        <w:bidi w:val="0"/>
        <w:spacing w:before="0" w:after="340" w:line="240" w:lineRule="auto"/>
        <w:ind w:left="0" w:right="0" w:firstLine="14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本期实际核销的应收票据情况</w:t>
      </w:r>
      <w:bookmarkEnd w:id="1085"/>
      <w:bookmarkEnd w:id="1086"/>
      <w:bookmarkEnd w:id="10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3" w:hRule="exact"/>
        </w:trPr>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应收票据性质</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color w:val="000000"/>
          <w:spacing w:val="0"/>
          <w:w w:val="100"/>
          <w:position w:val="0"/>
        </w:rPr>
        <w:t>、应收账款</w:t>
      </w:r>
      <w:bookmarkEnd w:id="1089"/>
      <w:bookmarkEnd w:id="1090"/>
      <w:bookmarkEnd w:id="1092"/>
    </w:p>
    <w:p>
      <w:pPr>
        <w:pStyle w:val="Style59"/>
        <w:keepNext/>
        <w:keepLines/>
        <w:widowControl w:val="0"/>
        <w:numPr>
          <w:ilvl w:val="0"/>
          <w:numId w:val="77"/>
        </w:numPr>
        <w:shd w:val="clear" w:color="auto" w:fill="auto"/>
        <w:bidi w:val="0"/>
        <w:spacing w:before="0" w:after="340" w:line="240" w:lineRule="auto"/>
        <w:ind w:left="0" w:right="0" w:firstLine="14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应收账款分类披露</w:t>
      </w:r>
      <w:bookmarkEnd w:id="1093"/>
      <w:bookmarkEnd w:id="1094"/>
      <w:bookmarkEnd w:id="10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31,720,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31,720,</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21,844,</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9,876,09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2,836,5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96,545.</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98.90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149,80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1,616.8</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2,686,7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94,928.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2,597,6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61,568.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116,215</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2,481,44</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6,475.31</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2,836,3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98.89</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149,80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2,686,5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2,597,5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116,215</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2,481,34</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1,432.40</w:t>
            </w: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197,19</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197,19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105,04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105,042.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1027"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2,868,3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17,025.</w:t>
            </w:r>
          </w:p>
          <w:p>
            <w:pPr>
              <w:pStyle w:val="Style2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181,52</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2,096.7</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2,686,7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94,928.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2,629,3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82,048.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138,05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9,473.6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2,491,32</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2,574.41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31,720,479.89</w:t>
      </w:r>
      <w:r>
        <w:rPr>
          <w:color w:val="000000"/>
          <w:spacing w:val="0"/>
          <w:w w:val="100"/>
          <w:position w:val="0"/>
        </w:rPr>
        <w:t>元。</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15,703,603.65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15,703,603.65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5,679,939.11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5,679,939.11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4,335,468.37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4,335,468.37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4,222,205.60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4,222,205.60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655,376.62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655,376.62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514,916.41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514,916.41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428,970.13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428,970.13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31,720,479.89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31,720,479.89</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104"/>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149,801,616.81</w:t>
      </w:r>
      <w:r>
        <w:rPr>
          <w:rFonts w:ascii="SimSun" w:eastAsia="SimSun" w:hAnsi="SimSun" w:cs="SimSun"/>
          <w:color w:val="000000"/>
          <w:spacing w:val="0"/>
          <w:w w:val="100"/>
          <w:position w:val="0"/>
        </w:rPr>
        <w:t>元</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2,537,245,209.06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27,873,632.81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144,271,928.22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16,686,713.19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71,076,803.23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21,435,859.86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83,805,410.95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83,805,410.95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2,836,399,351.46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149,801,616.81</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2,537,433,331.27</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144,361,100.01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72,052,925.73</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114,469,668.34</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2,868,317,025.35</w:t>
            </w:r>
          </w:p>
        </w:tc>
      </w:tr>
    </w:tbl>
    <w:p>
      <w:pPr>
        <w:widowControl w:val="0"/>
        <w:spacing w:after="299" w:line="1" w:lineRule="exact"/>
      </w:pPr>
    </w:p>
    <w:p>
      <w:pPr>
        <w:pStyle w:val="Style59"/>
        <w:keepNext/>
        <w:keepLines/>
        <w:widowControl w:val="0"/>
        <w:numPr>
          <w:ilvl w:val="0"/>
          <w:numId w:val="77"/>
        </w:numPr>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本期计提、收回或转回的坏账准备情况</w:t>
      </w:r>
      <w:bookmarkEnd w:id="1097"/>
      <w:bookmarkEnd w:id="1098"/>
      <w:bookmarkEnd w:id="110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21,844,380.79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9,876,099.10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31,720,479.89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116,215,092.85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35,858,013.15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1,833,172.00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438,317.19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149,801,616.81</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138,059,473.64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45,734,112.25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1,833,172.00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438,317.19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181,522,096.70</w:t>
            </w:r>
          </w:p>
        </w:tc>
      </w:tr>
    </w:tbl>
    <w:p>
      <w:pPr>
        <w:widowControl w:val="0"/>
        <w:spacing w:after="299" w:line="1" w:lineRule="exact"/>
      </w:pPr>
    </w:p>
    <w:p>
      <w:pPr>
        <w:pStyle w:val="Style59"/>
        <w:keepNext/>
        <w:keepLines/>
        <w:widowControl w:val="0"/>
        <w:numPr>
          <w:ilvl w:val="0"/>
          <w:numId w:val="77"/>
        </w:numPr>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本期实际核销的应收账款情况</w:t>
      </w:r>
      <w:bookmarkEnd w:id="1101"/>
      <w:bookmarkEnd w:id="1102"/>
      <w:bookmarkEnd w:id="11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438,317.19</w:t>
            </w:r>
          </w:p>
        </w:tc>
      </w:tr>
    </w:tbl>
    <w:p>
      <w:pPr>
        <w:widowControl w:val="0"/>
        <w:spacing w:after="299" w:line="1" w:lineRule="exact"/>
      </w:pPr>
    </w:p>
    <w:p>
      <w:pPr>
        <w:pStyle w:val="Style59"/>
        <w:keepNext/>
        <w:keepLines/>
        <w:widowControl w:val="0"/>
        <w:numPr>
          <w:ilvl w:val="0"/>
          <w:numId w:val="77"/>
        </w:numPr>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按欠款方归集的期末余额前五名的应收账款情况</w:t>
      </w:r>
      <w:bookmarkEnd w:id="1105"/>
      <w:bookmarkEnd w:id="1106"/>
      <w:bookmarkEnd w:id="11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112,279,577.64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1,122,795.78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82,237,483.17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822,374.83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69,325,175.19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693,251.75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59,497,610.53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4,336,673.18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53,694,801.73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536,948.02</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377,034,648.26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p>
      <w:pPr>
        <w:pStyle w:val="Style59"/>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因金融资产转移而终止确认的应收账款</w:t>
      </w:r>
      <w:bookmarkEnd w:id="1109"/>
      <w:bookmarkEnd w:id="1110"/>
      <w:bookmarkEnd w:id="1112"/>
    </w:p>
    <w:p>
      <w:pPr>
        <w:pStyle w:val="Style59"/>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转移应收账款且继续涉入形成的资产、负债金额</w:t>
      </w:r>
      <w:bookmarkEnd w:id="1113"/>
      <w:bookmarkEnd w:id="1114"/>
      <w:bookmarkEnd w:id="1116"/>
    </w:p>
    <w:p>
      <w:pPr>
        <w:pStyle w:val="Style34"/>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5</w:t>
      </w:r>
      <w:bookmarkEnd w:id="1119"/>
      <w:r>
        <w:rPr>
          <w:color w:val="000000"/>
          <w:spacing w:val="0"/>
          <w:w w:val="100"/>
          <w:position w:val="0"/>
        </w:rPr>
        <w:t>、应收款项融资</w:t>
      </w:r>
      <w:bookmarkEnd w:id="1117"/>
      <w:bookmarkEnd w:id="1118"/>
      <w:bookmarkEnd w:id="11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信用等级较高的银行承兑汇票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385,741,006.13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374,014,153.83</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385,741,006.13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374,014,153.83</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341" w:lineRule="exact"/>
        <w:ind w:left="0" w:right="0" w:firstLine="0"/>
        <w:jc w:val="left"/>
        <w:rPr>
          <w:sz w:val="18"/>
          <w:szCs w:val="18"/>
        </w:rPr>
      </w:pPr>
      <w:bookmarkStart w:id="1121" w:name="bookmark1121"/>
      <w:bookmarkStart w:id="1122" w:name="bookmark1122"/>
      <w:bookmarkStart w:id="1123" w:name="bookmark1123"/>
      <w:r>
        <w:rPr>
          <w:color w:val="000000"/>
          <w:spacing w:val="0"/>
          <w:w w:val="100"/>
          <w:position w:val="0"/>
          <w:sz w:val="18"/>
          <w:szCs w:val="18"/>
        </w:rPr>
        <w:t>其他说明：</w:t>
      </w:r>
      <w:bookmarkEnd w:id="1121"/>
      <w:bookmarkEnd w:id="1122"/>
      <w:bookmarkEnd w:id="1123"/>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年末已用于质押的应收票据</w:t>
      </w:r>
    </w:p>
    <w:tbl>
      <w:tblPr>
        <w:tblOverlap w:val="never"/>
        <w:jc w:val="center"/>
        <w:tblLayout w:type="fixed"/>
      </w:tblPr>
      <w:tblGrid>
        <w:gridCol w:w="7022"/>
        <w:gridCol w:w="2856"/>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年末已质押金额</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信用等级较高的银行承兑汇票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113,792,010.22</w:t>
            </w: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113,792,010.22</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年末已经背书或贴现且在资产负债表日尚未到期的应收票据</w:t>
      </w:r>
    </w:p>
    <w:tbl>
      <w:tblPr>
        <w:tblOverlap w:val="never"/>
        <w:jc w:val="center"/>
        <w:tblLayout w:type="fixed"/>
      </w:tblPr>
      <w:tblGrid>
        <w:gridCol w:w="4138"/>
        <w:gridCol w:w="2866"/>
        <w:gridCol w:w="2875"/>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年末终止确认金额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年末未终止确认金额</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信用等级较高的银行承兑汇票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1,270,442,877.09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1,270,442,877.09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4"/>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6</w:t>
      </w:r>
      <w:bookmarkEnd w:id="1126"/>
      <w:r>
        <w:rPr>
          <w:color w:val="000000"/>
          <w:spacing w:val="0"/>
          <w:w w:val="100"/>
          <w:position w:val="0"/>
        </w:rPr>
        <w:t>、预付款项</w:t>
      </w:r>
      <w:bookmarkEnd w:id="1124"/>
      <w:bookmarkEnd w:id="1125"/>
      <w:bookmarkEnd w:id="1127"/>
    </w:p>
    <w:p>
      <w:pPr>
        <w:pStyle w:val="Style59"/>
        <w:keepNext/>
        <w:keepLines/>
        <w:widowControl w:val="0"/>
        <w:numPr>
          <w:ilvl w:val="0"/>
          <w:numId w:val="79"/>
        </w:numPr>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预付款项按账龄列示</w:t>
      </w:r>
      <w:bookmarkEnd w:id="1128"/>
      <w:bookmarkEnd w:id="1129"/>
      <w:bookmarkEnd w:id="11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119,657,013.06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68,723,217.42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4,450,075.30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3,781,667.76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4.80%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406,999.84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2,849,147.05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957,989.01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3,362,868.28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4.27%</w:t>
            </w: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125,472,077.21</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78,716,900.51</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59"/>
        <w:keepNext/>
        <w:keepLines/>
        <w:widowControl w:val="0"/>
        <w:numPr>
          <w:ilvl w:val="0"/>
          <w:numId w:val="79"/>
        </w:numPr>
        <w:shd w:val="clear" w:color="auto" w:fill="auto"/>
        <w:bidi w:val="0"/>
        <w:spacing w:before="0" w:after="30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按预付对象归集的期末余额前五名的预付款情况</w:t>
      </w:r>
      <w:bookmarkEnd w:id="1132"/>
      <w:bookmarkEnd w:id="1133"/>
      <w:bookmarkEnd w:id="1135"/>
    </w:p>
    <w:tbl>
      <w:tblPr>
        <w:tblOverlap w:val="never"/>
        <w:jc w:val="center"/>
        <w:tblLayout w:type="fixed"/>
      </w:tblPr>
      <w:tblGrid>
        <w:gridCol w:w="2112"/>
        <w:gridCol w:w="2318"/>
        <w:gridCol w:w="1829"/>
        <w:gridCol w:w="3259"/>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占预付款项年末余额合计数的比例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16,503,065.55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pPr>
            <w:r>
              <w:rPr>
                <w:color w:val="000000"/>
                <w:spacing w:val="0"/>
                <w:w w:val="100"/>
                <w:position w:val="0"/>
              </w:rPr>
              <w:t>13.15</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13,664,945.64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pPr>
            <w:r>
              <w:rPr>
                <w:color w:val="000000"/>
                <w:spacing w:val="0"/>
                <w:w w:val="100"/>
                <w:position w:val="0"/>
              </w:rPr>
              <w:t>10.89</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12,033,600.00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pPr>
            <w:r>
              <w:rPr>
                <w:color w:val="000000"/>
                <w:spacing w:val="0"/>
                <w:w w:val="100"/>
                <w:position w:val="0"/>
              </w:rPr>
              <w:t>9.59</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8,247,070.09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pPr>
            <w:r>
              <w:rPr>
                <w:color w:val="000000"/>
                <w:spacing w:val="0"/>
                <w:w w:val="100"/>
                <w:position w:val="0"/>
              </w:rPr>
              <w:t>6.57</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7,168,850.00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pPr>
            <w:r>
              <w:rPr>
                <w:color w:val="000000"/>
                <w:spacing w:val="0"/>
                <w:w w:val="100"/>
                <w:position w:val="0"/>
              </w:rPr>
              <w:t>5.71</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57,617,531.28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pPr>
            <w:r>
              <w:rPr>
                <w:color w:val="000000"/>
                <w:spacing w:val="0"/>
                <w:w w:val="100"/>
                <w:position w:val="0"/>
              </w:rPr>
              <w:t>45.91</w:t>
            </w:r>
          </w:p>
        </w:tc>
      </w:tr>
    </w:tbl>
    <w:p>
      <w:pPr>
        <w:widowControl w:val="0"/>
        <w:spacing w:after="659" w:line="1" w:lineRule="exact"/>
      </w:pPr>
    </w:p>
    <w:p>
      <w:pPr>
        <w:pStyle w:val="Style34"/>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7</w:t>
      </w:r>
      <w:bookmarkEnd w:id="1138"/>
      <w:r>
        <w:rPr>
          <w:color w:val="000000"/>
          <w:spacing w:val="0"/>
          <w:w w:val="100"/>
          <w:position w:val="0"/>
        </w:rPr>
        <w:t>、其他应收款</w:t>
      </w:r>
      <w:bookmarkEnd w:id="1136"/>
      <w:bookmarkEnd w:id="1137"/>
      <w:bookmarkEnd w:id="11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121,307,624.69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134,394,748.62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121,307,624.69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134,394,748.62</w:t>
            </w:r>
          </w:p>
        </w:tc>
      </w:tr>
    </w:tbl>
    <w:p>
      <w:pPr>
        <w:widowControl w:val="0"/>
        <w:spacing w:after="299" w:line="1" w:lineRule="exact"/>
      </w:pPr>
    </w:p>
    <w:p>
      <w:pPr>
        <w:pStyle w:val="Style59"/>
        <w:keepNext/>
        <w:keepLines/>
        <w:widowControl w:val="0"/>
        <w:numPr>
          <w:ilvl w:val="0"/>
          <w:numId w:val="81"/>
        </w:numPr>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其他应收款按款项性质分类情况</w:t>
      </w:r>
      <w:bookmarkEnd w:id="1140"/>
      <w:bookmarkEnd w:id="1141"/>
      <w:bookmarkEnd w:id="11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55,404,341.22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61,707,020.01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36,300,589.89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52,505,580.07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31,154,760.17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26,451,844.14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14,318,540.11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7,772,359.40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6,934,051.84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6,527,129.41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447,036.59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544,970.10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1,060,172.97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883,693.62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145,619,492.79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156,392,596.75</w:t>
            </w:r>
          </w:p>
        </w:tc>
      </w:tr>
    </w:tbl>
    <w:p>
      <w:pPr>
        <w:widowControl w:val="0"/>
        <w:spacing w:after="299" w:line="1" w:lineRule="exact"/>
      </w:pPr>
    </w:p>
    <w:p>
      <w:pPr>
        <w:pStyle w:val="Style59"/>
        <w:keepNext/>
        <w:keepLines/>
        <w:widowControl w:val="0"/>
        <w:numPr>
          <w:ilvl w:val="0"/>
          <w:numId w:val="81"/>
        </w:numPr>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坏账准备计提情况</w:t>
      </w:r>
      <w:bookmarkEnd w:id="1144"/>
      <w:bookmarkEnd w:id="1145"/>
      <w:bookmarkEnd w:id="11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1474"/>
        <w:gridCol w:w="2098"/>
        <w:gridCol w:w="2102"/>
        <w:gridCol w:w="1810"/>
      </w:tblGrid>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098"/>
        <w:gridCol w:w="1474"/>
        <w:gridCol w:w="2098"/>
        <w:gridCol w:w="2102"/>
        <w:gridCol w:w="1810"/>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期信用损失</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21,997,848.13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21,997,848.13</w:t>
            </w: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4,816,746.77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1,929,697.35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6,746,444.12</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99,552.41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4,332,871.74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4,332,871.74</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22,382,170.75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1,929,697.35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24,311,868.10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91,797,552.67</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24,403,993.29</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13,720,455.99</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15,697,490.84</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145,619,492.79</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color w:val="000000"/>
          <w:spacing w:val="0"/>
          <w:w w:val="100"/>
          <w:position w:val="0"/>
        </w:rPr>
        <w:t>）本期计提、收回或转回的坏账准备情况</w:t>
      </w:r>
      <w:bookmarkEnd w:id="1148"/>
      <w:bookmarkEnd w:id="1149"/>
      <w:bookmarkEnd w:id="115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637"/>
        <w:gridCol w:w="1560"/>
        <w:gridCol w:w="1411"/>
        <w:gridCol w:w="1066"/>
        <w:gridCol w:w="749"/>
        <w:gridCol w:w="1738"/>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21,997,848.13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4,816,746.77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4,332,871.74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22,382,170.75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1,929,697.35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1,929,697.35</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21,997,848.13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6,746,444.12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4,332,871.74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99,552.41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24,311,868.10</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）本期实际核销的其他应收款情况</w:t>
      </w:r>
      <w:bookmarkEnd w:id="1152"/>
      <w:bookmarkEnd w:id="1153"/>
      <w:bookmarkEnd w:id="11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99,552.41</w:t>
            </w:r>
          </w:p>
        </w:tc>
      </w:tr>
    </w:tbl>
    <w:p>
      <w:pPr>
        <w:spacing w:lineRule="exact" w:line="1"/>
        <w:rPr>
          <w:sz w:val="2"/>
          <w:szCs w:val="2"/>
        </w:rPr>
      </w:pPr>
      <w:r>
        <w:br w:type="page"/>
      </w:r>
    </w:p>
    <w:p>
      <w:pPr>
        <w:pStyle w:val="Style59"/>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5</w:t>
      </w:r>
      <w:bookmarkEnd w:id="1158"/>
      <w:r>
        <w:rPr>
          <w:color w:val="000000"/>
          <w:spacing w:val="0"/>
          <w:w w:val="100"/>
          <w:position w:val="0"/>
        </w:rPr>
        <w:t>）按欠款方归集的期末余额前五名的其他应收款情况</w:t>
      </w:r>
      <w:bookmarkEnd w:id="1156"/>
      <w:bookmarkEnd w:id="1157"/>
      <w:bookmarkEnd w:id="115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1589"/>
        <w:gridCol w:w="1373"/>
        <w:gridCol w:w="2126"/>
        <w:gridCol w:w="1594"/>
        <w:gridCol w:w="1598"/>
      </w:tblGrid>
      <w:tr>
        <w:trPr>
          <w:trHeight w:val="1027"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9,760,266.92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8,274,263.22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82,742.63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7,693,120.91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571,715.45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3,104,348.17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86,538.61</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32,831,999.22</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780,996.69</w:t>
            </w:r>
          </w:p>
        </w:tc>
      </w:tr>
    </w:tbl>
    <w:p>
      <w:pPr>
        <w:widowControl w:val="0"/>
        <w:spacing w:after="339" w:line="1" w:lineRule="exact"/>
      </w:pPr>
    </w:p>
    <w:p>
      <w:pPr>
        <w:pStyle w:val="Style59"/>
        <w:keepNext/>
        <w:keepLines/>
        <w:widowControl w:val="0"/>
        <w:shd w:val="clear" w:color="auto" w:fill="auto"/>
        <w:tabs>
          <w:tab w:pos="397" w:val="left"/>
        </w:tabs>
        <w:bidi w:val="0"/>
        <w:spacing w:before="0" w:after="34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6</w:t>
      </w:r>
      <w:bookmarkEnd w:id="1162"/>
      <w:r>
        <w:rPr>
          <w:color w:val="000000"/>
          <w:spacing w:val="0"/>
          <w:w w:val="100"/>
          <w:position w:val="0"/>
        </w:rPr>
        <w:t>）</w:t>
        <w:tab/>
        <w:t>涉及政府补助的应收款项</w:t>
      </w:r>
      <w:bookmarkEnd w:id="1160"/>
      <w:bookmarkEnd w:id="1161"/>
      <w:bookmarkEnd w:id="1163"/>
    </w:p>
    <w:p>
      <w:pPr>
        <w:pStyle w:val="Style59"/>
        <w:keepNext/>
        <w:keepLines/>
        <w:widowControl w:val="0"/>
        <w:shd w:val="clear" w:color="auto" w:fill="auto"/>
        <w:tabs>
          <w:tab w:pos="397" w:val="left"/>
        </w:tabs>
        <w:bidi w:val="0"/>
        <w:spacing w:before="0" w:after="34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7</w:t>
      </w:r>
      <w:bookmarkEnd w:id="1166"/>
      <w:r>
        <w:rPr>
          <w:color w:val="000000"/>
          <w:spacing w:val="0"/>
          <w:w w:val="100"/>
          <w:position w:val="0"/>
        </w:rPr>
        <w:t>）</w:t>
        <w:tab/>
        <w:t>因金融资产转移而终止确认的其他应收款</w:t>
      </w:r>
      <w:bookmarkEnd w:id="1164"/>
      <w:bookmarkEnd w:id="1165"/>
      <w:bookmarkEnd w:id="1167"/>
    </w:p>
    <w:p>
      <w:pPr>
        <w:pStyle w:val="Style59"/>
        <w:keepNext/>
        <w:keepLines/>
        <w:widowControl w:val="0"/>
        <w:shd w:val="clear" w:color="auto" w:fill="auto"/>
        <w:tabs>
          <w:tab w:pos="397" w:val="left"/>
        </w:tabs>
        <w:bidi w:val="0"/>
        <w:spacing w:before="0" w:after="34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8</w:t>
      </w:r>
      <w:bookmarkEnd w:id="1170"/>
      <w:r>
        <w:rPr>
          <w:color w:val="000000"/>
          <w:spacing w:val="0"/>
          <w:w w:val="100"/>
          <w:position w:val="0"/>
        </w:rPr>
        <w:t>）</w:t>
        <w:tab/>
        <w:t>转移其他应收款且继续涉入形成的资产、负债金额</w:t>
      </w:r>
      <w:bookmarkEnd w:id="1168"/>
      <w:bookmarkEnd w:id="1169"/>
      <w:bookmarkEnd w:id="1171"/>
    </w:p>
    <w:p>
      <w:pPr>
        <w:pStyle w:val="Style34"/>
        <w:keepNext/>
        <w:keepLines/>
        <w:widowControl w:val="0"/>
        <w:shd w:val="clear" w:color="auto" w:fill="auto"/>
        <w:bidi w:val="0"/>
        <w:spacing w:before="0" w:after="38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8</w:t>
      </w:r>
      <w:bookmarkEnd w:id="1174"/>
      <w:r>
        <w:rPr>
          <w:color w:val="000000"/>
          <w:spacing w:val="0"/>
          <w:w w:val="100"/>
          <w:position w:val="0"/>
        </w:rPr>
        <w:t>、存货</w:t>
      </w:r>
      <w:bookmarkEnd w:id="1172"/>
      <w:bookmarkEnd w:id="1173"/>
      <w:bookmarkEnd w:id="1175"/>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59"/>
        <w:keepNext/>
        <w:keepLines/>
        <w:widowControl w:val="0"/>
        <w:shd w:val="clear" w:color="auto" w:fill="auto"/>
        <w:bidi w:val="0"/>
        <w:spacing w:before="0" w:after="34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6"/>
      <w:bookmarkEnd w:id="1177"/>
      <w:bookmarkEnd w:id="11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112,917,305.82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1,641,193.77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111,276,112.05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119,798,778.31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2,293,230.24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117,505,548.07</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175,953,772.82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2,178,385.68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173,775,387.14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165,079,873.20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2,028,810.75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163,051,062.45</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495,755,950.37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6,385,027.87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489,370,922.50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389,935,891.69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5,468,486.33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384,467,405.36</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9,788,260.09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162,044.91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9,626,215.18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6,337,531.14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164,455.97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6,173,075.17</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794,415,289.10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10,366,652.23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784,048,636.87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681,152,074.34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9,954,983.29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671,197,091.05</w:t>
            </w:r>
          </w:p>
        </w:tc>
      </w:tr>
    </w:tbl>
    <w:p>
      <w:pPr>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662" w:right="855" w:bottom="1470" w:left="869" w:header="0" w:footer="3" w:gutter="0"/>
          <w:cols w:space="720"/>
          <w:noEndnote/>
          <w:titlePg/>
          <w:rtlGutter w:val="0"/>
          <w:docGrid w:linePitch="360"/>
        </w:sectPr>
      </w:pPr>
    </w:p>
    <w:p>
      <w:pPr>
        <w:pStyle w:val="Style59"/>
        <w:keepNext/>
        <w:keepLines/>
        <w:widowControl w:val="0"/>
        <w:numPr>
          <w:ilvl w:val="0"/>
          <w:numId w:val="83"/>
        </w:numPr>
        <w:shd w:val="clear" w:color="auto" w:fill="auto"/>
        <w:bidi w:val="0"/>
        <w:spacing w:before="0" w:after="360" w:line="240" w:lineRule="auto"/>
        <w:ind w:left="0" w:right="0" w:firstLine="14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存货跌价准备和合同履约成本减值准备</w:t>
      </w:r>
      <w:bookmarkEnd w:id="1180"/>
      <w:bookmarkEnd w:id="1181"/>
      <w:bookmarkEnd w:id="11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2,293,230.24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1,641,193.77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2,293,230.24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1,641,193.77</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2,028,810.75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2,178,385.68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2,178,385.68</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5,468,486.33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6,385,027.87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5,468,486.33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6,385,027.87</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164,455.97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162,044.91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164,455.97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162,044.91</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9,954,983.29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10,366,652.23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9,954,983.29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10,366,652.23</w:t>
            </w:r>
          </w:p>
        </w:tc>
      </w:tr>
    </w:tbl>
    <w:p>
      <w:pPr>
        <w:widowControl w:val="0"/>
        <w:spacing w:after="119" w:line="1" w:lineRule="exact"/>
      </w:pPr>
    </w:p>
    <w:p>
      <w:pPr>
        <w:pStyle w:val="Style38"/>
        <w:keepNext w:val="0"/>
        <w:keepLines w:val="0"/>
        <w:widowControl w:val="0"/>
        <w:numPr>
          <w:ilvl w:val="0"/>
          <w:numId w:val="83"/>
        </w:numPr>
        <w:shd w:val="clear" w:color="auto" w:fill="auto"/>
        <w:bidi w:val="0"/>
        <w:spacing w:before="0" w:after="120" w:line="240" w:lineRule="auto"/>
        <w:ind w:left="0" w:right="0" w:firstLine="0"/>
        <w:jc w:val="left"/>
        <w:rPr>
          <w:sz w:val="22"/>
          <w:szCs w:val="22"/>
        </w:rPr>
      </w:pPr>
      <w:bookmarkStart w:id="1184" w:name="bookmark1184"/>
      <w:bookmarkEnd w:id="1184"/>
      <w:r>
        <w:rPr>
          <w:color w:val="000000"/>
          <w:spacing w:val="0"/>
          <w:w w:val="100"/>
          <w:position w:val="0"/>
          <w:sz w:val="22"/>
          <w:szCs w:val="22"/>
        </w:rPr>
        <w:t>存货跌价准备计提</w:t>
      </w:r>
    </w:p>
    <w:tbl>
      <w:tblPr>
        <w:tblOverlap w:val="never"/>
        <w:jc w:val="center"/>
        <w:tblLayout w:type="fixed"/>
      </w:tblPr>
      <w:tblGrid>
        <w:gridCol w:w="2434"/>
        <w:gridCol w:w="3518"/>
        <w:gridCol w:w="352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确定可变现净值的具体依据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本年转回或转销原因</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可变现净值低于账面余额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相关的存货领用或实现销售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可变现净值低于账面余额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相关的存货领用或实现销售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可变现净值低于账面余额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相关的存货实现销售</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可变现净值低于账面余额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相关的存货领用或实现销售</w:t>
            </w:r>
          </w:p>
        </w:tc>
      </w:tr>
    </w:tbl>
    <w:p>
      <w:pPr>
        <w:widowControl w:val="0"/>
        <w:spacing w:after="319" w:line="1" w:lineRule="exact"/>
      </w:pPr>
    </w:p>
    <w:p>
      <w:pPr>
        <w:pStyle w:val="Style59"/>
        <w:keepNext/>
        <w:keepLines/>
        <w:widowControl w:val="0"/>
        <w:numPr>
          <w:ilvl w:val="0"/>
          <w:numId w:val="79"/>
        </w:numPr>
        <w:shd w:val="clear" w:color="auto" w:fill="auto"/>
        <w:tabs>
          <w:tab w:pos="493" w:val="left"/>
        </w:tabs>
        <w:bidi w:val="0"/>
        <w:spacing w:before="0" w:after="32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存货期末余额含有借款费用资本化金额的说明</w:t>
      </w:r>
      <w:bookmarkEnd w:id="1185"/>
      <w:bookmarkEnd w:id="1186"/>
      <w:bookmarkEnd w:id="1188"/>
    </w:p>
    <w:p>
      <w:pPr>
        <w:pStyle w:val="Style59"/>
        <w:keepNext/>
        <w:keepLines/>
        <w:widowControl w:val="0"/>
        <w:numPr>
          <w:ilvl w:val="0"/>
          <w:numId w:val="79"/>
        </w:numPr>
        <w:shd w:val="clear" w:color="auto" w:fill="auto"/>
        <w:tabs>
          <w:tab w:pos="493" w:val="left"/>
        </w:tabs>
        <w:bidi w:val="0"/>
        <w:spacing w:before="0" w:after="32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合同履约成本本期摊销金额的说明</w:t>
      </w:r>
      <w:bookmarkEnd w:id="1189"/>
      <w:bookmarkEnd w:id="1190"/>
      <w:bookmarkEnd w:id="1192"/>
    </w:p>
    <w:p>
      <w:pPr>
        <w:pStyle w:val="Style34"/>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9</w:t>
      </w:r>
      <w:bookmarkEnd w:id="1195"/>
      <w:r>
        <w:rPr>
          <w:color w:val="000000"/>
          <w:spacing w:val="0"/>
          <w:w w:val="100"/>
          <w:position w:val="0"/>
        </w:rPr>
        <w:t>、合同资产</w:t>
      </w:r>
      <w:bookmarkEnd w:id="1193"/>
      <w:bookmarkEnd w:id="1194"/>
      <w:bookmarkEnd w:id="11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598"/>
        <w:gridCol w:w="1373"/>
        <w:gridCol w:w="1426"/>
        <w:gridCol w:w="1536"/>
        <w:gridCol w:w="1200"/>
        <w:gridCol w:w="1445"/>
      </w:tblGrid>
      <w:tr>
        <w:trPr>
          <w:trHeight w:val="41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134,159,892.03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1,514,696.17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132,645,195.86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256,929,471.26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2,569,294.72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254,360,176.54</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134,159,892.03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1,514,696.17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132,645,195.86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256,929,471.26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2,569,294.72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254,360,176.54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1,054,598.55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1,054,598.55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7"/>
      <w:bookmarkEnd w:id="1198"/>
      <w:bookmarkEnd w:id="12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65,125,424.66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105,493,761.98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59,910,604.90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58,426,147.40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4,093,162.00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16,444,709.76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7,612,432.19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9,001,364.96</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136,741,623.75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189,365,984.10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01"/>
      <w:bookmarkEnd w:id="1202"/>
      <w:bookmarkEnd w:id="12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802"/>
        <w:gridCol w:w="797"/>
        <w:gridCol w:w="797"/>
        <w:gridCol w:w="797"/>
        <w:gridCol w:w="802"/>
        <w:gridCol w:w="797"/>
        <w:gridCol w:w="797"/>
        <w:gridCol w:w="802"/>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其他权 益变动</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gridSpan w:val="1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 马海立 斯新能 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1,254,2</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-1,784,</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1,469,6</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19.87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1,254,2</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-1,784,</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1,469,6</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5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浙江电 腾云光 伏科技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9,506,4</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807,10</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10,313,</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524.94</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山东万 恩新能 源科技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11,874,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475,98</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12,350,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256.23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21,380,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689.61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1,283,0</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22,663,</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781.17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22,634,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983.57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-501,58</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24,133,</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401.04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205"/>
      <w:bookmarkEnd w:id="1206"/>
      <w:bookmarkEnd w:id="12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浙江联飞光纤光缆有限公司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19,539,765.00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19,539,765.00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浙江临安中信村镇银行股份有限公司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之江商学(杭州)创业服务有限公司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27,039,765.00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27,039,765.00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209"/>
      <w:bookmarkEnd w:id="1210"/>
      <w:bookmarkEnd w:id="1212"/>
    </w:p>
    <w:p>
      <w:pPr>
        <w:pStyle w:val="Style59"/>
        <w:keepNext/>
        <w:keepLines/>
        <w:widowControl w:val="0"/>
        <w:numPr>
          <w:ilvl w:val="0"/>
          <w:numId w:val="85"/>
        </w:numPr>
        <w:shd w:val="clear" w:color="auto" w:fill="auto"/>
        <w:bidi w:val="0"/>
        <w:spacing w:before="0" w:after="32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采用成本计量模式的投资性房地产</w:t>
      </w:r>
      <w:bookmarkEnd w:id="1213"/>
      <w:bookmarkEnd w:id="1214"/>
      <w:bookmarkEnd w:id="121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3"/>
        <w:gridCol w:w="1392"/>
        <w:gridCol w:w="1915"/>
        <w:gridCol w:w="1910"/>
        <w:gridCol w:w="192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18,251,492.81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9,212,558.45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27,464,051.26</w:t>
            </w:r>
          </w:p>
        </w:tc>
      </w:tr>
      <w:tr>
        <w:trPr>
          <w:trHeight w:val="32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r>
              <w:rPr>
                <w:color w:val="000000"/>
                <w:spacing w:val="0"/>
                <w:w w:val="100"/>
                <w:position w:val="0"/>
              </w:rPr>
              <w:t>'</w:t>
            </w:r>
            <w:r>
              <w:rPr>
                <w:rFonts w:ascii="SimSun" w:eastAsia="SimSun" w:hAnsi="SimSun" w:cs="SimSun"/>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317,439.02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317,439.02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317,439.02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317,439.02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17,934,053.79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9,212,558.45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27,146,612.24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10,504,747.29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2,112,791.26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12,617,538.55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954,179.85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213,526.83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1,167,706.68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954,179.85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213,526.83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1,167,706.68</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176,605.34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176,605.34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176,605.34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176,605.34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11,282,321.80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2,326,318.09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13,608,639.89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86,037.77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86,037.77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w:t>
            </w:r>
          </w:p>
        </w:tc>
      </w:tr>
    </w:tbl>
    <w:p>
      <w:pPr>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662" w:right="855" w:bottom="1470" w:left="869" w:header="0" w:footer="3" w:gutter="0"/>
          <w:cols w:space="720"/>
          <w:noEndnote/>
          <w:titlePg/>
          <w:rtlGutter w:val="0"/>
          <w:docGrid w:linePitch="360"/>
        </w:sectPr>
      </w:pPr>
    </w:p>
    <w:tbl>
      <w:tblPr>
        <w:tblOverlap w:val="never"/>
        <w:jc w:val="center"/>
        <w:tblLayout w:type="fixed"/>
      </w:tblPr>
      <w:tblGrid>
        <w:gridCol w:w="2443"/>
        <w:gridCol w:w="1392"/>
        <w:gridCol w:w="1915"/>
        <w:gridCol w:w="1910"/>
        <w:gridCol w:w="192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86,013.35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86,013.35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6,565,718.64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6,886,240.36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13,451,959.00</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7,660,707.75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7,099,767.19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14,760,474.94</w:t>
            </w:r>
          </w:p>
        </w:tc>
      </w:tr>
    </w:tbl>
    <w:p>
      <w:pPr>
        <w:pStyle w:val="Style31"/>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注:本公司之子公司浙江万马集团特种电子电缆有限公司于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月整体搬迁至浙江省杭州市临安区太湖源镇金岫村新 建高端工业电子线项目厂房，原临安区青山湖街道景观大道</w:t>
      </w:r>
      <w:r>
        <w:rPr>
          <w:rFonts w:ascii="Times New Roman" w:eastAsia="Times New Roman" w:hAnsi="Times New Roman" w:cs="Times New Roman"/>
          <w:color w:val="000000"/>
          <w:spacing w:val="0"/>
          <w:w w:val="100"/>
          <w:position w:val="0"/>
        </w:rPr>
        <w:t>81</w:t>
      </w:r>
      <w:r>
        <w:rPr>
          <w:color w:val="000000"/>
          <w:spacing w:val="0"/>
          <w:w w:val="100"/>
          <w:position w:val="0"/>
        </w:rPr>
        <w:t>号的厂房及土地使用权停止自用，用于对外出租，转换为投 资性房地产。</w:t>
      </w:r>
    </w:p>
    <w:p>
      <w:pPr>
        <w:pStyle w:val="Style34"/>
        <w:keepNext/>
        <w:keepLines/>
        <w:widowControl w:val="0"/>
        <w:shd w:val="clear" w:color="auto" w:fill="auto"/>
        <w:bidi w:val="0"/>
        <w:spacing w:before="0" w:after="36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217"/>
      <w:bookmarkEnd w:id="1218"/>
      <w:bookmarkEnd w:id="12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1,167,217,387.39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1,039,842,652.21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434,302.77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1,167,651,690.16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1,039,842,652.21</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1"/>
      <w:bookmarkEnd w:id="1222"/>
      <w:bookmarkEnd w:id="122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459"/>
        <w:gridCol w:w="1459"/>
        <w:gridCol w:w="1464"/>
        <w:gridCol w:w="1598"/>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办公设备</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612,515,329.86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1,222,079,034.4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37,552,980.75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54,644,998.72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1,926,792,343.73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145,808,001.90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150,562,546.09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3,223,033.87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9,390,118.86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308,983,700.72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838,345.08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70,589,626.78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3,223,033.87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6,563,206.12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81,214,211.85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144,969,656.82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79,972,919.31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2,826,912.74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227,769,488.87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1,063,636.62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67,111,260.04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17,220,097.26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664,110.40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86,059,104.32</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1,063,636.62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67,111,260.04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17,220,097.26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664,110.40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86,059,104.32</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757,259,695.14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1,305,530,320.4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23,555,917.36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63,371,007.18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2,149,716,940.13</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222,902,347.63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605,452,545.65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19,102,800.41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35,737,572.26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883,195,265.95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34,936,350.82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99,058,460.17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3,961,200.92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6,730,115.64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144,686,127.55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34,936,350.82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99,058,460.17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3,961,200.92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6,730,115.64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144,686,127.55</w:t>
            </w:r>
          </w:p>
        </w:tc>
      </w:tr>
      <w:tr>
        <w:trPr>
          <w:trHeight w:val="3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243,320.41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38,081,903.22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8,317,993.56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497,700.36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47,140,917.55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243,320.41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38,081,903.22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8,317,993.56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497,700.36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47,140,917.55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257,595,378.04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666,429,102.60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14,746,007.77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41,969,987.54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980,740,475.95</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459"/>
        <w:gridCol w:w="1459"/>
        <w:gridCol w:w="1459"/>
        <w:gridCol w:w="1464"/>
        <w:gridCol w:w="1598"/>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1,002,252.07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2,552,597.37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199,576.13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3,754,425.57</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39,153.96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1,956,194.82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1,995,348.78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39,153.96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1,956,194.82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1,995,348.78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963,098.11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596,402.55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199,576.13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1,759,076.79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499,664,317.10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638,138,119.74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8,213,507.04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21,201,443.51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1,167,217,387.39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389,612,982.23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615,624,236.68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15,897,582.97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18,707,850.33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1,039,842,652.21</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注：已设定抵押的固定资产明细详见本附注“七、</w:t>
      </w:r>
      <w:r>
        <w:rPr>
          <w:rFonts w:ascii="Times New Roman" w:eastAsia="Times New Roman" w:hAnsi="Times New Roman" w:cs="Times New Roman"/>
          <w:color w:val="000000"/>
          <w:spacing w:val="0"/>
          <w:w w:val="100"/>
          <w:position w:val="0"/>
        </w:rPr>
        <w:t>21.</w:t>
      </w:r>
      <w:r>
        <w:rPr>
          <w:color w:val="000000"/>
          <w:spacing w:val="0"/>
          <w:w w:val="100"/>
          <w:position w:val="0"/>
        </w:rPr>
        <w:t>短期借款”及“七、</w:t>
      </w:r>
      <w:r>
        <w:rPr>
          <w:rFonts w:ascii="Times New Roman" w:eastAsia="Times New Roman" w:hAnsi="Times New Roman" w:cs="Times New Roman"/>
          <w:color w:val="000000"/>
          <w:spacing w:val="0"/>
          <w:w w:val="100"/>
          <w:position w:val="0"/>
        </w:rPr>
        <w:t>58.</w:t>
      </w:r>
      <w:r>
        <w:rPr>
          <w:color w:val="000000"/>
          <w:spacing w:val="0"/>
          <w:w w:val="100"/>
          <w:position w:val="0"/>
        </w:rPr>
        <w:t>所有权或使用权受到限制的资产”所述。</w:t>
      </w:r>
    </w:p>
    <w:p>
      <w:pPr>
        <w:pStyle w:val="Style59"/>
        <w:keepNext/>
        <w:keepLines/>
        <w:widowControl w:val="0"/>
        <w:numPr>
          <w:ilvl w:val="0"/>
          <w:numId w:val="87"/>
        </w:numPr>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暂时闲置的固定资产情况</w:t>
      </w:r>
      <w:bookmarkEnd w:id="1225"/>
      <w:bookmarkEnd w:id="1226"/>
      <w:bookmarkEnd w:id="12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累计折旧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104,658.12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34,116.49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70,541.63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104,658.12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34,116.49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70,541.63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9"/>
        <w:keepNext/>
        <w:keepLines/>
        <w:widowControl w:val="0"/>
        <w:numPr>
          <w:ilvl w:val="0"/>
          <w:numId w:val="87"/>
        </w:numPr>
        <w:shd w:val="clear" w:color="auto" w:fill="auto"/>
        <w:bidi w:val="0"/>
        <w:spacing w:before="0" w:after="36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未办妥产权证书的固定资产情况</w:t>
      </w:r>
      <w:bookmarkEnd w:id="1229"/>
      <w:bookmarkEnd w:id="1230"/>
      <w:bookmarkEnd w:id="12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万马智慧充电创新基地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127,204,034.93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清远综合楼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7,213,060.50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尚未竣工决算</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清远</w:t>
            </w:r>
            <w:r>
              <w:rPr>
                <w:color w:val="000000"/>
                <w:spacing w:val="0"/>
                <w:w w:val="100"/>
                <w:position w:val="0"/>
              </w:rPr>
              <w:t>1#</w:t>
            </w:r>
            <w:r>
              <w:rPr>
                <w:rFonts w:ascii="SimSun" w:eastAsia="SimSun" w:hAnsi="SimSun" w:cs="SimSun"/>
                <w:color w:val="000000"/>
                <w:spacing w:val="0"/>
                <w:w w:val="100"/>
                <w:position w:val="0"/>
              </w:rPr>
              <w:t>厂房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25,930,114.99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尚未竣工决算</w:t>
            </w:r>
          </w:p>
        </w:tc>
      </w:tr>
    </w:tbl>
    <w:p>
      <w:pPr>
        <w:widowControl w:val="0"/>
        <w:spacing w:after="299" w:line="1" w:lineRule="exact"/>
      </w:pPr>
    </w:p>
    <w:p>
      <w:pPr>
        <w:pStyle w:val="Style59"/>
        <w:keepNext/>
        <w:keepLines/>
        <w:widowControl w:val="0"/>
        <w:numPr>
          <w:ilvl w:val="0"/>
          <w:numId w:val="87"/>
        </w:numPr>
        <w:shd w:val="clear" w:color="auto" w:fill="auto"/>
        <w:bidi w:val="0"/>
        <w:spacing w:before="0" w:after="36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固定资产清理</w:t>
      </w:r>
      <w:bookmarkEnd w:id="1233"/>
      <w:bookmarkEnd w:id="1234"/>
      <w:bookmarkEnd w:id="12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434,302.77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434,302.77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5</w:t>
      </w:r>
      <w:bookmarkEnd w:id="1239"/>
      <w:r>
        <w:rPr>
          <w:color w:val="000000"/>
          <w:spacing w:val="0"/>
          <w:w w:val="100"/>
          <w:position w:val="0"/>
        </w:rPr>
        <w:t>、在建工程</w:t>
      </w:r>
      <w:bookmarkEnd w:id="1237"/>
      <w:bookmarkEnd w:id="1238"/>
      <w:bookmarkEnd w:id="12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40,054,050.12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129,087,757.02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工程物资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39,961,499.78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39,819,597.20</w:t>
            </w: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80,015,549.90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168,907,354.22</w:t>
            </w:r>
          </w:p>
        </w:tc>
      </w:tr>
    </w:tbl>
    <w:p>
      <w:pPr>
        <w:widowControl w:val="0"/>
        <w:spacing w:after="299" w:line="1" w:lineRule="exact"/>
      </w:pPr>
    </w:p>
    <w:p>
      <w:pPr>
        <w:pStyle w:val="Style59"/>
        <w:keepNext/>
        <w:keepLines/>
        <w:widowControl w:val="0"/>
        <w:numPr>
          <w:ilvl w:val="0"/>
          <w:numId w:val="89"/>
        </w:numPr>
        <w:shd w:val="clear" w:color="auto" w:fill="auto"/>
        <w:bidi w:val="0"/>
        <w:spacing w:before="0" w:after="36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在建工程情况</w:t>
      </w:r>
      <w:bookmarkEnd w:id="1241"/>
      <w:bookmarkEnd w:id="1242"/>
      <w:bookmarkEnd w:id="12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万马智慧充电 创新基地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75,315,051.91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75,315,051.91</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年产</w:t>
            </w:r>
            <w:r>
              <w:rPr>
                <w:color w:val="000000"/>
                <w:spacing w:val="0"/>
                <w:w w:val="100"/>
                <w:position w:val="0"/>
              </w:rPr>
              <w:t>7.5</w:t>
            </w:r>
            <w:r>
              <w:rPr>
                <w:rFonts w:ascii="SimSun" w:eastAsia="SimSun" w:hAnsi="SimSun" w:cs="SimSun"/>
                <w:color w:val="000000"/>
                <w:spacing w:val="0"/>
                <w:w w:val="100"/>
                <w:position w:val="0"/>
              </w:rPr>
              <w:t>万吨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32,420,216.09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32,420,216.09</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高分子环保新 型电缆材料产 业长兴基地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14,718,143.47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14,718,143.47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低烟无卤生产 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3,846,501.61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3,846,501.61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屏蔽料生产线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3,684,126.18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3,684,126.18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框绞机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2,601,769.92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2,601,769.92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充电桩项目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2,082,937.32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2,047,103.20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35,834.12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8,428,989.41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8,428,989.41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技改工程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1,947,623.82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1,947,623.82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1,607,498.93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1,607,498.93</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自动化立体仓</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1,522,123.95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1,522,123.95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成缆机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1,861,306.07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1,861,306.07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挤塑机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1,342,704.58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1,342,704.58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万马高端电缆 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1,317,242.58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1,317,242.58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同心式铜带屏</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蔽生产线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1,167,571.25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1,167,571.25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电缆护套挤出 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1,080,705.26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1,080,705.26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硅烷生产线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346,280.53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346,280.53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3,996,575.79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3,996,575.79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布电线生产线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445,558.53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4,582,116.78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4,582,116.78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6,873,866.36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6,873,866.36</w:t>
            </w:r>
          </w:p>
        </w:tc>
      </w:tr>
      <w:tr>
        <w:trPr>
          <w:trHeight w:val="331"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42,101,153.32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2,047,103.20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40,054,050.12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129,087,757.02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129,087,757.02</w:t>
            </w:r>
          </w:p>
        </w:tc>
      </w:tr>
    </w:tbl>
    <w:p>
      <w:pPr>
        <w:widowControl w:val="0"/>
        <w:spacing w:after="299" w:line="1" w:lineRule="exact"/>
      </w:pPr>
    </w:p>
    <w:p>
      <w:pPr>
        <w:pStyle w:val="Style59"/>
        <w:keepNext/>
        <w:keepLines/>
        <w:widowControl w:val="0"/>
        <w:numPr>
          <w:ilvl w:val="0"/>
          <w:numId w:val="89"/>
        </w:numPr>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重要在建工程项目本期变动情况</w:t>
      </w:r>
      <w:bookmarkEnd w:id="1245"/>
      <w:bookmarkEnd w:id="1246"/>
      <w:bookmarkEnd w:id="124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3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本期</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增加</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工程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4D4D4"/>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预算</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转入</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累计</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资本</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利息</w:t>
            </w:r>
          </w:p>
        </w:tc>
        <w:tc>
          <w:tcPr>
            <w:tcBorders>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w:t>
            </w:r>
          </w:p>
        </w:tc>
      </w:tr>
      <w:tr>
        <w:trPr>
          <w:trHeight w:val="312" w:hRule="exact"/>
        </w:trPr>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余额</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固定</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减少</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投入</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进度</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化累</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利息</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资本</w:t>
            </w:r>
          </w:p>
        </w:tc>
        <w:tc>
          <w:tcPr>
            <w:tcBorders>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r>
      <w:tr>
        <w:trPr>
          <w:trHeight w:val="322"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vMerge/>
            <w:tcBorders>
              <w:left w:val="single" w:sz="4"/>
              <w:bottom w:val="single" w:sz="4"/>
            </w:tcBorders>
            <w:shd w:val="clear" w:color="auto" w:fill="D4D4D4"/>
            <w:vAlign w:val="center"/>
          </w:tcPr>
          <w:p>
            <w:pP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金额</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占预</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计金</w:t>
            </w: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资本</w:t>
            </w:r>
          </w:p>
        </w:tc>
        <w:tc>
          <w:tcPr>
            <w:tcBorders>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化率</w:t>
            </w:r>
          </w:p>
        </w:tc>
        <w:tc>
          <w:tcPr>
            <w:tcBorders>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算比 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化金 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借款资</w:t>
            </w: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215,08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75,315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32,897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75.47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,051.9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,670.5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2,722.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r>
              <w:rPr>
                <w:rFonts w:ascii="SimSun" w:eastAsia="SimSun" w:hAnsi="SimSun" w:cs="SimSun"/>
                <w:color w:val="000000"/>
                <w:spacing w:val="0"/>
                <w:w w:val="100"/>
                <w:position w:val="0"/>
              </w:rPr>
              <w:t>万</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38,309</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32,420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吨电</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3,872,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94.74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,216.0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507.91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缆料</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型电</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46,844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14,718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31.42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,143.4</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料产</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无卤</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84.26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29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501.61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屏蔽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68"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61.40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9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料生</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框绞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769.92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769.92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26,957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5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桩项</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8,428,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35,834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97.12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金募</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,067.1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,438.0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989.41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784.37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集资金</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硅烷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6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3,996,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6,750,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,074.1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575.79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778.84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498.93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623.82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623.82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万马 高端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239,26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726,39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3,700.</w:t>
            </w:r>
          </w:p>
          <w:p>
            <w:pPr>
              <w:pStyle w:val="Style2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121,76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8,332.</w:t>
            </w:r>
          </w:p>
          <w:p>
            <w:pPr>
              <w:pStyle w:val="Style2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98,593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,432.0</w:t>
            </w:r>
          </w:p>
          <w:p>
            <w:pPr>
              <w:pStyle w:val="Style2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188,39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8,457.</w:t>
            </w:r>
          </w:p>
          <w:p>
            <w:pPr>
              <w:pStyle w:val="Style2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28,497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,522.2</w:t>
            </w:r>
          </w:p>
          <w:p>
            <w:pPr>
              <w:pStyle w:val="Style2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3</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2,614,</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9"/>
        <w:keepNext/>
        <w:keepLines/>
        <w:widowControl w:val="0"/>
        <w:numPr>
          <w:ilvl w:val="0"/>
          <w:numId w:val="89"/>
        </w:numPr>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工程物资</w:t>
      </w:r>
      <w:bookmarkEnd w:id="1249"/>
      <w:bookmarkEnd w:id="1250"/>
      <w:bookmarkEnd w:id="12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0"/>
        <w:gridCol w:w="1416"/>
        <w:gridCol w:w="1622"/>
        <w:gridCol w:w="1430"/>
        <w:gridCol w:w="1426"/>
        <w:gridCol w:w="1214"/>
        <w:gridCol w:w="1282"/>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37,676,455.94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8,568,485.62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29,107,970.32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39,322,312.46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8,552,123.77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30,770,188.69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电线电缆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6,756,698.33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6,756,698.33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7,035,990.09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7,035,990.09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备品备件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4,096,831.13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4,096,831.13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2,013,418.42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2,013,418.42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48,529,985.40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8,568,485.62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39,961,499.78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48,371,720.97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8,552,123.77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39,819,597.20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53"/>
      <w:bookmarkEnd w:id="1254"/>
      <w:bookmarkEnd w:id="1256"/>
    </w:p>
    <w:p>
      <w:pPr>
        <w:pStyle w:val="Style59"/>
        <w:keepNext/>
        <w:keepLines/>
        <w:widowControl w:val="0"/>
        <w:numPr>
          <w:ilvl w:val="0"/>
          <w:numId w:val="91"/>
        </w:numPr>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无形资产情况</w:t>
      </w:r>
      <w:bookmarkEnd w:id="1257"/>
      <w:bookmarkEnd w:id="1258"/>
      <w:bookmarkEnd w:id="12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454"/>
        <w:gridCol w:w="307"/>
        <w:gridCol w:w="370"/>
        <w:gridCol w:w="1171"/>
        <w:gridCol w:w="1344"/>
        <w:gridCol w:w="1344"/>
        <w:gridCol w:w="1349"/>
      </w:tblGrid>
      <w:tr>
        <w:trPr>
          <w:trHeight w:val="165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专 利 权</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 专 利 技 术</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办公软件</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商业软件</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专利技术</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185,427,401.49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14,589,034.0</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31,872,513.39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1,273,214.45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233,162,163.36</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94,677,600.00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355,822.05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95,033,422.05</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94,677,600.00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355,822.05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95,033,422.05</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43,760.68</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43,760.68</w:t>
            </w: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280,105,001.49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14,901,095.4</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31,872,513.39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1,273,214.45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328,151,824.73</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42"/>
        <w:gridCol w:w="1454"/>
        <w:gridCol w:w="307"/>
        <w:gridCol w:w="370"/>
        <w:gridCol w:w="1171"/>
        <w:gridCol w:w="1344"/>
        <w:gridCol w:w="1344"/>
        <w:gridCol w:w="1349"/>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33,254,601.38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6,723,508.08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11,628,269.26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1,273,214.45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52,879,593.17</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5,352,506.07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1,621,982.85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6,374,502.84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13,348,991.76</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5,219,938.59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1,621,982.85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6,374,502.84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13,216,424.28</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）资本化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132,567.48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132,567.48</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18,233.55</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18,233.55</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38,607,107.45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8,327,257.38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18,002,772.10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1,273,214.45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66,210,351.38</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241,497,894.04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6,573,838.02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13,869,741.29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261,941,473.35</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152,172,800.11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7,865,525.95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20,244,244.13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180,282,570.19</w:t>
            </w:r>
          </w:p>
        </w:tc>
      </w:tr>
    </w:tbl>
    <w:p>
      <w:pPr>
        <w:widowControl w:val="0"/>
        <w:spacing w:after="239" w:line="1" w:lineRule="exact"/>
      </w:pPr>
    </w:p>
    <w:p>
      <w:pPr>
        <w:pStyle w:val="Style31"/>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注：已设定抵押的无形资产明细详见本附注“七、</w:t>
      </w:r>
      <w:r>
        <w:rPr>
          <w:rFonts w:ascii="Times New Roman" w:eastAsia="Times New Roman" w:hAnsi="Times New Roman" w:cs="Times New Roman"/>
          <w:color w:val="000000"/>
          <w:spacing w:val="0"/>
          <w:w w:val="100"/>
          <w:position w:val="0"/>
        </w:rPr>
        <w:t>20.</w:t>
      </w:r>
      <w:r>
        <w:rPr>
          <w:color w:val="000000"/>
          <w:spacing w:val="0"/>
          <w:w w:val="100"/>
          <w:position w:val="0"/>
        </w:rPr>
        <w:t>短期借款”及“七、</w:t>
      </w:r>
      <w:r>
        <w:rPr>
          <w:rFonts w:ascii="Times New Roman" w:eastAsia="Times New Roman" w:hAnsi="Times New Roman" w:cs="Times New Roman"/>
          <w:color w:val="000000"/>
          <w:spacing w:val="0"/>
          <w:w w:val="100"/>
          <w:position w:val="0"/>
        </w:rPr>
        <w:t>58.</w:t>
      </w:r>
      <w:r>
        <w:rPr>
          <w:color w:val="000000"/>
          <w:spacing w:val="0"/>
          <w:w w:val="100"/>
          <w:position w:val="0"/>
        </w:rPr>
        <w:t>所有权或使用权受到限制的资产”所述。</w:t>
      </w:r>
    </w:p>
    <w:p>
      <w:pPr>
        <w:pStyle w:val="Style34"/>
        <w:keepNext/>
        <w:keepLines/>
        <w:widowControl w:val="0"/>
        <w:shd w:val="clear" w:color="auto" w:fill="auto"/>
        <w:bidi w:val="0"/>
        <w:spacing w:before="0" w:after="32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61"/>
      <w:bookmarkEnd w:id="1262"/>
      <w:bookmarkEnd w:id="1264"/>
    </w:p>
    <w:p>
      <w:pPr>
        <w:pStyle w:val="Style59"/>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5"/>
      <w:bookmarkEnd w:id="1266"/>
      <w:bookmarkEnd w:id="12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3"/>
        <w:gridCol w:w="1747"/>
        <w:gridCol w:w="1666"/>
        <w:gridCol w:w="811"/>
        <w:gridCol w:w="1320"/>
        <w:gridCol w:w="821"/>
        <w:gridCol w:w="1373"/>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被投资单位名称或形 成商誉的事项</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浙江万马集团特种电 子电缆有限公司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295,460,125.84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295,460,125.84</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295,460,125.84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295,460,125.84</w:t>
            </w:r>
          </w:p>
        </w:tc>
      </w:tr>
    </w:tbl>
    <w:p>
      <w:pPr>
        <w:widowControl w:val="0"/>
        <w:spacing w:after="319" w:line="1" w:lineRule="exact"/>
      </w:pPr>
    </w:p>
    <w:p>
      <w:pPr>
        <w:pStyle w:val="Style59"/>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69"/>
      <w:bookmarkEnd w:id="1270"/>
      <w:bookmarkEnd w:id="12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291"/>
        <w:gridCol w:w="1536"/>
        <w:gridCol w:w="950"/>
        <w:gridCol w:w="1272"/>
        <w:gridCol w:w="1003"/>
        <w:gridCol w:w="1373"/>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被投资单位名称或形成 商誉的事项</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浙江万马集团特种电子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72,830,907.84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26,251,348.36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99,082,256.20</w:t>
            </w:r>
          </w:p>
        </w:tc>
      </w:tr>
    </w:tbl>
    <w:p>
      <w:pPr>
        <w:spacing w:lineRule="exact" w:line="1"/>
        <w:rPr>
          <w:sz w:val="2"/>
          <w:szCs w:val="2"/>
        </w:rPr>
      </w:pPr>
      <w:r>
        <w:br w:type="page"/>
      </w:r>
    </w:p>
    <w:tbl>
      <w:tblPr>
        <w:tblOverlap w:val="never"/>
        <w:jc w:val="center"/>
        <w:tblLayout w:type="fixed"/>
      </w:tblPr>
      <w:tblGrid>
        <w:gridCol w:w="2155"/>
        <w:gridCol w:w="1291"/>
        <w:gridCol w:w="1536"/>
        <w:gridCol w:w="950"/>
        <w:gridCol w:w="1272"/>
        <w:gridCol w:w="1003"/>
        <w:gridCol w:w="1373"/>
      </w:tblGrid>
      <w:tr>
        <w:trPr>
          <w:trHeight w:val="36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72,830,907.84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26,251,348.36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99,082,256.20</w:t>
            </w:r>
          </w:p>
        </w:tc>
      </w:tr>
    </w:tbl>
    <w:p>
      <w:pPr>
        <w:widowControl w:val="0"/>
        <w:spacing w:after="239" w:line="1" w:lineRule="exact"/>
      </w:pPr>
    </w:p>
    <w:p>
      <w:pPr>
        <w:pStyle w:val="Style38"/>
        <w:keepNext w:val="0"/>
        <w:keepLines w:val="0"/>
        <w:widowControl w:val="0"/>
        <w:shd w:val="clear" w:color="auto" w:fill="auto"/>
        <w:bidi w:val="0"/>
        <w:spacing w:before="0" w:after="60" w:line="240" w:lineRule="auto"/>
        <w:ind w:left="0" w:right="0" w:firstLine="360"/>
        <w:jc w:val="left"/>
        <w:rPr>
          <w:sz w:val="22"/>
          <w:szCs w:val="22"/>
        </w:rPr>
      </w:pPr>
      <w:bookmarkStart w:id="1273" w:name="bookmark1273"/>
      <w:r>
        <w:rPr>
          <w:color w:val="000000"/>
          <w:spacing w:val="0"/>
          <w:w w:val="100"/>
          <w:position w:val="0"/>
          <w:sz w:val="22"/>
          <w:szCs w:val="22"/>
        </w:rPr>
        <w:t>（</w:t>
      </w:r>
      <w:bookmarkEnd w:id="1273"/>
      <w:r>
        <w:rPr>
          <w:color w:val="000000"/>
          <w:spacing w:val="0"/>
          <w:w w:val="100"/>
          <w:position w:val="0"/>
          <w:sz w:val="22"/>
          <w:szCs w:val="22"/>
        </w:rPr>
        <w:t>3）商誉减值测试情况如下:</w:t>
      </w:r>
    </w:p>
    <w:tbl>
      <w:tblPr>
        <w:tblOverlap w:val="never"/>
        <w:jc w:val="center"/>
        <w:tblLayout w:type="fixed"/>
      </w:tblPr>
      <w:tblGrid>
        <w:gridCol w:w="5386"/>
        <w:gridCol w:w="414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浙江万马集团特种电子电缆有限公司</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商誉账面余额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295,460,125.84</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商誉减值准备余额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pPr>
            <w:r>
              <w:rPr>
                <w:color w:val="000000"/>
                <w:spacing w:val="0"/>
                <w:w w:val="100"/>
                <w:position w:val="0"/>
              </w:rPr>
              <w:t>72,830,907.84</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222,629,218.00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未确认归属于少数股东权益的商誉价值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包含未确认归属于少数股东权益的商誉价值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资产组的账面价值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pPr>
            <w:r>
              <w:rPr>
                <w:color w:val="000000"/>
                <w:spacing w:val="0"/>
                <w:w w:val="100"/>
                <w:position w:val="0"/>
              </w:rPr>
              <w:t>28,268,822.80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包含整体商誉的资产组公允价值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250,898,040.80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资产组预计未来现金流量的现值（可回收金额）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224,646,692.44</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商誉减值损失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pPr>
            <w:r>
              <w:rPr>
                <w:color w:val="000000"/>
                <w:spacing w:val="0"/>
                <w:w w:val="100"/>
                <w:position w:val="0"/>
              </w:rPr>
              <w:t>26,251,348.36</w:t>
            </w:r>
          </w:p>
        </w:tc>
      </w:tr>
    </w:tbl>
    <w:p>
      <w:pPr>
        <w:widowControl w:val="0"/>
        <w:spacing w:after="59" w:line="1" w:lineRule="exact"/>
      </w:pPr>
    </w:p>
    <w:p>
      <w:pPr>
        <w:pStyle w:val="Style38"/>
        <w:keepNext w:val="0"/>
        <w:keepLines w:val="0"/>
        <w:widowControl w:val="0"/>
        <w:shd w:val="clear" w:color="auto" w:fill="auto"/>
        <w:bidi w:val="0"/>
        <w:spacing w:before="0" w:after="100" w:line="313" w:lineRule="exact"/>
        <w:ind w:left="0" w:right="0" w:firstLine="460"/>
        <w:jc w:val="both"/>
        <w:rPr>
          <w:sz w:val="22"/>
          <w:szCs w:val="22"/>
        </w:rPr>
      </w:pPr>
      <w:r>
        <w:rPr>
          <w:color w:val="000000"/>
          <w:spacing w:val="0"/>
          <w:w w:val="100"/>
          <w:position w:val="0"/>
          <w:sz w:val="22"/>
          <w:szCs w:val="22"/>
        </w:rPr>
        <w:t>注：本公司评估范围为万马特缆公司截止2020年12月31日包含商誉的主营业务经营性资产组成的 资产组。截止评估基准日，评估范围内的资产包括固定资产、投资性房地产、无形资产、长期待摊费 用、商誉。资产组预计未来现金流量的现值（可回收金额）利用了中威正信（北京）资产评估有限公 司2021年3月12日（中威正信评报字</w:t>
      </w:r>
      <w:r>
        <w:rPr>
          <w:color w:val="000000"/>
          <w:spacing w:val="0"/>
          <w:w w:val="100"/>
          <w:position w:val="0"/>
          <w:sz w:val="22"/>
          <w:szCs w:val="22"/>
        </w:rPr>
        <w:t>［2021］</w:t>
      </w:r>
      <w:r>
        <w:rPr>
          <w:color w:val="000000"/>
          <w:spacing w:val="0"/>
          <w:w w:val="100"/>
          <w:position w:val="0"/>
          <w:sz w:val="22"/>
          <w:szCs w:val="22"/>
        </w:rPr>
        <w:t xml:space="preserve">第11010号《浙江万马股份有限公司拟进行商誉减值测试所 涉及的浙江万马集团特种电子电缆有限公司资产组可收回价值资产评估报告》的评估结论：截止评估 基准日2020年12月31日，经评估后万马特缆公司包含商誉的资产组未来净现金流量的现值为 22, </w:t>
      </w:r>
      <w:r>
        <w:rPr>
          <w:color w:val="000000"/>
          <w:spacing w:val="0"/>
          <w:w w:val="100"/>
          <w:position w:val="0"/>
          <w:sz w:val="22"/>
          <w:szCs w:val="22"/>
        </w:rPr>
        <w:t xml:space="preserve">464. </w:t>
      </w:r>
      <w:r>
        <w:rPr>
          <w:color w:val="000000"/>
          <w:spacing w:val="0"/>
          <w:w w:val="100"/>
          <w:position w:val="0"/>
          <w:sz w:val="22"/>
          <w:szCs w:val="22"/>
        </w:rPr>
        <w:t>67万元，公允价值减处置费用后的净额为</w:t>
      </w:r>
      <w:r>
        <w:rPr>
          <w:color w:val="000000"/>
          <w:spacing w:val="0"/>
          <w:w w:val="100"/>
          <w:position w:val="0"/>
          <w:sz w:val="22"/>
          <w:szCs w:val="22"/>
        </w:rPr>
        <w:t>21,623.64</w:t>
      </w:r>
      <w:r>
        <w:rPr>
          <w:color w:val="000000"/>
          <w:spacing w:val="0"/>
          <w:w w:val="100"/>
          <w:position w:val="0"/>
          <w:sz w:val="22"/>
          <w:szCs w:val="22"/>
        </w:rPr>
        <w:t xml:space="preserve">万元，根据孰高原值，确定万马特缆公司 包含商誉的资产组的可回收价值评估值为22, </w:t>
      </w:r>
      <w:r>
        <w:rPr>
          <w:color w:val="000000"/>
          <w:spacing w:val="0"/>
          <w:w w:val="100"/>
          <w:position w:val="0"/>
          <w:sz w:val="22"/>
          <w:szCs w:val="22"/>
        </w:rPr>
        <w:t xml:space="preserve">464. </w:t>
      </w:r>
      <w:r>
        <w:rPr>
          <w:color w:val="000000"/>
          <w:spacing w:val="0"/>
          <w:w w:val="100"/>
          <w:position w:val="0"/>
          <w:sz w:val="22"/>
          <w:szCs w:val="22"/>
        </w:rPr>
        <w:t>67万元。</w:t>
      </w:r>
    </w:p>
    <w:p>
      <w:pPr>
        <w:pStyle w:val="Style38"/>
        <w:keepNext w:val="0"/>
        <w:keepLines w:val="0"/>
        <w:widowControl w:val="0"/>
        <w:shd w:val="clear" w:color="auto" w:fill="auto"/>
        <w:bidi w:val="0"/>
        <w:spacing w:before="0" w:after="320" w:line="313" w:lineRule="exact"/>
        <w:ind w:left="0" w:right="0" w:firstLine="460"/>
        <w:jc w:val="left"/>
        <w:rPr>
          <w:sz w:val="22"/>
          <w:szCs w:val="22"/>
        </w:rPr>
      </w:pPr>
      <w:r>
        <w:rPr>
          <w:color w:val="000000"/>
          <w:spacing w:val="0"/>
          <w:w w:val="100"/>
          <w:position w:val="0"/>
          <w:sz w:val="22"/>
          <w:szCs w:val="22"/>
        </w:rPr>
        <w:t xml:space="preserve">经测试，本公司因收购万马特缆形成的商誉在2020年度需计提减值26, 251, </w:t>
      </w:r>
      <w:r>
        <w:rPr>
          <w:color w:val="000000"/>
          <w:spacing w:val="0"/>
          <w:w w:val="100"/>
          <w:position w:val="0"/>
          <w:sz w:val="22"/>
          <w:szCs w:val="22"/>
        </w:rPr>
        <w:t xml:space="preserve">348. </w:t>
      </w:r>
      <w:r>
        <w:rPr>
          <w:color w:val="000000"/>
          <w:spacing w:val="0"/>
          <w:w w:val="100"/>
          <w:position w:val="0"/>
          <w:sz w:val="22"/>
          <w:szCs w:val="22"/>
        </w:rPr>
        <w:t>36元。</w:t>
      </w:r>
    </w:p>
    <w:p>
      <w:pPr>
        <w:pStyle w:val="Style34"/>
        <w:keepNext/>
        <w:keepLines/>
        <w:widowControl w:val="0"/>
        <w:shd w:val="clear" w:color="auto" w:fill="auto"/>
        <w:bidi w:val="0"/>
        <w:spacing w:before="0" w:after="320" w:line="326"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74"/>
      <w:bookmarkEnd w:id="1275"/>
      <w:bookmarkEnd w:id="1277"/>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5,931,547.41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2,980,452.53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3,256,664.04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5,655,335.90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2,965,209.82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918,385.66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889,195.81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2,994,399.67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1,106,107.40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162,900.57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1,159,689.40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109,318.57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400,896.51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49,764.06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195,279.36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255,381.21</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10,403,761.14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4,111,502.82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5,500,828.61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9,014,435.35</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8"/>
      <w:bookmarkEnd w:id="1279"/>
      <w:bookmarkEnd w:id="1281"/>
    </w:p>
    <w:p>
      <w:pPr>
        <w:pStyle w:val="Style59"/>
        <w:keepNext/>
        <w:keepLines/>
        <w:widowControl w:val="0"/>
        <w:shd w:val="clear" w:color="auto" w:fill="auto"/>
        <w:bidi w:val="0"/>
        <w:spacing w:before="0" w:after="32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2"/>
      <w:bookmarkEnd w:id="1283"/>
      <w:bookmarkEnd w:id="1285"/>
    </w:p>
    <w:p>
      <w:pPr>
        <w:pStyle w:val="Style31"/>
        <w:keepNext w:val="0"/>
        <w:keepLines w:val="0"/>
        <w:widowControl w:val="0"/>
        <w:shd w:val="clear" w:color="auto" w:fill="auto"/>
        <w:bidi w:val="0"/>
        <w:spacing w:before="0" w:after="280" w:line="240" w:lineRule="auto"/>
        <w:ind w:left="0" w:right="0" w:firstLine="0"/>
        <w:jc w:val="right"/>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662" w:right="855" w:bottom="1470" w:left="869"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238,991,721.55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36,701,491.73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197,461,524.69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30,751,211.57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固定资产折旧年限不 同导致的折旧差异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14,720,598.31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2,208,089.74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14,047,176.75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2,154,884.70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计入递延收益的政府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6,452,152.88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967,822.93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8,292,303.44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1,243,845.52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未实现内部交易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62,847,636.59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15,360,656.73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63,778,815.80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15,328,634.64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1,005,600.00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150,840.00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2,513,084.43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376,962.66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现金流量套期损益有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2,278,909.01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341,836.35</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324,017,709.33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55,388,901.13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288,387,815.10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50,199,775.59</w:t>
            </w:r>
          </w:p>
        </w:tc>
      </w:tr>
    </w:tbl>
    <w:p>
      <w:pPr>
        <w:widowControl w:val="0"/>
        <w:spacing w:after="299" w:line="1" w:lineRule="exact"/>
      </w:pPr>
    </w:p>
    <w:p>
      <w:pPr>
        <w:pStyle w:val="Style59"/>
        <w:keepNext/>
        <w:keepLines/>
        <w:widowControl w:val="0"/>
        <w:numPr>
          <w:ilvl w:val="0"/>
          <w:numId w:val="91"/>
        </w:numPr>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未经抵销的递延所得税负债</w:t>
      </w:r>
      <w:bookmarkEnd w:id="1286"/>
      <w:bookmarkEnd w:id="1287"/>
      <w:bookmarkEnd w:id="12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固定资产折旧年限不 同导致的折旧差异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65,085,723.90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9,918,497.38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20,503,674.70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3,543,340.87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企业合并产生的公允 价值高于账面价值的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8,973,748.98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1,346,062.33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9,654,930.51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1,448,239.56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1,110,742.98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166,611.45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2,275,187.88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352,528.18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现金流量套期损益有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96,915,145.10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14,537,271.77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166,225.00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未实现内部交易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141,802.29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3,051.17</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172,227,163.25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25,989,713.28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33,119,034.22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5,513,384.78</w:t>
            </w:r>
          </w:p>
        </w:tc>
      </w:tr>
    </w:tbl>
    <w:p>
      <w:pPr>
        <w:widowControl w:val="0"/>
        <w:spacing w:after="299" w:line="1" w:lineRule="exact"/>
      </w:pPr>
    </w:p>
    <w:p>
      <w:pPr>
        <w:pStyle w:val="Style59"/>
        <w:keepNext/>
        <w:keepLines/>
        <w:widowControl w:val="0"/>
        <w:numPr>
          <w:ilvl w:val="0"/>
          <w:numId w:val="91"/>
        </w:numPr>
        <w:shd w:val="clear" w:color="auto" w:fill="auto"/>
        <w:bidi w:val="0"/>
        <w:spacing w:before="0" w:after="36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以抵销后净额列示的递延所得税资产或负债</w:t>
      </w:r>
      <w:bookmarkEnd w:id="1290"/>
      <w:bookmarkEnd w:id="1291"/>
      <w:bookmarkEnd w:id="12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60"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递延所得税资产和负</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抵销后递延所得税资</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递延所得税资产和负</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抵销后递延所得税资</w:t>
            </w:r>
          </w:p>
        </w:tc>
      </w:tr>
      <w:tr>
        <w:trPr>
          <w:trHeight w:val="355"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债期末互抵金额</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产或负债期末余额</w:t>
            </w:r>
          </w:p>
        </w:tc>
        <w:tc>
          <w:tcPr>
            <w:tcBorders>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债期初互抵金额</w:t>
            </w:r>
          </w:p>
        </w:tc>
        <w:tc>
          <w:tcPr>
            <w:tcBorders>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产或负债期初余额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55,388,901.13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50,199,775.59</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25,989,713.28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5,513,384.78</w:t>
            </w:r>
          </w:p>
        </w:tc>
      </w:tr>
    </w:tbl>
    <w:p>
      <w:pPr>
        <w:spacing w:lineRule="exact" w:line="1"/>
        <w:rPr>
          <w:sz w:val="2"/>
          <w:szCs w:val="2"/>
        </w:rPr>
      </w:pPr>
      <w:r>
        <w:br w:type="page"/>
      </w:r>
    </w:p>
    <w:p>
      <w:pPr>
        <w:pStyle w:val="Style59"/>
        <w:keepNext/>
        <w:keepLines/>
        <w:widowControl w:val="0"/>
        <w:numPr>
          <w:ilvl w:val="0"/>
          <w:numId w:val="91"/>
        </w:numPr>
        <w:shd w:val="clear" w:color="auto" w:fill="auto"/>
        <w:bidi w:val="0"/>
        <w:spacing w:before="0" w:after="360" w:line="240" w:lineRule="auto"/>
        <w:ind w:left="0" w:right="0" w:firstLine="14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未确认递延所得税资产明细</w:t>
      </w:r>
      <w:bookmarkEnd w:id="1294"/>
      <w:bookmarkEnd w:id="1295"/>
      <w:bookmarkEnd w:id="12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26,871,002.05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21,570,642.71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385,377,934.07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254,872,424.68</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412,248,936.12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276,443,067.39</w:t>
            </w:r>
          </w:p>
        </w:tc>
      </w:tr>
    </w:tbl>
    <w:p>
      <w:pPr>
        <w:widowControl w:val="0"/>
        <w:spacing w:after="319" w:line="1" w:lineRule="exact"/>
      </w:pPr>
    </w:p>
    <w:p>
      <w:pPr>
        <w:pStyle w:val="Style59"/>
        <w:keepNext/>
        <w:keepLines/>
        <w:widowControl w:val="0"/>
        <w:numPr>
          <w:ilvl w:val="0"/>
          <w:numId w:val="91"/>
        </w:numPr>
        <w:shd w:val="clear" w:color="auto" w:fill="auto"/>
        <w:bidi w:val="0"/>
        <w:spacing w:before="0" w:after="36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未确认递延所得税资产的可抵扣亏损将于以下年度到期</w:t>
      </w:r>
      <w:bookmarkEnd w:id="1298"/>
      <w:bookmarkEnd w:id="1299"/>
      <w:bookmarkEnd w:id="13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2,120,972.64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15,781,703.62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15,831,065.02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年度亏损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63,051,322.22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59,558,236.47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79,452,821.49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70,550,669.97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118,201,382.20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106,811,480.58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108,890,704.54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年度亏损</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385,377,934.07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254,872,424.68</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02"/>
      <w:bookmarkEnd w:id="1303"/>
      <w:bookmarkEnd w:id="13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402"/>
        <w:gridCol w:w="1402"/>
        <w:gridCol w:w="1517"/>
        <w:gridCol w:w="1483"/>
        <w:gridCol w:w="1267"/>
        <w:gridCol w:w="1310"/>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81,459,936.12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30,936,588.93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50,523,347.19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91,647,478.08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30,495,593.68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61,151,884.40</w:t>
            </w:r>
          </w:p>
        </w:tc>
      </w:tr>
      <w:tr>
        <w:trPr>
          <w:trHeight w:val="41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81,459,936.12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30,936,588.93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50,523,347.19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91,647,478.08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30,495,593.68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61,151,884.40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06"/>
      <w:bookmarkEnd w:id="1307"/>
      <w:bookmarkEnd w:id="1309"/>
    </w:p>
    <w:p>
      <w:pPr>
        <w:pStyle w:val="Style59"/>
        <w:keepNext/>
        <w:keepLines/>
        <w:widowControl w:val="0"/>
        <w:numPr>
          <w:ilvl w:val="0"/>
          <w:numId w:val="93"/>
        </w:numPr>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短期借款分类</w:t>
      </w:r>
      <w:bookmarkEnd w:id="1310"/>
      <w:bookmarkEnd w:id="1311"/>
      <w:bookmarkEnd w:id="13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45,000,000.00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468,885,638.50</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52,000,000.00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r>
              <w:rPr>
                <w:color w:val="000000"/>
                <w:spacing w:val="0"/>
                <w:w w:val="100"/>
                <w:position w:val="0"/>
              </w:rPr>
              <w:t>+</w:t>
            </w: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385,000,000.00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294,979.92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4,657,205.10</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179,194,979.92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955,542,843.60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38"/>
        <w:keepNext w:val="0"/>
        <w:keepLines w:val="0"/>
        <w:widowControl w:val="0"/>
        <w:shd w:val="clear" w:color="auto" w:fill="auto"/>
        <w:bidi w:val="0"/>
        <w:spacing w:before="0" w:after="100" w:line="322" w:lineRule="exact"/>
        <w:ind w:left="0" w:right="0" w:firstLine="460"/>
        <w:jc w:val="both"/>
        <w:rPr>
          <w:sz w:val="22"/>
          <w:szCs w:val="22"/>
        </w:rPr>
      </w:pPr>
      <w:r>
        <w:rPr>
          <w:color w:val="000000"/>
          <w:spacing w:val="0"/>
          <w:w w:val="100"/>
          <w:position w:val="0"/>
          <w:sz w:val="22"/>
          <w:szCs w:val="22"/>
        </w:rPr>
        <w:t xml:space="preserve">注：1）截止2020年12月31日，本公司保证借款余额93, 900, </w:t>
      </w:r>
      <w:r>
        <w:rPr>
          <w:color w:val="000000"/>
          <w:spacing w:val="0"/>
          <w:w w:val="100"/>
          <w:position w:val="0"/>
          <w:sz w:val="22"/>
          <w:szCs w:val="22"/>
        </w:rPr>
        <w:t xml:space="preserve">000. </w:t>
      </w:r>
      <w:r>
        <w:rPr>
          <w:color w:val="000000"/>
          <w:spacing w:val="0"/>
          <w:w w:val="100"/>
          <w:position w:val="0"/>
          <w:sz w:val="22"/>
          <w:szCs w:val="22"/>
        </w:rPr>
        <w:t xml:space="preserve">00元。情况如下：本公司向中国 工商银行浙江省分行借款93, 900, </w:t>
      </w:r>
      <w:r>
        <w:rPr>
          <w:color w:val="000000"/>
          <w:spacing w:val="0"/>
          <w:w w:val="100"/>
          <w:position w:val="0"/>
          <w:sz w:val="22"/>
          <w:szCs w:val="22"/>
        </w:rPr>
        <w:t xml:space="preserve">000. </w:t>
      </w:r>
      <w:r>
        <w:rPr>
          <w:color w:val="000000"/>
          <w:spacing w:val="0"/>
          <w:w w:val="100"/>
          <w:position w:val="0"/>
          <w:sz w:val="22"/>
          <w:szCs w:val="22"/>
        </w:rPr>
        <w:t>00元，使用万马联合控股集团有限公司、张德生、陆玉珍提供 的最高额保证担保额度。</w:t>
      </w:r>
    </w:p>
    <w:p>
      <w:pPr>
        <w:pStyle w:val="Style38"/>
        <w:keepNext w:val="0"/>
        <w:keepLines w:val="0"/>
        <w:widowControl w:val="0"/>
        <w:shd w:val="clear" w:color="auto" w:fill="auto"/>
        <w:tabs>
          <w:tab w:pos="816" w:val="left"/>
        </w:tabs>
        <w:bidi w:val="0"/>
        <w:spacing w:before="0" w:after="100" w:line="314" w:lineRule="exact"/>
        <w:ind w:left="0" w:right="0" w:firstLine="460"/>
        <w:jc w:val="both"/>
        <w:rPr>
          <w:sz w:val="22"/>
          <w:szCs w:val="22"/>
        </w:rPr>
      </w:pPr>
      <w:bookmarkStart w:id="1314" w:name="bookmark1314"/>
      <w:r>
        <w:rPr>
          <w:color w:val="000000"/>
          <w:spacing w:val="0"/>
          <w:w w:val="100"/>
          <w:position w:val="0"/>
          <w:sz w:val="22"/>
          <w:szCs w:val="22"/>
        </w:rPr>
        <w:t>2</w:t>
      </w:r>
      <w:bookmarkEnd w:id="1314"/>
      <w:r>
        <w:rPr>
          <w:color w:val="000000"/>
          <w:spacing w:val="0"/>
          <w:w w:val="100"/>
          <w:position w:val="0"/>
          <w:sz w:val="22"/>
          <w:szCs w:val="22"/>
        </w:rPr>
        <w:t>）</w:t>
        <w:tab/>
        <w:t xml:space="preserve">截止2020年12月31日，本公司保证及抵押借款余额60, 000, </w:t>
      </w:r>
      <w:r>
        <w:rPr>
          <w:color w:val="000000"/>
          <w:spacing w:val="0"/>
          <w:w w:val="100"/>
          <w:position w:val="0"/>
          <w:sz w:val="22"/>
          <w:szCs w:val="22"/>
        </w:rPr>
        <w:t xml:space="preserve">000. </w:t>
      </w:r>
      <w:r>
        <w:rPr>
          <w:color w:val="000000"/>
          <w:spacing w:val="0"/>
          <w:w w:val="100"/>
          <w:position w:val="0"/>
          <w:sz w:val="22"/>
          <w:szCs w:val="22"/>
        </w:rPr>
        <w:t xml:space="preserve">00元，情况如下：本公司向 中国建设银行临安支行借款10, 000, </w:t>
      </w:r>
      <w:r>
        <w:rPr>
          <w:color w:val="000000"/>
          <w:spacing w:val="0"/>
          <w:w w:val="100"/>
          <w:position w:val="0"/>
          <w:sz w:val="22"/>
          <w:szCs w:val="22"/>
        </w:rPr>
        <w:t xml:space="preserve">000. </w:t>
      </w:r>
      <w:r>
        <w:rPr>
          <w:color w:val="000000"/>
          <w:spacing w:val="0"/>
          <w:w w:val="100"/>
          <w:position w:val="0"/>
          <w:sz w:val="22"/>
          <w:szCs w:val="22"/>
        </w:rPr>
        <w:t xml:space="preserve">00元，使用浙江万马智能科技集团有限公司提供的最高额保 证担保额度以及本公司提供的房屋建筑物和土地使用权的抵押；本公司向中国进出口银行借款 50, 000, </w:t>
      </w:r>
      <w:r>
        <w:rPr>
          <w:color w:val="000000"/>
          <w:spacing w:val="0"/>
          <w:w w:val="100"/>
          <w:position w:val="0"/>
          <w:sz w:val="22"/>
          <w:szCs w:val="22"/>
        </w:rPr>
        <w:t xml:space="preserve">000. </w:t>
      </w:r>
      <w:r>
        <w:rPr>
          <w:color w:val="000000"/>
          <w:spacing w:val="0"/>
          <w:w w:val="100"/>
          <w:position w:val="0"/>
          <w:sz w:val="22"/>
          <w:szCs w:val="22"/>
        </w:rPr>
        <w:t>00元，使用万马联合控股集团有限公司、张德生、陆珍玉提供的最高额保证担保额度以 及本公司提供的房屋建筑物和土地使用权的抵押。</w:t>
      </w:r>
    </w:p>
    <w:p>
      <w:pPr>
        <w:pStyle w:val="Style38"/>
        <w:keepNext w:val="0"/>
        <w:keepLines w:val="0"/>
        <w:widowControl w:val="0"/>
        <w:shd w:val="clear" w:color="auto" w:fill="auto"/>
        <w:tabs>
          <w:tab w:pos="821" w:val="left"/>
        </w:tabs>
        <w:bidi w:val="0"/>
        <w:spacing w:before="0" w:after="100" w:line="317" w:lineRule="exact"/>
        <w:ind w:left="0" w:right="0" w:firstLine="460"/>
        <w:jc w:val="both"/>
        <w:rPr>
          <w:sz w:val="22"/>
          <w:szCs w:val="22"/>
        </w:rPr>
      </w:pPr>
      <w:bookmarkStart w:id="1315" w:name="bookmark1315"/>
      <w:r>
        <w:rPr>
          <w:color w:val="000000"/>
          <w:spacing w:val="0"/>
          <w:w w:val="100"/>
          <w:position w:val="0"/>
          <w:sz w:val="22"/>
          <w:szCs w:val="22"/>
        </w:rPr>
        <w:t>3</w:t>
      </w:r>
      <w:bookmarkEnd w:id="1315"/>
      <w:r>
        <w:rPr>
          <w:color w:val="000000"/>
          <w:spacing w:val="0"/>
          <w:w w:val="100"/>
          <w:position w:val="0"/>
          <w:sz w:val="22"/>
          <w:szCs w:val="22"/>
        </w:rPr>
        <w:t>）</w:t>
        <w:tab/>
        <w:t>截止2020年12月31日，本公司抵押借款余额</w:t>
      </w:r>
      <w:r>
        <w:rPr>
          <w:color w:val="000000"/>
          <w:spacing w:val="0"/>
          <w:w w:val="100"/>
          <w:position w:val="0"/>
          <w:sz w:val="22"/>
          <w:szCs w:val="22"/>
        </w:rPr>
        <w:t>20,000,000.0</w:t>
      </w:r>
      <w:r>
        <w:rPr>
          <w:color w:val="000000"/>
          <w:spacing w:val="0"/>
          <w:w w:val="100"/>
          <w:position w:val="0"/>
          <w:sz w:val="22"/>
          <w:szCs w:val="22"/>
        </w:rPr>
        <w:t xml:space="preserve">0元。情况如下：本公司之子公司浙 江万马高分子材料集团有限公司向中国农业银行临安支行的借款20, 000, </w:t>
      </w:r>
      <w:r>
        <w:rPr>
          <w:color w:val="000000"/>
          <w:spacing w:val="0"/>
          <w:w w:val="100"/>
          <w:position w:val="0"/>
          <w:sz w:val="22"/>
          <w:szCs w:val="22"/>
        </w:rPr>
        <w:t xml:space="preserve">000. </w:t>
      </w:r>
      <w:r>
        <w:rPr>
          <w:color w:val="000000"/>
          <w:spacing w:val="0"/>
          <w:w w:val="100"/>
          <w:position w:val="0"/>
          <w:sz w:val="22"/>
          <w:szCs w:val="22"/>
        </w:rPr>
        <w:t>00元，以高分子公司房 屋建筑物和土地使用权为抵押。</w:t>
      </w:r>
    </w:p>
    <w:p>
      <w:pPr>
        <w:pStyle w:val="Style38"/>
        <w:keepNext w:val="0"/>
        <w:keepLines w:val="0"/>
        <w:widowControl w:val="0"/>
        <w:shd w:val="clear" w:color="auto" w:fill="auto"/>
        <w:tabs>
          <w:tab w:pos="834" w:val="left"/>
        </w:tabs>
        <w:bidi w:val="0"/>
        <w:spacing w:before="0" w:after="360" w:line="317" w:lineRule="exact"/>
        <w:ind w:left="0" w:right="0" w:firstLine="460"/>
        <w:jc w:val="both"/>
        <w:rPr>
          <w:sz w:val="22"/>
          <w:szCs w:val="22"/>
        </w:rPr>
      </w:pPr>
      <w:bookmarkStart w:id="1316" w:name="bookmark1316"/>
      <w:r>
        <w:rPr>
          <w:color w:val="000000"/>
          <w:spacing w:val="0"/>
          <w:w w:val="100"/>
          <w:position w:val="0"/>
          <w:sz w:val="22"/>
          <w:szCs w:val="22"/>
        </w:rPr>
        <w:t>4</w:t>
      </w:r>
      <w:bookmarkEnd w:id="1316"/>
      <w:r>
        <w:rPr>
          <w:color w:val="000000"/>
          <w:spacing w:val="0"/>
          <w:w w:val="100"/>
          <w:position w:val="0"/>
          <w:sz w:val="22"/>
          <w:szCs w:val="22"/>
        </w:rPr>
        <w:t>）</w:t>
        <w:tab/>
        <w:t>已抵押固定资产与无形资产账面价值情况详见本附注七、</w:t>
      </w:r>
      <w:r>
        <w:rPr>
          <w:color w:val="000000"/>
          <w:spacing w:val="0"/>
          <w:w w:val="100"/>
          <w:position w:val="0"/>
          <w:sz w:val="22"/>
          <w:szCs w:val="22"/>
        </w:rPr>
        <w:t>58.</w:t>
      </w:r>
      <w:r>
        <w:rPr>
          <w:color w:val="000000"/>
          <w:spacing w:val="0"/>
          <w:w w:val="100"/>
          <w:position w:val="0"/>
          <w:sz w:val="22"/>
          <w:szCs w:val="22"/>
        </w:rPr>
        <w:t>所有权或使用权收到限制的资产。</w:t>
      </w:r>
    </w:p>
    <w:p>
      <w:pPr>
        <w:pStyle w:val="Style34"/>
        <w:keepNext/>
        <w:keepLines/>
        <w:widowControl w:val="0"/>
        <w:shd w:val="clear" w:color="auto" w:fill="auto"/>
        <w:bidi w:val="0"/>
        <w:spacing w:before="0" w:after="300" w:line="331" w:lineRule="auto"/>
        <w:ind w:left="0" w:right="0" w:firstLine="0"/>
        <w:jc w:val="both"/>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、衍生金融负债</w:t>
      </w:r>
      <w:bookmarkEnd w:id="1317"/>
      <w:bookmarkEnd w:id="1318"/>
      <w:bookmarkEnd w:id="13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远期结购汇浮亏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2,594,373.26</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2,594,373.26</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321" w:name="bookmark1321"/>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、应付票据</w:t>
      </w:r>
      <w:bookmarkEnd w:id="1321"/>
    </w:p>
    <w:p>
      <w:pPr>
        <w:widowControl w:val="0"/>
        <w:spacing w:after="2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1,530,514,647.38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883,361,291.82</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1,530,514,647.38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883,361,291.82</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322" w:name="bookmark1322"/>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sz w:val="20"/>
          <w:szCs w:val="20"/>
        </w:rPr>
        <w:t>、应付账款</w:t>
      </w:r>
      <w:bookmarkEnd w:id="1322"/>
    </w:p>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both"/>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3"/>
      <w:bookmarkEnd w:id="1324"/>
      <w:bookmarkEnd w:id="13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966,144,550.07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626,600,959.96</w:t>
            </w:r>
          </w:p>
        </w:tc>
      </w:tr>
    </w:tbl>
    <w:p>
      <w:pPr>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0" w:h="16840"/>
          <w:pgMar w:top="1662" w:right="855" w:bottom="1470" w:left="869" w:header="0" w:footer="3" w:gutter="0"/>
          <w:cols w:space="720"/>
          <w:noEndnote/>
          <w:titlePg/>
          <w:rtlGutter w:val="0"/>
          <w:docGrid w:linePitch="360"/>
        </w:sectPr>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4,139,363.34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15,978,508.39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10,615,051.89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5,098,705.63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10,114,696.53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9,042,461.29</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991,013,661.83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656,720,635.27</w:t>
            </w:r>
          </w:p>
        </w:tc>
      </w:tr>
    </w:tbl>
    <w:p>
      <w:pPr>
        <w:widowControl w:val="0"/>
        <w:spacing w:after="299" w:line="1" w:lineRule="exact"/>
      </w:pPr>
    </w:p>
    <w:p>
      <w:pPr>
        <w:pStyle w:val="Style59"/>
        <w:keepNext/>
        <w:keepLines/>
        <w:widowControl w:val="0"/>
        <w:numPr>
          <w:ilvl w:val="0"/>
          <w:numId w:val="93"/>
        </w:numPr>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7"/>
      <w:bookmarkEnd w:id="1328"/>
      <w:bookmarkEnd w:id="13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5,472,218.99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1,793,202.51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2,176,706.89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1,157,154.06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尚未结算</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10,599,282.45</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31"/>
      <w:bookmarkEnd w:id="1332"/>
      <w:bookmarkEnd w:id="13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91,919,618.66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200,802,715.83</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91,919,618.66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200,802,715.83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335"/>
      <w:bookmarkEnd w:id="1336"/>
      <w:bookmarkEnd w:id="1338"/>
    </w:p>
    <w:p>
      <w:pPr>
        <w:pStyle w:val="Style59"/>
        <w:keepNext/>
        <w:keepLines/>
        <w:widowControl w:val="0"/>
        <w:numPr>
          <w:ilvl w:val="0"/>
          <w:numId w:val="95"/>
        </w:numPr>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应付职工薪酬列示</w:t>
      </w:r>
      <w:bookmarkEnd w:id="1339"/>
      <w:bookmarkEnd w:id="1340"/>
      <w:bookmarkEnd w:id="13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74,482,863.33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457,412,238.16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455,430,223.49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76,464,878.00</w:t>
            </w:r>
          </w:p>
        </w:tc>
      </w:tr>
      <w:tr>
        <w:trPr>
          <w:trHeight w:val="71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1,312,160.96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15,756,677.42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16,439,772.57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629,065.81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1,930,447.60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1,930,447.60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75,795,024.29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475,099,363.18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473,800,443.66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77,093,943.81</w:t>
            </w:r>
          </w:p>
        </w:tc>
      </w:tr>
    </w:tbl>
    <w:p>
      <w:pPr>
        <w:widowControl w:val="0"/>
        <w:spacing w:after="299" w:line="1" w:lineRule="exact"/>
      </w:pPr>
    </w:p>
    <w:p>
      <w:pPr>
        <w:pStyle w:val="Style59"/>
        <w:keepNext/>
        <w:keepLines/>
        <w:widowControl w:val="0"/>
        <w:numPr>
          <w:ilvl w:val="0"/>
          <w:numId w:val="95"/>
        </w:numPr>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短期薪酬列示</w:t>
      </w:r>
      <w:bookmarkEnd w:id="1343"/>
      <w:bookmarkEnd w:id="1344"/>
      <w:bookmarkEnd w:id="13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1637"/>
        <w:gridCol w:w="1829"/>
        <w:gridCol w:w="1853"/>
        <w:gridCol w:w="1766"/>
      </w:tblGrid>
      <w:tr>
        <w:trPr>
          <w:trHeight w:val="41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96"/>
        <w:gridCol w:w="1637"/>
        <w:gridCol w:w="1829"/>
        <w:gridCol w:w="1853"/>
        <w:gridCol w:w="1766"/>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62,721,770.20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403,426,835.78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399,098,627.61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67,049,978.37</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12,416,487.53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12,397,287.53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19,200.00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786,626.66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13,343,952.44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13,488,169.94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642,409.16</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569,466.88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12,088,710.59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12,113,151.92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545,025.55</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154,393.62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1,031,115.98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1,096,478.50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89,031.10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224,125.87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278,539.52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8,352.51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121,018.76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14,753,845.82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14,824,277.82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50,586.76</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10,853,447.71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7,335,819.86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9,706,128.61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8,483,138.96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劳务用工薪酬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6,135,296.73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5,915,731.98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219,564.75</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74,482,863.33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457,412,238.16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455,430,223.49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76,464,878.00</w:t>
            </w:r>
          </w:p>
        </w:tc>
      </w:tr>
    </w:tbl>
    <w:p>
      <w:pPr>
        <w:widowControl w:val="0"/>
        <w:spacing w:after="299" w:line="1" w:lineRule="exact"/>
      </w:pPr>
    </w:p>
    <w:p>
      <w:pPr>
        <w:pStyle w:val="Style59"/>
        <w:keepNext/>
        <w:keepLines/>
        <w:widowControl w:val="0"/>
        <w:numPr>
          <w:ilvl w:val="0"/>
          <w:numId w:val="95"/>
        </w:numPr>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设定提存计划列示</w:t>
      </w:r>
      <w:bookmarkEnd w:id="1347"/>
      <w:bookmarkEnd w:id="1348"/>
      <w:bookmarkEnd w:id="13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1,264,011.86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15,174,288.12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15,831,472.76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606,827.22</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582,389.30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608,299.81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22,238.59</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1,312,160.96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15,756,677.42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16,439,772.57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629,065.81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351"/>
      <w:bookmarkEnd w:id="1352"/>
      <w:bookmarkEnd w:id="13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22,263,952.65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18,813,872.51</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4,182,581.27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4,041,182.33</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870,701.97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548,564.99</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3,825,056.84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1,265,079.34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1,518,944.32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5,492,166.75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448,416.00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922,787.22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742,646.42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282,160.98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2,767,111.18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919,930.91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74,887.00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环境保护税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36,625,983.80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32,360,632.03</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55"/>
      <w:bookmarkEnd w:id="1356"/>
      <w:bookmarkEnd w:id="13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118,114,774.18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148,380,586.26</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118,114,774.18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148,380,586.26</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59"/>
      <w:bookmarkEnd w:id="1360"/>
      <w:bookmarkEnd w:id="1362"/>
    </w:p>
    <w:p>
      <w:pPr>
        <w:pStyle w:val="Style108"/>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3"/>
      <w:bookmarkEnd w:id="1364"/>
      <w:bookmarkEnd w:id="13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单位往来与代收代付款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28,095,226.77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56,041,844.79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61,243,455.49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57,729,221.11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未支付费用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27,031,797.80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31,185,621.90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1,744,294.12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3,423,898.46</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118,114,774.18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148,380,586.26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366"/>
      <w:bookmarkEnd w:id="1367"/>
      <w:bookmarkEnd w:id="13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181,600,000.00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207,565.11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181,807,565.11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370"/>
      <w:bookmarkEnd w:id="1371"/>
      <w:bookmarkEnd w:id="13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年末未终止确认的应收票据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170,098,799.02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121,292,677.94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预提运费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11,194,006.61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28,006,710.08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12,850,914.29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26,313,559.33</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194,143,719.92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175,612,947.35</w:t>
            </w:r>
          </w:p>
        </w:tc>
      </w:tr>
    </w:tbl>
    <w:p>
      <w:pPr>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662" w:right="855" w:bottom="1470" w:left="869" w:header="0" w:footer="3" w:gutter="0"/>
          <w:cols w:space="720"/>
          <w:noEndnote/>
          <w:rtlGutter w:val="0"/>
          <w:docGrid w:linePitch="360"/>
        </w:sectPr>
      </w:pPr>
    </w:p>
    <w:p>
      <w:pPr>
        <w:pStyle w:val="Style34"/>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374"/>
      <w:bookmarkEnd w:id="1375"/>
      <w:bookmarkEnd w:id="1377"/>
    </w:p>
    <w:p>
      <w:pPr>
        <w:pStyle w:val="Style59"/>
        <w:keepNext/>
        <w:keepLines/>
        <w:widowControl w:val="0"/>
        <w:numPr>
          <w:ilvl w:val="0"/>
          <w:numId w:val="97"/>
        </w:numPr>
        <w:shd w:val="clear" w:color="auto" w:fill="auto"/>
        <w:bidi w:val="0"/>
        <w:spacing w:before="0" w:after="36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长期借款分类</w:t>
      </w:r>
      <w:bookmarkEnd w:id="1378"/>
      <w:bookmarkEnd w:id="1379"/>
      <w:bookmarkEnd w:id="13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262,900,000.00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96,400,000.00</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r>
              <w:rPr>
                <w:color w:val="000000"/>
                <w:spacing w:val="0"/>
                <w:w w:val="100"/>
                <w:position w:val="0"/>
              </w:rPr>
              <w:t>+</w:t>
            </w: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471,799.96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184,137.97</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300,371,799.96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114,584,137.97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99" w:line="1" w:lineRule="exact"/>
      </w:pPr>
    </w:p>
    <w:p>
      <w:pPr>
        <w:pStyle w:val="Style38"/>
        <w:keepNext w:val="0"/>
        <w:keepLines w:val="0"/>
        <w:widowControl w:val="0"/>
        <w:shd w:val="clear" w:color="auto" w:fill="auto"/>
        <w:bidi w:val="0"/>
        <w:spacing w:before="0" w:after="100" w:line="314" w:lineRule="exact"/>
        <w:ind w:left="0" w:right="0" w:firstLine="460"/>
        <w:jc w:val="both"/>
        <w:rPr>
          <w:sz w:val="22"/>
          <w:szCs w:val="22"/>
        </w:rPr>
      </w:pPr>
      <w:r>
        <w:rPr>
          <w:color w:val="000000"/>
          <w:spacing w:val="0"/>
          <w:w w:val="100"/>
          <w:position w:val="0"/>
          <w:sz w:val="22"/>
          <w:szCs w:val="22"/>
        </w:rPr>
        <w:t>注］):截止2020年12月31日，本公司保证借款总余额为</w:t>
      </w:r>
      <w:r>
        <w:rPr>
          <w:color w:val="000000"/>
          <w:spacing w:val="0"/>
          <w:w w:val="100"/>
          <w:position w:val="0"/>
          <w:sz w:val="22"/>
          <w:szCs w:val="22"/>
        </w:rPr>
        <w:t>274,500,000.00</w:t>
      </w:r>
      <w:r>
        <w:rPr>
          <w:color w:val="000000"/>
          <w:spacing w:val="0"/>
          <w:w w:val="100"/>
          <w:position w:val="0"/>
          <w:sz w:val="22"/>
          <w:szCs w:val="22"/>
        </w:rPr>
        <w:t xml:space="preserve">元，其中11,600, </w:t>
      </w:r>
      <w:r>
        <w:rPr>
          <w:color w:val="000000"/>
          <w:spacing w:val="0"/>
          <w:w w:val="100"/>
          <w:position w:val="0"/>
          <w:sz w:val="22"/>
          <w:szCs w:val="22"/>
        </w:rPr>
        <w:t xml:space="preserve">000. </w:t>
      </w:r>
      <w:r>
        <w:rPr>
          <w:color w:val="000000"/>
          <w:spacing w:val="0"/>
          <w:w w:val="100"/>
          <w:position w:val="0"/>
          <w:sz w:val="22"/>
          <w:szCs w:val="22"/>
        </w:rPr>
        <w:t xml:space="preserve">00 元重分类至一年内到期的非流动负债，情况如下：本公司向交通银行临安支行借款20, 200, </w:t>
      </w:r>
      <w:r>
        <w:rPr>
          <w:color w:val="000000"/>
          <w:spacing w:val="0"/>
          <w:w w:val="100"/>
          <w:position w:val="0"/>
          <w:sz w:val="22"/>
          <w:szCs w:val="22"/>
        </w:rPr>
        <w:t xml:space="preserve">000. </w:t>
      </w:r>
      <w:r>
        <w:rPr>
          <w:color w:val="000000"/>
          <w:spacing w:val="0"/>
          <w:w w:val="100"/>
          <w:position w:val="0"/>
          <w:sz w:val="22"/>
          <w:szCs w:val="22"/>
        </w:rPr>
        <w:t xml:space="preserve">00元, 使用浙江万马智能科技集团有限公司和张德生提供的最高额保证担保额度；本公司向中国工商银行浙 江省分行借款93, 100, </w:t>
      </w:r>
      <w:r>
        <w:rPr>
          <w:color w:val="000000"/>
          <w:spacing w:val="0"/>
          <w:w w:val="100"/>
          <w:position w:val="0"/>
          <w:sz w:val="22"/>
          <w:szCs w:val="22"/>
        </w:rPr>
        <w:t xml:space="preserve">000. </w:t>
      </w:r>
      <w:r>
        <w:rPr>
          <w:color w:val="000000"/>
          <w:spacing w:val="0"/>
          <w:w w:val="100"/>
          <w:position w:val="0"/>
          <w:sz w:val="22"/>
          <w:szCs w:val="22"/>
        </w:rPr>
        <w:t xml:space="preserve">00元，使用万马联合控股集团有限公司、张德生、陆玉珍提供的最高额保 证担保额度；本公司向兴业银行临安支行借款121, 500, </w:t>
      </w:r>
      <w:r>
        <w:rPr>
          <w:color w:val="000000"/>
          <w:spacing w:val="0"/>
          <w:w w:val="100"/>
          <w:position w:val="0"/>
          <w:sz w:val="22"/>
          <w:szCs w:val="22"/>
        </w:rPr>
        <w:t xml:space="preserve">000. </w:t>
      </w:r>
      <w:r>
        <w:rPr>
          <w:color w:val="000000"/>
          <w:spacing w:val="0"/>
          <w:w w:val="100"/>
          <w:position w:val="0"/>
          <w:sz w:val="22"/>
          <w:szCs w:val="22"/>
        </w:rPr>
        <w:t xml:space="preserve">00元，使用浙江万马智能科技集团有限公 司、张德生、陆玉珍提供的最高额保证担保额度；本公司向南京银行股份有限公司杭州分行借款 29, 900, </w:t>
      </w:r>
      <w:r>
        <w:rPr>
          <w:color w:val="000000"/>
          <w:spacing w:val="0"/>
          <w:w w:val="100"/>
          <w:position w:val="0"/>
          <w:sz w:val="22"/>
          <w:szCs w:val="22"/>
        </w:rPr>
        <w:t xml:space="preserve">000. </w:t>
      </w:r>
      <w:r>
        <w:rPr>
          <w:color w:val="000000"/>
          <w:spacing w:val="0"/>
          <w:w w:val="100"/>
          <w:position w:val="0"/>
          <w:sz w:val="22"/>
          <w:szCs w:val="22"/>
        </w:rPr>
        <w:t xml:space="preserve">00元，使用万马联合控股集团有限公司、张德生、陆玉珍的最高额保证担保额度。本公 司之子公司浙江万马高分子材料集团有限公司向上海浦东发展银行中山支行的借款9, 800, </w:t>
      </w:r>
      <w:r>
        <w:rPr>
          <w:color w:val="000000"/>
          <w:spacing w:val="0"/>
          <w:w w:val="100"/>
          <w:position w:val="0"/>
          <w:sz w:val="22"/>
          <w:szCs w:val="22"/>
        </w:rPr>
        <w:t xml:space="preserve">000. </w:t>
      </w:r>
      <w:r>
        <w:rPr>
          <w:color w:val="000000"/>
          <w:spacing w:val="0"/>
          <w:w w:val="100"/>
          <w:position w:val="0"/>
          <w:sz w:val="22"/>
          <w:szCs w:val="22"/>
        </w:rPr>
        <w:t>00元， 使用本公司浙江万马股份有限公司的担保额度。</w:t>
      </w:r>
    </w:p>
    <w:p>
      <w:pPr>
        <w:pStyle w:val="Style38"/>
        <w:keepNext w:val="0"/>
        <w:keepLines w:val="0"/>
        <w:widowControl w:val="0"/>
        <w:numPr>
          <w:ilvl w:val="0"/>
          <w:numId w:val="99"/>
        </w:numPr>
        <w:shd w:val="clear" w:color="auto" w:fill="auto"/>
        <w:tabs>
          <w:tab w:pos="778" w:val="left"/>
        </w:tabs>
        <w:bidi w:val="0"/>
        <w:spacing w:before="0" w:after="100" w:line="315" w:lineRule="exact"/>
        <w:ind w:left="0" w:right="0" w:firstLine="460"/>
        <w:jc w:val="both"/>
        <w:rPr>
          <w:sz w:val="22"/>
          <w:szCs w:val="22"/>
        </w:rPr>
      </w:pPr>
      <w:bookmarkStart w:id="1382" w:name="bookmark1382"/>
      <w:bookmarkEnd w:id="1382"/>
      <w:r>
        <w:rPr>
          <w:color w:val="000000"/>
          <w:spacing w:val="0"/>
          <w:w w:val="100"/>
          <w:position w:val="0"/>
          <w:sz w:val="22"/>
          <w:szCs w:val="22"/>
        </w:rPr>
        <w:t>截止2020年12月31日，本公司保证+抵押借款总余额为</w:t>
      </w:r>
      <w:r>
        <w:rPr>
          <w:color w:val="000000"/>
          <w:spacing w:val="0"/>
          <w:w w:val="100"/>
          <w:position w:val="0"/>
          <w:sz w:val="22"/>
          <w:szCs w:val="22"/>
        </w:rPr>
        <w:t>160,000,000.00</w:t>
      </w:r>
      <w:r>
        <w:rPr>
          <w:color w:val="000000"/>
          <w:spacing w:val="0"/>
          <w:w w:val="100"/>
          <w:position w:val="0"/>
          <w:sz w:val="22"/>
          <w:szCs w:val="22"/>
        </w:rPr>
        <w:t xml:space="preserve">元，其中 150, 000, </w:t>
      </w:r>
      <w:r>
        <w:rPr>
          <w:color w:val="000000"/>
          <w:spacing w:val="0"/>
          <w:w w:val="100"/>
          <w:position w:val="0"/>
          <w:sz w:val="22"/>
          <w:szCs w:val="22"/>
        </w:rPr>
        <w:t xml:space="preserve">000. </w:t>
      </w:r>
      <w:r>
        <w:rPr>
          <w:color w:val="000000"/>
          <w:spacing w:val="0"/>
          <w:w w:val="100"/>
          <w:position w:val="0"/>
          <w:sz w:val="22"/>
          <w:szCs w:val="22"/>
        </w:rPr>
        <w:t>00元重分类至一年内到期的非流动负债，情况如下：本公司之子公司浙江万马高分子 材料集团有限公司向交通银行临安支行借款 10,000,000.00元，使用本公司浙江万马股份有限公司、 张德生的最高额保证担保额度，以及浙江万马高分子材料集团有限公司的房屋建筑物和土地使用权为 抵押。本公司向中国进出口银行借款</w:t>
      </w:r>
      <w:r>
        <w:rPr>
          <w:color w:val="000000"/>
          <w:spacing w:val="0"/>
          <w:w w:val="100"/>
          <w:position w:val="0"/>
          <w:sz w:val="22"/>
          <w:szCs w:val="22"/>
        </w:rPr>
        <w:t>150,000,000.00</w:t>
      </w:r>
      <w:r>
        <w:rPr>
          <w:color w:val="000000"/>
          <w:spacing w:val="0"/>
          <w:w w:val="100"/>
          <w:position w:val="0"/>
          <w:sz w:val="22"/>
          <w:szCs w:val="22"/>
        </w:rPr>
        <w:t>元，使用万马联合控股集团有限公司、张德生、 陆珍玉的提供的最高额保证担保额度以及本公司提供的房屋建筑物和土地使用权的抵押。</w:t>
      </w:r>
    </w:p>
    <w:p>
      <w:pPr>
        <w:pStyle w:val="Style38"/>
        <w:keepNext w:val="0"/>
        <w:keepLines w:val="0"/>
        <w:widowControl w:val="0"/>
        <w:numPr>
          <w:ilvl w:val="0"/>
          <w:numId w:val="99"/>
        </w:numPr>
        <w:shd w:val="clear" w:color="auto" w:fill="auto"/>
        <w:tabs>
          <w:tab w:pos="797" w:val="left"/>
        </w:tabs>
        <w:bidi w:val="0"/>
        <w:spacing w:before="0" w:after="360" w:line="314" w:lineRule="exact"/>
        <w:ind w:left="0" w:right="0" w:firstLine="460"/>
        <w:jc w:val="both"/>
        <w:rPr>
          <w:sz w:val="22"/>
          <w:szCs w:val="22"/>
        </w:rPr>
      </w:pPr>
      <w:bookmarkStart w:id="1383" w:name="bookmark1383"/>
      <w:bookmarkEnd w:id="1383"/>
      <w:r>
        <w:rPr>
          <w:color w:val="000000"/>
          <w:spacing w:val="0"/>
          <w:w w:val="100"/>
          <w:position w:val="0"/>
          <w:sz w:val="22"/>
          <w:szCs w:val="22"/>
        </w:rPr>
        <w:t>已抵押固定资产与无形资产账面价值情况详见本附注七、</w:t>
      </w:r>
      <w:r>
        <w:rPr>
          <w:color w:val="000000"/>
          <w:spacing w:val="0"/>
          <w:w w:val="100"/>
          <w:position w:val="0"/>
          <w:sz w:val="22"/>
          <w:szCs w:val="22"/>
        </w:rPr>
        <w:t>58.</w:t>
      </w:r>
      <w:r>
        <w:rPr>
          <w:color w:val="000000"/>
          <w:spacing w:val="0"/>
          <w:w w:val="100"/>
          <w:position w:val="0"/>
          <w:sz w:val="22"/>
          <w:szCs w:val="22"/>
        </w:rPr>
        <w:t>所有权或使用权收到限制的资产。</w:t>
      </w:r>
    </w:p>
    <w:p>
      <w:pPr>
        <w:pStyle w:val="Style34"/>
        <w:keepNext/>
        <w:keepLines/>
        <w:widowControl w:val="0"/>
        <w:shd w:val="clear" w:color="auto" w:fill="auto"/>
        <w:bidi w:val="0"/>
        <w:spacing w:before="0" w:after="280" w:line="329"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384"/>
      <w:bookmarkEnd w:id="1385"/>
      <w:bookmarkEnd w:id="13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9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49,366,990.41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35,592,388.00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18,777,687.24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66,181,691.17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49,366,990.41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35,592,388.00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18,777,687.24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66,181,691.17</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1282"/>
        <w:gridCol w:w="1330"/>
        <w:gridCol w:w="619"/>
        <w:gridCol w:w="1282"/>
        <w:gridCol w:w="528"/>
        <w:gridCol w:w="701"/>
        <w:gridCol w:w="1378"/>
        <w:gridCol w:w="1128"/>
      </w:tblGrid>
      <w:tr>
        <w:trPr>
          <w:trHeight w:val="64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本期新增补助 金额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他收益金额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与资产相关</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334"/>
        <w:gridCol w:w="1282"/>
        <w:gridCol w:w="1330"/>
        <w:gridCol w:w="619"/>
        <w:gridCol w:w="1282"/>
        <w:gridCol w:w="528"/>
        <w:gridCol w:w="701"/>
        <w:gridCol w:w="1378"/>
        <w:gridCol w:w="1128"/>
      </w:tblGrid>
      <w:tr>
        <w:trPr>
          <w:trHeight w:val="25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营业 外收 入金 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1" w:lineRule="exact"/>
              <w:ind w:left="160" w:right="0" w:firstLine="0"/>
              <w:jc w:val="left"/>
            </w:pPr>
            <w:r>
              <w:rPr>
                <w:rFonts w:ascii="SimSun" w:eastAsia="SimSun" w:hAnsi="SimSun" w:cs="SimSun"/>
                <w:color w:val="000000"/>
                <w:spacing w:val="0"/>
                <w:w w:val="100"/>
                <w:position w:val="0"/>
              </w:rPr>
              <w:t>冲 减 成 本 费 用 金 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w:t>
            </w:r>
          </w:p>
        </w:tc>
      </w:tr>
      <w:tr>
        <w:trPr>
          <w:trHeight w:val="12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北京市单位内 部公用充电设 施建设补助资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13,666,700.73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3,571,002.49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14,195,698.24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充换电设施投 入市财政补助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24,204,270.08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31,492,388.00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12,505,839.47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43,190,818.61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电动车智慧充</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3,325,259.35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527,584.43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2,797,674.92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2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年产</w:t>
            </w:r>
            <w:r>
              <w:rPr>
                <w:color w:val="000000"/>
                <w:spacing w:val="0"/>
                <w:w w:val="100"/>
                <w:position w:val="0"/>
              </w:rPr>
              <w:t>2</w:t>
            </w:r>
            <w:r>
              <w:rPr>
                <w:rFonts w:ascii="SimSun" w:eastAsia="SimSun" w:hAnsi="SimSun" w:cs="SimSun"/>
                <w:color w:val="000000"/>
                <w:spacing w:val="0"/>
                <w:w w:val="100"/>
                <w:position w:val="0"/>
              </w:rPr>
              <w:t>万吨超 高压电缆绝缘 料''项目政府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青山湖科技城 创新载体建设 项目补贴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2,348,507.06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680,649.60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1,667,857.46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年产</w:t>
            </w:r>
            <w:r>
              <w:rPr>
                <w:color w:val="000000"/>
                <w:spacing w:val="0"/>
                <w:w w:val="100"/>
                <w:position w:val="0"/>
              </w:rPr>
              <w:t>100</w:t>
            </w:r>
            <w:r>
              <w:rPr>
                <w:rFonts w:ascii="SimSun" w:eastAsia="SimSun" w:hAnsi="SimSun" w:cs="SimSun"/>
                <w:color w:val="000000"/>
                <w:spacing w:val="0"/>
                <w:w w:val="100"/>
                <w:position w:val="0"/>
              </w:rPr>
              <w:t>公里</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500 </w:t>
            </w:r>
            <w:r>
              <w:rPr>
                <w:color w:val="000000"/>
                <w:spacing w:val="0"/>
                <w:w w:val="100"/>
                <w:position w:val="0"/>
              </w:rPr>
              <w:t>KV</w:t>
            </w:r>
            <w:r>
              <w:rPr>
                <w:rFonts w:ascii="SimSun" w:eastAsia="SimSun" w:hAnsi="SimSun" w:cs="SimSun"/>
                <w:color w:val="000000"/>
                <w:spacing w:val="0"/>
                <w:w w:val="100"/>
                <w:position w:val="0"/>
              </w:rPr>
              <w:t>交联</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电缆项目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基于锂电池项</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目政府补贴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603,544.09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106,566.13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496,977.96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武汉市新能源 汽车充电基础 设施补贴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855,209.10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180,045.12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675,163.98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49,366,990.41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35,592,388.00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18,777,687.24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66,181,691.17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66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388"/>
      <w:bookmarkEnd w:id="1389"/>
      <w:bookmarkEnd w:id="139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22,585,944.39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17,798,569.36</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22,585,944.39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17,798,569.36</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p>
      <w:pPr>
        <w:pStyle w:val="Style34"/>
        <w:keepNext/>
        <w:keepLines/>
        <w:widowControl w:val="0"/>
        <w:shd w:val="clear" w:color="auto" w:fill="auto"/>
        <w:bidi w:val="0"/>
        <w:spacing w:before="0" w:after="36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1392"/>
      <w:bookmarkEnd w:id="1393"/>
      <w:bookmarkEnd w:id="13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560"/>
        <w:gridCol w:w="1147"/>
        <w:gridCol w:w="883"/>
        <w:gridCol w:w="1195"/>
        <w:gridCol w:w="1195"/>
        <w:gridCol w:w="912"/>
        <w:gridCol w:w="1488"/>
      </w:tblGrid>
      <w:tr>
        <w:trPr>
          <w:trHeight w:val="331"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1,035,489,098.00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1,035,489,098.00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96"/>
      <w:bookmarkEnd w:id="1397"/>
      <w:bookmarkEnd w:id="13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1,542,111,313.12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1,542,111,313.12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13,086,400.00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3,238,338.81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16,324,738.81</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1,555,197,713.12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3,238,338.81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1,558,436,051.93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00"/>
      <w:bookmarkEnd w:id="1401"/>
      <w:bookmarkEnd w:id="14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946"/>
        <w:gridCol w:w="758"/>
        <w:gridCol w:w="854"/>
        <w:gridCol w:w="850"/>
        <w:gridCol w:w="734"/>
      </w:tblGrid>
      <w:tr>
        <w:trPr>
          <w:trHeight w:val="33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157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本期所</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得税前</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减：所 得税费 用</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税后归</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属于少</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数股东</w:t>
            </w:r>
          </w:p>
        </w:tc>
        <w:tc>
          <w:tcPr>
            <w:vMerge/>
            <w:tcBorders>
              <w:left w:val="single" w:sz="4"/>
              <w:right w:val="single" w:sz="4"/>
            </w:tcBorders>
            <w:shd w:val="clear" w:color="auto" w:fill="D4D4D4"/>
            <w:vAlign w:val="center"/>
          </w:tcPr>
          <w:p>
            <w:pPr/>
          </w:p>
        </w:tc>
      </w:tr>
      <w:tr>
        <w:trPr>
          <w:trHeight w:val="946"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-1,358,77</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98,216,1</w:t>
            </w:r>
          </w:p>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14,712,</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83,503,2</w:t>
            </w:r>
          </w:p>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82,144</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,510.2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158,038.8</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-391,40</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-391,40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-233,3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63.06</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-1,516,81</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98,607,5</w:t>
            </w:r>
          </w:p>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14,712,</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83,894,6</w:t>
            </w:r>
          </w:p>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82,377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,873.3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r>
      <w:tr>
        <w:trPr>
          <w:trHeight w:val="955"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-1,358,77</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98,216,1</w:t>
            </w:r>
          </w:p>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14,712,</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83,503,2</w:t>
            </w:r>
          </w:p>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82,144</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,510.2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404"/>
      <w:bookmarkEnd w:id="1405"/>
      <w:bookmarkEnd w:id="14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259,313,962.64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44,459,034.46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303,772,997.10</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259,313,962.64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44,459,034.46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303,772,997.10</w:t>
            </w:r>
          </w:p>
        </w:tc>
      </w:tr>
    </w:tbl>
    <w:p>
      <w:pPr>
        <w:sectPr>
          <w:headerReference w:type="default" r:id="rId227"/>
          <w:footerReference w:type="default" r:id="rId228"/>
          <w:headerReference w:type="even" r:id="rId229"/>
          <w:footerReference w:type="even" r:id="rId230"/>
          <w:footnotePr>
            <w:pos w:val="pageBottom"/>
            <w:numFmt w:val="decimal"/>
            <w:numRestart w:val="continuous"/>
          </w:footnotePr>
          <w:type w:val="continuous"/>
          <w:pgSz w:w="11900" w:h="16840"/>
          <w:pgMar w:top="1662" w:right="855" w:bottom="1470" w:left="869" w:header="0" w:footer="3" w:gutter="0"/>
          <w:cols w:space="720"/>
          <w:noEndnote/>
          <w:rtlGutter w:val="0"/>
          <w:docGrid w:linePitch="360"/>
        </w:sectPr>
      </w:pPr>
    </w:p>
    <w:p>
      <w:pPr>
        <w:pStyle w:val="Style34"/>
        <w:keepNext/>
        <w:keepLines/>
        <w:widowControl w:val="0"/>
        <w:shd w:val="clear" w:color="auto" w:fill="auto"/>
        <w:bidi w:val="0"/>
        <w:spacing w:before="0" w:after="36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408"/>
      <w:bookmarkEnd w:id="1409"/>
      <w:bookmarkEnd w:id="141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1,400,735,829.60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1,238,073,456.06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-563,128.39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1,400,735,829.60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1,237,510,327.67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223,052,864.45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220,879,359.32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44,459,034.46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36,944,075.43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36,242,118.43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20,709,781.96</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1,543,087,541.16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1,400,735,829.60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00" w:line="240" w:lineRule="auto"/>
        <w:ind w:left="0" w:right="0" w:firstLine="0"/>
        <w:jc w:val="left"/>
      </w:pPr>
      <w:bookmarkStart w:id="1412" w:name="bookmark1412"/>
      <w:r>
        <w:rPr>
          <w:rFonts w:ascii="Times New Roman" w:eastAsia="Times New Roman" w:hAnsi="Times New Roman" w:cs="Times New Roman"/>
          <w:color w:val="000000"/>
          <w:spacing w:val="0"/>
          <w:w w:val="100"/>
          <w:position w:val="0"/>
        </w:rPr>
        <w:t>1</w:t>
      </w:r>
      <w:bookmarkEnd w:id="141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413" w:name="bookmark1413"/>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414" w:name="bookmark1414"/>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415" w:name="bookmark1415"/>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60" w:line="240" w:lineRule="auto"/>
        <w:ind w:left="0" w:right="0" w:firstLine="0"/>
        <w:jc w:val="left"/>
      </w:pPr>
      <w:bookmarkStart w:id="1416" w:name="bookmark1416"/>
      <w:r>
        <w:rPr>
          <w:rFonts w:ascii="Times New Roman" w:eastAsia="Times New Roman" w:hAnsi="Times New Roman" w:cs="Times New Roman"/>
          <w:color w:val="000000"/>
          <w:spacing w:val="0"/>
          <w:w w:val="100"/>
          <w:position w:val="0"/>
        </w:rPr>
        <w:t>5</w:t>
      </w:r>
      <w:bookmarkEnd w:id="141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417"/>
      <w:bookmarkEnd w:id="1418"/>
      <w:bookmarkEnd w:id="14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9,247,060,349.20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7,861,031,954.72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9,630,097,242.20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8,017,448,333.85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74,728,919.40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34,878,817.69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115,311,542.02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94,825,669.64</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9,321,789,268.60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7,895,910,772.41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9,745,408,784.22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8,112,274,003.49</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经审计扣除非经常损益前后净利润孰低是否为负值 口是"否</w:t>
      </w:r>
    </w:p>
    <w:p>
      <w:pPr>
        <w:pStyle w:val="Style31"/>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9,321,789,268.60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5,469,864,765.05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5,469,864,765.05</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631,620,858.56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631,620,858.56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2,891,692,242.66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2,891,692,242.66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贸易、服务及其他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328,611,402.33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328,611,402.33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9,321,789,268.60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4,425,232,654.77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4,425,232,654.77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845,640,217.55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845,640,217.55</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891,265,458.64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891,265,458.64</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1,336,658,492.23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1,336,658,492.23</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1,822,992,445.41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1,822,992,445.41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p>
    <w:p>
      <w:pPr>
        <w:pStyle w:val="Style34"/>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421"/>
      <w:bookmarkEnd w:id="1422"/>
      <w:bookmarkEnd w:id="14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11,823,656.26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13,008,014.76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8,671,223.24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9,641,946.77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1,605,846.02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5,643,593.00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474,952.69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1,049,677.21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25,596.61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129,351.79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2,584,359.61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2,952,594.46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环境保护税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16,087.16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14,151.30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1,357,045.51</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25,204,051.08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33,796,374.80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425"/>
      <w:bookmarkEnd w:id="1426"/>
      <w:bookmarkEnd w:id="14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290,892,118.99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135,021,109.06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24,067,067.39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107,048,210.12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136,402,497.38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14,492,298.30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41,218,944.38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65,944,240.03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58,885,082.91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26,066,133.80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55,079,560.22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中标服务费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17,494,234.10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27,081,893.57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电缆安装费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10,885,207.50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销售管理费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20,725,237.92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36,337,987.49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营运管理费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51,080,656.48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53,548,021.13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5,481,962.87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3,784,086.49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516,243,949.88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665,292,600.25</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注：本集团于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日开始执行新收入准则，按照新收入准入本年将销售费用中的运输费及电缆安装费重分类到营</w:t>
      </w:r>
    </w:p>
    <w:p>
      <w:pPr>
        <w:widowControl w:val="0"/>
        <w:spacing w:after="5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业成本中核算。</w:t>
      </w:r>
      <w:r>
        <w:br w:type="page"/>
      </w:r>
    </w:p>
    <w:p>
      <w:pPr>
        <w:pStyle w:val="Style34"/>
        <w:keepNext/>
        <w:keepLines/>
        <w:widowControl w:val="0"/>
        <w:shd w:val="clear" w:color="auto" w:fill="auto"/>
        <w:bidi w:val="0"/>
        <w:spacing w:before="0" w:after="36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429"/>
      <w:bookmarkEnd w:id="1430"/>
      <w:bookmarkEnd w:id="14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155,656,252.45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148,435,216.22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32,208,071.72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22,861,648.73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13,383,293.11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13,144,295.20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5,578,514.23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9,858,510.79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7,831,413.27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13,810,560.63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车辆使用费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3,065,191.92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3,598,692.81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10,508,075.75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14,603,842.71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6,202,424.00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5,759,877.70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审计审核费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2,254,359.46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1,726,963.14</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10,118,199.07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8,004,929.21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残保金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1,141,232.20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247,947,027.18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241,804,537.14</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433"/>
      <w:bookmarkEnd w:id="1434"/>
      <w:bookmarkEnd w:id="14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直接投入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237,595,126.72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261,296,699.91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92,407,839.53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87,359,901.41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4,800,084.89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4,696,573.67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12,033,096.88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10,790,293.71</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346,836,148.02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364,143,468.70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437"/>
      <w:bookmarkEnd w:id="1438"/>
      <w:bookmarkEnd w:id="14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41,249,806.80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73,529,586.98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4,789,061.55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7,557,152.58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加：汇兑损失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14,632,438.92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-2,592,692.43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加：其他支出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27,009,500.71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16,236,723.04</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78,102,684.88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79,616,465.01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441"/>
      <w:bookmarkEnd w:id="1442"/>
      <w:bookmarkEnd w:id="14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增值税退税收入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70,277,427.93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68,395,860.46</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与日常经营活动相关的政府补助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40,167,621.72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31,662,272.28</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110,445,049.65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100,058,132.74</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6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445"/>
      <w:bookmarkEnd w:id="1446"/>
      <w:bookmarkEnd w:id="14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27"/>
        <w:gridCol w:w="2890"/>
        <w:gridCol w:w="266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-501,582.53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-4,178,553.64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其他非流动金融资产在持有期间取得的股利收入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1,996,545.58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538,609.70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2,310,715.00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9,727,185.73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12,680,714.96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远期结购汇交割收益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-148,768.92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-60,714.89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-729,607.80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-575,947.15</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10,882,381.76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10,596,214.28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6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49"/>
      <w:bookmarkEnd w:id="1450"/>
      <w:bookmarkEnd w:id="14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远期结购汇浮盈浮亏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3,266,314.53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-1,686,480.27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期货合约浮盈浮亏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-2,923,275.00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4,461,700.00</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343,039.53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2,775,219.73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6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453"/>
      <w:bookmarkEnd w:id="1454"/>
      <w:bookmarkEnd w:id="14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-2,413,572.38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-3,425,503.45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-43,900,940.25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-28,544,146.80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-1,516,734.76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-3,651,070.68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-47,831,247.39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-35,620,720.93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6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457"/>
      <w:bookmarkEnd w:id="1458"/>
      <w:bookmarkEnd w:id="14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2990"/>
        <w:gridCol w:w="2870"/>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二、存货跌价损失及合同履约成本减值损失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-10,366,652.23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-9,963,296.77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-2,546,943.02</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六、工程物资减值损失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-1,809,264.45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-13,630,154.25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七、在建工程减值损失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-2,047,103.20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-73,076.91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-26,251,348.36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-51,917,205.46</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十二、合同资产减值损失</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662" w:right="855" w:bottom="1470" w:left="869" w:header="0" w:footer="3" w:gutter="0"/>
          <w:cols w:space="720"/>
          <w:noEndnote/>
          <w:rtlGutter w:val="0"/>
          <w:docGrid w:linePitch="360"/>
        </w:sectPr>
      </w:pPr>
    </w:p>
    <w:tbl>
      <w:tblPr>
        <w:tblOverlap w:val="never"/>
        <w:jc w:val="center"/>
        <w:tblLayout w:type="fixed"/>
      </w:tblPr>
      <w:tblGrid>
        <w:gridCol w:w="3720"/>
        <w:gridCol w:w="2990"/>
        <w:gridCol w:w="2870"/>
      </w:tblGrid>
      <w:tr>
        <w:trPr>
          <w:trHeight w:val="331"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-39,860,764.94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-78,130,676.41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6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461"/>
      <w:bookmarkEnd w:id="1462"/>
      <w:bookmarkEnd w:id="14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8"/>
        <w:gridCol w:w="2942"/>
        <w:gridCol w:w="276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-2,239,775.42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-2,919,377.56</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w:t>
            </w:r>
            <w:r>
              <w:rPr>
                <w:rFonts w:ascii="SimSun" w:eastAsia="SimSun" w:hAnsi="SimSun" w:cs="SimSun"/>
                <w:color w:val="000000"/>
                <w:spacing w:val="0"/>
                <w:w w:val="100"/>
                <w:position w:val="0"/>
              </w:rPr>
              <w:t>未划分为持有待售的非流动资产处置收益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-2,239,775.42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-2,919,377.56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w:t>
            </w:r>
            <w:r>
              <w:rPr>
                <w:rFonts w:ascii="SimSun" w:eastAsia="SimSun" w:hAnsi="SimSun" w:cs="SimSun"/>
                <w:color w:val="000000"/>
                <w:spacing w:val="0"/>
                <w:w w:val="100"/>
                <w:position w:val="0"/>
              </w:rPr>
              <w:t>固定资产处置收益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-1,126,821.61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-2,714,043.85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工程物资处置收益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-1,112,953.81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-205,333.71</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-2,239,775.42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-2,919,377.56</w:t>
            </w:r>
          </w:p>
        </w:tc>
      </w:tr>
    </w:tbl>
    <w:p>
      <w:pPr>
        <w:widowControl w:val="0"/>
        <w:spacing w:after="299" w:line="1" w:lineRule="exact"/>
      </w:pPr>
    </w:p>
    <w:p>
      <w:pPr>
        <w:pStyle w:val="Style34"/>
        <w:keepNext/>
        <w:keepLines/>
        <w:widowControl w:val="0"/>
        <w:shd w:val="clear" w:color="auto" w:fill="auto"/>
        <w:bidi w:val="0"/>
        <w:spacing w:before="0" w:after="660" w:line="240" w:lineRule="auto"/>
        <w:ind w:left="0" w:right="0" w:firstLine="26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465"/>
      <w:bookmarkEnd w:id="1466"/>
      <w:bookmarkEnd w:id="1468"/>
    </w:p>
    <w:tbl>
      <w:tblPr>
        <w:tblOverlap w:val="never"/>
        <w:jc w:val="center"/>
        <w:tblLayout w:type="fixed"/>
      </w:tblPr>
      <w:tblGrid>
        <w:gridCol w:w="2395"/>
        <w:gridCol w:w="2395"/>
        <w:gridCol w:w="2390"/>
        <w:gridCol w:w="2395"/>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7,136,880.59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10,885,569.39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7,136,880.59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非流动资产报废利得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20,246.11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87,769.93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20,246.11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6,504,790.55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5,139,390.32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6,504,790.55</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13,661,917.25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16,112,729.64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13,661,917.25</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119" w:line="1" w:lineRule="exact"/>
      </w:pPr>
    </w:p>
    <w:p>
      <w:pPr>
        <w:pStyle w:val="Style29"/>
        <w:keepNext w:val="0"/>
        <w:keepLines w:val="0"/>
        <w:widowControl w:val="0"/>
        <w:shd w:val="clear" w:color="auto" w:fill="auto"/>
        <w:bidi w:val="0"/>
        <w:spacing w:before="0" w:after="0" w:line="240" w:lineRule="auto"/>
        <w:ind w:left="250" w:right="0" w:firstLine="0"/>
        <w:jc w:val="left"/>
      </w:pPr>
      <w:r>
        <w:rPr>
          <w:color w:val="000000"/>
          <w:spacing w:val="0"/>
          <w:w w:val="100"/>
          <w:position w:val="0"/>
        </w:rPr>
        <w:t>计入当期损益的政府补助:</w:t>
      </w:r>
    </w:p>
    <w:tbl>
      <w:tblPr>
        <w:tblOverlap w:val="never"/>
        <w:jc w:val="center"/>
        <w:tblLayout w:type="fixed"/>
      </w:tblPr>
      <w:tblGrid>
        <w:gridCol w:w="1848"/>
        <w:gridCol w:w="1267"/>
        <w:gridCol w:w="1186"/>
        <w:gridCol w:w="4733"/>
        <w:gridCol w:w="1142"/>
      </w:tblGrid>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sz w:val="18"/>
                <w:szCs w:val="18"/>
              </w:rPr>
              <w:t>上年发生额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来源和依据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b/>
                <w:bCs/>
                <w:color w:val="000000"/>
                <w:spacing w:val="0"/>
                <w:w w:val="100"/>
                <w:position w:val="0"/>
                <w:sz w:val="18"/>
                <w:szCs w:val="18"/>
              </w:rPr>
              <w:t>与资产相关</w:t>
            </w:r>
            <w:r>
              <w:rPr>
                <w:b/>
                <w:bCs/>
                <w:color w:val="000000"/>
                <w:spacing w:val="0"/>
                <w:w w:val="100"/>
                <w:position w:val="0"/>
              </w:rPr>
              <w:t xml:space="preserve">/ </w:t>
            </w:r>
            <w:r>
              <w:rPr>
                <w:rFonts w:ascii="SimSun" w:eastAsia="SimSun" w:hAnsi="SimSun" w:cs="SimSun"/>
                <w:b/>
                <w:bCs/>
                <w:color w:val="000000"/>
                <w:spacing w:val="0"/>
                <w:w w:val="100"/>
                <w:position w:val="0"/>
                <w:sz w:val="18"/>
                <w:szCs w:val="18"/>
              </w:rPr>
              <w:t>与收益相关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年电线电缆协作 配套项目奖励行业前 十强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杭州市临安区经信局杭州市临安区财政局《关于下达</w:t>
            </w:r>
            <w:r>
              <w:rPr>
                <w:color w:val="000000"/>
                <w:spacing w:val="0"/>
                <w:w w:val="100"/>
                <w:position w:val="0"/>
              </w:rPr>
              <w:t xml:space="preserve">2020 </w:t>
            </w:r>
            <w:r>
              <w:rPr>
                <w:rFonts w:ascii="SimSun" w:eastAsia="SimSun" w:hAnsi="SimSun" w:cs="SimSun"/>
                <w:color w:val="000000"/>
                <w:spacing w:val="0"/>
                <w:w w:val="100"/>
                <w:position w:val="0"/>
              </w:rPr>
              <w:t>年电信电缆制造业改造提升专项资金的通知》临经信综</w:t>
            </w:r>
          </w:p>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w:t>
            </w:r>
            <w:r>
              <w:rPr>
                <w:color w:val="000000"/>
                <w:spacing w:val="0"/>
                <w:w w:val="100"/>
                <w:position w:val="0"/>
              </w:rPr>
              <w:t>127</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首批杭州市</w:t>
            </w:r>
            <w:r>
              <w:rPr>
                <w:color w:val="000000"/>
                <w:spacing w:val="0"/>
                <w:w w:val="100"/>
                <w:position w:val="0"/>
              </w:rPr>
              <w:t>“</w:t>
            </w:r>
            <w:r>
              <w:rPr>
                <w:rFonts w:ascii="SimSun" w:eastAsia="SimSun" w:hAnsi="SimSun" w:cs="SimSun"/>
                <w:color w:val="000000"/>
                <w:spacing w:val="0"/>
                <w:w w:val="100"/>
                <w:position w:val="0"/>
              </w:rPr>
              <w:t>鲲鹏</w:t>
            </w:r>
            <w:r>
              <w:rPr>
                <w:color w:val="000000"/>
                <w:spacing w:val="0"/>
                <w:w w:val="100"/>
                <w:position w:val="0"/>
              </w:rPr>
              <w:t>”</w:t>
            </w:r>
            <w:r>
              <w:rPr>
                <w:rFonts w:ascii="SimSun" w:eastAsia="SimSun" w:hAnsi="SimSun" w:cs="SimSun"/>
                <w:color w:val="000000"/>
                <w:spacing w:val="0"/>
                <w:w w:val="100"/>
                <w:position w:val="0"/>
              </w:rPr>
              <w:t>企 业（制造业）奖励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杭州市经济和信息化局文件《关于公布首批杭州市</w:t>
            </w:r>
            <w:r>
              <w:rPr>
                <w:color w:val="000000"/>
                <w:spacing w:val="0"/>
                <w:w w:val="100"/>
                <w:position w:val="0"/>
              </w:rPr>
              <w:t>“</w:t>
            </w:r>
            <w:r>
              <w:rPr>
                <w:rFonts w:ascii="SimSun" w:eastAsia="SimSun" w:hAnsi="SimSun" w:cs="SimSun"/>
                <w:color w:val="000000"/>
                <w:spacing w:val="0"/>
                <w:w w:val="100"/>
                <w:position w:val="0"/>
              </w:rPr>
              <w:t>鲲鹏</w:t>
            </w:r>
            <w:r>
              <w:rPr>
                <w:color w:val="000000"/>
                <w:spacing w:val="0"/>
                <w:w w:val="100"/>
                <w:position w:val="0"/>
              </w:rPr>
              <w:t>”</w:t>
            </w:r>
            <w:r>
              <w:rPr>
                <w:rFonts w:ascii="SimSun" w:eastAsia="SimSun" w:hAnsi="SimSun" w:cs="SimSun"/>
                <w:color w:val="000000"/>
                <w:spacing w:val="0"/>
                <w:w w:val="100"/>
                <w:position w:val="0"/>
              </w:rPr>
              <w:t>企 业（制造业）奖励名单的通知》杭经信运行【</w:t>
            </w:r>
            <w:r>
              <w:rPr>
                <w:color w:val="000000"/>
                <w:spacing w:val="0"/>
                <w:w w:val="100"/>
                <w:position w:val="0"/>
              </w:rPr>
              <w:t>2020</w:t>
            </w:r>
            <w:r>
              <w:rPr>
                <w:rFonts w:ascii="SimSun" w:eastAsia="SimSun" w:hAnsi="SimSun" w:cs="SimSun"/>
                <w:color w:val="000000"/>
                <w:spacing w:val="0"/>
                <w:w w:val="100"/>
                <w:position w:val="0"/>
              </w:rPr>
              <w:t>】</w:t>
            </w:r>
            <w:r>
              <w:rPr>
                <w:color w:val="000000"/>
                <w:spacing w:val="0"/>
                <w:w w:val="100"/>
                <w:position w:val="0"/>
              </w:rPr>
              <w:t>14</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强化创新驱动推进现</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代服务业发展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杭州市临安区人民政府文件《杭州市临安区人民政府关于进 一步强化创新驱动推进现代服务业发展的若干政策意见》临 政函【</w:t>
            </w:r>
            <w:r>
              <w:rPr>
                <w:color w:val="000000"/>
                <w:spacing w:val="0"/>
                <w:w w:val="100"/>
                <w:position w:val="0"/>
              </w:rPr>
              <w:t>2018</w:t>
            </w:r>
            <w:r>
              <w:rPr>
                <w:rFonts w:ascii="SimSun" w:eastAsia="SimSun" w:hAnsi="SimSun" w:cs="SimSun"/>
                <w:color w:val="000000"/>
                <w:spacing w:val="0"/>
                <w:w w:val="100"/>
                <w:position w:val="0"/>
              </w:rPr>
              <w:t>】</w:t>
            </w:r>
            <w:r>
              <w:rPr>
                <w:color w:val="000000"/>
                <w:spacing w:val="0"/>
                <w:w w:val="100"/>
                <w:position w:val="0"/>
              </w:rPr>
              <w:t>29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2018-2019</w:t>
            </w:r>
            <w:r>
              <w:rPr>
                <w:rFonts w:ascii="SimSun" w:eastAsia="SimSun" w:hAnsi="SimSun" w:cs="SimSun"/>
                <w:color w:val="000000"/>
                <w:spacing w:val="0"/>
                <w:w w:val="100"/>
                <w:position w:val="0"/>
              </w:rPr>
              <w:t>年度临安区 政府质量奖和提名奖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杭州市临安区市场监督管理总局《杭州市临安区人民政府关 于</w:t>
            </w:r>
            <w:r>
              <w:rPr>
                <w:color w:val="000000"/>
                <w:spacing w:val="0"/>
                <w:w w:val="100"/>
                <w:position w:val="0"/>
              </w:rPr>
              <w:t>2018-2019</w:t>
            </w:r>
            <w:r>
              <w:rPr>
                <w:rFonts w:ascii="SimSun" w:eastAsia="SimSun" w:hAnsi="SimSun" w:cs="SimSun"/>
                <w:color w:val="000000"/>
                <w:spacing w:val="0"/>
                <w:w w:val="100"/>
                <w:position w:val="0"/>
              </w:rPr>
              <w:t>年度临安区政府质量奖和提名奖获奖企业的通 报》临政函【</w:t>
            </w:r>
            <w:r>
              <w:rPr>
                <w:color w:val="000000"/>
                <w:spacing w:val="0"/>
                <w:w w:val="100"/>
                <w:position w:val="0"/>
              </w:rPr>
              <w:t>2019</w:t>
            </w:r>
            <w:r>
              <w:rPr>
                <w:rFonts w:ascii="SimSun" w:eastAsia="SimSun" w:hAnsi="SimSun" w:cs="SimSun"/>
                <w:color w:val="000000"/>
                <w:spacing w:val="0"/>
                <w:w w:val="100"/>
                <w:position w:val="0"/>
              </w:rPr>
              <w:t>】</w:t>
            </w:r>
            <w:r>
              <w:rPr>
                <w:color w:val="000000"/>
                <w:spacing w:val="0"/>
                <w:w w:val="100"/>
                <w:position w:val="0"/>
              </w:rPr>
              <w:t>102</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年度加快推进绿 色发展奖励省级节节 水型企业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杭州市临安区经济和经济和信息化局 杭州市临安区 财政 局关于印发《关于全面实施</w:t>
            </w:r>
            <w:r>
              <w:rPr>
                <w:color w:val="000000"/>
                <w:spacing w:val="0"/>
                <w:w w:val="100"/>
                <w:position w:val="0"/>
              </w:rPr>
              <w:t>“</w:t>
            </w:r>
            <w:r>
              <w:rPr>
                <w:rFonts w:ascii="SimSun" w:eastAsia="SimSun" w:hAnsi="SimSun" w:cs="SimSun"/>
                <w:color w:val="000000"/>
                <w:spacing w:val="0"/>
                <w:w w:val="100"/>
                <w:position w:val="0"/>
              </w:rPr>
              <w:t>新制造业计划</w:t>
            </w:r>
            <w:r>
              <w:rPr>
                <w:color w:val="000000"/>
                <w:spacing w:val="0"/>
                <w:w w:val="100"/>
                <w:position w:val="0"/>
              </w:rPr>
              <w:t>”</w:t>
            </w:r>
            <w:r>
              <w:rPr>
                <w:rFonts w:ascii="SimSun" w:eastAsia="SimSun" w:hAnsi="SimSun" w:cs="SimSun"/>
                <w:color w:val="000000"/>
                <w:spacing w:val="0"/>
                <w:w w:val="100"/>
                <w:position w:val="0"/>
              </w:rPr>
              <w:t>推进高质量发 展实施细则的操作办法》（临经信综〔</w:t>
            </w:r>
            <w:r>
              <w:rPr>
                <w:color w:val="000000"/>
                <w:spacing w:val="0"/>
                <w:w w:val="100"/>
                <w:position w:val="0"/>
              </w:rPr>
              <w:t>2019</w:t>
            </w:r>
            <w:r>
              <w:rPr>
                <w:rFonts w:ascii="SimSun" w:eastAsia="SimSun" w:hAnsi="SimSun" w:cs="SimSun"/>
                <w:color w:val="000000"/>
                <w:spacing w:val="0"/>
                <w:w w:val="100"/>
                <w:position w:val="0"/>
              </w:rPr>
              <w:t xml:space="preserve">） </w:t>
            </w:r>
            <w:r>
              <w:rPr>
                <w:color w:val="000000"/>
                <w:spacing w:val="0"/>
                <w:w w:val="100"/>
                <w:position w:val="0"/>
              </w:rPr>
              <w:t>110</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9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14/4</w:t>
            </w:r>
            <w:r>
              <w:rPr>
                <w:rFonts w:ascii="SimSun" w:eastAsia="SimSun" w:hAnsi="SimSun" w:cs="SimSun"/>
                <w:color w:val="000000"/>
                <w:spacing w:val="0"/>
                <w:w w:val="100"/>
                <w:position w:val="0"/>
              </w:rPr>
              <w:t>企业小升规奖励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杭州市临安去经信局杭州市临安区财政局关于要求兑现</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年小微企业上规升级财政奖励资金的请示临经信综</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 xml:space="preserve">） </w:t>
            </w:r>
            <w:r>
              <w:rPr>
                <w:color w:val="000000"/>
                <w:spacing w:val="0"/>
                <w:w w:val="100"/>
                <w:position w:val="0"/>
              </w:rPr>
              <w:t>28</w:t>
            </w:r>
            <w:r>
              <w:rPr>
                <w:rFonts w:ascii="SimSun" w:eastAsia="SimSun" w:hAnsi="SimSun" w:cs="SimSun"/>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662" w:right="855" w:bottom="1470" w:left="869" w:header="0" w:footer="3" w:gutter="0"/>
          <w:cols w:space="720"/>
          <w:noEndnote/>
          <w:rtlGutter w:val="0"/>
          <w:docGrid w:linePitch="360"/>
        </w:sectPr>
      </w:pPr>
    </w:p>
    <w:p>
      <w:pPr>
        <w:pStyle w:val="Style87"/>
        <w:keepNext w:val="0"/>
        <w:keepLines w:val="0"/>
        <w:widowControl w:val="0"/>
        <w:shd w:val="clear" w:color="auto" w:fill="auto"/>
        <w:bidi w:val="0"/>
        <w:spacing w:before="0" w:line="240" w:lineRule="auto"/>
        <w:ind w:left="0" w:right="0" w:firstLine="460"/>
        <w:jc w:val="left"/>
      </w:pPr>
      <w:r>
        <w:rPr>
          <w:spacing w:val="0"/>
          <w:w w:val="100"/>
          <w:position w:val="0"/>
        </w:rPr>
        <w:t>ms</w:t>
      </w:r>
    </w:p>
    <w:tbl>
      <w:tblPr>
        <w:tblOverlap w:val="never"/>
        <w:jc w:val="center"/>
        <w:tblLayout w:type="fixed"/>
      </w:tblPr>
      <w:tblGrid>
        <w:gridCol w:w="1843"/>
        <w:gridCol w:w="1267"/>
        <w:gridCol w:w="1186"/>
        <w:gridCol w:w="4733"/>
        <w:gridCol w:w="1142"/>
      </w:tblGrid>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上年发生额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来源和依据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b/>
                <w:bCs/>
                <w:color w:val="000000"/>
                <w:spacing w:val="0"/>
                <w:w w:val="100"/>
                <w:position w:val="0"/>
                <w:sz w:val="18"/>
                <w:szCs w:val="18"/>
              </w:rPr>
              <w:t>与资产相关</w:t>
            </w:r>
            <w:r>
              <w:rPr>
                <w:b/>
                <w:bCs/>
                <w:color w:val="000000"/>
                <w:spacing w:val="0"/>
                <w:w w:val="100"/>
                <w:position w:val="0"/>
              </w:rPr>
              <w:t xml:space="preserve">/ </w:t>
            </w:r>
            <w:r>
              <w:rPr>
                <w:rFonts w:ascii="SimSun" w:eastAsia="SimSun" w:hAnsi="SimSun" w:cs="SimSun"/>
                <w:b/>
                <w:bCs/>
                <w:color w:val="000000"/>
                <w:spacing w:val="0"/>
                <w:w w:val="100"/>
                <w:position w:val="0"/>
                <w:sz w:val="18"/>
                <w:szCs w:val="18"/>
              </w:rPr>
              <w:t>与收益相关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年电线电缆制造 业改造提升专项财政 资助奖励资金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杭州市临安区经济和信息化局、杭州市临安区财政局关于 《</w:t>
            </w:r>
            <w:r>
              <w:rPr>
                <w:color w:val="000000"/>
                <w:spacing w:val="0"/>
                <w:w w:val="100"/>
                <w:position w:val="0"/>
              </w:rPr>
              <w:t>2018</w:t>
            </w:r>
            <w:r>
              <w:rPr>
                <w:rFonts w:ascii="SimSun" w:eastAsia="SimSun" w:hAnsi="SimSun" w:cs="SimSun"/>
                <w:color w:val="000000"/>
                <w:spacing w:val="0"/>
                <w:w w:val="100"/>
                <w:position w:val="0"/>
              </w:rPr>
              <w:t>年电线电缆制造业改造提升专项资金的通知》临经 信综【</w:t>
            </w:r>
            <w:r>
              <w:rPr>
                <w:color w:val="000000"/>
                <w:spacing w:val="0"/>
                <w:w w:val="100"/>
                <w:position w:val="0"/>
              </w:rPr>
              <w:t>2019</w:t>
            </w:r>
            <w:r>
              <w:rPr>
                <w:rFonts w:ascii="SimSun" w:eastAsia="SimSun" w:hAnsi="SimSun" w:cs="SimSun"/>
                <w:color w:val="000000"/>
                <w:spacing w:val="0"/>
                <w:w w:val="100"/>
                <w:position w:val="0"/>
              </w:rPr>
              <w:t>】</w:t>
            </w:r>
            <w:r>
              <w:rPr>
                <w:color w:val="000000"/>
                <w:spacing w:val="0"/>
                <w:w w:val="100"/>
                <w:position w:val="0"/>
              </w:rPr>
              <w:t>112</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年度杭州市临安 区骨干企业带动产业 链发展财政专项资金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487,400.00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杭州市临安区经济和信息化局、杭州市临安区财政局关于下 达《</w:t>
            </w:r>
            <w:r>
              <w:rPr>
                <w:color w:val="000000"/>
                <w:spacing w:val="0"/>
                <w:w w:val="100"/>
                <w:position w:val="0"/>
              </w:rPr>
              <w:t>2017</w:t>
            </w:r>
            <w:r>
              <w:rPr>
                <w:rFonts w:ascii="SimSun" w:eastAsia="SimSun" w:hAnsi="SimSun" w:cs="SimSun"/>
                <w:color w:val="000000"/>
                <w:spacing w:val="0"/>
                <w:w w:val="100"/>
                <w:position w:val="0"/>
              </w:rPr>
              <w:t>年度杭州市临安区骨干企业带动产业链发展财政 专项资金的通知》（临经信综</w:t>
            </w:r>
            <w:r>
              <w:rPr>
                <w:color w:val="000000"/>
                <w:spacing w:val="0"/>
                <w:w w:val="100"/>
                <w:position w:val="0"/>
              </w:rPr>
              <w:t>[2018]121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年杭州市第二批 商务发展（外贸）财政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188,721.24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杭州市财政局、杭州市商务局关于下达《</w:t>
            </w:r>
            <w:r>
              <w:rPr>
                <w:color w:val="000000"/>
                <w:spacing w:val="0"/>
                <w:w w:val="100"/>
                <w:position w:val="0"/>
              </w:rPr>
              <w:t>2019</w:t>
            </w:r>
            <w:r>
              <w:rPr>
                <w:rFonts w:ascii="SimSun" w:eastAsia="SimSun" w:hAnsi="SimSun" w:cs="SimSun"/>
                <w:color w:val="000000"/>
                <w:spacing w:val="0"/>
                <w:w w:val="100"/>
                <w:position w:val="0"/>
              </w:rPr>
              <w:t>年杭州市第 二批商务发展（外贸）财政专项资金的通知》杭财企【</w:t>
            </w:r>
            <w:r>
              <w:rPr>
                <w:color w:val="000000"/>
                <w:spacing w:val="0"/>
                <w:w w:val="100"/>
                <w:position w:val="0"/>
              </w:rPr>
              <w:t>2019</w:t>
            </w:r>
            <w:r>
              <w:rPr>
                <w:rFonts w:ascii="SimSun" w:eastAsia="SimSun" w:hAnsi="SimSun" w:cs="SimSun"/>
                <w:color w:val="000000"/>
                <w:spacing w:val="0"/>
                <w:w w:val="100"/>
                <w:position w:val="0"/>
              </w:rPr>
              <w:t xml:space="preserve">】 </w:t>
            </w:r>
            <w:r>
              <w:rPr>
                <w:color w:val="000000"/>
                <w:spacing w:val="0"/>
                <w:w w:val="100"/>
                <w:position w:val="0"/>
              </w:rPr>
              <w:t>51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1,347,080.59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209,448.15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7,136,880.59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10,885,569.39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4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5</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469"/>
      <w:bookmarkEnd w:id="1470"/>
      <w:bookmarkEnd w:id="14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218"/>
        <w:gridCol w:w="2573"/>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计入当期非经常性损益的金额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2,400,000.00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3,193,030.95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3,385,278.19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3,193,030.95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2,098,027.81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1,958,655.39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2,098,027.81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896,580.86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774,187.74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896,580.86</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8,587,639.62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6,243,121.32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8,587,639.62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4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5</w:t>
      </w:r>
      <w:bookmarkEnd w:id="1475"/>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473"/>
      <w:bookmarkEnd w:id="1474"/>
      <w:bookmarkEnd w:id="1476"/>
    </w:p>
    <w:p>
      <w:pPr>
        <w:pStyle w:val="Style59"/>
        <w:keepNext/>
        <w:keepLines/>
        <w:widowControl w:val="0"/>
        <w:shd w:val="clear" w:color="auto" w:fill="auto"/>
        <w:bidi w:val="0"/>
        <w:spacing w:before="0" w:after="360" w:line="240" w:lineRule="auto"/>
        <w:ind w:left="0" w:right="0" w:firstLine="38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77"/>
      <w:bookmarkEnd w:id="1478"/>
      <w:bookmarkEnd w:id="14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21,722,996.89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26,825,610.49</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574,319.84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-4,600,637.04</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22,297,316.73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22,224,973.45</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38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81"/>
      <w:bookmarkEnd w:id="1482"/>
      <w:bookmarkEnd w:id="14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21"/>
        <w:gridCol w:w="276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248,357,595.97</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37,253,639.40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-9,119,786.06</w:t>
            </w:r>
          </w:p>
        </w:tc>
      </w:tr>
      <w:tr>
        <w:trPr>
          <w:trHeight w:val="322"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992,609.40</w:t>
            </w:r>
          </w:p>
        </w:tc>
      </w:tr>
    </w:tbl>
    <w:p>
      <w:pPr>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567" w:right="862" w:bottom="1167" w:left="867" w:header="0" w:footer="3" w:gutter="0"/>
          <w:cols w:space="720"/>
          <w:noEndnote/>
          <w:rtlGutter w:val="0"/>
          <w:docGrid w:linePitch="360"/>
        </w:sectPr>
      </w:pPr>
    </w:p>
    <w:tbl>
      <w:tblPr>
        <w:tblOverlap w:val="never"/>
        <w:jc w:val="center"/>
        <w:tblLayout w:type="fixed"/>
      </w:tblPr>
      <w:tblGrid>
        <w:gridCol w:w="6821"/>
        <w:gridCol w:w="276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-10,446,168.70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5,689,617.37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-758,136.46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28,729,726.74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福利企业残疾人加计扣除的影响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-5,673,270.22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-24,198,514.51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小微企业普惠性税收减免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-172,400.23</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22,297,316.73</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24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485"/>
      <w:bookmarkEnd w:id="1486"/>
      <w:bookmarkEnd w:id="1488"/>
    </w:p>
    <w:p>
      <w:pPr>
        <w:pStyle w:val="Style31"/>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36</w:t>
      </w:r>
      <w:r>
        <w:rPr>
          <w:color w:val="000000"/>
          <w:spacing w:val="0"/>
          <w:w w:val="100"/>
          <w:position w:val="0"/>
        </w:rPr>
        <w:t>其他综合收益”相关内容。</w:t>
      </w:r>
    </w:p>
    <w:p>
      <w:pPr>
        <w:pStyle w:val="Style34"/>
        <w:keepNext/>
        <w:keepLines/>
        <w:widowControl w:val="0"/>
        <w:shd w:val="clear" w:color="auto" w:fill="auto"/>
        <w:bidi w:val="0"/>
        <w:spacing w:before="0" w:line="240" w:lineRule="auto"/>
        <w:ind w:left="0" w:right="0" w:firstLine="24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489"/>
      <w:bookmarkEnd w:id="1490"/>
      <w:bookmarkEnd w:id="1492"/>
    </w:p>
    <w:p>
      <w:pPr>
        <w:pStyle w:val="Style59"/>
        <w:keepNext/>
        <w:keepLines/>
        <w:widowControl w:val="0"/>
        <w:shd w:val="clear" w:color="auto" w:fill="auto"/>
        <w:bidi w:val="0"/>
        <w:spacing w:before="0" w:after="340" w:line="240" w:lineRule="auto"/>
        <w:ind w:left="0" w:right="0" w:firstLine="38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93"/>
      <w:bookmarkEnd w:id="1494"/>
      <w:bookmarkEnd w:id="14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6,957,559.46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7,239,347.08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28,671,988.65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23,598,243.33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112,786,150.85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174,798,939.87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17,268,979.21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6,968,855.15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35,592,388.00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28,107,070.40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代收代付款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119,500,841.75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78,413,263.00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10,178,706.79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6,874,898.83</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330,956,614.71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326,000,617.66</w:t>
            </w:r>
          </w:p>
        </w:tc>
      </w:tr>
    </w:tbl>
    <w:p>
      <w:pPr>
        <w:widowControl w:val="0"/>
        <w:spacing w:after="339" w:line="1" w:lineRule="exact"/>
      </w:pPr>
    </w:p>
    <w:p>
      <w:pPr>
        <w:pStyle w:val="Style59"/>
        <w:keepNext/>
        <w:keepLines/>
        <w:widowControl w:val="0"/>
        <w:numPr>
          <w:ilvl w:val="0"/>
          <w:numId w:val="101"/>
        </w:numPr>
        <w:shd w:val="clear" w:color="auto" w:fill="auto"/>
        <w:bidi w:val="0"/>
        <w:spacing w:before="0" w:after="340" w:line="240" w:lineRule="auto"/>
        <w:ind w:left="0" w:right="0" w:firstLine="38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支付的其他与经营活动有关的现金</w:t>
      </w:r>
      <w:bookmarkEnd w:id="1496"/>
      <w:bookmarkEnd w:id="1497"/>
      <w:bookmarkEnd w:id="1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期间费用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577,551,429.30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593,890,674.30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25,910,428.43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33,752,614.90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127,956,533.88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156,603,834.04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业务员备用金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4,116,402.54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6,854,596.18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3,050,957.60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494,546.45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代收代付款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21,456,556.48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1,281,785.89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760,042,308.23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792,878,051.76</w:t>
            </w:r>
          </w:p>
        </w:tc>
      </w:tr>
    </w:tbl>
    <w:p>
      <w:pPr>
        <w:widowControl w:val="0"/>
        <w:spacing w:after="339" w:line="1" w:lineRule="exact"/>
      </w:pPr>
    </w:p>
    <w:p>
      <w:pPr>
        <w:pStyle w:val="Style59"/>
        <w:keepNext/>
        <w:keepLines/>
        <w:widowControl w:val="0"/>
        <w:numPr>
          <w:ilvl w:val="0"/>
          <w:numId w:val="101"/>
        </w:numPr>
        <w:shd w:val="clear" w:color="auto" w:fill="auto"/>
        <w:bidi w:val="0"/>
        <w:spacing w:before="0" w:after="340" w:line="240" w:lineRule="auto"/>
        <w:ind w:left="0" w:right="0" w:firstLine="38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收到的其他与投资活动有关的现金</w:t>
      </w:r>
      <w:bookmarkEnd w:id="1500"/>
      <w:bookmarkEnd w:id="1501"/>
      <w:bookmarkEnd w:id="1503"/>
    </w:p>
    <w:p>
      <w:pPr>
        <w:pStyle w:val="Style31"/>
        <w:keepNext w:val="0"/>
        <w:keepLines w:val="0"/>
        <w:widowControl w:val="0"/>
        <w:shd w:val="clear" w:color="auto" w:fill="auto"/>
        <w:bidi w:val="0"/>
        <w:spacing w:before="0" w:after="340" w:line="240" w:lineRule="auto"/>
        <w:ind w:left="0" w:right="24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银行理财产品赎回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8,036,326,252.18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7,524,694,333.09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939,495,834.50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543,735,219.94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230,984,850.00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2,412,824.65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4,135.78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9,209,219,761.33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8,068,433,688.81</w:t>
            </w:r>
          </w:p>
        </w:tc>
      </w:tr>
    </w:tbl>
    <w:p>
      <w:pPr>
        <w:widowControl w:val="0"/>
        <w:spacing w:after="299" w:line="1" w:lineRule="exact"/>
      </w:pPr>
    </w:p>
    <w:p>
      <w:pPr>
        <w:pStyle w:val="Style59"/>
        <w:keepNext/>
        <w:keepLines/>
        <w:widowControl w:val="0"/>
        <w:numPr>
          <w:ilvl w:val="0"/>
          <w:numId w:val="101"/>
        </w:numPr>
        <w:shd w:val="clear" w:color="auto" w:fill="auto"/>
        <w:bidi w:val="0"/>
        <w:spacing w:before="0" w:after="360" w:line="240" w:lineRule="auto"/>
        <w:ind w:left="0" w:right="0" w:firstLine="38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支付的其他与投资活动有关的现金</w:t>
      </w:r>
      <w:bookmarkEnd w:id="1504"/>
      <w:bookmarkEnd w:id="1505"/>
      <w:bookmarkEnd w:id="15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银行理财产品申购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7,996,326,252.18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7,459,694,333.06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919,705,677.00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480,658,748.00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20,774,650.00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733,631.74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575,947.15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2,412,824.65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8,919,836,885.57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7,961,703,678.21</w:t>
            </w:r>
          </w:p>
        </w:tc>
      </w:tr>
    </w:tbl>
    <w:p>
      <w:pPr>
        <w:widowControl w:val="0"/>
        <w:spacing w:after="299" w:line="1" w:lineRule="exact"/>
      </w:pPr>
    </w:p>
    <w:p>
      <w:pPr>
        <w:pStyle w:val="Style59"/>
        <w:keepNext/>
        <w:keepLines/>
        <w:widowControl w:val="0"/>
        <w:numPr>
          <w:ilvl w:val="0"/>
          <w:numId w:val="101"/>
        </w:numPr>
        <w:shd w:val="clear" w:color="auto" w:fill="auto"/>
        <w:bidi w:val="0"/>
        <w:spacing w:before="0" w:after="360" w:line="240" w:lineRule="auto"/>
        <w:ind w:left="0" w:right="0" w:firstLine="38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收到的其他与筹资活动有关的现金</w:t>
      </w:r>
      <w:bookmarkEnd w:id="1508"/>
      <w:bookmarkEnd w:id="1509"/>
      <w:bookmarkEnd w:id="15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银行保证金减少额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23,077,505.78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15,183,295.95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贷款贴息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23,453,305.78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15,183,295.95</w:t>
            </w:r>
          </w:p>
        </w:tc>
      </w:tr>
    </w:tbl>
    <w:p>
      <w:pPr>
        <w:widowControl w:val="0"/>
        <w:spacing w:after="299" w:line="1" w:lineRule="exact"/>
      </w:pPr>
    </w:p>
    <w:p>
      <w:pPr>
        <w:pStyle w:val="Style59"/>
        <w:keepNext/>
        <w:keepLines/>
        <w:widowControl w:val="0"/>
        <w:numPr>
          <w:ilvl w:val="0"/>
          <w:numId w:val="101"/>
        </w:numPr>
        <w:shd w:val="clear" w:color="auto" w:fill="auto"/>
        <w:bidi w:val="0"/>
        <w:spacing w:before="0" w:after="360" w:line="240" w:lineRule="auto"/>
        <w:ind w:left="0" w:right="0" w:firstLine="38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支付的其他与筹资活动有关的现金</w:t>
      </w:r>
      <w:bookmarkEnd w:id="1512"/>
      <w:bookmarkEnd w:id="1513"/>
      <w:bookmarkEnd w:id="15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银行保证金增加额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130,142,212.46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11,480,034.81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协定存款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银行借款保理费用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21,883.06</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150,148,512.84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11,501,917.87</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24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516"/>
      <w:bookmarkEnd w:id="1517"/>
      <w:bookmarkEnd w:id="1519"/>
    </w:p>
    <w:p>
      <w:pPr>
        <w:pStyle w:val="Style59"/>
        <w:keepNext/>
        <w:keepLines/>
        <w:widowControl w:val="0"/>
        <w:shd w:val="clear" w:color="auto" w:fill="auto"/>
        <w:bidi w:val="0"/>
        <w:spacing w:before="0" w:after="360" w:line="240" w:lineRule="auto"/>
        <w:ind w:left="0" w:right="0" w:firstLine="38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20"/>
      <w:bookmarkEnd w:id="1521"/>
      <w:bookmarkEnd w:id="15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9"/>
        <w:gridCol w:w="2371"/>
        <w:gridCol w:w="2141"/>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642" w:right="862" w:bottom="1469" w:left="868" w:header="0" w:footer="3" w:gutter="0"/>
          <w:cols w:space="720"/>
          <w:noEndnote/>
          <w:rtlGutter w:val="0"/>
          <w:docGrid w:linePitch="360"/>
        </w:sectPr>
      </w:pPr>
    </w:p>
    <w:tbl>
      <w:tblPr>
        <w:tblOverlap w:val="never"/>
        <w:jc w:val="center"/>
        <w:tblLayout w:type="fixed"/>
      </w:tblPr>
      <w:tblGrid>
        <w:gridCol w:w="5069"/>
        <w:gridCol w:w="2371"/>
        <w:gridCol w:w="2141"/>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226,060,279.24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232,884,761.55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87,692,012.33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113,751,397.34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145,853,834.23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135,322,103.15</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13,216,424.28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12,147,804.84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5,500,828.61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7,085,368.00</w:t>
            </w:r>
          </w:p>
        </w:tc>
      </w:tr>
      <w:tr>
        <w:trPr>
          <w:trHeight w:val="634"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2,239,775.42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2,919,377.56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3,172,784.84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3,297,508.26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-343,039.53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-2,775,219.73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44,482,513.94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71,708,825.08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-10,882,381.76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-10,596,214.28</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-5,530,961.89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-7,625,022.95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6,105,281.73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3,024,385.91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-248,343,887.68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191,452,816.30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-399,493,029.14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-350,778,255.51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834,017,168.43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470,348,038.00</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703,747,603.05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872,167,673.52</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1,127,308,564.56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930,356,057.07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930,356,057.07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670,797,853.58</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196,952,507.49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259,558,203.49</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38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23"/>
      <w:bookmarkEnd w:id="1524"/>
      <w:bookmarkEnd w:id="15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0"/>
        <w:gridCol w:w="2410"/>
        <w:gridCol w:w="2122"/>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1,127,308,564.56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930,356,057.07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56,198.76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1,113,913,069.54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888,240,509.15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13,317,802.43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42,059,349.16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1,127,308,564.56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930,356,057.07</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2,348,326.34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tabs>
          <w:tab w:pos="723" w:val="left"/>
        </w:tabs>
        <w:bidi w:val="0"/>
        <w:spacing w:before="0" w:line="240" w:lineRule="auto"/>
        <w:ind w:left="0" w:right="0" w:firstLine="24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7</w:t>
      </w:r>
      <w:r>
        <w:rPr>
          <w:color w:val="000000"/>
          <w:spacing w:val="0"/>
          <w:w w:val="100"/>
          <w:position w:val="0"/>
        </w:rPr>
        <w:t>、</w:t>
        <w:tab/>
        <w:t>所有者权益变动表项目注释</w:t>
      </w:r>
      <w:bookmarkEnd w:id="1527"/>
      <w:bookmarkEnd w:id="1528"/>
      <w:bookmarkEnd w:id="1530"/>
    </w:p>
    <w:p>
      <w:pPr>
        <w:pStyle w:val="Style31"/>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说明对上年期末余额进行调整的“其他”项目名称及调整金额等事项：</w:t>
      </w:r>
    </w:p>
    <w:p>
      <w:pPr>
        <w:pStyle w:val="Style34"/>
        <w:keepNext/>
        <w:keepLines/>
        <w:widowControl w:val="0"/>
        <w:shd w:val="clear" w:color="auto" w:fill="auto"/>
        <w:tabs>
          <w:tab w:pos="723" w:val="left"/>
        </w:tabs>
        <w:bidi w:val="0"/>
        <w:spacing w:before="0" w:line="240" w:lineRule="auto"/>
        <w:ind w:left="0" w:right="0" w:firstLine="24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8</w:t>
      </w:r>
      <w:r>
        <w:rPr>
          <w:color w:val="000000"/>
          <w:spacing w:val="0"/>
          <w:w w:val="100"/>
          <w:position w:val="0"/>
        </w:rPr>
        <w:t>、</w:t>
        <w:tab/>
        <w:t>所有权或使用权受到限制的资产</w:t>
      </w:r>
      <w:bookmarkEnd w:id="1531"/>
      <w:bookmarkEnd w:id="1532"/>
      <w:bookmarkEnd w:id="15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650"/>
        <w:gridCol w:w="4373"/>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387,482,850.02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银行承兑汇票保证金、保函保证金以及信用证保证金</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170,234,068.16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质押开具应付票据</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105,116,423.72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借款抵押</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37,815,622.41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借款抵押</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应收账款融资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113,792,010.22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质押开具应付票据</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814,440,974.53</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24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535"/>
      <w:bookmarkEnd w:id="1536"/>
      <w:bookmarkEnd w:id="1538"/>
    </w:p>
    <w:p>
      <w:pPr>
        <w:pStyle w:val="Style59"/>
        <w:keepNext/>
        <w:keepLines/>
        <w:widowControl w:val="0"/>
        <w:shd w:val="clear" w:color="auto" w:fill="auto"/>
        <w:bidi w:val="0"/>
        <w:spacing w:before="0" w:after="340" w:line="240" w:lineRule="auto"/>
        <w:ind w:left="0" w:right="0" w:firstLine="38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39"/>
      <w:bookmarkEnd w:id="1540"/>
      <w:bookmarkEnd w:id="15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48,546,309.67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7,066,197.98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46,106,235.21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205,528.16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1,649,363.48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39,642.72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33,364.90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瑞士法郎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2,688,301,937.00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757,342.82</w:t>
            </w:r>
          </w:p>
        </w:tc>
      </w:tr>
      <w:tr>
        <w:trPr>
          <w:trHeight w:val="322"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96,564,713.79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11,934,559.73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77,871,808.79</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66,353,270,234.00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18,692,905.00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44,381,027.12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149,848,725,278.00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42,215,070.58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331,952.45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2,165,956.54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9"/>
        <w:keepNext/>
        <w:keepLines/>
        <w:widowControl w:val="0"/>
        <w:shd w:val="clear" w:color="auto" w:fill="auto"/>
        <w:bidi w:val="0"/>
        <w:spacing w:before="0" w:after="380" w:line="326" w:lineRule="exact"/>
        <w:ind w:left="240" w:right="0" w:firstLine="20"/>
        <w:jc w:val="both"/>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42"/>
      <w:bookmarkEnd w:id="1543"/>
      <w:bookmarkEnd w:id="1545"/>
    </w:p>
    <w:p>
      <w:pPr>
        <w:pStyle w:val="Style31"/>
        <w:keepNext w:val="0"/>
        <w:keepLines w:val="0"/>
        <w:widowControl w:val="0"/>
        <w:shd w:val="clear" w:color="auto" w:fill="auto"/>
        <w:bidi w:val="0"/>
        <w:spacing w:before="0" w:after="100" w:line="240" w:lineRule="auto"/>
        <w:ind w:left="240" w:right="0" w:firstLine="20"/>
        <w:jc w:val="both"/>
      </w:pPr>
      <w:r>
        <w:rPr>
          <w:color w:val="000000"/>
          <w:spacing w:val="0"/>
          <w:w w:val="100"/>
          <w:position w:val="0"/>
          <w:sz w:val="18"/>
          <w:szCs w:val="18"/>
        </w:rPr>
        <w:t>V</w:t>
      </w:r>
      <w:r>
        <w:rPr>
          <w:color w:val="000000"/>
          <w:spacing w:val="0"/>
          <w:w w:val="100"/>
          <w:position w:val="0"/>
        </w:rPr>
        <w:t>适用口不适用</w:t>
      </w:r>
    </w:p>
    <w:p>
      <w:pPr>
        <w:pStyle w:val="Style14"/>
        <w:keepNext w:val="0"/>
        <w:keepLines w:val="0"/>
        <w:widowControl w:val="0"/>
        <w:shd w:val="clear" w:color="auto" w:fill="auto"/>
        <w:bidi w:val="0"/>
        <w:spacing w:before="0" w:after="100" w:line="322" w:lineRule="exact"/>
        <w:ind w:left="240" w:right="0" w:firstLine="460"/>
        <w:jc w:val="both"/>
        <w:rPr>
          <w:sz w:val="22"/>
          <w:szCs w:val="22"/>
        </w:rPr>
      </w:pPr>
      <w:r>
        <w:rPr>
          <w:color w:val="000000"/>
          <w:spacing w:val="0"/>
          <w:w w:val="100"/>
          <w:position w:val="0"/>
          <w:sz w:val="22"/>
          <w:szCs w:val="22"/>
        </w:rPr>
        <w:t xml:space="preserve">HONG KONG STEED INTERNATIONAL DEVELOPMENT </w:t>
      </w:r>
      <w:r>
        <w:rPr>
          <w:color w:val="000000"/>
          <w:spacing w:val="0"/>
          <w:w w:val="100"/>
          <w:position w:val="0"/>
          <w:sz w:val="22"/>
          <w:szCs w:val="22"/>
        </w:rPr>
        <w:t>（香港骐骥国际发展有限公司），系本集团注册 在香港的全资子公司。公司主要经营地：香港；记账本位币：人民币。</w:t>
      </w:r>
    </w:p>
    <w:p>
      <w:pPr>
        <w:pStyle w:val="Style14"/>
        <w:keepNext w:val="0"/>
        <w:keepLines w:val="0"/>
        <w:widowControl w:val="0"/>
        <w:shd w:val="clear" w:color="auto" w:fill="auto"/>
        <w:bidi w:val="0"/>
        <w:spacing w:before="0" w:after="100" w:line="317" w:lineRule="exact"/>
        <w:ind w:left="240" w:right="0" w:firstLine="460"/>
        <w:jc w:val="both"/>
        <w:rPr>
          <w:sz w:val="22"/>
          <w:szCs w:val="22"/>
        </w:rPr>
      </w:pPr>
      <w:r>
        <w:rPr>
          <w:color w:val="000000"/>
          <w:spacing w:val="0"/>
          <w:w w:val="100"/>
          <w:position w:val="0"/>
          <w:sz w:val="22"/>
          <w:szCs w:val="22"/>
        </w:rPr>
        <w:t xml:space="preserve">Optrum Technology LLC </w:t>
      </w:r>
      <w:r>
        <w:rPr>
          <w:color w:val="000000"/>
          <w:spacing w:val="0"/>
          <w:w w:val="100"/>
          <w:position w:val="0"/>
          <w:sz w:val="22"/>
          <w:szCs w:val="22"/>
        </w:rPr>
        <w:t>（奥创科技有限公司），系本集团注册在美国德克萨斯州的全资子公司。 公司主要经营地：美国德克萨斯州；记账本位币：美元。</w:t>
      </w:r>
    </w:p>
    <w:p>
      <w:pPr>
        <w:pStyle w:val="Style14"/>
        <w:keepNext w:val="0"/>
        <w:keepLines w:val="0"/>
        <w:widowControl w:val="0"/>
        <w:shd w:val="clear" w:color="auto" w:fill="auto"/>
        <w:bidi w:val="0"/>
        <w:spacing w:before="0" w:after="100" w:line="322" w:lineRule="exact"/>
        <w:ind w:left="240" w:right="0" w:firstLine="460"/>
        <w:jc w:val="both"/>
        <w:rPr>
          <w:sz w:val="22"/>
          <w:szCs w:val="22"/>
        </w:rPr>
      </w:pPr>
      <w:r>
        <w:rPr>
          <w:color w:val="000000"/>
          <w:spacing w:val="0"/>
          <w:w w:val="100"/>
          <w:position w:val="0"/>
          <w:sz w:val="22"/>
          <w:szCs w:val="22"/>
        </w:rPr>
        <w:t>Wanma Cable （Viet Nam） Co. , Ltd （</w:t>
      </w:r>
      <w:r>
        <w:rPr>
          <w:color w:val="000000"/>
          <w:spacing w:val="0"/>
          <w:w w:val="100"/>
          <w:position w:val="0"/>
          <w:sz w:val="22"/>
          <w:szCs w:val="22"/>
        </w:rPr>
        <w:t>万马线缆（越南）有限公司），系本集团注册在越南宁北市 的全资子公司。公司主要经营地：越南北宁市；记账本位币：越南盾。</w:t>
      </w:r>
    </w:p>
    <w:p>
      <w:pPr>
        <w:pStyle w:val="Style14"/>
        <w:keepNext w:val="0"/>
        <w:keepLines w:val="0"/>
        <w:widowControl w:val="0"/>
        <w:shd w:val="clear" w:color="auto" w:fill="auto"/>
        <w:bidi w:val="0"/>
        <w:spacing w:before="0" w:after="280" w:line="322" w:lineRule="exact"/>
        <w:ind w:left="240" w:right="0" w:firstLine="460"/>
        <w:jc w:val="both"/>
        <w:rPr>
          <w:sz w:val="22"/>
          <w:szCs w:val="22"/>
        </w:rPr>
      </w:pPr>
      <w:r>
        <w:rPr>
          <w:color w:val="000000"/>
          <w:spacing w:val="0"/>
          <w:w w:val="100"/>
          <w:position w:val="0"/>
          <w:sz w:val="22"/>
          <w:szCs w:val="22"/>
        </w:rPr>
        <w:t>Steed Networks Technologies Co. , Ltd,</w:t>
      </w:r>
      <w:r>
        <w:rPr>
          <w:color w:val="000000"/>
          <w:spacing w:val="0"/>
          <w:w w:val="100"/>
          <w:position w:val="0"/>
          <w:sz w:val="22"/>
          <w:szCs w:val="22"/>
        </w:rPr>
        <w:t>系本集团注册在柬埔寨金边市的全资子公司，公司主 要经营地：柬埔寨金边市；记账本位币：美元。</w:t>
      </w:r>
    </w:p>
    <w:p>
      <w:pPr>
        <w:pStyle w:val="Style34"/>
        <w:keepNext/>
        <w:keepLines/>
        <w:widowControl w:val="0"/>
        <w:shd w:val="clear" w:color="auto" w:fill="auto"/>
        <w:bidi w:val="0"/>
        <w:spacing w:before="0" w:after="380" w:line="319" w:lineRule="exact"/>
        <w:ind w:left="0" w:right="0" w:firstLine="24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6</w:t>
      </w:r>
      <w:bookmarkEnd w:id="1548"/>
      <w:r>
        <w:rPr>
          <w:rFonts w:ascii="Times New Roman" w:eastAsia="Times New Roman" w:hAnsi="Times New Roman" w:cs="Times New Roman"/>
          <w:color w:val="000000"/>
          <w:spacing w:val="0"/>
          <w:w w:val="100"/>
          <w:position w:val="0"/>
        </w:rPr>
        <w:t>0</w:t>
      </w:r>
      <w:r>
        <w:rPr>
          <w:color w:val="000000"/>
          <w:spacing w:val="0"/>
          <w:w w:val="100"/>
          <w:position w:val="0"/>
        </w:rPr>
        <w:t>、套期</w:t>
      </w:r>
      <w:bookmarkEnd w:id="1546"/>
      <w:bookmarkEnd w:id="1547"/>
      <w:bookmarkEnd w:id="1549"/>
    </w:p>
    <w:p>
      <w:pPr>
        <w:pStyle w:val="Style31"/>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按照套期类别披露套期项目及相关套期工具、被套期风险的定性和定量信息：</w:t>
      </w:r>
    </w:p>
    <w:p>
      <w:pPr>
        <w:pStyle w:val="Style14"/>
        <w:keepNext w:val="0"/>
        <w:keepLines w:val="0"/>
        <w:widowControl w:val="0"/>
        <w:shd w:val="clear" w:color="auto" w:fill="auto"/>
        <w:tabs>
          <w:tab w:pos="738" w:val="left"/>
        </w:tabs>
        <w:bidi w:val="0"/>
        <w:spacing w:before="0" w:after="100" w:line="319" w:lineRule="exact"/>
        <w:ind w:left="0" w:right="0" w:firstLine="240"/>
        <w:jc w:val="both"/>
        <w:rPr>
          <w:sz w:val="22"/>
          <w:szCs w:val="22"/>
        </w:rPr>
      </w:pPr>
      <w:bookmarkStart w:id="1550" w:name="bookmark1550"/>
      <w:r>
        <w:rPr>
          <w:color w:val="000000"/>
          <w:spacing w:val="0"/>
          <w:w w:val="100"/>
          <w:position w:val="0"/>
          <w:sz w:val="22"/>
          <w:szCs w:val="22"/>
        </w:rPr>
        <w:t>（</w:t>
      </w:r>
      <w:bookmarkEnd w:id="1550"/>
      <w:r>
        <w:rPr>
          <w:color w:val="000000"/>
          <w:spacing w:val="0"/>
          <w:w w:val="100"/>
          <w:position w:val="0"/>
          <w:sz w:val="22"/>
          <w:szCs w:val="22"/>
        </w:rPr>
        <w:t>1）</w:t>
        <w:tab/>
        <w:t>现金流量套期业务概况</w:t>
      </w:r>
    </w:p>
    <w:p>
      <w:pPr>
        <w:pStyle w:val="Style14"/>
        <w:keepNext w:val="0"/>
        <w:keepLines w:val="0"/>
        <w:widowControl w:val="0"/>
        <w:shd w:val="clear" w:color="auto" w:fill="auto"/>
        <w:bidi w:val="0"/>
        <w:spacing w:before="0" w:after="100" w:line="310" w:lineRule="exact"/>
        <w:ind w:left="240" w:right="0" w:firstLine="460"/>
        <w:jc w:val="both"/>
        <w:rPr>
          <w:sz w:val="22"/>
          <w:szCs w:val="22"/>
        </w:rPr>
      </w:pPr>
      <w:r>
        <w:rPr>
          <w:color w:val="000000"/>
          <w:spacing w:val="0"/>
          <w:w w:val="100"/>
          <w:position w:val="0"/>
          <w:sz w:val="22"/>
          <w:szCs w:val="22"/>
        </w:rPr>
        <w:t>铜为本集团电线电缆产品的主要原材料，近年来受宏观经济的影响，铜的采购价格波动幅度较大， 为规避铜价波动风险，本集团基于销售订单数据分析预期的铜采购交易，以此为依据进行期铜合约套 期操作。公司制定了《铜采购管理制度》，该制度对公司开展铜期货保值业务的审批权限、操作流程 及风险控制等方面做出了明确规定。</w:t>
      </w:r>
    </w:p>
    <w:p>
      <w:pPr>
        <w:pStyle w:val="Style14"/>
        <w:keepNext w:val="0"/>
        <w:keepLines w:val="0"/>
        <w:widowControl w:val="0"/>
        <w:shd w:val="clear" w:color="auto" w:fill="auto"/>
        <w:tabs>
          <w:tab w:pos="738" w:val="left"/>
        </w:tabs>
        <w:bidi w:val="0"/>
        <w:spacing w:before="0" w:after="100" w:line="319" w:lineRule="exact"/>
        <w:ind w:left="0" w:right="0" w:firstLine="240"/>
        <w:jc w:val="both"/>
        <w:rPr>
          <w:sz w:val="22"/>
          <w:szCs w:val="22"/>
        </w:rPr>
      </w:pPr>
      <w:bookmarkStart w:id="1551" w:name="bookmark1551"/>
      <w:r>
        <w:rPr>
          <w:color w:val="000000"/>
          <w:spacing w:val="0"/>
          <w:w w:val="100"/>
          <w:position w:val="0"/>
          <w:sz w:val="22"/>
          <w:szCs w:val="22"/>
        </w:rPr>
        <w:t>（</w:t>
      </w:r>
      <w:bookmarkEnd w:id="1551"/>
      <w:r>
        <w:rPr>
          <w:color w:val="000000"/>
          <w:spacing w:val="0"/>
          <w:w w:val="100"/>
          <w:position w:val="0"/>
          <w:sz w:val="22"/>
          <w:szCs w:val="22"/>
        </w:rPr>
        <w:t>2）</w:t>
        <w:tab/>
        <w:t>现金流量套期业务定性分析</w:t>
      </w:r>
    </w:p>
    <w:p>
      <w:pPr>
        <w:pStyle w:val="Style14"/>
        <w:keepNext w:val="0"/>
        <w:keepLines w:val="0"/>
        <w:widowControl w:val="0"/>
        <w:shd w:val="clear" w:color="auto" w:fill="auto"/>
        <w:bidi w:val="0"/>
        <w:spacing w:before="0" w:after="100" w:line="312" w:lineRule="exact"/>
        <w:ind w:left="240" w:right="0" w:firstLine="460"/>
        <w:jc w:val="left"/>
        <w:rPr>
          <w:sz w:val="22"/>
          <w:szCs w:val="22"/>
        </w:rPr>
      </w:pPr>
      <w:r>
        <w:rPr>
          <w:color w:val="000000"/>
          <w:spacing w:val="0"/>
          <w:w w:val="100"/>
          <w:position w:val="0"/>
          <w:sz w:val="22"/>
          <w:szCs w:val="22"/>
        </w:rPr>
        <w:t>本集团使用自有资金开展期货套期保值业务的审批程序符合国家相关法律、法规及《公司章程》 的有关规定，为规避铜价格波动而开展的期铜套期保值业务，有利于控制经营风险，提高公司抵御市 场波动的能力。</w:t>
      </w:r>
    </w:p>
    <w:p>
      <w:pPr>
        <w:pStyle w:val="Style14"/>
        <w:keepNext w:val="0"/>
        <w:keepLines w:val="0"/>
        <w:widowControl w:val="0"/>
        <w:shd w:val="clear" w:color="auto" w:fill="auto"/>
        <w:tabs>
          <w:tab w:pos="738" w:val="left"/>
        </w:tabs>
        <w:bidi w:val="0"/>
        <w:spacing w:before="0" w:after="160" w:line="319" w:lineRule="exact"/>
        <w:ind w:left="0" w:right="0" w:firstLine="240"/>
        <w:jc w:val="left"/>
        <w:rPr>
          <w:sz w:val="22"/>
          <w:szCs w:val="22"/>
        </w:rPr>
      </w:pPr>
      <w:bookmarkStart w:id="1552" w:name="bookmark1552"/>
      <w:r>
        <w:rPr>
          <w:color w:val="000000"/>
          <w:spacing w:val="0"/>
          <w:w w:val="100"/>
          <w:position w:val="0"/>
          <w:sz w:val="22"/>
          <w:szCs w:val="22"/>
        </w:rPr>
        <w:t>（</w:t>
      </w:r>
      <w:bookmarkEnd w:id="1552"/>
      <w:r>
        <w:rPr>
          <w:color w:val="000000"/>
          <w:spacing w:val="0"/>
          <w:w w:val="100"/>
          <w:position w:val="0"/>
          <w:sz w:val="22"/>
          <w:szCs w:val="22"/>
        </w:rPr>
        <w:t>3）</w:t>
        <w:tab/>
        <w:t>现金流量套期业务对当期损益和其他综合收益的影响</w:t>
      </w:r>
    </w:p>
    <w:tbl>
      <w:tblPr>
        <w:tblOverlap w:val="never"/>
        <w:jc w:val="center"/>
        <w:tblLayout w:type="fixed"/>
      </w:tblPr>
      <w:tblGrid>
        <w:gridCol w:w="936"/>
        <w:gridCol w:w="494"/>
        <w:gridCol w:w="1517"/>
        <w:gridCol w:w="1555"/>
        <w:gridCol w:w="1565"/>
        <w:gridCol w:w="1560"/>
        <w:gridCol w:w="1565"/>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b/>
                <w:bCs/>
                <w:color w:val="000000"/>
                <w:spacing w:val="0"/>
                <w:w w:val="100"/>
                <w:position w:val="0"/>
                <w:sz w:val="18"/>
                <w:szCs w:val="18"/>
              </w:rPr>
              <w:t>被套期项目 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b/>
                <w:bCs/>
                <w:color w:val="000000"/>
                <w:spacing w:val="0"/>
                <w:w w:val="100"/>
                <w:position w:val="0"/>
                <w:sz w:val="18"/>
                <w:szCs w:val="18"/>
              </w:rPr>
              <w:t>套期</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b/>
                <w:bCs/>
                <w:color w:val="000000"/>
                <w:spacing w:val="0"/>
                <w:w w:val="100"/>
                <w:position w:val="0"/>
                <w:sz w:val="18"/>
                <w:szCs w:val="18"/>
              </w:rPr>
              <w:t>工具</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b/>
                <w:bCs/>
                <w:color w:val="000000"/>
                <w:spacing w:val="0"/>
                <w:w w:val="100"/>
                <w:position w:val="0"/>
                <w:sz w:val="18"/>
                <w:szCs w:val="18"/>
              </w:rPr>
              <w:t>品种</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b/>
                <w:bCs/>
                <w:color w:val="000000"/>
                <w:spacing w:val="0"/>
                <w:w w:val="100"/>
                <w:position w:val="0"/>
                <w:sz w:val="18"/>
                <w:szCs w:val="18"/>
              </w:rPr>
              <w:t>套期工具累计利得 或损失①</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b/>
                <w:bCs/>
                <w:color w:val="000000"/>
                <w:spacing w:val="0"/>
                <w:w w:val="100"/>
                <w:position w:val="0"/>
                <w:sz w:val="18"/>
                <w:szCs w:val="18"/>
              </w:rPr>
              <w:t>累计套期有效部分</w:t>
            </w:r>
          </w:p>
          <w:p>
            <w:pPr>
              <w:pStyle w:val="Style22"/>
              <w:keepNext w:val="0"/>
              <w:keepLines w:val="0"/>
              <w:widowControl w:val="0"/>
              <w:shd w:val="clear" w:color="auto" w:fill="auto"/>
              <w:bidi w:val="0"/>
              <w:spacing w:before="0" w:after="0" w:line="240" w:lineRule="auto"/>
              <w:ind w:left="0" w:right="0" w:firstLine="140"/>
              <w:jc w:val="both"/>
            </w:pPr>
            <w:r>
              <w:rPr>
                <w:rFonts w:ascii="SimSun" w:eastAsia="SimSun" w:hAnsi="SimSun" w:cs="SimSun"/>
                <w:b/>
                <w:bCs/>
                <w:color w:val="000000"/>
                <w:spacing w:val="0"/>
                <w:w w:val="100"/>
                <w:position w:val="0"/>
                <w:sz w:val="18"/>
                <w:szCs w:val="18"/>
              </w:rPr>
              <w:t>（套期储备）②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套期无效部分</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sz w:val="18"/>
                <w:szCs w:val="18"/>
              </w:rPr>
              <w:t>本期末累计金额③ 二①-②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上期末累计金额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sz w:val="18"/>
                <w:szCs w:val="18"/>
              </w:rPr>
              <w:t>本期发生额</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预期铜采购</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期铜</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8"/>
                <w:szCs w:val="18"/>
              </w:rPr>
              <w:t xml:space="preserve">201,657, </w:t>
            </w:r>
            <w:r>
              <w:rPr>
                <w:rFonts w:ascii="SimSun" w:eastAsia="SimSun" w:hAnsi="SimSun" w:cs="SimSun"/>
                <w:color w:val="000000"/>
                <w:spacing w:val="0"/>
                <w:w w:val="100"/>
                <w:position w:val="0"/>
                <w:sz w:val="18"/>
                <w:szCs w:val="18"/>
              </w:rPr>
              <w:t xml:space="preserve">969. </w:t>
            </w:r>
            <w:r>
              <w:rPr>
                <w:rFonts w:ascii="SimSun" w:eastAsia="SimSun" w:hAnsi="SimSun" w:cs="SimSun"/>
                <w:color w:val="000000"/>
                <w:spacing w:val="0"/>
                <w:w w:val="100"/>
                <w:position w:val="0"/>
                <w:sz w:val="18"/>
                <w:szCs w:val="18"/>
              </w:rPr>
              <w:t>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sz w:val="18"/>
                <w:szCs w:val="18"/>
              </w:rPr>
              <w:t xml:space="preserve">214,135, </w:t>
            </w:r>
            <w:r>
              <w:rPr>
                <w:rFonts w:ascii="SimSun" w:eastAsia="SimSun" w:hAnsi="SimSun" w:cs="SimSun"/>
                <w:color w:val="000000"/>
                <w:spacing w:val="0"/>
                <w:w w:val="100"/>
                <w:position w:val="0"/>
                <w:sz w:val="18"/>
                <w:szCs w:val="18"/>
              </w:rPr>
              <w:t xml:space="preserve">242. </w:t>
            </w: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-12,477, 272.61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092, </w:t>
            </w:r>
            <w:r>
              <w:rPr>
                <w:rFonts w:ascii="SimSun" w:eastAsia="SimSun" w:hAnsi="SimSun" w:cs="SimSun"/>
                <w:color w:val="000000"/>
                <w:spacing w:val="0"/>
                <w:w w:val="100"/>
                <w:position w:val="0"/>
                <w:sz w:val="18"/>
                <w:szCs w:val="18"/>
              </w:rPr>
              <w:t xml:space="preserve">607. </w:t>
            </w:r>
            <w:r>
              <w:rPr>
                <w:rFonts w:ascii="SimSun" w:eastAsia="SimSun" w:hAnsi="SimSun" w:cs="SimSun"/>
                <w:color w:val="000000"/>
                <w:spacing w:val="0"/>
                <w:w w:val="100"/>
                <w:position w:val="0"/>
                <w:sz w:val="18"/>
                <w:szCs w:val="18"/>
              </w:rPr>
              <w:t>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384, </w:t>
            </w:r>
            <w:r>
              <w:rPr>
                <w:rFonts w:ascii="SimSun" w:eastAsia="SimSun" w:hAnsi="SimSun" w:cs="SimSun"/>
                <w:color w:val="000000"/>
                <w:spacing w:val="0"/>
                <w:w w:val="100"/>
                <w:position w:val="0"/>
                <w:sz w:val="18"/>
                <w:szCs w:val="18"/>
              </w:rPr>
              <w:t xml:space="preserve">665. </w:t>
            </w:r>
            <w:r>
              <w:rPr>
                <w:rFonts w:ascii="SimSun" w:eastAsia="SimSun" w:hAnsi="SimSun" w:cs="SimSun"/>
                <w:color w:val="000000"/>
                <w:spacing w:val="0"/>
                <w:w w:val="100"/>
                <w:position w:val="0"/>
                <w:sz w:val="18"/>
                <w:szCs w:val="18"/>
              </w:rPr>
              <w:t>30</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 xml:space="preserve">201, 657, </w:t>
            </w:r>
            <w:r>
              <w:rPr>
                <w:rFonts w:ascii="SimSun" w:eastAsia="SimSun" w:hAnsi="SimSun" w:cs="SimSun"/>
                <w:b/>
                <w:bCs/>
                <w:color w:val="000000"/>
                <w:spacing w:val="0"/>
                <w:w w:val="100"/>
                <w:position w:val="0"/>
              </w:rPr>
              <w:t xml:space="preserve">969. </w:t>
            </w:r>
            <w:r>
              <w:rPr>
                <w:rFonts w:ascii="SimSun" w:eastAsia="SimSun" w:hAnsi="SimSun" w:cs="SimSun"/>
                <w:b/>
                <w:bCs/>
                <w:color w:val="000000"/>
                <w:spacing w:val="0"/>
                <w:w w:val="100"/>
                <w:position w:val="0"/>
              </w:rPr>
              <w:t>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b/>
                <w:bCs/>
                <w:color w:val="000000"/>
                <w:spacing w:val="0"/>
                <w:w w:val="100"/>
                <w:position w:val="0"/>
              </w:rPr>
              <w:t xml:space="preserve">214,135, </w:t>
            </w:r>
            <w:r>
              <w:rPr>
                <w:rFonts w:ascii="SimSun" w:eastAsia="SimSun" w:hAnsi="SimSun" w:cs="SimSun"/>
                <w:b/>
                <w:bCs/>
                <w:color w:val="000000"/>
                <w:spacing w:val="0"/>
                <w:w w:val="100"/>
                <w:position w:val="0"/>
              </w:rPr>
              <w:t xml:space="preserve">242. </w:t>
            </w:r>
            <w:r>
              <w:rPr>
                <w:rFonts w:ascii="SimSun" w:eastAsia="SimSun" w:hAnsi="SimSun" w:cs="SimSun"/>
                <w:b/>
                <w:bCs/>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-12,</w:t>
            </w:r>
            <w:r>
              <w:rPr>
                <w:rFonts w:ascii="SimSun" w:eastAsia="SimSun" w:hAnsi="SimSun" w:cs="SimSun"/>
                <w:b/>
                <w:bCs/>
                <w:color w:val="000000"/>
                <w:spacing w:val="0"/>
                <w:w w:val="100"/>
                <w:position w:val="0"/>
              </w:rPr>
              <w:t xml:space="preserve">477, </w:t>
            </w:r>
            <w:r>
              <w:rPr>
                <w:rFonts w:ascii="SimSun" w:eastAsia="SimSun" w:hAnsi="SimSun" w:cs="SimSun"/>
                <w:b/>
                <w:bCs/>
                <w:color w:val="000000"/>
                <w:spacing w:val="0"/>
                <w:w w:val="100"/>
                <w:position w:val="0"/>
              </w:rPr>
              <w:t xml:space="preserve">272. </w:t>
            </w:r>
            <w:r>
              <w:rPr>
                <w:rFonts w:ascii="SimSun" w:eastAsia="SimSun" w:hAnsi="SimSun" w:cs="SimSun"/>
                <w:b/>
                <w:bCs/>
                <w:color w:val="000000"/>
                <w:spacing w:val="0"/>
                <w:w w:val="100"/>
                <w:position w:val="0"/>
              </w:rPr>
              <w:t>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b/>
                <w:bCs/>
                <w:color w:val="000000"/>
                <w:spacing w:val="0"/>
                <w:w w:val="100"/>
                <w:position w:val="0"/>
              </w:rPr>
              <w:t xml:space="preserve">-10, </w:t>
            </w:r>
            <w:r>
              <w:rPr>
                <w:rFonts w:ascii="SimSun" w:eastAsia="SimSun" w:hAnsi="SimSun" w:cs="SimSun"/>
                <w:b/>
                <w:bCs/>
                <w:color w:val="000000"/>
                <w:spacing w:val="0"/>
                <w:w w:val="100"/>
                <w:position w:val="0"/>
              </w:rPr>
              <w:t xml:space="preserve">092, </w:t>
            </w:r>
            <w:r>
              <w:rPr>
                <w:rFonts w:ascii="SimSun" w:eastAsia="SimSun" w:hAnsi="SimSun" w:cs="SimSun"/>
                <w:b/>
                <w:bCs/>
                <w:color w:val="000000"/>
                <w:spacing w:val="0"/>
                <w:w w:val="100"/>
                <w:position w:val="0"/>
              </w:rPr>
              <w:t xml:space="preserve">607. </w:t>
            </w:r>
            <w:r>
              <w:rPr>
                <w:rFonts w:ascii="SimSun" w:eastAsia="SimSun" w:hAnsi="SimSun" w:cs="SimSun"/>
                <w:b/>
                <w:bCs/>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 xml:space="preserve">-2, </w:t>
            </w:r>
            <w:r>
              <w:rPr>
                <w:rFonts w:ascii="SimSun" w:eastAsia="SimSun" w:hAnsi="SimSun" w:cs="SimSun"/>
                <w:b/>
                <w:bCs/>
                <w:color w:val="000000"/>
                <w:spacing w:val="0"/>
                <w:w w:val="100"/>
                <w:position w:val="0"/>
              </w:rPr>
              <w:t xml:space="preserve">384, </w:t>
            </w:r>
            <w:r>
              <w:rPr>
                <w:rFonts w:ascii="SimSun" w:eastAsia="SimSun" w:hAnsi="SimSun" w:cs="SimSun"/>
                <w:b/>
                <w:bCs/>
                <w:color w:val="000000"/>
                <w:spacing w:val="0"/>
                <w:w w:val="100"/>
                <w:position w:val="0"/>
              </w:rPr>
              <w:t xml:space="preserve">665. </w:t>
            </w:r>
            <w:r>
              <w:rPr>
                <w:rFonts w:ascii="SimSun" w:eastAsia="SimSun" w:hAnsi="SimSun" w:cs="SimSun"/>
                <w:b/>
                <w:bCs/>
                <w:color w:val="000000"/>
                <w:spacing w:val="0"/>
                <w:w w:val="100"/>
                <w:position w:val="0"/>
              </w:rPr>
              <w:t>30</w:t>
            </w:r>
          </w:p>
        </w:tc>
      </w:tr>
    </w:tbl>
    <w:p>
      <w:pPr>
        <w:pStyle w:val="Style29"/>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（续表）</w:t>
      </w:r>
    </w:p>
    <w:p>
      <w:pPr>
        <w:widowControl w:val="0"/>
        <w:spacing w:after="99" w:line="1" w:lineRule="exact"/>
      </w:pPr>
    </w:p>
    <w:p>
      <w:pPr>
        <w:widowControl w:val="0"/>
        <w:spacing w:line="1" w:lineRule="exact"/>
      </w:pPr>
    </w:p>
    <w:tbl>
      <w:tblPr>
        <w:tblOverlap w:val="never"/>
        <w:jc w:val="left"/>
        <w:tblLayout w:type="fixed"/>
      </w:tblPr>
      <w:tblGrid>
        <w:gridCol w:w="1142"/>
        <w:gridCol w:w="854"/>
        <w:gridCol w:w="1694"/>
        <w:gridCol w:w="1838"/>
        <w:gridCol w:w="1843"/>
        <w:gridCol w:w="1536"/>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b/>
                <w:bCs/>
                <w:color w:val="000000"/>
                <w:spacing w:val="0"/>
                <w:w w:val="100"/>
                <w:position w:val="0"/>
                <w:sz w:val="18"/>
                <w:szCs w:val="18"/>
              </w:rPr>
              <w:t>被套期项目名 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8"/>
                <w:szCs w:val="18"/>
              </w:rPr>
              <w:t>套期工具 品种</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本期转出的套期储备④</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8"/>
                <w:szCs w:val="18"/>
              </w:rPr>
              <w:t>累计转出的套期储备⑤</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SimSun" w:eastAsia="SimSun" w:hAnsi="SimSun" w:cs="SimSun"/>
                <w:b/>
                <w:bCs/>
                <w:color w:val="000000"/>
                <w:spacing w:val="0"/>
                <w:w w:val="100"/>
                <w:position w:val="0"/>
                <w:sz w:val="18"/>
                <w:szCs w:val="18"/>
              </w:rPr>
              <w:t>套期储备余额</w:t>
            </w:r>
          </w:p>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sz w:val="18"/>
                <w:szCs w:val="18"/>
              </w:rPr>
              <w:t>⑥二②-⑤</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sz w:val="18"/>
                <w:szCs w:val="18"/>
              </w:rPr>
              <w:t>转至当期损益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转至资产或负债</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预期铜采购交</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期铜合约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8"/>
                <w:szCs w:val="18"/>
              </w:rPr>
              <w:t xml:space="preserve">139, 800, </w:t>
            </w:r>
            <w:r>
              <w:rPr>
                <w:rFonts w:ascii="SimSun" w:eastAsia="SimSun" w:hAnsi="SimSun" w:cs="SimSun"/>
                <w:color w:val="000000"/>
                <w:spacing w:val="0"/>
                <w:w w:val="100"/>
                <w:position w:val="0"/>
                <w:sz w:val="18"/>
                <w:szCs w:val="18"/>
              </w:rPr>
              <w:t xml:space="preserve">036.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98,607,570.75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sz w:val="18"/>
                <w:szCs w:val="18"/>
              </w:rPr>
              <w:t xml:space="preserve">117, 220, </w:t>
            </w:r>
            <w:r>
              <w:rPr>
                <w:rFonts w:ascii="SimSun" w:eastAsia="SimSun" w:hAnsi="SimSun" w:cs="SimSun"/>
                <w:color w:val="000000"/>
                <w:spacing w:val="0"/>
                <w:w w:val="100"/>
                <w:position w:val="0"/>
                <w:sz w:val="18"/>
                <w:szCs w:val="18"/>
              </w:rPr>
              <w:t xml:space="preserve">097. </w:t>
            </w:r>
            <w:r>
              <w:rPr>
                <w:rFonts w:ascii="SimSun" w:eastAsia="SimSun" w:hAnsi="SimSun" w:cs="SimSun"/>
                <w:color w:val="000000"/>
                <w:spacing w:val="0"/>
                <w:w w:val="100"/>
                <w:position w:val="0"/>
                <w:sz w:val="18"/>
                <w:szCs w:val="18"/>
              </w:rPr>
              <w:t>40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z w:val="18"/>
                <w:szCs w:val="18"/>
              </w:rPr>
              <w:t xml:space="preserve">96,915, </w:t>
            </w:r>
            <w:r>
              <w:rPr>
                <w:rFonts w:ascii="SimSun" w:eastAsia="SimSun" w:hAnsi="SimSun" w:cs="SimSun"/>
                <w:color w:val="000000"/>
                <w:spacing w:val="0"/>
                <w:w w:val="100"/>
                <w:position w:val="0"/>
                <w:sz w:val="18"/>
                <w:szCs w:val="18"/>
              </w:rPr>
              <w:t xml:space="preserve">145. </w:t>
            </w:r>
            <w:r>
              <w:rPr>
                <w:rFonts w:ascii="SimSun" w:eastAsia="SimSun" w:hAnsi="SimSun" w:cs="SimSun"/>
                <w:color w:val="000000"/>
                <w:spacing w:val="0"/>
                <w:w w:val="100"/>
                <w:position w:val="0"/>
                <w:sz w:val="18"/>
                <w:szCs w:val="18"/>
              </w:rPr>
              <w:t>10</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 xml:space="preserve">139, 800, </w:t>
            </w:r>
            <w:r>
              <w:rPr>
                <w:rFonts w:ascii="SimSun" w:eastAsia="SimSun" w:hAnsi="SimSun" w:cs="SimSun"/>
                <w:b/>
                <w:bCs/>
                <w:color w:val="000000"/>
                <w:spacing w:val="0"/>
                <w:w w:val="100"/>
                <w:position w:val="0"/>
              </w:rPr>
              <w:t xml:space="preserve">036. </w:t>
            </w:r>
            <w:r>
              <w:rPr>
                <w:rFonts w:ascii="SimSun" w:eastAsia="SimSun" w:hAnsi="SimSun" w:cs="SimSun"/>
                <w:b/>
                <w:bCs/>
                <w:color w:val="000000"/>
                <w:spacing w:val="0"/>
                <w:w w:val="100"/>
                <w:position w:val="0"/>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 xml:space="preserve">98, 607, </w:t>
            </w:r>
            <w:r>
              <w:rPr>
                <w:rFonts w:ascii="SimSun" w:eastAsia="SimSun" w:hAnsi="SimSun" w:cs="SimSun"/>
                <w:b/>
                <w:bCs/>
                <w:color w:val="000000"/>
                <w:spacing w:val="0"/>
                <w:w w:val="100"/>
                <w:position w:val="0"/>
              </w:rPr>
              <w:t xml:space="preserve">570. </w:t>
            </w:r>
            <w:r>
              <w:rPr>
                <w:rFonts w:ascii="SimSun" w:eastAsia="SimSun" w:hAnsi="SimSun" w:cs="SimSun"/>
                <w:b/>
                <w:bCs/>
                <w:color w:val="000000"/>
                <w:spacing w:val="0"/>
                <w:w w:val="100"/>
                <w:position w:val="0"/>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 xml:space="preserve">117, 220, </w:t>
            </w:r>
            <w:r>
              <w:rPr>
                <w:rFonts w:ascii="SimSun" w:eastAsia="SimSun" w:hAnsi="SimSun" w:cs="SimSun"/>
                <w:b/>
                <w:bCs/>
                <w:color w:val="000000"/>
                <w:spacing w:val="0"/>
                <w:w w:val="100"/>
                <w:position w:val="0"/>
              </w:rPr>
              <w:t xml:space="preserve">097. </w:t>
            </w:r>
            <w:r>
              <w:rPr>
                <w:rFonts w:ascii="SimSun" w:eastAsia="SimSun" w:hAnsi="SimSun" w:cs="SimSun"/>
                <w:b/>
                <w:bCs/>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 xml:space="preserve">96,915,145. </w:t>
            </w:r>
            <w:r>
              <w:rPr>
                <w:rFonts w:ascii="SimSun" w:eastAsia="SimSun" w:hAnsi="SimSun" w:cs="SimSun"/>
                <w:b/>
                <w:bCs/>
                <w:color w:val="000000"/>
                <w:spacing w:val="0"/>
                <w:w w:val="100"/>
                <w:position w:val="0"/>
              </w:rPr>
              <w:t>10</w:t>
            </w:r>
          </w:p>
        </w:tc>
      </w:tr>
    </w:tbl>
    <w:p>
      <w:pPr>
        <w:pStyle w:val="Style14"/>
        <w:keepNext w:val="0"/>
        <w:keepLines w:val="0"/>
        <w:widowControl w:val="0"/>
        <w:shd w:val="clear" w:color="auto" w:fill="auto"/>
        <w:bidi w:val="0"/>
        <w:spacing w:before="0" w:after="120" w:line="310" w:lineRule="exact"/>
        <w:ind w:left="240" w:right="0" w:firstLine="460"/>
        <w:jc w:val="both"/>
        <w:rPr>
          <w:sz w:val="22"/>
          <w:szCs w:val="22"/>
        </w:rPr>
      </w:pPr>
      <w:r>
        <w:rPr>
          <w:color w:val="000000"/>
          <w:spacing w:val="0"/>
          <w:w w:val="100"/>
          <w:position w:val="0"/>
          <w:sz w:val="22"/>
          <w:szCs w:val="22"/>
        </w:rPr>
        <w:t xml:space="preserve">注：本集团套期工具累计利得201,657, </w:t>
      </w:r>
      <w:r>
        <w:rPr>
          <w:color w:val="000000"/>
          <w:spacing w:val="0"/>
          <w:w w:val="100"/>
          <w:position w:val="0"/>
          <w:sz w:val="22"/>
          <w:szCs w:val="22"/>
        </w:rPr>
        <w:t>969.89</w:t>
      </w:r>
      <w:r>
        <w:rPr>
          <w:color w:val="000000"/>
          <w:spacing w:val="0"/>
          <w:w w:val="100"/>
          <w:position w:val="0"/>
          <w:sz w:val="22"/>
          <w:szCs w:val="22"/>
        </w:rPr>
        <w:t>元，其中：1)套期无效部分损失为</w:t>
      </w:r>
      <w:r>
        <w:rPr>
          <w:color w:val="000000"/>
          <w:spacing w:val="0"/>
          <w:w w:val="100"/>
          <w:position w:val="0"/>
          <w:sz w:val="22"/>
          <w:szCs w:val="22"/>
        </w:rPr>
        <w:t xml:space="preserve">12,477,272.61 </w:t>
      </w:r>
      <w:r>
        <w:rPr>
          <w:color w:val="000000"/>
          <w:spacing w:val="0"/>
          <w:w w:val="100"/>
          <w:position w:val="0"/>
          <w:sz w:val="22"/>
          <w:szCs w:val="22"/>
        </w:rPr>
        <w:t>元，其中：上期末累计损失金额</w:t>
      </w:r>
      <w:r>
        <w:rPr>
          <w:color w:val="000000"/>
          <w:spacing w:val="0"/>
          <w:w w:val="100"/>
          <w:position w:val="0"/>
          <w:sz w:val="22"/>
          <w:szCs w:val="22"/>
        </w:rPr>
        <w:t>10,092,607.3</w:t>
      </w:r>
      <w:r>
        <w:rPr>
          <w:color w:val="000000"/>
          <w:spacing w:val="0"/>
          <w:w w:val="100"/>
          <w:position w:val="0"/>
          <w:sz w:val="22"/>
          <w:szCs w:val="22"/>
        </w:rPr>
        <w:t>1元</w:t>
      </w:r>
      <w:r>
        <w:rPr>
          <w:color w:val="000000"/>
          <w:spacing w:val="0"/>
          <w:w w:val="100"/>
          <w:position w:val="0"/>
          <w:sz w:val="18"/>
          <w:szCs w:val="18"/>
        </w:rPr>
        <w:t>，</w:t>
      </w:r>
      <w:r>
        <w:rPr>
          <w:color w:val="000000"/>
          <w:spacing w:val="0"/>
          <w:w w:val="100"/>
          <w:position w:val="0"/>
          <w:sz w:val="22"/>
          <w:szCs w:val="22"/>
        </w:rPr>
        <w:t xml:space="preserve">本年投资收益列支已平仓收益538, </w:t>
      </w:r>
      <w:r>
        <w:rPr>
          <w:color w:val="000000"/>
          <w:spacing w:val="0"/>
          <w:w w:val="100"/>
          <w:position w:val="0"/>
          <w:sz w:val="22"/>
          <w:szCs w:val="22"/>
        </w:rPr>
        <w:t xml:space="preserve">609. </w:t>
      </w:r>
      <w:r>
        <w:rPr>
          <w:color w:val="000000"/>
          <w:spacing w:val="0"/>
          <w:w w:val="100"/>
          <w:position w:val="0"/>
          <w:sz w:val="22"/>
          <w:szCs w:val="22"/>
        </w:rPr>
        <w:t xml:space="preserve">70元，本 年公允价值变动损益列示期货合约浮亏2, 923, </w:t>
      </w:r>
      <w:r>
        <w:rPr>
          <w:color w:val="000000"/>
          <w:spacing w:val="0"/>
          <w:w w:val="100"/>
          <w:position w:val="0"/>
          <w:sz w:val="22"/>
          <w:szCs w:val="22"/>
        </w:rPr>
        <w:t xml:space="preserve">275. </w:t>
      </w:r>
      <w:r>
        <w:rPr>
          <w:color w:val="000000"/>
          <w:spacing w:val="0"/>
          <w:w w:val="100"/>
          <w:position w:val="0"/>
          <w:sz w:val="22"/>
          <w:szCs w:val="22"/>
        </w:rPr>
        <w:t>00元；</w:t>
      </w:r>
    </w:p>
    <w:p>
      <w:pPr>
        <w:pStyle w:val="Style14"/>
        <w:keepNext w:val="0"/>
        <w:keepLines w:val="0"/>
        <w:widowControl w:val="0"/>
        <w:shd w:val="clear" w:color="auto" w:fill="auto"/>
        <w:bidi w:val="0"/>
        <w:spacing w:before="0" w:after="340" w:line="314" w:lineRule="exact"/>
        <w:ind w:left="240" w:right="0" w:firstLine="460"/>
        <w:jc w:val="both"/>
        <w:rPr>
          <w:sz w:val="22"/>
          <w:szCs w:val="22"/>
        </w:rPr>
      </w:pPr>
      <w:r>
        <w:rPr>
          <w:color w:val="000000"/>
          <w:spacing w:val="0"/>
          <w:w w:val="100"/>
          <w:position w:val="0"/>
          <w:sz w:val="22"/>
          <w:szCs w:val="22"/>
        </w:rPr>
        <w:t>2)套期有效部分收益为</w:t>
      </w:r>
      <w:r>
        <w:rPr>
          <w:color w:val="000000"/>
          <w:spacing w:val="0"/>
          <w:w w:val="100"/>
          <w:position w:val="0"/>
          <w:sz w:val="22"/>
          <w:szCs w:val="22"/>
        </w:rPr>
        <w:t>214,135,242.5</w:t>
      </w:r>
      <w:r>
        <w:rPr>
          <w:color w:val="000000"/>
          <w:spacing w:val="0"/>
          <w:w w:val="100"/>
          <w:position w:val="0"/>
          <w:sz w:val="22"/>
          <w:szCs w:val="22"/>
        </w:rPr>
        <w:t>0元，累计已转出收益</w:t>
      </w:r>
      <w:r>
        <w:rPr>
          <w:color w:val="000000"/>
          <w:spacing w:val="0"/>
          <w:w w:val="100"/>
          <w:position w:val="0"/>
          <w:sz w:val="22"/>
          <w:szCs w:val="22"/>
        </w:rPr>
        <w:t>117,220,097.40</w:t>
      </w:r>
      <w:r>
        <w:rPr>
          <w:color w:val="000000"/>
          <w:spacing w:val="0"/>
          <w:w w:val="100"/>
          <w:position w:val="0"/>
          <w:sz w:val="22"/>
          <w:szCs w:val="22"/>
        </w:rPr>
        <w:t xml:space="preserve">元，剩余套期有效 部分形成套期储备综合收益96, 915, </w:t>
      </w:r>
      <w:r>
        <w:rPr>
          <w:color w:val="000000"/>
          <w:spacing w:val="0"/>
          <w:w w:val="100"/>
          <w:position w:val="0"/>
          <w:sz w:val="22"/>
          <w:szCs w:val="22"/>
        </w:rPr>
        <w:t xml:space="preserve">145. </w:t>
      </w:r>
      <w:r>
        <w:rPr>
          <w:color w:val="000000"/>
          <w:spacing w:val="0"/>
          <w:w w:val="100"/>
          <w:position w:val="0"/>
          <w:sz w:val="22"/>
          <w:szCs w:val="22"/>
        </w:rPr>
        <w:t xml:space="preserve">10元，确认递延所得税负债金额14, 537, </w:t>
      </w:r>
      <w:r>
        <w:rPr>
          <w:color w:val="000000"/>
          <w:spacing w:val="0"/>
          <w:w w:val="100"/>
          <w:position w:val="0"/>
          <w:sz w:val="22"/>
          <w:szCs w:val="22"/>
        </w:rPr>
        <w:t xml:space="preserve">271. </w:t>
      </w:r>
      <w:r>
        <w:rPr>
          <w:color w:val="000000"/>
          <w:spacing w:val="0"/>
          <w:w w:val="100"/>
          <w:position w:val="0"/>
          <w:sz w:val="22"/>
          <w:szCs w:val="22"/>
        </w:rPr>
        <w:t xml:space="preserve">77元，在其他综 合收益项目列示损失金额为82, 377, </w:t>
      </w:r>
      <w:r>
        <w:rPr>
          <w:color w:val="000000"/>
          <w:spacing w:val="0"/>
          <w:w w:val="100"/>
          <w:position w:val="0"/>
          <w:sz w:val="22"/>
          <w:szCs w:val="22"/>
        </w:rPr>
        <w:t xml:space="preserve">873. </w:t>
      </w:r>
      <w:r>
        <w:rPr>
          <w:color w:val="000000"/>
          <w:spacing w:val="0"/>
          <w:w w:val="100"/>
          <w:position w:val="0"/>
          <w:sz w:val="22"/>
          <w:szCs w:val="22"/>
        </w:rPr>
        <w:t>33元。</w:t>
      </w:r>
    </w:p>
    <w:p>
      <w:pPr>
        <w:pStyle w:val="Style34"/>
        <w:keepNext/>
        <w:keepLines/>
        <w:widowControl w:val="0"/>
        <w:shd w:val="clear" w:color="auto" w:fill="auto"/>
        <w:bidi w:val="0"/>
        <w:spacing w:before="0" w:after="200" w:line="326" w:lineRule="auto"/>
        <w:ind w:left="0" w:right="0" w:firstLine="24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553"/>
      <w:bookmarkEnd w:id="1554"/>
      <w:bookmarkEnd w:id="1556"/>
    </w:p>
    <w:p>
      <w:pPr>
        <w:pStyle w:val="Style59"/>
        <w:keepNext/>
        <w:keepLines/>
        <w:widowControl w:val="0"/>
        <w:shd w:val="clear" w:color="auto" w:fill="auto"/>
        <w:bidi w:val="0"/>
        <w:spacing w:before="0" w:after="340" w:line="312" w:lineRule="exact"/>
        <w:ind w:left="0" w:right="0" w:firstLine="24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57"/>
      <w:bookmarkEnd w:id="1558"/>
      <w:bookmarkEnd w:id="15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35,592,388.00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18,777,687.24</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28,526,815.07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其他收益、营业外收入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28,526,815.07</w:t>
            </w:r>
          </w:p>
        </w:tc>
      </w:tr>
    </w:tbl>
    <w:p>
      <w:pPr>
        <w:widowControl w:val="0"/>
        <w:spacing w:after="339" w:line="1" w:lineRule="exact"/>
      </w:pPr>
    </w:p>
    <w:p>
      <w:pPr>
        <w:pStyle w:val="Style59"/>
        <w:keepNext/>
        <w:keepLines/>
        <w:widowControl w:val="0"/>
        <w:numPr>
          <w:ilvl w:val="0"/>
          <w:numId w:val="103"/>
        </w:numPr>
        <w:shd w:val="clear" w:color="auto" w:fill="auto"/>
        <w:tabs>
          <w:tab w:pos="733" w:val="left"/>
        </w:tabs>
        <w:bidi w:val="0"/>
        <w:spacing w:before="0" w:after="340" w:line="240" w:lineRule="auto"/>
        <w:ind w:left="0" w:right="0" w:firstLine="24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政府补助退回情况</w:t>
      </w:r>
      <w:bookmarkEnd w:id="1560"/>
      <w:bookmarkEnd w:id="1561"/>
      <w:bookmarkEnd w:id="1563"/>
    </w:p>
    <w:p>
      <w:pPr>
        <w:pStyle w:val="Style31"/>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24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564"/>
      <w:bookmarkEnd w:id="1565"/>
      <w:bookmarkEnd w:id="1567"/>
    </w:p>
    <w:p>
      <w:pPr>
        <w:pStyle w:val="Style26"/>
        <w:keepNext/>
        <w:keepLines/>
        <w:widowControl w:val="0"/>
        <w:shd w:val="clear" w:color="auto" w:fill="auto"/>
        <w:bidi w:val="0"/>
        <w:spacing w:before="0" w:line="240" w:lineRule="auto"/>
        <w:ind w:left="0" w:right="0" w:firstLine="240"/>
        <w:jc w:val="left"/>
      </w:pPr>
      <w:bookmarkStart w:id="1568" w:name="bookmark1568"/>
      <w:bookmarkStart w:id="1569" w:name="bookmark1569"/>
      <w:bookmarkStart w:id="1570" w:name="bookmark1570"/>
      <w:bookmarkStart w:id="1571" w:name="bookmark1571"/>
      <w:r>
        <w:rPr>
          <w:color w:val="000000"/>
          <w:spacing w:val="0"/>
          <w:w w:val="100"/>
          <w:position w:val="0"/>
          <w:sz w:val="24"/>
          <w:szCs w:val="24"/>
        </w:rPr>
        <w:t>八</w:t>
      </w:r>
      <w:bookmarkEnd w:id="1570"/>
      <w:r>
        <w:rPr>
          <w:color w:val="000000"/>
          <w:spacing w:val="0"/>
          <w:w w:val="100"/>
          <w:position w:val="0"/>
          <w:sz w:val="24"/>
          <w:szCs w:val="24"/>
        </w:rPr>
        <w:t>、合并范围的变更</w:t>
      </w:r>
      <w:bookmarkEnd w:id="1568"/>
      <w:bookmarkEnd w:id="1569"/>
      <w:bookmarkEnd w:id="1571"/>
    </w:p>
    <w:p>
      <w:pPr>
        <w:pStyle w:val="Style34"/>
        <w:keepNext/>
        <w:keepLines/>
        <w:widowControl w:val="0"/>
        <w:shd w:val="clear" w:color="auto" w:fill="auto"/>
        <w:bidi w:val="0"/>
        <w:spacing w:before="0" w:line="240" w:lineRule="auto"/>
        <w:ind w:left="0" w:right="0" w:firstLine="240"/>
        <w:jc w:val="left"/>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72"/>
      <w:bookmarkEnd w:id="1573"/>
      <w:bookmarkEnd w:id="1574"/>
    </w:p>
    <w:p>
      <w:pPr>
        <w:pStyle w:val="Style59"/>
        <w:keepNext/>
        <w:keepLines/>
        <w:widowControl w:val="0"/>
        <w:shd w:val="clear" w:color="auto" w:fill="auto"/>
        <w:bidi w:val="0"/>
        <w:spacing w:before="0" w:after="340" w:line="240" w:lineRule="auto"/>
        <w:ind w:left="0" w:right="0" w:firstLine="24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75"/>
      <w:bookmarkEnd w:id="1576"/>
      <w:bookmarkEnd w:id="1577"/>
    </w:p>
    <w:p>
      <w:pPr>
        <w:pStyle w:val="Style59"/>
        <w:keepNext/>
        <w:keepLines/>
        <w:widowControl w:val="0"/>
        <w:numPr>
          <w:ilvl w:val="0"/>
          <w:numId w:val="103"/>
        </w:numPr>
        <w:shd w:val="clear" w:color="auto" w:fill="auto"/>
        <w:tabs>
          <w:tab w:pos="733" w:val="left"/>
        </w:tabs>
        <w:bidi w:val="0"/>
        <w:spacing w:before="0" w:after="340" w:line="240" w:lineRule="auto"/>
        <w:ind w:left="0" w:right="0" w:firstLine="24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被购买方于购买日可辨认资产、负债</w:t>
      </w:r>
      <w:bookmarkEnd w:id="1578"/>
      <w:bookmarkEnd w:id="1579"/>
      <w:bookmarkEnd w:id="1581"/>
    </w:p>
    <w:p>
      <w:pPr>
        <w:pStyle w:val="Style59"/>
        <w:keepNext/>
        <w:keepLines/>
        <w:widowControl w:val="0"/>
        <w:numPr>
          <w:ilvl w:val="0"/>
          <w:numId w:val="103"/>
        </w:numPr>
        <w:shd w:val="clear" w:color="auto" w:fill="auto"/>
        <w:tabs>
          <w:tab w:pos="733" w:val="left"/>
        </w:tabs>
        <w:bidi w:val="0"/>
        <w:spacing w:before="0" w:after="340" w:line="240" w:lineRule="auto"/>
        <w:ind w:left="0" w:right="0" w:firstLine="24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购买日之前持有的股权按照公允价值重新计量产生的利得或损失</w:t>
      </w:r>
      <w:bookmarkEnd w:id="1582"/>
      <w:bookmarkEnd w:id="1583"/>
      <w:bookmarkEnd w:id="1585"/>
    </w:p>
    <w:p>
      <w:pPr>
        <w:pStyle w:val="Style31"/>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口是"否</w:t>
      </w:r>
    </w:p>
    <w:p>
      <w:pPr>
        <w:pStyle w:val="Style59"/>
        <w:keepNext/>
        <w:keepLines/>
        <w:widowControl w:val="0"/>
        <w:shd w:val="clear" w:color="auto" w:fill="auto"/>
        <w:tabs>
          <w:tab w:pos="753" w:val="left"/>
        </w:tabs>
        <w:bidi w:val="0"/>
        <w:spacing w:before="0" w:after="300" w:line="314" w:lineRule="exact"/>
        <w:ind w:left="0" w:right="0" w:firstLine="26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586"/>
      <w:bookmarkEnd w:id="1587"/>
      <w:bookmarkEnd w:id="1589"/>
    </w:p>
    <w:p>
      <w:pPr>
        <w:pStyle w:val="Style59"/>
        <w:keepNext/>
        <w:keepLines/>
        <w:widowControl w:val="0"/>
        <w:shd w:val="clear" w:color="auto" w:fill="auto"/>
        <w:tabs>
          <w:tab w:pos="753" w:val="left"/>
        </w:tabs>
        <w:bidi w:val="0"/>
        <w:spacing w:before="0" w:after="300" w:line="314" w:lineRule="exact"/>
        <w:ind w:left="0" w:right="0" w:firstLine="26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590"/>
      <w:bookmarkEnd w:id="1591"/>
      <w:bookmarkEnd w:id="1593"/>
    </w:p>
    <w:p>
      <w:pPr>
        <w:pStyle w:val="Style34"/>
        <w:keepNext/>
        <w:keepLines/>
        <w:widowControl w:val="0"/>
        <w:shd w:val="clear" w:color="auto" w:fill="auto"/>
        <w:tabs>
          <w:tab w:pos="644" w:val="left"/>
        </w:tabs>
        <w:bidi w:val="0"/>
        <w:spacing w:before="0" w:after="300" w:line="314" w:lineRule="exact"/>
        <w:ind w:left="0" w:right="0" w:firstLine="26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color w:val="000000"/>
          <w:spacing w:val="0"/>
          <w:w w:val="100"/>
          <w:position w:val="0"/>
        </w:rPr>
        <w:t>、</w:t>
        <w:tab/>
        <w:t>同一控制下企业合并</w:t>
      </w:r>
      <w:bookmarkEnd w:id="1594"/>
      <w:bookmarkEnd w:id="1595"/>
      <w:bookmarkEnd w:id="1597"/>
    </w:p>
    <w:p>
      <w:pPr>
        <w:pStyle w:val="Style59"/>
        <w:keepNext/>
        <w:keepLines/>
        <w:widowControl w:val="0"/>
        <w:shd w:val="clear" w:color="auto" w:fill="auto"/>
        <w:tabs>
          <w:tab w:pos="753" w:val="left"/>
        </w:tabs>
        <w:bidi w:val="0"/>
        <w:spacing w:before="0" w:after="300" w:line="314" w:lineRule="exact"/>
        <w:ind w:left="0" w:right="0" w:firstLine="26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598"/>
      <w:bookmarkEnd w:id="1599"/>
      <w:bookmarkEnd w:id="1601"/>
    </w:p>
    <w:p>
      <w:pPr>
        <w:pStyle w:val="Style59"/>
        <w:keepNext/>
        <w:keepLines/>
        <w:widowControl w:val="0"/>
        <w:shd w:val="clear" w:color="auto" w:fill="auto"/>
        <w:tabs>
          <w:tab w:pos="753" w:val="left"/>
        </w:tabs>
        <w:bidi w:val="0"/>
        <w:spacing w:before="0" w:after="300" w:line="314" w:lineRule="exact"/>
        <w:ind w:left="0" w:right="0" w:firstLine="26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602"/>
      <w:bookmarkEnd w:id="1603"/>
      <w:bookmarkEnd w:id="1605"/>
    </w:p>
    <w:p>
      <w:pPr>
        <w:pStyle w:val="Style59"/>
        <w:keepNext/>
        <w:keepLines/>
        <w:widowControl w:val="0"/>
        <w:shd w:val="clear" w:color="auto" w:fill="auto"/>
        <w:tabs>
          <w:tab w:pos="753" w:val="left"/>
        </w:tabs>
        <w:bidi w:val="0"/>
        <w:spacing w:before="0" w:after="300" w:line="314" w:lineRule="exact"/>
        <w:ind w:left="0" w:right="0" w:firstLine="26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606"/>
      <w:bookmarkEnd w:id="1607"/>
      <w:bookmarkEnd w:id="1609"/>
    </w:p>
    <w:p>
      <w:pPr>
        <w:pStyle w:val="Style34"/>
        <w:keepNext/>
        <w:keepLines/>
        <w:widowControl w:val="0"/>
        <w:shd w:val="clear" w:color="auto" w:fill="auto"/>
        <w:tabs>
          <w:tab w:pos="644" w:val="left"/>
        </w:tabs>
        <w:bidi w:val="0"/>
        <w:spacing w:before="0" w:after="300" w:line="314" w:lineRule="exact"/>
        <w:ind w:left="0" w:right="0" w:firstLine="26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3</w:t>
      </w:r>
      <w:bookmarkEnd w:id="1612"/>
      <w:r>
        <w:rPr>
          <w:color w:val="000000"/>
          <w:spacing w:val="0"/>
          <w:w w:val="100"/>
          <w:position w:val="0"/>
        </w:rPr>
        <w:t>、</w:t>
        <w:tab/>
        <w:t>反向购买</w:t>
      </w:r>
      <w:bookmarkEnd w:id="1610"/>
      <w:bookmarkEnd w:id="1611"/>
      <w:bookmarkEnd w:id="1613"/>
    </w:p>
    <w:p>
      <w:pPr>
        <w:pStyle w:val="Style34"/>
        <w:keepNext/>
        <w:keepLines/>
        <w:widowControl w:val="0"/>
        <w:shd w:val="clear" w:color="auto" w:fill="auto"/>
        <w:tabs>
          <w:tab w:pos="644" w:val="left"/>
        </w:tabs>
        <w:bidi w:val="0"/>
        <w:spacing w:before="0" w:after="380" w:line="314" w:lineRule="exact"/>
        <w:ind w:left="0" w:right="0" w:firstLine="26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color w:val="000000"/>
          <w:spacing w:val="0"/>
          <w:w w:val="100"/>
          <w:position w:val="0"/>
        </w:rPr>
        <w:t>、</w:t>
        <w:tab/>
        <w:t>处置子公司</w:t>
      </w:r>
      <w:bookmarkEnd w:id="1614"/>
      <w:bookmarkEnd w:id="1615"/>
      <w:bookmarkEnd w:id="1617"/>
    </w:p>
    <w:p>
      <w:pPr>
        <w:pStyle w:val="Style31"/>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口是"否</w:t>
      </w:r>
    </w:p>
    <w:p>
      <w:pPr>
        <w:pStyle w:val="Style31"/>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口是"否</w:t>
      </w:r>
    </w:p>
    <w:p>
      <w:pPr>
        <w:pStyle w:val="Style34"/>
        <w:keepNext/>
        <w:keepLines/>
        <w:widowControl w:val="0"/>
        <w:shd w:val="clear" w:color="auto" w:fill="auto"/>
        <w:tabs>
          <w:tab w:pos="644" w:val="left"/>
        </w:tabs>
        <w:bidi w:val="0"/>
        <w:spacing w:before="0" w:after="380" w:line="314" w:lineRule="exact"/>
        <w:ind w:left="0" w:right="0" w:firstLine="26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color w:val="000000"/>
          <w:spacing w:val="0"/>
          <w:w w:val="100"/>
          <w:position w:val="0"/>
        </w:rPr>
        <w:t>、</w:t>
        <w:tab/>
        <w:t>其他原因的合并范围变动</w:t>
      </w:r>
      <w:bookmarkEnd w:id="1618"/>
      <w:bookmarkEnd w:id="1619"/>
      <w:bookmarkEnd w:id="1621"/>
    </w:p>
    <w:p>
      <w:pPr>
        <w:pStyle w:val="Style31"/>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说明其他原因导致的合并范围变动（如，新设子公司、清算子公司等）及其相关情况：</w:t>
      </w:r>
    </w:p>
    <w:p>
      <w:pPr>
        <w:pStyle w:val="Style14"/>
        <w:keepNext w:val="0"/>
        <w:keepLines w:val="0"/>
        <w:widowControl w:val="0"/>
        <w:shd w:val="clear" w:color="auto" w:fill="auto"/>
        <w:tabs>
          <w:tab w:pos="758" w:val="left"/>
        </w:tabs>
        <w:bidi w:val="0"/>
        <w:spacing w:before="0" w:after="120" w:line="314" w:lineRule="exact"/>
        <w:ind w:left="0" w:right="0" w:firstLine="260"/>
        <w:jc w:val="left"/>
        <w:rPr>
          <w:sz w:val="22"/>
          <w:szCs w:val="22"/>
        </w:rPr>
      </w:pPr>
      <w:bookmarkStart w:id="1622" w:name="bookmark1622"/>
      <w:r>
        <w:rPr>
          <w:color w:val="000000"/>
          <w:spacing w:val="0"/>
          <w:w w:val="100"/>
          <w:position w:val="0"/>
          <w:sz w:val="22"/>
          <w:szCs w:val="22"/>
        </w:rPr>
        <w:t>（</w:t>
      </w:r>
      <w:bookmarkEnd w:id="1622"/>
      <w:r>
        <w:rPr>
          <w:color w:val="000000"/>
          <w:spacing w:val="0"/>
          <w:w w:val="100"/>
          <w:position w:val="0"/>
          <w:sz w:val="22"/>
          <w:szCs w:val="22"/>
        </w:rPr>
        <w:t>1）</w:t>
        <w:tab/>
        <w:t>本集团本年度合并范围因新设增加如下1家公司：</w:t>
      </w:r>
    </w:p>
    <w:p>
      <w:pPr>
        <w:pStyle w:val="Style14"/>
        <w:keepNext w:val="0"/>
        <w:keepLines w:val="0"/>
        <w:widowControl w:val="0"/>
        <w:shd w:val="clear" w:color="auto" w:fill="auto"/>
        <w:bidi w:val="0"/>
        <w:spacing w:before="0" w:after="120" w:line="307" w:lineRule="exact"/>
        <w:ind w:left="260" w:right="0"/>
        <w:jc w:val="both"/>
        <w:rPr>
          <w:sz w:val="22"/>
          <w:szCs w:val="22"/>
        </w:rPr>
      </w:pPr>
      <w:r>
        <w:rPr>
          <w:color w:val="000000"/>
          <w:spacing w:val="0"/>
          <w:w w:val="100"/>
          <w:position w:val="0"/>
          <w:sz w:val="22"/>
          <w:szCs w:val="22"/>
        </w:rPr>
        <w:t>湖州万马高分子材料有限公司：系浙江万马高分子材料集团有限公司新设子公司，2020年3月6日 成立，营业执照统一社会信用代码</w:t>
      </w:r>
      <w:r>
        <w:rPr>
          <w:color w:val="000000"/>
          <w:spacing w:val="0"/>
          <w:w w:val="100"/>
          <w:position w:val="0"/>
          <w:sz w:val="22"/>
          <w:szCs w:val="22"/>
        </w:rPr>
        <w:t>91330522MA2D1D5EX5,</w:t>
      </w:r>
      <w:r>
        <w:rPr>
          <w:color w:val="000000"/>
          <w:spacing w:val="0"/>
          <w:w w:val="100"/>
          <w:position w:val="0"/>
          <w:sz w:val="22"/>
          <w:szCs w:val="22"/>
        </w:rPr>
        <w:t>注册地浙江省湖州市长兴县，注册资本人民 币</w:t>
      </w:r>
      <w:r>
        <w:rPr>
          <w:color w:val="000000"/>
          <w:spacing w:val="0"/>
          <w:w w:val="100"/>
          <w:position w:val="0"/>
          <w:sz w:val="22"/>
          <w:szCs w:val="22"/>
        </w:rPr>
        <w:t>1,000.00</w:t>
      </w:r>
      <w:r>
        <w:rPr>
          <w:color w:val="000000"/>
          <w:spacing w:val="0"/>
          <w:w w:val="100"/>
          <w:position w:val="0"/>
          <w:sz w:val="22"/>
          <w:szCs w:val="22"/>
        </w:rPr>
        <w:t>万元，主营业务为高分子材料的研发、生产及销售。</w:t>
      </w:r>
    </w:p>
    <w:p>
      <w:pPr>
        <w:pStyle w:val="Style14"/>
        <w:keepNext w:val="0"/>
        <w:keepLines w:val="0"/>
        <w:widowControl w:val="0"/>
        <w:shd w:val="clear" w:color="auto" w:fill="auto"/>
        <w:tabs>
          <w:tab w:pos="758" w:val="left"/>
        </w:tabs>
        <w:bidi w:val="0"/>
        <w:spacing w:before="0" w:after="120" w:line="314" w:lineRule="exact"/>
        <w:ind w:left="0" w:right="0" w:firstLine="260"/>
        <w:jc w:val="left"/>
        <w:rPr>
          <w:sz w:val="22"/>
          <w:szCs w:val="22"/>
        </w:rPr>
      </w:pPr>
      <w:bookmarkStart w:id="1623" w:name="bookmark1623"/>
      <w:r>
        <w:rPr>
          <w:color w:val="000000"/>
          <w:spacing w:val="0"/>
          <w:w w:val="100"/>
          <w:position w:val="0"/>
          <w:sz w:val="22"/>
          <w:szCs w:val="22"/>
        </w:rPr>
        <w:t>（</w:t>
      </w:r>
      <w:bookmarkEnd w:id="1623"/>
      <w:r>
        <w:rPr>
          <w:color w:val="000000"/>
          <w:spacing w:val="0"/>
          <w:w w:val="100"/>
          <w:position w:val="0"/>
          <w:sz w:val="22"/>
          <w:szCs w:val="22"/>
        </w:rPr>
        <w:t>2）</w:t>
        <w:tab/>
        <w:t>本集团本年度合并范围因注销减少如下1家公司：</w:t>
      </w:r>
    </w:p>
    <w:p>
      <w:pPr>
        <w:pStyle w:val="Style14"/>
        <w:keepNext w:val="0"/>
        <w:keepLines w:val="0"/>
        <w:widowControl w:val="0"/>
        <w:shd w:val="clear" w:color="auto" w:fill="auto"/>
        <w:bidi w:val="0"/>
        <w:spacing w:before="0" w:after="300" w:line="314" w:lineRule="exact"/>
        <w:ind w:left="260" w:right="0"/>
        <w:jc w:val="left"/>
        <w:rPr>
          <w:sz w:val="22"/>
          <w:szCs w:val="22"/>
        </w:rP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642" w:right="862" w:bottom="1469" w:left="868" w:header="0" w:footer="3" w:gutter="0"/>
          <w:cols w:space="720"/>
          <w:noEndnote/>
          <w:titlePg/>
          <w:rtlGutter w:val="0"/>
          <w:docGrid w:linePitch="360"/>
        </w:sectPr>
      </w:pPr>
      <w:r>
        <w:rPr>
          <w:color w:val="000000"/>
          <w:spacing w:val="0"/>
          <w:w w:val="100"/>
          <w:position w:val="0"/>
          <w:sz w:val="22"/>
          <w:szCs w:val="22"/>
        </w:rPr>
        <w:t>山西万马新能源科技有限公司：系万马联合新能源投资有限公司新设子公司，2018年05月24日成 立，营业执照统一社会信用代码</w:t>
      </w:r>
      <w:r>
        <w:rPr>
          <w:color w:val="000000"/>
          <w:spacing w:val="0"/>
          <w:w w:val="100"/>
          <w:position w:val="0"/>
          <w:sz w:val="22"/>
          <w:szCs w:val="22"/>
        </w:rPr>
        <w:t>91149900MA0K30FU2B，</w:t>
      </w:r>
      <w:r>
        <w:rPr>
          <w:color w:val="000000"/>
          <w:spacing w:val="0"/>
          <w:w w:val="100"/>
          <w:position w:val="0"/>
          <w:sz w:val="22"/>
          <w:szCs w:val="22"/>
        </w:rPr>
        <w:t xml:space="preserve">注册地山西太原，注册资本人民币5, </w:t>
      </w:r>
      <w:r>
        <w:rPr>
          <w:color w:val="000000"/>
          <w:spacing w:val="0"/>
          <w:w w:val="100"/>
          <w:position w:val="0"/>
          <w:sz w:val="22"/>
          <w:szCs w:val="22"/>
        </w:rPr>
        <w:t xml:space="preserve">000. </w:t>
      </w:r>
      <w:r>
        <w:rPr>
          <w:color w:val="000000"/>
          <w:spacing w:val="0"/>
          <w:w w:val="100"/>
          <w:position w:val="0"/>
          <w:sz w:val="22"/>
          <w:szCs w:val="22"/>
        </w:rPr>
        <w:t>00 万元，主营业务为充电设施投资、建设、运营。山西万马新能源科技有限公司已于2019年9月12日注 销。</w:t>
      </w:r>
    </w:p>
    <w:p>
      <w:pPr>
        <w:pStyle w:val="Style34"/>
        <w:keepNext/>
        <w:keepLines/>
        <w:widowControl w:val="0"/>
        <w:shd w:val="clear" w:color="auto" w:fill="auto"/>
        <w:bidi w:val="0"/>
        <w:spacing w:before="0" w:after="320" w:line="240" w:lineRule="auto"/>
        <w:ind w:left="0" w:right="0" w:firstLine="24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color w:val="000000"/>
          <w:spacing w:val="0"/>
          <w:w w:val="100"/>
          <w:position w:val="0"/>
        </w:rPr>
        <w:t>、其他</w:t>
      </w:r>
      <w:bookmarkEnd w:id="1624"/>
      <w:bookmarkEnd w:id="1625"/>
      <w:bookmarkEnd w:id="1627"/>
    </w:p>
    <w:p>
      <w:pPr>
        <w:pStyle w:val="Style26"/>
        <w:keepNext/>
        <w:keepLines/>
        <w:widowControl w:val="0"/>
        <w:shd w:val="clear" w:color="auto" w:fill="auto"/>
        <w:bidi w:val="0"/>
        <w:spacing w:before="0" w:after="320" w:line="240" w:lineRule="auto"/>
        <w:ind w:left="0" w:right="0" w:firstLine="240"/>
        <w:jc w:val="left"/>
      </w:pPr>
      <w:bookmarkStart w:id="1628" w:name="bookmark1628"/>
      <w:bookmarkStart w:id="1629" w:name="bookmark1629"/>
      <w:bookmarkStart w:id="1630" w:name="bookmark1630"/>
      <w:bookmarkStart w:id="1631" w:name="bookmark1631"/>
      <w:r>
        <w:rPr>
          <w:color w:val="000000"/>
          <w:spacing w:val="0"/>
          <w:w w:val="100"/>
          <w:position w:val="0"/>
          <w:sz w:val="24"/>
          <w:szCs w:val="24"/>
        </w:rPr>
        <w:t>九</w:t>
      </w:r>
      <w:bookmarkEnd w:id="1630"/>
      <w:r>
        <w:rPr>
          <w:color w:val="000000"/>
          <w:spacing w:val="0"/>
          <w:w w:val="100"/>
          <w:position w:val="0"/>
          <w:sz w:val="24"/>
          <w:szCs w:val="24"/>
        </w:rPr>
        <w:t>、在其他主体中的权益</w:t>
      </w:r>
      <w:bookmarkEnd w:id="1628"/>
      <w:bookmarkEnd w:id="1629"/>
      <w:bookmarkEnd w:id="1631"/>
    </w:p>
    <w:p>
      <w:pPr>
        <w:pStyle w:val="Style34"/>
        <w:keepNext/>
        <w:keepLines/>
        <w:widowControl w:val="0"/>
        <w:shd w:val="clear" w:color="auto" w:fill="auto"/>
        <w:bidi w:val="0"/>
        <w:spacing w:before="0" w:after="320" w:line="240" w:lineRule="auto"/>
        <w:ind w:left="0" w:right="0" w:firstLine="24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2"/>
      <w:bookmarkEnd w:id="1633"/>
      <w:bookmarkEnd w:id="1634"/>
    </w:p>
    <w:p>
      <w:pPr>
        <w:pStyle w:val="Style59"/>
        <w:keepNext/>
        <w:keepLines/>
        <w:widowControl w:val="0"/>
        <w:shd w:val="clear" w:color="auto" w:fill="auto"/>
        <w:bidi w:val="0"/>
        <w:spacing w:before="0" w:after="320" w:line="240" w:lineRule="auto"/>
        <w:ind w:left="0" w:right="0" w:firstLine="38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5"/>
      <w:bookmarkEnd w:id="1636"/>
      <w:bookmarkEnd w:id="1637"/>
    </w:p>
    <w:tbl>
      <w:tblPr>
        <w:tblOverlap w:val="never"/>
        <w:jc w:val="center"/>
        <w:tblLayout w:type="fixed"/>
      </w:tblPr>
      <w:tblGrid>
        <w:gridCol w:w="1718"/>
        <w:gridCol w:w="1027"/>
        <w:gridCol w:w="1363"/>
        <w:gridCol w:w="1584"/>
        <w:gridCol w:w="1152"/>
        <w:gridCol w:w="1368"/>
        <w:gridCol w:w="1368"/>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4D4D4"/>
            <w:vAlign w:val="center"/>
          </w:tcPr>
          <w:p>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浙江万马高分子材 料集团有限公司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生产销售高分子 材料产品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同一控制下合 并</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四川万马高分子材</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生产销售高分子 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浙江万马聚力新材 料科技有限公司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生产销售高分子 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清远万马新材料有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广东清远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广东清远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生产销售高分子 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湖州万马高分子材</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浙江湖州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浙江湖州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生产销售高分子 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浙江万马天屹通信 线缆有限公司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生产销售通信电</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同一控制下合 并</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浙江万马集团特种 电子电缆有限公司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生产销售电线电</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香港骐骥国际发展</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电解铜、铝、锌、 高分子材料、同轴 电缆等进出口贸 易业务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浙江万马专用线缆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生产销售特种电</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浙江万马电缆有限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生产销售</w:t>
            </w:r>
            <w:r>
              <w:rPr>
                <w:color w:val="000000"/>
                <w:spacing w:val="0"/>
                <w:w w:val="100"/>
                <w:position w:val="0"/>
              </w:rPr>
              <w:t>3KV</w:t>
            </w:r>
            <w:r>
              <w:rPr>
                <w:rFonts w:ascii="SimSun" w:eastAsia="SimSun" w:hAnsi="SimSun" w:cs="SimSun"/>
                <w:color w:val="000000"/>
                <w:spacing w:val="0"/>
                <w:w w:val="100"/>
                <w:position w:val="0"/>
              </w:rPr>
              <w:t>以 下电缆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浙江万马家装有限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电线电缆贸易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Optrum Technology</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LLC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美国德克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萨斯州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美国德克萨斯</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电线电缆、高分子 材料等销售和进 出口贸易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万马奔腾新能源产 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光伏技术开发、实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浙江万马新能源有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生产销售汽车充</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浙江万马光伏有限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浙江嘉兴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新能源领域开发、 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718"/>
        <w:gridCol w:w="1027"/>
        <w:gridCol w:w="1363"/>
        <w:gridCol w:w="1584"/>
        <w:gridCol w:w="1152"/>
        <w:gridCol w:w="1368"/>
        <w:gridCol w:w="1368"/>
      </w:tblGrid>
      <w:tr>
        <w:trPr>
          <w:trHeight w:val="63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浙江爱充网络科技</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互联网技术开发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上海万马乾驭电动</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汽车服务有限公司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货物运输、仓储、 装卸搬运服务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杭州以田科技有限</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生产销售高分子 材料产品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万马联合新能源投</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实业投资、投资管 理、投资咨询（除 证券、期货）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江苏万充新能源科 技有限公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苏州万充新能源科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武汉万爱新能源科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北京万京新能源科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宁波万爱新能源科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上海万遥新能源科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福州万充新能源科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陕西万充新能源科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陕西西安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杭州万充电力工程</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承装、承修、承试 电力设施，承接建 筑、市政工程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重庆万充新能源科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四川重庆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四川万充新能源科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广东广州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海南万充新能源科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海南海口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佛山万爱新能源科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广东佛山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充电设施投资、建</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广州万马爱充新能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充电设施投资、建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bl>
    <w:p>
      <w:pPr>
        <w:widowControl w:val="0"/>
        <w:spacing w:line="1" w:lineRule="exact"/>
        <w:sectPr>
          <w:headerReference w:type="default" r:id="rId253"/>
          <w:footerReference w:type="default" r:id="rId254"/>
          <w:headerReference w:type="even" r:id="rId255"/>
          <w:footerReference w:type="even" r:id="rId256"/>
          <w:headerReference w:type="first" r:id="rId257"/>
          <w:footerReference w:type="first" r:id="rId258"/>
          <w:footnotePr>
            <w:pos w:val="pageBottom"/>
            <w:numFmt w:val="decimal"/>
            <w:numRestart w:val="continuous"/>
          </w:footnotePr>
          <w:pgSz w:w="11900" w:h="16840"/>
          <w:pgMar w:top="1642" w:right="862" w:bottom="1469" w:left="868" w:header="0" w:footer="3" w:gutter="0"/>
          <w:cols w:space="720"/>
          <w:noEndnote/>
          <w:titlePg/>
          <w:rtlGutter w:val="0"/>
          <w:docGrid w:linePitch="360"/>
        </w:sectPr>
      </w:pPr>
    </w:p>
    <w:tbl>
      <w:tblPr>
        <w:tblOverlap w:val="never"/>
        <w:jc w:val="center"/>
        <w:tblLayout w:type="fixed"/>
      </w:tblPr>
      <w:tblGrid>
        <w:gridCol w:w="1718"/>
        <w:gridCol w:w="1027"/>
        <w:gridCol w:w="1363"/>
        <w:gridCol w:w="1584"/>
        <w:gridCol w:w="1152"/>
        <w:gridCol w:w="1368"/>
        <w:gridCol w:w="1373"/>
      </w:tblGrid>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浙江骏业科创科技</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通讯领域、人工智 能技术的技术开 发、咨询及转让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万马线缆(越南)</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越南北宁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生产销售通信电</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95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Steed Networks</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Technologies</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Co.,LTD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柬埔寨金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柬埔寨金边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电线电缆贸易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38"/>
      <w:bookmarkEnd w:id="1639"/>
      <w:bookmarkEnd w:id="16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589"/>
        <w:gridCol w:w="1790"/>
        <w:gridCol w:w="1824"/>
        <w:gridCol w:w="1574"/>
      </w:tblGrid>
      <w:tr>
        <w:trPr>
          <w:trHeight w:val="72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少数股东持股比 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本期归属于少数股 东的损益</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本期向少数股东宣 告分派的股利</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 益余额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-723,609.17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760,168.38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9"/>
        <w:keepNext/>
        <w:keepLines/>
        <w:widowControl w:val="0"/>
        <w:numPr>
          <w:ilvl w:val="0"/>
          <w:numId w:val="105"/>
        </w:numPr>
        <w:shd w:val="clear" w:color="auto" w:fill="auto"/>
        <w:bidi w:val="0"/>
        <w:spacing w:before="0" w:after="360" w:line="240" w:lineRule="auto"/>
        <w:ind w:left="0" w:right="0" w:firstLine="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重要非全资子公司的主要财务信息</w:t>
      </w:r>
      <w:bookmarkEnd w:id="1641"/>
      <w:bookmarkEnd w:id="1642"/>
      <w:bookmarkEnd w:id="164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 司名 称</w:t>
            </w:r>
          </w:p>
        </w:tc>
        <w:tc>
          <w:tcPr>
            <w:gridSpan w:val="6"/>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资产 合计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流动 负债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负债 合计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0" w:right="0" w:firstLine="160"/>
              <w:jc w:val="left"/>
            </w:pPr>
            <w:r>
              <w:rPr>
                <w:rFonts w:ascii="SimSun" w:eastAsia="SimSun" w:hAnsi="SimSun" w:cs="SimSun"/>
                <w:color w:val="000000"/>
                <w:spacing w:val="0"/>
                <w:w w:val="100"/>
                <w:position w:val="0"/>
              </w:rPr>
              <w:t>流动 资产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160"/>
              <w:jc w:val="left"/>
            </w:pPr>
            <w:r>
              <w:rPr>
                <w:rFonts w:ascii="SimSun" w:eastAsia="SimSun" w:hAnsi="SimSun" w:cs="SimSun"/>
                <w:color w:val="000000"/>
                <w:spacing w:val="0"/>
                <w:w w:val="100"/>
                <w:position w:val="0"/>
              </w:rPr>
              <w:t>负债 合计</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浙江 万马 新能 源有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115,96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5,999.</w:t>
            </w:r>
          </w:p>
          <w:p>
            <w:pPr>
              <w:pStyle w:val="Style2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121,76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60,199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64,128</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,238.0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r>
      <w:tr>
        <w:trPr>
          <w:trHeight w:val="22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 万马 专用 线缆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197,70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2,334.</w:t>
            </w:r>
          </w:p>
          <w:p>
            <w:pPr>
              <w:pStyle w:val="Style2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12,400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,126.4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210,10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2,460.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149,74</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4,480.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736,76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150,48</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4253"/>
        <w:gridCol w:w="4262"/>
      </w:tblGrid>
      <w:tr>
        <w:trPr>
          <w:trHeight w:val="41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715"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经营活动 现金流量</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02" w:lineRule="exact"/>
              <w:ind w:left="0" w:right="0" w:firstLine="160"/>
              <w:jc w:val="left"/>
            </w:pPr>
            <w:r>
              <w:rPr>
                <w:rFonts w:ascii="SimSun" w:eastAsia="SimSun" w:hAnsi="SimSun" w:cs="SimSun"/>
                <w:color w:val="000000"/>
                <w:spacing w:val="0"/>
                <w:w w:val="100"/>
                <w:position w:val="0"/>
              </w:rPr>
              <w:t>经营活动 现金流量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 新能源有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73,884,211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19,748,487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19,748,487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-2,332,412.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浙江万马 专用线缆 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279,283,61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24,495,175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24,993,850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-68,826,81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10</w:t>
      </w:r>
      <w:r>
        <w:rPr>
          <w:color w:val="000000"/>
          <w:spacing w:val="0"/>
          <w:w w:val="100"/>
          <w:position w:val="0"/>
        </w:rPr>
        <w:t>日，本公司之子公司万马奔腾新能源产业集团有限公司与浙江万马智能科技集团有限公司签署 《股权转让协议书》，万马奔腾新能源产业集团有限公司以现金购买浙江万马智能科技集团有限公司所持有的 浙江万马新能源有限公司</w:t>
      </w:r>
      <w:r>
        <w:rPr>
          <w:color w:val="000000"/>
          <w:spacing w:val="0"/>
          <w:w w:val="100"/>
          <w:position w:val="0"/>
          <w:sz w:val="20"/>
          <w:szCs w:val="20"/>
        </w:rPr>
        <w:t>30%</w:t>
      </w:r>
      <w:r>
        <w:rPr>
          <w:color w:val="000000"/>
          <w:spacing w:val="0"/>
          <w:w w:val="100"/>
          <w:position w:val="0"/>
        </w:rPr>
        <w:t>股权，作价基础为浙江万马新能源有限公司</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日账面净资产价值。浙江 万马新能源有限公司已于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30</w:t>
      </w:r>
      <w:r>
        <w:rPr>
          <w:color w:val="000000"/>
          <w:spacing w:val="0"/>
          <w:w w:val="100"/>
          <w:position w:val="0"/>
        </w:rPr>
        <w:t>日完成股权变更及备案。本次股权转让完成后，浙江万马新能源有限公司 为万马奔腾新能源产业集团有限公司全资子公司。</w:t>
      </w:r>
    </w:p>
    <w:p>
      <w:pPr>
        <w:pStyle w:val="Style38"/>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月，本公司与子公司浙江万马专用线缆科技有限公司</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color w:val="000000"/>
          <w:spacing w:val="0"/>
          <w:w w:val="100"/>
          <w:position w:val="0"/>
        </w:rPr>
        <w:t>简称万马专缆</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w:t>
      </w:r>
      <w:r>
        <w:rPr>
          <w:color w:val="000000"/>
          <w:spacing w:val="0"/>
          <w:w w:val="100"/>
          <w:position w:val="0"/>
        </w:rPr>
        <w:t>的少数股东（简称</w:t>
      </w:r>
      <w:r>
        <w:rPr>
          <w:rFonts w:ascii="Times New Roman" w:eastAsia="Times New Roman" w:hAnsi="Times New Roman" w:cs="Times New Roman"/>
          <w:color w:val="000000"/>
          <w:spacing w:val="0"/>
          <w:w w:val="100"/>
          <w:position w:val="0"/>
        </w:rPr>
        <w:t>“</w:t>
      </w:r>
      <w:r>
        <w:rPr>
          <w:color w:val="000000"/>
          <w:spacing w:val="0"/>
          <w:w w:val="100"/>
          <w:position w:val="0"/>
        </w:rPr>
        <w:t>出让 方</w:t>
      </w:r>
      <w:r>
        <w:rPr>
          <w:rFonts w:ascii="Times New Roman" w:eastAsia="Times New Roman" w:hAnsi="Times New Roman" w:cs="Times New Roman"/>
          <w:color w:val="000000"/>
          <w:spacing w:val="0"/>
          <w:w w:val="100"/>
          <w:position w:val="0"/>
        </w:rPr>
        <w:t>”</w:t>
      </w:r>
      <w:r>
        <w:rPr>
          <w:color w:val="000000"/>
          <w:spacing w:val="0"/>
          <w:w w:val="100"/>
          <w:position w:val="0"/>
        </w:rPr>
        <w:t>）王连成、梁光林、帅绍舜、朱红梅、王洋、凌圣尧、娄永超、高彦学及郑伟力签订《股权转让协议》，购 买出让方合计拥有的万马专缆</w:t>
      </w:r>
      <w:r>
        <w:rPr>
          <w:color w:val="000000"/>
          <w:spacing w:val="0"/>
          <w:w w:val="100"/>
          <w:position w:val="0"/>
          <w:sz w:val="20"/>
          <w:szCs w:val="20"/>
        </w:rPr>
        <w:t xml:space="preserve">6. </w:t>
      </w:r>
      <w:r>
        <w:rPr>
          <w:color w:val="000000"/>
          <w:spacing w:val="0"/>
          <w:w w:val="100"/>
          <w:position w:val="0"/>
          <w:sz w:val="20"/>
          <w:szCs w:val="20"/>
        </w:rPr>
        <w:t>775%</w:t>
      </w:r>
      <w:r>
        <w:rPr>
          <w:color w:val="000000"/>
          <w:spacing w:val="0"/>
          <w:w w:val="100"/>
          <w:position w:val="0"/>
        </w:rPr>
        <w:t>的股权，购买价款为实际缴纳的注册资本</w:t>
      </w:r>
      <w:r>
        <w:rPr>
          <w:color w:val="000000"/>
          <w:spacing w:val="0"/>
          <w:w w:val="100"/>
          <w:position w:val="0"/>
          <w:sz w:val="20"/>
          <w:szCs w:val="20"/>
        </w:rPr>
        <w:t>271.00</w:t>
      </w:r>
      <w:r>
        <w:rPr>
          <w:color w:val="000000"/>
          <w:spacing w:val="0"/>
          <w:w w:val="100"/>
          <w:position w:val="0"/>
        </w:rPr>
        <w:t>万元，购买基准日为</w:t>
      </w:r>
      <w:r>
        <w:rPr>
          <w:color w:val="000000"/>
          <w:spacing w:val="0"/>
          <w:w w:val="100"/>
          <w:position w:val="0"/>
          <w:sz w:val="20"/>
          <w:szCs w:val="20"/>
        </w:rPr>
        <w:t xml:space="preserve">2020 </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日，实际交割日期为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p>
    <w:p>
      <w:pPr>
        <w:pStyle w:val="Style38"/>
        <w:keepNext w:val="0"/>
        <w:keepLines w:val="0"/>
        <w:widowControl w:val="0"/>
        <w:shd w:val="clear" w:color="auto" w:fill="auto"/>
        <w:bidi w:val="0"/>
        <w:spacing w:before="0" w:after="300" w:line="314" w:lineRule="exact"/>
        <w:ind w:left="0" w:right="0" w:firstLine="42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月，本公司与子公司万马专缆的少数股东陈铮签订《股权转让协议》</w:t>
      </w:r>
      <w:r>
        <w:rPr>
          <w:color w:val="000000"/>
          <w:spacing w:val="0"/>
          <w:w w:val="100"/>
          <w:position w:val="0"/>
          <w:sz w:val="20"/>
          <w:szCs w:val="20"/>
        </w:rPr>
        <w:t>，</w:t>
      </w:r>
      <w:r>
        <w:rPr>
          <w:color w:val="000000"/>
          <w:spacing w:val="0"/>
          <w:w w:val="100"/>
          <w:position w:val="0"/>
        </w:rPr>
        <w:t>购买其拥有的万马专缆</w:t>
      </w:r>
      <w:r>
        <w:rPr>
          <w:color w:val="000000"/>
          <w:spacing w:val="0"/>
          <w:w w:val="100"/>
          <w:position w:val="0"/>
          <w:sz w:val="20"/>
          <w:szCs w:val="20"/>
        </w:rPr>
        <w:t xml:space="preserve">8.95% </w:t>
      </w:r>
      <w:r>
        <w:rPr>
          <w:color w:val="000000"/>
          <w:spacing w:val="0"/>
          <w:w w:val="100"/>
          <w:position w:val="0"/>
        </w:rPr>
        <w:t>的股权，购买价款为实际缴纳的注册资本</w:t>
      </w:r>
      <w:r>
        <w:rPr>
          <w:color w:val="000000"/>
          <w:spacing w:val="0"/>
          <w:w w:val="100"/>
          <w:position w:val="0"/>
          <w:sz w:val="20"/>
          <w:szCs w:val="20"/>
        </w:rPr>
        <w:t xml:space="preserve">358. </w:t>
      </w:r>
      <w:r>
        <w:rPr>
          <w:color w:val="000000"/>
          <w:spacing w:val="0"/>
          <w:w w:val="100"/>
          <w:position w:val="0"/>
          <w:sz w:val="20"/>
          <w:szCs w:val="20"/>
        </w:rPr>
        <w:t>00</w:t>
      </w:r>
      <w:r>
        <w:rPr>
          <w:color w:val="000000"/>
          <w:spacing w:val="0"/>
          <w:w w:val="100"/>
          <w:position w:val="0"/>
        </w:rPr>
        <w:t>万元，购买基准日为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18</w:t>
      </w:r>
      <w:r>
        <w:rPr>
          <w:color w:val="000000"/>
          <w:spacing w:val="0"/>
          <w:w w:val="100"/>
          <w:position w:val="0"/>
        </w:rPr>
        <w:t>日，实际交割日期为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 xml:space="preserve">7 </w:t>
      </w:r>
      <w:r>
        <w:rPr>
          <w:color w:val="000000"/>
          <w:spacing w:val="0"/>
          <w:w w:val="100"/>
          <w:position w:val="0"/>
        </w:rPr>
        <w:t>月</w:t>
      </w:r>
      <w:r>
        <w:rPr>
          <w:color w:val="000000"/>
          <w:spacing w:val="0"/>
          <w:w w:val="100"/>
          <w:position w:val="0"/>
          <w:sz w:val="20"/>
          <w:szCs w:val="20"/>
        </w:rPr>
        <w:t>31</w:t>
      </w:r>
      <w:r>
        <w:rPr>
          <w:color w:val="000000"/>
          <w:spacing w:val="0"/>
          <w:w w:val="100"/>
          <w:position w:val="0"/>
        </w:rPr>
        <w:t>日。本次股权转上完成后，万马专缆为本公司全资子公司。</w:t>
      </w:r>
    </w:p>
    <w:p>
      <w:pPr>
        <w:pStyle w:val="Style59"/>
        <w:keepNext/>
        <w:keepLines/>
        <w:widowControl w:val="0"/>
        <w:shd w:val="clear" w:color="auto" w:fill="auto"/>
        <w:tabs>
          <w:tab w:pos="493" w:val="left"/>
        </w:tabs>
        <w:bidi w:val="0"/>
        <w:spacing w:before="0" w:after="300" w:line="314" w:lineRule="exact"/>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45"/>
      <w:bookmarkEnd w:id="1646"/>
      <w:bookmarkEnd w:id="1648"/>
    </w:p>
    <w:p>
      <w:pPr>
        <w:pStyle w:val="Style3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无</w:t>
      </w:r>
    </w:p>
    <w:p>
      <w:pPr>
        <w:pStyle w:val="Style59"/>
        <w:keepNext/>
        <w:keepLines/>
        <w:widowControl w:val="0"/>
        <w:shd w:val="clear" w:color="auto" w:fill="auto"/>
        <w:tabs>
          <w:tab w:pos="493" w:val="left"/>
        </w:tabs>
        <w:bidi w:val="0"/>
        <w:spacing w:before="0" w:after="300" w:line="314" w:lineRule="exact"/>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49"/>
      <w:bookmarkEnd w:id="1650"/>
      <w:bookmarkEnd w:id="1652"/>
    </w:p>
    <w:p>
      <w:pPr>
        <w:pStyle w:val="Style3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00" w:line="314" w:lineRule="exact"/>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bookmarkEnd w:id="1655"/>
      <w:r>
        <w:rPr>
          <w:color w:val="000000"/>
          <w:spacing w:val="0"/>
          <w:w w:val="100"/>
          <w:position w:val="0"/>
        </w:rPr>
        <w:t>、</w:t>
        <w:tab/>
        <w:t>在子公司的所有者权益份额发生变化且仍控制子公司的交易</w:t>
      </w:r>
      <w:bookmarkEnd w:id="1653"/>
      <w:bookmarkEnd w:id="1654"/>
      <w:bookmarkEnd w:id="1656"/>
    </w:p>
    <w:p>
      <w:pPr>
        <w:pStyle w:val="Style34"/>
        <w:keepNext/>
        <w:keepLines/>
        <w:widowControl w:val="0"/>
        <w:shd w:val="clear" w:color="auto" w:fill="auto"/>
        <w:tabs>
          <w:tab w:pos="378" w:val="left"/>
        </w:tabs>
        <w:bidi w:val="0"/>
        <w:spacing w:before="0" w:after="300" w:line="314" w:lineRule="exact"/>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w:t>
        <w:tab/>
        <w:t>在合营安排或联营企业中的权益</w:t>
      </w:r>
      <w:bookmarkEnd w:id="1657"/>
      <w:bookmarkEnd w:id="1658"/>
      <w:bookmarkEnd w:id="1660"/>
    </w:p>
    <w:p>
      <w:pPr>
        <w:pStyle w:val="Style59"/>
        <w:keepNext/>
        <w:keepLines/>
        <w:widowControl w:val="0"/>
        <w:shd w:val="clear" w:color="auto" w:fill="auto"/>
        <w:bidi w:val="0"/>
        <w:spacing w:before="0" w:after="380" w:line="314" w:lineRule="exact"/>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661"/>
      <w:bookmarkEnd w:id="1662"/>
      <w:bookmarkEnd w:id="16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1,469,619.87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1,254,293.96</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-1,784,674.09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-4,002,770.34</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-1,784,674.09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-4,002,770.34</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22,663,781.17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21,380,689.61</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1,283,091.56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-175,783.30</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1,283,091.56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-175,783.30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8"/>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 xml:space="preserve">上述不重要的合营企业为浙江万马海立斯新能源有限公司（万马奔腾新能源产业集团有限公司与 </w:t>
      </w:r>
      <w:r>
        <w:rPr>
          <w:color w:val="000000"/>
          <w:spacing w:val="0"/>
          <w:w w:val="100"/>
          <w:position w:val="0"/>
          <w:sz w:val="20"/>
          <w:szCs w:val="20"/>
        </w:rPr>
        <w:t>IES-SYNERGY SAS</w:t>
      </w:r>
      <w:r>
        <w:rPr>
          <w:color w:val="000000"/>
          <w:spacing w:val="0"/>
          <w:w w:val="100"/>
          <w:position w:val="0"/>
        </w:rPr>
        <w:t>公司合营，本公司持股比例</w:t>
      </w:r>
      <w:r>
        <w:rPr>
          <w:color w:val="000000"/>
          <w:spacing w:val="0"/>
          <w:w w:val="100"/>
          <w:position w:val="0"/>
          <w:sz w:val="20"/>
          <w:szCs w:val="20"/>
        </w:rPr>
        <w:t>50%），</w:t>
      </w:r>
      <w:r>
        <w:rPr>
          <w:color w:val="000000"/>
          <w:spacing w:val="0"/>
          <w:w w:val="100"/>
          <w:position w:val="0"/>
        </w:rPr>
        <w:t>不重要的联营企业包括浙江电腾云光伏科技有限公司（本 公司与南京南瑞集团公司联营，本公司持股比例</w:t>
      </w:r>
      <w:r>
        <w:rPr>
          <w:color w:val="000000"/>
          <w:spacing w:val="0"/>
          <w:w w:val="100"/>
          <w:position w:val="0"/>
          <w:sz w:val="20"/>
          <w:szCs w:val="20"/>
        </w:rPr>
        <w:t>49%）</w:t>
      </w:r>
      <w:r>
        <w:rPr>
          <w:color w:val="000000"/>
          <w:spacing w:val="0"/>
          <w:w w:val="100"/>
          <w:position w:val="0"/>
        </w:rPr>
        <w:t>、山东万恩新能源科技有限公司（万马奔腾新能源产业集 团有限公司与浙江万马智能科技集团有限公司、山东天恩综合能源有限公司联营，本公司持股比例</w:t>
      </w:r>
      <w:r>
        <w:rPr>
          <w:color w:val="000000"/>
          <w:spacing w:val="0"/>
          <w:w w:val="100"/>
          <w:position w:val="0"/>
          <w:sz w:val="20"/>
          <w:szCs w:val="20"/>
        </w:rPr>
        <w:t>31%）</w:t>
      </w:r>
      <w:r>
        <w:rPr>
          <w:color w:val="000000"/>
          <w:spacing w:val="0"/>
          <w:w w:val="100"/>
          <w:position w:val="0"/>
        </w:rPr>
        <w:t>。</w:t>
      </w:r>
    </w:p>
    <w:p>
      <w:pPr>
        <w:pStyle w:val="Style38"/>
        <w:keepNext w:val="0"/>
        <w:keepLines w:val="0"/>
        <w:widowControl w:val="0"/>
        <w:shd w:val="clear" w:color="auto" w:fill="auto"/>
        <w:bidi w:val="0"/>
        <w:spacing w:before="0" w:after="300" w:line="317" w:lineRule="exact"/>
        <w:ind w:left="0" w:right="0" w:firstLine="46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本公司于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14</w:t>
      </w:r>
      <w:r>
        <w:rPr>
          <w:color w:val="000000"/>
          <w:spacing w:val="0"/>
          <w:w w:val="100"/>
          <w:position w:val="0"/>
        </w:rPr>
        <w:t>日购买了山东万恩新能源科技有限公司联营方万马智能科技集团有限公司及山 东天恩综合能源有限公司合计持有其</w:t>
      </w:r>
      <w:r>
        <w:rPr>
          <w:color w:val="000000"/>
          <w:spacing w:val="0"/>
          <w:w w:val="100"/>
          <w:position w:val="0"/>
          <w:sz w:val="20"/>
          <w:szCs w:val="20"/>
        </w:rPr>
        <w:t>69%</w:t>
      </w:r>
      <w:r>
        <w:rPr>
          <w:color w:val="000000"/>
          <w:spacing w:val="0"/>
          <w:w w:val="100"/>
          <w:position w:val="0"/>
        </w:rPr>
        <w:t>的股权，成为全资子公司，详见本附注十四、</w:t>
      </w:r>
      <w:r>
        <w:rPr>
          <w:color w:val="000000"/>
          <w:spacing w:val="0"/>
          <w:w w:val="100"/>
          <w:position w:val="0"/>
          <w:sz w:val="20"/>
          <w:szCs w:val="20"/>
        </w:rPr>
        <w:t>2</w:t>
      </w:r>
      <w:r>
        <w:rPr>
          <w:color w:val="000000"/>
          <w:spacing w:val="0"/>
          <w:w w:val="100"/>
          <w:position w:val="0"/>
        </w:rPr>
        <w:t>资产负债表日后事项。</w:t>
      </w:r>
    </w:p>
    <w:p>
      <w:pPr>
        <w:pStyle w:val="Style34"/>
        <w:keepNext/>
        <w:keepLines/>
        <w:widowControl w:val="0"/>
        <w:shd w:val="clear" w:color="auto" w:fill="auto"/>
        <w:tabs>
          <w:tab w:pos="349" w:val="left"/>
        </w:tabs>
        <w:bidi w:val="0"/>
        <w:spacing w:before="0" w:after="300" w:line="313" w:lineRule="exact"/>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color w:val="000000"/>
          <w:spacing w:val="0"/>
          <w:w w:val="100"/>
          <w:position w:val="0"/>
        </w:rPr>
        <w:t>、</w:t>
        <w:tab/>
        <w:t>重要的共同经营</w:t>
      </w:r>
      <w:bookmarkEnd w:id="1664"/>
      <w:bookmarkEnd w:id="1665"/>
      <w:bookmarkEnd w:id="1667"/>
    </w:p>
    <w:p>
      <w:pPr>
        <w:pStyle w:val="Style34"/>
        <w:keepNext/>
        <w:keepLines/>
        <w:widowControl w:val="0"/>
        <w:shd w:val="clear" w:color="auto" w:fill="auto"/>
        <w:tabs>
          <w:tab w:pos="349" w:val="left"/>
        </w:tabs>
        <w:bidi w:val="0"/>
        <w:spacing w:before="0" w:after="300" w:line="313" w:lineRule="exact"/>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color w:val="000000"/>
          <w:spacing w:val="0"/>
          <w:w w:val="100"/>
          <w:position w:val="0"/>
        </w:rPr>
        <w:t>、</w:t>
        <w:tab/>
        <w:t>在未纳入合并财务报表范围的结构化主体中的权益</w:t>
      </w:r>
      <w:bookmarkEnd w:id="1668"/>
      <w:bookmarkEnd w:id="1669"/>
      <w:bookmarkEnd w:id="1671"/>
    </w:p>
    <w:p>
      <w:pPr>
        <w:pStyle w:val="Style34"/>
        <w:keepNext/>
        <w:keepLines/>
        <w:widowControl w:val="0"/>
        <w:shd w:val="clear" w:color="auto" w:fill="auto"/>
        <w:tabs>
          <w:tab w:pos="349" w:val="left"/>
        </w:tabs>
        <w:bidi w:val="0"/>
        <w:spacing w:before="0" w:line="313" w:lineRule="exact"/>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color w:val="000000"/>
          <w:spacing w:val="0"/>
          <w:w w:val="100"/>
          <w:position w:val="0"/>
        </w:rPr>
        <w:t>、</w:t>
        <w:tab/>
        <w:t>其他</w:t>
      </w:r>
      <w:bookmarkEnd w:id="1672"/>
      <w:bookmarkEnd w:id="1673"/>
      <w:bookmarkEnd w:id="1675"/>
    </w:p>
    <w:p>
      <w:pPr>
        <w:pStyle w:val="Style26"/>
        <w:keepNext/>
        <w:keepLines/>
        <w:widowControl w:val="0"/>
        <w:shd w:val="clear" w:color="auto" w:fill="auto"/>
        <w:bidi w:val="0"/>
        <w:spacing w:before="0" w:after="300" w:line="240" w:lineRule="auto"/>
        <w:ind w:left="0" w:right="0" w:firstLine="0"/>
        <w:jc w:val="left"/>
      </w:pPr>
      <w:bookmarkStart w:id="1676" w:name="bookmark1676"/>
      <w:bookmarkStart w:id="1677" w:name="bookmark1677"/>
      <w:bookmarkStart w:id="1678" w:name="bookmark1678"/>
      <w:r>
        <w:rPr>
          <w:color w:val="000000"/>
          <w:spacing w:val="0"/>
          <w:w w:val="100"/>
          <w:position w:val="0"/>
          <w:sz w:val="24"/>
          <w:szCs w:val="24"/>
        </w:rPr>
        <w:t>十、与金融工具相关的风险</w:t>
      </w:r>
      <w:bookmarkEnd w:id="1676"/>
      <w:bookmarkEnd w:id="1677"/>
      <w:bookmarkEnd w:id="1678"/>
    </w:p>
    <w:p>
      <w:pPr>
        <w:pStyle w:val="Style38"/>
        <w:keepNext w:val="0"/>
        <w:keepLines w:val="0"/>
        <w:widowControl w:val="0"/>
        <w:shd w:val="clear" w:color="auto" w:fill="auto"/>
        <w:bidi w:val="0"/>
        <w:spacing w:before="0" w:after="180" w:line="312" w:lineRule="exact"/>
        <w:ind w:left="0" w:right="0" w:firstLine="460"/>
        <w:jc w:val="both"/>
      </w:pPr>
      <w:r>
        <w:rPr>
          <w:color w:val="000000"/>
          <w:spacing w:val="0"/>
          <w:w w:val="100"/>
          <w:position w:val="0"/>
        </w:rPr>
        <w:t>本集团的主要金融工具包括借款、应收款项、应付款项、远期结售汇、期货合约等，各项金融工具的详细 情况说明见本附注七、与这些金融工具有关的风险，以及本集团为降低这些风险所采取的风险管理政策如下所 述。本集团管理层对这些风险敞口进行管理和监控以确保将上述风险控制在限定的范围之内。</w:t>
      </w:r>
    </w:p>
    <w:p>
      <w:pPr>
        <w:pStyle w:val="Style38"/>
        <w:keepNext w:val="0"/>
        <w:keepLines w:val="0"/>
        <w:widowControl w:val="0"/>
        <w:shd w:val="clear" w:color="auto" w:fill="auto"/>
        <w:bidi w:val="0"/>
        <w:spacing w:before="0" w:after="100" w:line="240" w:lineRule="auto"/>
        <w:ind w:left="0" w:right="0" w:firstLine="460"/>
        <w:jc w:val="both"/>
        <w:rPr>
          <w:sz w:val="22"/>
          <w:szCs w:val="22"/>
        </w:rPr>
      </w:pPr>
      <w:r>
        <w:rPr>
          <w:b/>
          <w:bCs/>
          <w:color w:val="000000"/>
          <w:spacing w:val="0"/>
          <w:w w:val="100"/>
          <w:position w:val="0"/>
          <w:sz w:val="22"/>
          <w:szCs w:val="22"/>
        </w:rPr>
        <w:t>各类风险管理目标和政策：</w:t>
      </w:r>
    </w:p>
    <w:p>
      <w:pPr>
        <w:pStyle w:val="Style38"/>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本集团从事风险管理的目标是在风险和收益之间取得适当的平衡，将风险对本集团经营业绩的负面影响降 低到最低水平，使股东及其它权益投资者的利益最大化。基于该风险管理目标，本集团风险管理的基本策略是 确定和分析本集团所面临的各种风险，建立适当的风险承受底线并进行风险管理，并及时可靠地对各种风险进 行监督，将风险控制在限定的范围之内。</w:t>
      </w:r>
    </w:p>
    <w:p>
      <w:pPr>
        <w:pStyle w:val="Style38"/>
        <w:keepNext w:val="0"/>
        <w:keepLines w:val="0"/>
        <w:widowControl w:val="0"/>
        <w:shd w:val="clear" w:color="auto" w:fill="auto"/>
        <w:bidi w:val="0"/>
        <w:spacing w:before="0" w:after="100" w:line="313" w:lineRule="exact"/>
        <w:ind w:left="0" w:right="0" w:firstLine="560"/>
        <w:jc w:val="both"/>
      </w:pPr>
      <w:r>
        <w:rPr>
          <w:color w:val="000000"/>
          <w:spacing w:val="0"/>
          <w:w w:val="100"/>
          <w:position w:val="0"/>
        </w:rPr>
        <w:t>市场风险</w:t>
      </w:r>
    </w:p>
    <w:p>
      <w:pPr>
        <w:pStyle w:val="Style38"/>
        <w:keepNext w:val="0"/>
        <w:keepLines w:val="0"/>
        <w:widowControl w:val="0"/>
        <w:shd w:val="clear" w:color="auto" w:fill="auto"/>
        <w:bidi w:val="0"/>
        <w:spacing w:before="0" w:after="100" w:line="313" w:lineRule="exact"/>
        <w:ind w:left="0" w:right="0" w:firstLine="560"/>
        <w:jc w:val="both"/>
      </w:pPr>
      <w:r>
        <w:rPr>
          <w:color w:val="000000"/>
          <w:spacing w:val="0"/>
          <w:w w:val="100"/>
          <w:position w:val="0"/>
          <w:sz w:val="20"/>
          <w:szCs w:val="20"/>
        </w:rPr>
        <w:t>（1）</w:t>
      </w:r>
      <w:r>
        <w:rPr>
          <w:color w:val="000000"/>
          <w:spacing w:val="0"/>
          <w:w w:val="100"/>
          <w:position w:val="0"/>
        </w:rPr>
        <w:t>汇率风险</w:t>
      </w:r>
    </w:p>
    <w:p>
      <w:pPr>
        <w:pStyle w:val="Style38"/>
        <w:keepNext w:val="0"/>
        <w:keepLines w:val="0"/>
        <w:widowControl w:val="0"/>
        <w:shd w:val="clear" w:color="auto" w:fill="auto"/>
        <w:bidi w:val="0"/>
        <w:spacing w:before="0" w:line="313" w:lineRule="exact"/>
        <w:ind w:left="0" w:right="0" w:firstLine="460"/>
        <w:jc w:val="both"/>
      </w:pPr>
      <w:r>
        <w:rPr>
          <w:color w:val="000000"/>
          <w:spacing w:val="0"/>
          <w:w w:val="100"/>
          <w:position w:val="0"/>
        </w:rPr>
        <w:t>如附注</w:t>
      </w:r>
      <w:r>
        <w:rPr>
          <w:color w:val="000000"/>
          <w:spacing w:val="0"/>
          <w:w w:val="100"/>
          <w:position w:val="0"/>
        </w:rPr>
        <w:t>"</w:t>
      </w:r>
      <w:r>
        <w:rPr>
          <w:color w:val="000000"/>
          <w:spacing w:val="0"/>
          <w:w w:val="100"/>
          <w:position w:val="0"/>
        </w:rPr>
        <w:t>七、</w:t>
      </w:r>
      <w:r>
        <w:rPr>
          <w:color w:val="000000"/>
          <w:spacing w:val="0"/>
          <w:w w:val="100"/>
          <w:position w:val="0"/>
          <w:sz w:val="20"/>
          <w:szCs w:val="20"/>
        </w:rPr>
        <w:t>58,</w:t>
      </w:r>
      <w:r>
        <w:rPr>
          <w:color w:val="000000"/>
          <w:spacing w:val="0"/>
          <w:w w:val="100"/>
          <w:position w:val="0"/>
        </w:rPr>
        <w:t>外币货币性项目”所示，本集团外币货币性项目主要是美元、欧元及越南盾，其他外币 项目如瑞士法郎、港币对本公司不具有重大影响。本集团承受汇率风险主要与美元、欧元及越南盾相关，本集 团的下属子公司浙江万马集团特种电子电缆有限公司和浙江万马天屹通信线缆有限公司以美元进行销售，下属 子公司</w:t>
      </w:r>
      <w:r>
        <w:rPr>
          <w:color w:val="000000"/>
          <w:spacing w:val="0"/>
          <w:w w:val="100"/>
          <w:position w:val="0"/>
          <w:sz w:val="20"/>
          <w:szCs w:val="20"/>
        </w:rPr>
        <w:t>Optrum Technology LLC</w:t>
      </w:r>
      <w:r>
        <w:rPr>
          <w:color w:val="000000"/>
          <w:spacing w:val="0"/>
          <w:w w:val="100"/>
          <w:position w:val="0"/>
        </w:rPr>
        <w:t>、</w:t>
      </w:r>
      <w:r>
        <w:rPr>
          <w:color w:val="000000"/>
          <w:spacing w:val="0"/>
          <w:w w:val="100"/>
          <w:position w:val="0"/>
          <w:sz w:val="20"/>
          <w:szCs w:val="20"/>
        </w:rPr>
        <w:t>Steed networks technologies Co., LTD</w:t>
      </w:r>
      <w:r>
        <w:rPr>
          <w:color w:val="000000"/>
          <w:spacing w:val="0"/>
          <w:w w:val="100"/>
          <w:position w:val="0"/>
        </w:rPr>
        <w:t>和香港骐骥国际发展有限公司以美元 进行采购和销售，下属子公司万马线缆（越南）有限公司以越南盾进行采购、生产和销售，下属子公司浙江万 马集团特种电子电缆有限公司存在欧元短期借款本期已归还，本集团的其它主要业务活动以人民币计价结算。 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日，除下表所述资产及负债的美元、欧元、越南盾余额外，本集团的资产及负债为人民币余额 和零星的瑞士法郎、港币余额。该等美元、欧元及越南盾的资产和负债产生的汇率风险可能对本集团的经营业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绩产生影响。</w:t>
      </w:r>
    </w:p>
    <w:tbl>
      <w:tblPr>
        <w:tblOverlap w:val="never"/>
        <w:jc w:val="center"/>
        <w:tblLayout w:type="fixed"/>
      </w:tblPr>
      <w:tblGrid>
        <w:gridCol w:w="4099"/>
        <w:gridCol w:w="2760"/>
        <w:gridCol w:w="269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2020</w:t>
            </w:r>
            <w:r>
              <w:rPr>
                <w:rFonts w:ascii="SimSun" w:eastAsia="SimSun" w:hAnsi="SimSun" w:cs="SimSun"/>
                <w:b/>
                <w:bCs/>
                <w:color w:val="000000"/>
                <w:spacing w:val="0"/>
                <w:w w:val="100"/>
                <w:position w:val="0"/>
                <w:sz w:val="18"/>
                <w:szCs w:val="18"/>
              </w:rPr>
              <w:t>年</w:t>
            </w:r>
            <w:r>
              <w:rPr>
                <w:rFonts w:ascii="SimSun" w:eastAsia="SimSun" w:hAnsi="SimSun" w:cs="SimSun"/>
                <w:b/>
                <w:bCs/>
                <w:color w:val="000000"/>
                <w:spacing w:val="0"/>
                <w:w w:val="100"/>
                <w:position w:val="0"/>
              </w:rPr>
              <w:t>12</w:t>
            </w:r>
            <w:r>
              <w:rPr>
                <w:rFonts w:ascii="SimSun" w:eastAsia="SimSun" w:hAnsi="SimSun" w:cs="SimSun"/>
                <w:b/>
                <w:bCs/>
                <w:color w:val="000000"/>
                <w:spacing w:val="0"/>
                <w:w w:val="100"/>
                <w:position w:val="0"/>
                <w:sz w:val="18"/>
                <w:szCs w:val="18"/>
              </w:rPr>
              <w:t>月</w:t>
            </w:r>
            <w:r>
              <w:rPr>
                <w:rFonts w:ascii="SimSun" w:eastAsia="SimSun" w:hAnsi="SimSun" w:cs="SimSun"/>
                <w:b/>
                <w:bCs/>
                <w:color w:val="000000"/>
                <w:spacing w:val="0"/>
                <w:w w:val="100"/>
                <w:position w:val="0"/>
              </w:rPr>
              <w:t>31</w:t>
            </w:r>
            <w:r>
              <w:rPr>
                <w:rFonts w:ascii="SimSun" w:eastAsia="SimSun" w:hAnsi="SimSun" w:cs="SimSun"/>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b/>
                <w:bCs/>
                <w:color w:val="000000"/>
                <w:spacing w:val="0"/>
                <w:w w:val="100"/>
                <w:position w:val="0"/>
              </w:rPr>
              <w:t>2019</w:t>
            </w:r>
            <w:r>
              <w:rPr>
                <w:rFonts w:ascii="SimSun" w:eastAsia="SimSun" w:hAnsi="SimSun" w:cs="SimSun"/>
                <w:b/>
                <w:bCs/>
                <w:color w:val="000000"/>
                <w:spacing w:val="0"/>
                <w:w w:val="100"/>
                <w:position w:val="0"/>
                <w:sz w:val="18"/>
                <w:szCs w:val="18"/>
              </w:rPr>
              <w:t>年</w:t>
            </w:r>
            <w:r>
              <w:rPr>
                <w:rFonts w:ascii="SimSun" w:eastAsia="SimSun" w:hAnsi="SimSun" w:cs="SimSun"/>
                <w:b/>
                <w:bCs/>
                <w:color w:val="000000"/>
                <w:spacing w:val="0"/>
                <w:w w:val="100"/>
                <w:position w:val="0"/>
              </w:rPr>
              <w:t>12</w:t>
            </w:r>
            <w:r>
              <w:rPr>
                <w:rFonts w:ascii="SimSun" w:eastAsia="SimSun" w:hAnsi="SimSun" w:cs="SimSun"/>
                <w:b/>
                <w:bCs/>
                <w:color w:val="000000"/>
                <w:spacing w:val="0"/>
                <w:w w:val="100"/>
                <w:position w:val="0"/>
                <w:sz w:val="18"/>
                <w:szCs w:val="18"/>
              </w:rPr>
              <w:t>月</w:t>
            </w:r>
            <w:r>
              <w:rPr>
                <w:rFonts w:ascii="SimSun" w:eastAsia="SimSun" w:hAnsi="SimSun" w:cs="SimSun"/>
                <w:b/>
                <w:bCs/>
                <w:color w:val="000000"/>
                <w:spacing w:val="0"/>
                <w:w w:val="100"/>
                <w:position w:val="0"/>
              </w:rPr>
              <w:t>31</w:t>
            </w:r>
            <w:r>
              <w:rPr>
                <w:rFonts w:ascii="SimSun" w:eastAsia="SimSun" w:hAnsi="SimSun" w:cs="SimSun"/>
                <w:b/>
                <w:bCs/>
                <w:color w:val="000000"/>
                <w:spacing w:val="0"/>
                <w:w w:val="100"/>
                <w:position w:val="0"/>
                <w:sz w:val="18"/>
                <w:szCs w:val="18"/>
              </w:rPr>
              <w:t>日</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7, 066, </w:t>
            </w:r>
            <w:r>
              <w:rPr>
                <w:rFonts w:ascii="SimSun" w:eastAsia="SimSun" w:hAnsi="SimSun" w:cs="SimSun"/>
                <w:color w:val="000000"/>
                <w:spacing w:val="0"/>
                <w:w w:val="100"/>
                <w:position w:val="0"/>
                <w:sz w:val="18"/>
                <w:szCs w:val="18"/>
              </w:rPr>
              <w:t xml:space="preserve">197. </w:t>
            </w:r>
            <w:r>
              <w:rPr>
                <w:rFonts w:ascii="SimSun" w:eastAsia="SimSun" w:hAnsi="SimSun" w:cs="SimSu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sz w:val="18"/>
                <w:szCs w:val="18"/>
              </w:rPr>
              <w:t>5,259,636.42</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14,714, </w:t>
            </w:r>
            <w:r>
              <w:rPr>
                <w:rFonts w:ascii="SimSun" w:eastAsia="SimSun" w:hAnsi="SimSun" w:cs="SimSun"/>
                <w:color w:val="000000"/>
                <w:spacing w:val="0"/>
                <w:w w:val="100"/>
                <w:position w:val="0"/>
                <w:sz w:val="18"/>
                <w:szCs w:val="18"/>
              </w:rPr>
              <w:t xml:space="preserve">758. </w:t>
            </w:r>
            <w:r>
              <w:rPr>
                <w:rFonts w:ascii="SimSun" w:eastAsia="SimSun" w:hAnsi="SimSun" w:cs="SimSu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12, 196, </w:t>
            </w:r>
            <w:r>
              <w:rPr>
                <w:rFonts w:ascii="SimSun" w:eastAsia="SimSun" w:hAnsi="SimSun" w:cs="SimSun"/>
                <w:color w:val="000000"/>
                <w:spacing w:val="0"/>
                <w:w w:val="100"/>
                <w:position w:val="0"/>
                <w:sz w:val="18"/>
                <w:szCs w:val="18"/>
              </w:rPr>
              <w:t xml:space="preserve">469. </w:t>
            </w:r>
            <w:r>
              <w:rPr>
                <w:rFonts w:ascii="SimSun" w:eastAsia="SimSun" w:hAnsi="SimSun" w:cs="SimSun"/>
                <w:color w:val="000000"/>
                <w:spacing w:val="0"/>
                <w:w w:val="100"/>
                <w:position w:val="0"/>
                <w:sz w:val="18"/>
                <w:szCs w:val="18"/>
              </w:rPr>
              <w:t>72</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4,853.60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331,952.45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sz w:val="18"/>
                <w:szCs w:val="18"/>
              </w:rPr>
              <w:t>3,408,241.18</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sz w:val="18"/>
                <w:szCs w:val="18"/>
              </w:rPr>
              <w:t>4,068,084.53</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SimSun" w:eastAsia="SimSun" w:hAnsi="SimSun" w:cs="SimSun"/>
                <w:color w:val="000000"/>
                <w:spacing w:val="0"/>
                <w:w w:val="100"/>
                <w:position w:val="0"/>
                <w:sz w:val="18"/>
                <w:szCs w:val="18"/>
              </w:rPr>
              <w:t xml:space="preserve">205, </w:t>
            </w:r>
            <w:r>
              <w:rPr>
                <w:rFonts w:ascii="SimSun" w:eastAsia="SimSun" w:hAnsi="SimSun" w:cs="SimSun"/>
                <w:color w:val="000000"/>
                <w:spacing w:val="0"/>
                <w:w w:val="100"/>
                <w:position w:val="0"/>
                <w:sz w:val="18"/>
                <w:szCs w:val="18"/>
              </w:rPr>
              <w:t xml:space="preserve">528. </w:t>
            </w:r>
            <w:r>
              <w:rPr>
                <w:rFonts w:ascii="SimSun" w:eastAsia="SimSun" w:hAnsi="SimSun" w:cs="SimSu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越南盾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货币资金一越南盾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2,688,301,937.00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986,933,362.17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应收账款一越南盾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66,353,270,234.00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sz w:val="18"/>
                <w:szCs w:val="18"/>
              </w:rPr>
              <w:t>15,603,053,906.00</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应付账款一越南盾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149,848,725,278.00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sz w:val="18"/>
                <w:szCs w:val="18"/>
              </w:rPr>
              <w:t>36,605,983,941.00</w:t>
            </w:r>
          </w:p>
        </w:tc>
      </w:tr>
    </w:tbl>
    <w:p>
      <w:pPr>
        <w:widowControl w:val="0"/>
        <w:spacing w:after="99" w:line="1" w:lineRule="exact"/>
      </w:pPr>
    </w:p>
    <w:p>
      <w:pPr>
        <w:pStyle w:val="Style38"/>
        <w:keepNext w:val="0"/>
        <w:keepLines w:val="0"/>
        <w:widowControl w:val="0"/>
        <w:shd w:val="clear" w:color="auto" w:fill="auto"/>
        <w:bidi w:val="0"/>
        <w:spacing w:before="0" w:after="100" w:line="312" w:lineRule="exact"/>
        <w:ind w:left="0" w:right="0" w:firstLine="460"/>
        <w:jc w:val="both"/>
        <w:rPr>
          <w:sz w:val="22"/>
          <w:szCs w:val="22"/>
        </w:rPr>
      </w:pPr>
      <w:r>
        <w:rPr>
          <w:color w:val="000000"/>
          <w:spacing w:val="0"/>
          <w:w w:val="100"/>
          <w:position w:val="0"/>
          <w:sz w:val="22"/>
          <w:szCs w:val="22"/>
        </w:rPr>
        <w:t>本集团密切关注汇率变动对本集团的影响。</w:t>
      </w:r>
    </w:p>
    <w:p>
      <w:pPr>
        <w:pStyle w:val="Style38"/>
        <w:keepNext w:val="0"/>
        <w:keepLines w:val="0"/>
        <w:widowControl w:val="0"/>
        <w:shd w:val="clear" w:color="auto" w:fill="auto"/>
        <w:tabs>
          <w:tab w:pos="833" w:val="left"/>
        </w:tabs>
        <w:bidi w:val="0"/>
        <w:spacing w:before="0" w:after="100" w:line="312" w:lineRule="exact"/>
        <w:ind w:left="0" w:right="0" w:firstLine="340"/>
        <w:jc w:val="both"/>
        <w:rPr>
          <w:sz w:val="22"/>
          <w:szCs w:val="22"/>
        </w:rPr>
      </w:pPr>
      <w:bookmarkStart w:id="1679" w:name="bookmark1679"/>
      <w:r>
        <w:rPr>
          <w:color w:val="000000"/>
          <w:spacing w:val="0"/>
          <w:w w:val="100"/>
          <w:position w:val="0"/>
          <w:sz w:val="22"/>
          <w:szCs w:val="22"/>
        </w:rPr>
        <w:t>（</w:t>
      </w:r>
      <w:bookmarkEnd w:id="1679"/>
      <w:r>
        <w:rPr>
          <w:color w:val="000000"/>
          <w:spacing w:val="0"/>
          <w:w w:val="100"/>
          <w:position w:val="0"/>
          <w:sz w:val="22"/>
          <w:szCs w:val="22"/>
        </w:rPr>
        <w:t>2）</w:t>
        <w:tab/>
        <w:t>利率风险</w:t>
      </w:r>
    </w:p>
    <w:p>
      <w:pPr>
        <w:pStyle w:val="Style38"/>
        <w:keepNext w:val="0"/>
        <w:keepLines w:val="0"/>
        <w:widowControl w:val="0"/>
        <w:shd w:val="clear" w:color="auto" w:fill="auto"/>
        <w:bidi w:val="0"/>
        <w:spacing w:before="0" w:after="100" w:line="312" w:lineRule="exact"/>
        <w:ind w:left="0" w:right="0" w:firstLine="460"/>
        <w:jc w:val="both"/>
        <w:rPr>
          <w:sz w:val="22"/>
          <w:szCs w:val="22"/>
        </w:rPr>
      </w:pPr>
      <w:r>
        <w:rPr>
          <w:color w:val="000000"/>
          <w:spacing w:val="0"/>
          <w:w w:val="100"/>
          <w:position w:val="0"/>
          <w:sz w:val="22"/>
          <w:szCs w:val="22"/>
        </w:rPr>
        <w:t xml:space="preserve">本集团的利率风险产生于银行借款及应付债券等带息债务。于2020年12月31日，本集团的带息债 务主要为人民币计价的借款合同，金额合计为661, 374, </w:t>
      </w:r>
      <w:r>
        <w:rPr>
          <w:color w:val="000000"/>
          <w:spacing w:val="0"/>
          <w:w w:val="100"/>
          <w:position w:val="0"/>
          <w:sz w:val="22"/>
          <w:szCs w:val="22"/>
        </w:rPr>
        <w:t xml:space="preserve">344. </w:t>
      </w:r>
      <w:r>
        <w:rPr>
          <w:color w:val="000000"/>
          <w:spacing w:val="0"/>
          <w:w w:val="100"/>
          <w:position w:val="0"/>
          <w:sz w:val="22"/>
          <w:szCs w:val="22"/>
        </w:rPr>
        <w:t xml:space="preserve">99元（2019年12月31日:1, 070, 726, </w:t>
      </w:r>
      <w:r>
        <w:rPr>
          <w:color w:val="000000"/>
          <w:spacing w:val="0"/>
          <w:w w:val="100"/>
          <w:position w:val="0"/>
          <w:sz w:val="22"/>
          <w:szCs w:val="22"/>
        </w:rPr>
        <w:t xml:space="preserve">981. </w:t>
      </w:r>
      <w:r>
        <w:rPr>
          <w:color w:val="000000"/>
          <w:spacing w:val="0"/>
          <w:w w:val="100"/>
          <w:position w:val="0"/>
          <w:sz w:val="22"/>
          <w:szCs w:val="22"/>
        </w:rPr>
        <w:t>57 元）。</w:t>
      </w:r>
    </w:p>
    <w:p>
      <w:pPr>
        <w:pStyle w:val="Style38"/>
        <w:keepNext w:val="0"/>
        <w:keepLines w:val="0"/>
        <w:widowControl w:val="0"/>
        <w:shd w:val="clear" w:color="auto" w:fill="auto"/>
        <w:tabs>
          <w:tab w:pos="833" w:val="left"/>
        </w:tabs>
        <w:bidi w:val="0"/>
        <w:spacing w:before="0" w:after="100" w:line="312" w:lineRule="exact"/>
        <w:ind w:left="0" w:right="0" w:firstLine="340"/>
        <w:jc w:val="both"/>
        <w:rPr>
          <w:sz w:val="22"/>
          <w:szCs w:val="22"/>
        </w:rPr>
      </w:pPr>
      <w:bookmarkStart w:id="1680" w:name="bookmark1680"/>
      <w:r>
        <w:rPr>
          <w:color w:val="000000"/>
          <w:spacing w:val="0"/>
          <w:w w:val="100"/>
          <w:position w:val="0"/>
          <w:sz w:val="22"/>
          <w:szCs w:val="22"/>
        </w:rPr>
        <w:t>（</w:t>
      </w:r>
      <w:bookmarkEnd w:id="1680"/>
      <w:r>
        <w:rPr>
          <w:color w:val="000000"/>
          <w:spacing w:val="0"/>
          <w:w w:val="100"/>
          <w:position w:val="0"/>
          <w:sz w:val="22"/>
          <w:szCs w:val="22"/>
        </w:rPr>
        <w:t>3）</w:t>
        <w:tab/>
        <w:t>价格风险</w:t>
      </w:r>
    </w:p>
    <w:p>
      <w:pPr>
        <w:pStyle w:val="Style38"/>
        <w:keepNext w:val="0"/>
        <w:keepLines w:val="0"/>
        <w:widowControl w:val="0"/>
        <w:shd w:val="clear" w:color="auto" w:fill="auto"/>
        <w:bidi w:val="0"/>
        <w:spacing w:before="0" w:after="100" w:line="307" w:lineRule="exact"/>
        <w:ind w:left="0" w:right="0" w:firstLine="460"/>
        <w:jc w:val="both"/>
        <w:rPr>
          <w:sz w:val="22"/>
          <w:szCs w:val="22"/>
        </w:rPr>
      </w:pPr>
      <w:r>
        <w:rPr>
          <w:color w:val="000000"/>
          <w:spacing w:val="0"/>
          <w:w w:val="100"/>
          <w:position w:val="0"/>
          <w:sz w:val="22"/>
          <w:szCs w:val="22"/>
        </w:rPr>
        <w:t>本集团以市场价格采购铜材等原材料，同时本集团基于销售订单数据分析预期的铜采购交易，以 此为依据进行期铜合约套期操作，因此受到此等价格波动的影响。</w:t>
      </w:r>
    </w:p>
    <w:p>
      <w:pPr>
        <w:pStyle w:val="Style38"/>
        <w:keepNext w:val="0"/>
        <w:keepLines w:val="0"/>
        <w:widowControl w:val="0"/>
        <w:shd w:val="clear" w:color="auto" w:fill="auto"/>
        <w:bidi w:val="0"/>
        <w:spacing w:before="0" w:after="100" w:line="312" w:lineRule="exact"/>
        <w:ind w:left="0" w:right="0" w:firstLine="560"/>
        <w:jc w:val="both"/>
        <w:rPr>
          <w:sz w:val="22"/>
          <w:szCs w:val="22"/>
        </w:rPr>
      </w:pPr>
      <w:r>
        <w:rPr>
          <w:color w:val="000000"/>
          <w:spacing w:val="0"/>
          <w:w w:val="100"/>
          <w:position w:val="0"/>
          <w:sz w:val="22"/>
          <w:szCs w:val="22"/>
        </w:rPr>
        <w:t>2.信用风险</w:t>
      </w:r>
    </w:p>
    <w:p>
      <w:pPr>
        <w:pStyle w:val="Style38"/>
        <w:keepNext w:val="0"/>
        <w:keepLines w:val="0"/>
        <w:widowControl w:val="0"/>
        <w:shd w:val="clear" w:color="auto" w:fill="auto"/>
        <w:bidi w:val="0"/>
        <w:spacing w:before="0" w:after="100" w:line="326" w:lineRule="exact"/>
        <w:ind w:left="0" w:right="0" w:firstLine="460"/>
        <w:jc w:val="left"/>
        <w:rPr>
          <w:sz w:val="22"/>
          <w:szCs w:val="22"/>
        </w:rPr>
      </w:pPr>
      <w:r>
        <w:rPr>
          <w:color w:val="000000"/>
          <w:spacing w:val="0"/>
          <w:w w:val="100"/>
          <w:position w:val="0"/>
          <w:sz w:val="22"/>
          <w:szCs w:val="22"/>
        </w:rPr>
        <w:t>于2020年12月31日，可能引起本集团财务损失的最大信用风险敞口主要来自于合同另一方未能履 行义务而导致本集团金融资产产生的损失以及本集团承担的财务担保，具体包括：</w:t>
      </w:r>
    </w:p>
    <w:p>
      <w:pPr>
        <w:pStyle w:val="Style38"/>
        <w:keepNext w:val="0"/>
        <w:keepLines w:val="0"/>
        <w:widowControl w:val="0"/>
        <w:shd w:val="clear" w:color="auto" w:fill="auto"/>
        <w:bidi w:val="0"/>
        <w:spacing w:before="0" w:after="100" w:line="312" w:lineRule="exact"/>
        <w:ind w:left="0" w:right="0" w:firstLine="460"/>
        <w:jc w:val="left"/>
        <w:rPr>
          <w:sz w:val="22"/>
          <w:szCs w:val="22"/>
        </w:rPr>
      </w:pPr>
      <w:r>
        <w:rPr>
          <w:color w:val="000000"/>
          <w:spacing w:val="0"/>
          <w:w w:val="100"/>
          <w:position w:val="0"/>
          <w:sz w:val="22"/>
          <w:szCs w:val="22"/>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38"/>
        <w:keepNext w:val="0"/>
        <w:keepLines w:val="0"/>
        <w:widowControl w:val="0"/>
        <w:shd w:val="clear" w:color="auto" w:fill="auto"/>
        <w:bidi w:val="0"/>
        <w:spacing w:before="0" w:after="100" w:line="314" w:lineRule="exact"/>
        <w:ind w:left="0" w:right="0" w:firstLine="460"/>
        <w:jc w:val="left"/>
        <w:rPr>
          <w:sz w:val="22"/>
          <w:szCs w:val="22"/>
        </w:rPr>
      </w:pPr>
      <w:r>
        <w:rPr>
          <w:color w:val="000000"/>
          <w:spacing w:val="0"/>
          <w:w w:val="100"/>
          <w:position w:val="0"/>
          <w:sz w:val="22"/>
          <w:szCs w:val="22"/>
        </w:rPr>
        <w:t>为降低信用风险，本集团成立专门部门确定信用额度、进行信用审批，并执行其它监控程序以确 保采取必要的措施回收过期债权。此外，本集团于每个资产负债表日审核每一单项应收款的回收情况, 以确保就无法回收的款项计提充分的坏账准备。因此，本集团管理层认为本集团所承担的信用风险已 经大为降低。</w:t>
      </w:r>
    </w:p>
    <w:p>
      <w:pPr>
        <w:pStyle w:val="Style38"/>
        <w:keepNext w:val="0"/>
        <w:keepLines w:val="0"/>
        <w:widowControl w:val="0"/>
        <w:shd w:val="clear" w:color="auto" w:fill="auto"/>
        <w:bidi w:val="0"/>
        <w:spacing w:before="0" w:after="100" w:line="312" w:lineRule="exact"/>
        <w:ind w:left="0" w:right="0" w:firstLine="460"/>
        <w:jc w:val="both"/>
        <w:rPr>
          <w:sz w:val="22"/>
          <w:szCs w:val="22"/>
        </w:rPr>
      </w:pPr>
      <w:r>
        <w:rPr>
          <w:color w:val="000000"/>
          <w:spacing w:val="0"/>
          <w:w w:val="100"/>
          <w:position w:val="0"/>
          <w:sz w:val="22"/>
          <w:szCs w:val="22"/>
        </w:rPr>
        <w:t>本集团的流动资金存放在信用评级较高的银行，故流动资金的信用风险较低。</w:t>
      </w:r>
    </w:p>
    <w:p>
      <w:pPr>
        <w:pStyle w:val="Style38"/>
        <w:keepNext w:val="0"/>
        <w:keepLines w:val="0"/>
        <w:widowControl w:val="0"/>
        <w:shd w:val="clear" w:color="auto" w:fill="auto"/>
        <w:bidi w:val="0"/>
        <w:spacing w:before="0" w:after="0" w:line="312" w:lineRule="exact"/>
        <w:ind w:left="0" w:right="0" w:firstLine="460"/>
        <w:jc w:val="both"/>
        <w:rPr>
          <w:sz w:val="22"/>
          <w:szCs w:val="22"/>
        </w:rPr>
      </w:pPr>
      <w:r>
        <w:rPr>
          <w:color w:val="000000"/>
          <w:spacing w:val="0"/>
          <w:w w:val="100"/>
          <w:position w:val="0"/>
          <w:sz w:val="22"/>
          <w:szCs w:val="22"/>
        </w:rPr>
        <w:t>本集团采用了必要的政策确保所有销售客户均具有良好的信用记录。除应收账款金额前五名外， 本集团无其他重大信用集中风险。</w:t>
      </w:r>
    </w:p>
    <w:p>
      <w:pPr>
        <w:pStyle w:val="Style38"/>
        <w:keepNext w:val="0"/>
        <w:keepLines w:val="0"/>
        <w:widowControl w:val="0"/>
        <w:shd w:val="clear" w:color="auto" w:fill="auto"/>
        <w:bidi w:val="0"/>
        <w:spacing w:before="0" w:after="0" w:line="427" w:lineRule="exact"/>
        <w:ind w:left="0" w:right="0" w:firstLine="460"/>
        <w:jc w:val="both"/>
        <w:rPr>
          <w:sz w:val="22"/>
          <w:szCs w:val="22"/>
        </w:rPr>
      </w:pPr>
      <w:r>
        <w:rPr>
          <w:color w:val="000000"/>
          <w:spacing w:val="0"/>
          <w:w w:val="100"/>
          <w:position w:val="0"/>
          <w:sz w:val="22"/>
          <w:szCs w:val="22"/>
          <w:shd w:val="clear" w:color="auto" w:fill="FFFFFF"/>
        </w:rPr>
        <w:t xml:space="preserve">应收账款前五名金额合计：377, 034, </w:t>
      </w:r>
      <w:r>
        <w:rPr>
          <w:color w:val="000000"/>
          <w:spacing w:val="0"/>
          <w:w w:val="100"/>
          <w:position w:val="0"/>
          <w:sz w:val="22"/>
          <w:szCs w:val="22"/>
          <w:shd w:val="clear" w:color="auto" w:fill="FFFFFF"/>
        </w:rPr>
        <w:t xml:space="preserve">648. </w:t>
      </w:r>
      <w:r>
        <w:rPr>
          <w:color w:val="000000"/>
          <w:spacing w:val="0"/>
          <w:w w:val="100"/>
          <w:position w:val="0"/>
          <w:sz w:val="22"/>
          <w:szCs w:val="22"/>
          <w:shd w:val="clear" w:color="auto" w:fill="FFFFFF"/>
        </w:rPr>
        <w:t>26元。</w:t>
      </w:r>
    </w:p>
    <w:p>
      <w:pPr>
        <w:pStyle w:val="Style38"/>
        <w:keepNext w:val="0"/>
        <w:keepLines w:val="0"/>
        <w:widowControl w:val="0"/>
        <w:numPr>
          <w:ilvl w:val="0"/>
          <w:numId w:val="107"/>
        </w:numPr>
        <w:shd w:val="clear" w:color="auto" w:fill="auto"/>
        <w:bidi w:val="0"/>
        <w:spacing w:before="0" w:after="100" w:line="427" w:lineRule="exact"/>
        <w:ind w:left="0" w:right="0" w:firstLine="560"/>
        <w:jc w:val="both"/>
        <w:rPr>
          <w:sz w:val="22"/>
          <w:szCs w:val="22"/>
        </w:rPr>
      </w:pPr>
      <w:bookmarkStart w:id="1681" w:name="bookmark1681"/>
      <w:bookmarkEnd w:id="1681"/>
      <w:r>
        <w:rPr>
          <w:color w:val="000000"/>
          <w:spacing w:val="0"/>
          <w:w w:val="100"/>
          <w:position w:val="0"/>
          <w:sz w:val="22"/>
          <w:szCs w:val="22"/>
        </w:rPr>
        <w:t>流动风险</w:t>
      </w:r>
    </w:p>
    <w:p>
      <w:pPr>
        <w:pStyle w:val="Style38"/>
        <w:keepNext w:val="0"/>
        <w:keepLines w:val="0"/>
        <w:widowControl w:val="0"/>
        <w:shd w:val="clear" w:color="auto" w:fill="auto"/>
        <w:bidi w:val="0"/>
        <w:spacing w:before="0" w:after="120" w:line="312" w:lineRule="exact"/>
        <w:ind w:left="0" w:right="0" w:firstLine="460"/>
        <w:jc w:val="both"/>
        <w:rPr>
          <w:sz w:val="22"/>
          <w:szCs w:val="22"/>
        </w:rPr>
      </w:pPr>
      <w:r>
        <w:rPr>
          <w:color w:val="000000"/>
          <w:spacing w:val="0"/>
          <w:w w:val="100"/>
          <w:position w:val="0"/>
          <w:sz w:val="22"/>
          <w:szCs w:val="22"/>
        </w:rPr>
        <w:t>流动风险为本集团在到期日无法履行其财务义务的风险。本集团管理流动性风险的方法是确保有 足够的资金流动性来履行到期债务，而不至于造成不可接受的损失或对企业信誉造成损害。本集团定 期分析负债结构和期限，以确保有充裕的资金。本集团管理层对银行借款的使用情况进行监控并确保 遵守借款协议。同时与金融机构进行融资磋商，以保持一定的授信额度，减低流动性风险。</w:t>
      </w:r>
    </w:p>
    <w:p>
      <w:pPr>
        <w:pStyle w:val="Style38"/>
        <w:keepNext w:val="0"/>
        <w:keepLines w:val="0"/>
        <w:widowControl w:val="0"/>
        <w:shd w:val="clear" w:color="auto" w:fill="auto"/>
        <w:bidi w:val="0"/>
        <w:spacing w:before="0" w:after="300" w:line="302" w:lineRule="exact"/>
        <w:ind w:left="0" w:right="0" w:firstLine="460"/>
        <w:jc w:val="both"/>
        <w:rPr>
          <w:sz w:val="22"/>
          <w:szCs w:val="22"/>
        </w:rPr>
      </w:pPr>
      <w:r>
        <w:rPr>
          <w:color w:val="000000"/>
          <w:spacing w:val="0"/>
          <w:w w:val="100"/>
          <w:position w:val="0"/>
          <w:sz w:val="22"/>
          <w:szCs w:val="22"/>
        </w:rPr>
        <w:t>本集团将银行融资作为主要资金来源。于2020年12月31日，本集团尚未使用的银行融资额度为人 民币</w:t>
      </w:r>
      <w:r>
        <w:rPr>
          <w:color w:val="000000"/>
          <w:spacing w:val="0"/>
          <w:w w:val="100"/>
          <w:position w:val="0"/>
          <w:sz w:val="22"/>
          <w:szCs w:val="22"/>
        </w:rPr>
        <w:t>281,033.56</w:t>
      </w:r>
      <w:r>
        <w:rPr>
          <w:color w:val="000000"/>
          <w:spacing w:val="0"/>
          <w:w w:val="100"/>
          <w:position w:val="0"/>
          <w:sz w:val="22"/>
          <w:szCs w:val="22"/>
        </w:rPr>
        <w:t>万元，可以用于银行借款，开立银行承兑、信用证、保函等银行融资品种。</w:t>
      </w:r>
    </w:p>
    <w:p>
      <w:pPr>
        <w:pStyle w:val="Style26"/>
        <w:keepNext/>
        <w:keepLines/>
        <w:widowControl w:val="0"/>
        <w:shd w:val="clear" w:color="auto" w:fill="auto"/>
        <w:bidi w:val="0"/>
        <w:spacing w:before="0" w:after="300" w:line="312" w:lineRule="exact"/>
        <w:ind w:left="0" w:right="0" w:firstLine="0"/>
        <w:jc w:val="left"/>
      </w:pPr>
      <w:bookmarkStart w:id="1682" w:name="bookmark1682"/>
      <w:bookmarkStart w:id="1683" w:name="bookmark1683"/>
      <w:bookmarkStart w:id="1684" w:name="bookmark1684"/>
      <w:r>
        <w:rPr>
          <w:color w:val="000000"/>
          <w:spacing w:val="0"/>
          <w:w w:val="100"/>
          <w:position w:val="0"/>
          <w:sz w:val="24"/>
          <w:szCs w:val="24"/>
        </w:rPr>
        <w:t>十^一、公允价值的披露</w:t>
      </w:r>
      <w:bookmarkEnd w:id="1682"/>
      <w:bookmarkEnd w:id="1683"/>
      <w:bookmarkEnd w:id="1684"/>
    </w:p>
    <w:p>
      <w:pPr>
        <w:pStyle w:val="Style34"/>
        <w:keepNext/>
        <w:keepLines/>
        <w:widowControl w:val="0"/>
        <w:shd w:val="clear" w:color="auto" w:fill="auto"/>
        <w:bidi w:val="0"/>
        <w:spacing w:before="0" w:after="300" w:line="326"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85"/>
      <w:bookmarkEnd w:id="1686"/>
      <w:bookmarkEnd w:id="16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1085"/>
        <w:gridCol w:w="2045"/>
        <w:gridCol w:w="2069"/>
        <w:gridCol w:w="1632"/>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9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第一层次 公允价值 计量</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56,383,738.48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56,383,738.48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385,741,006.13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385,741,006.13</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27,039,765.00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27,039,765.00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56,383,738.48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412,780,771.13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469,164,509.61</w:t>
            </w:r>
          </w:p>
        </w:tc>
      </w:tr>
      <w:tr>
        <w:trPr>
          <w:trHeight w:val="326" w:hRule="exact"/>
        </w:trPr>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二、非持续的公允价值计量</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299" w:line="1" w:lineRule="exact"/>
      </w:pPr>
    </w:p>
    <w:p>
      <w:pPr>
        <w:pStyle w:val="Style34"/>
        <w:keepNext/>
        <w:keepLines/>
        <w:widowControl w:val="0"/>
        <w:shd w:val="clear" w:color="auto" w:fill="auto"/>
        <w:tabs>
          <w:tab w:pos="378" w:val="left"/>
        </w:tabs>
        <w:bidi w:val="0"/>
        <w:spacing w:before="0" w:after="300" w:line="312" w:lineRule="exact"/>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w:t>
        <w:tab/>
        <w:t>持续和非持续第一层次公允价值计量项目市价的确定依据</w:t>
      </w:r>
      <w:bookmarkEnd w:id="1688"/>
      <w:bookmarkEnd w:id="1689"/>
      <w:bookmarkEnd w:id="1691"/>
    </w:p>
    <w:p>
      <w:pPr>
        <w:pStyle w:val="Style34"/>
        <w:keepNext/>
        <w:keepLines/>
        <w:widowControl w:val="0"/>
        <w:shd w:val="clear" w:color="auto" w:fill="auto"/>
        <w:tabs>
          <w:tab w:pos="378" w:val="left"/>
        </w:tabs>
        <w:bidi w:val="0"/>
        <w:spacing w:before="0" w:after="300" w:line="312" w:lineRule="exact"/>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color w:val="000000"/>
          <w:spacing w:val="0"/>
          <w:w w:val="100"/>
          <w:position w:val="0"/>
        </w:rPr>
        <w:t>、</w:t>
        <w:tab/>
        <w:t>持续和非持续第二层次公允价值计量项目，采用的估值技术和重要参数的定性及定量信息</w:t>
      </w:r>
      <w:bookmarkEnd w:id="1692"/>
      <w:bookmarkEnd w:id="1693"/>
      <w:bookmarkEnd w:id="1695"/>
    </w:p>
    <w:p>
      <w:pPr>
        <w:pStyle w:val="Style38"/>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本集团年末衍生金融资产主要为套期工具年末期货持仓保证金及其公允价值变动，其年末公允价 值按期货公司年末账单提供的持仓结算价确定。</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color w:val="000000"/>
          <w:spacing w:val="0"/>
          <w:w w:val="100"/>
          <w:position w:val="0"/>
        </w:rPr>
        <w:t>、</w:t>
        <w:tab/>
        <w:t>持续和非持续第三层次公允价值计量项目，采用的估值技术和重要参数的定性及定量信息</w:t>
      </w:r>
      <w:bookmarkEnd w:id="1696"/>
      <w:bookmarkEnd w:id="1697"/>
      <w:bookmarkEnd w:id="1699"/>
    </w:p>
    <w:p>
      <w:pPr>
        <w:pStyle w:val="Style34"/>
        <w:keepNext/>
        <w:keepLines/>
        <w:widowControl w:val="0"/>
        <w:shd w:val="clear" w:color="auto" w:fill="auto"/>
        <w:tabs>
          <w:tab w:pos="378" w:val="left"/>
        </w:tabs>
        <w:bidi w:val="0"/>
        <w:spacing w:before="0" w:after="300" w:line="312" w:lineRule="exact"/>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color w:val="000000"/>
          <w:spacing w:val="0"/>
          <w:w w:val="100"/>
          <w:position w:val="0"/>
        </w:rPr>
        <w:t>、</w:t>
        <w:tab/>
        <w:t>持续的第三层次公允价值计量项目，期初与期末账面价值间的调节信息及不可观察参数敏感性分析</w:t>
      </w:r>
      <w:bookmarkEnd w:id="1700"/>
      <w:bookmarkEnd w:id="1701"/>
      <w:bookmarkEnd w:id="1703"/>
    </w:p>
    <w:p>
      <w:pPr>
        <w:pStyle w:val="Style34"/>
        <w:keepNext/>
        <w:keepLines/>
        <w:widowControl w:val="0"/>
        <w:shd w:val="clear" w:color="auto" w:fill="auto"/>
        <w:tabs>
          <w:tab w:pos="378" w:val="left"/>
        </w:tabs>
        <w:bidi w:val="0"/>
        <w:spacing w:before="0" w:after="300" w:line="312" w:lineRule="exact"/>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w:t>
      </w:r>
      <w:bookmarkEnd w:id="1706"/>
      <w:r>
        <w:rPr>
          <w:color w:val="000000"/>
          <w:spacing w:val="0"/>
          <w:w w:val="100"/>
          <w:position w:val="0"/>
        </w:rPr>
        <w:t>、</w:t>
        <w:tab/>
        <w:t>持续的公允价值计量项目，本期内发生各层级之间转换的，转换的原因及确定转换时点的政策</w:t>
      </w:r>
      <w:bookmarkEnd w:id="1704"/>
      <w:bookmarkEnd w:id="1705"/>
      <w:bookmarkEnd w:id="1707"/>
    </w:p>
    <w:p>
      <w:pPr>
        <w:pStyle w:val="Style34"/>
        <w:keepNext/>
        <w:keepLines/>
        <w:widowControl w:val="0"/>
        <w:shd w:val="clear" w:color="auto" w:fill="auto"/>
        <w:tabs>
          <w:tab w:pos="378" w:val="left"/>
        </w:tabs>
        <w:bidi w:val="0"/>
        <w:spacing w:before="0" w:after="300" w:line="312" w:lineRule="exact"/>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color w:val="000000"/>
          <w:spacing w:val="0"/>
          <w:w w:val="100"/>
          <w:position w:val="0"/>
        </w:rPr>
        <w:t>、</w:t>
        <w:tab/>
        <w:t>本期内发生的估值技术变更及变更原因</w:t>
      </w:r>
      <w:bookmarkEnd w:id="1708"/>
      <w:bookmarkEnd w:id="1709"/>
      <w:bookmarkEnd w:id="1711"/>
    </w:p>
    <w:p>
      <w:pPr>
        <w:pStyle w:val="Style34"/>
        <w:keepNext/>
        <w:keepLines/>
        <w:widowControl w:val="0"/>
        <w:shd w:val="clear" w:color="auto" w:fill="auto"/>
        <w:tabs>
          <w:tab w:pos="378" w:val="left"/>
        </w:tabs>
        <w:bidi w:val="0"/>
        <w:spacing w:before="0" w:after="300" w:line="312" w:lineRule="exact"/>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8</w:t>
      </w:r>
      <w:bookmarkEnd w:id="1714"/>
      <w:r>
        <w:rPr>
          <w:color w:val="000000"/>
          <w:spacing w:val="0"/>
          <w:w w:val="100"/>
          <w:position w:val="0"/>
        </w:rPr>
        <w:t>、</w:t>
        <w:tab/>
        <w:t>不以公允价值计量的金融资产和金融负债的公允价值情况</w:t>
      </w:r>
      <w:bookmarkEnd w:id="1712"/>
      <w:bookmarkEnd w:id="1713"/>
      <w:bookmarkEnd w:id="1715"/>
    </w:p>
    <w:p>
      <w:pPr>
        <w:pStyle w:val="Style38"/>
        <w:keepNext w:val="0"/>
        <w:keepLines w:val="0"/>
        <w:widowControl w:val="0"/>
        <w:shd w:val="clear" w:color="auto" w:fill="auto"/>
        <w:bidi w:val="0"/>
        <w:spacing w:before="0" w:after="120" w:line="312" w:lineRule="exact"/>
        <w:ind w:left="0" w:right="0" w:firstLine="460"/>
        <w:jc w:val="both"/>
        <w:rPr>
          <w:sz w:val="22"/>
          <w:szCs w:val="22"/>
        </w:rPr>
      </w:pPr>
      <w:r>
        <w:rPr>
          <w:color w:val="000000"/>
          <w:spacing w:val="0"/>
          <w:w w:val="100"/>
          <w:position w:val="0"/>
          <w:sz w:val="22"/>
          <w:szCs w:val="22"/>
        </w:rPr>
        <w:t>本集团年末应收款项融资为银行承兑汇票，本集团以票面金额作为其公允价值合理估计值。</w:t>
      </w:r>
    </w:p>
    <w:p>
      <w:pPr>
        <w:pStyle w:val="Style38"/>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本集团年末其他非流动金融资产为浙江临安中信村镇银行股份有限公司、浙江联飞光纤光缆有限 公司、之江商学(杭州)创业服务有限公司股权投资，因相关的近期公允价值信息不足，本集团根据</w:t>
      </w:r>
    </w:p>
    <w:p>
      <w:pPr>
        <w:pStyle w:val="Style14"/>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《企业会计准则第22号</w:t>
      </w:r>
      <w:r>
        <w:rPr>
          <w:color w:val="000000"/>
          <w:spacing w:val="0"/>
          <w:w w:val="100"/>
          <w:position w:val="0"/>
          <w:sz w:val="22"/>
          <w:szCs w:val="22"/>
        </w:rPr>
        <w:t>一一</w:t>
      </w:r>
      <w:r>
        <w:rPr>
          <w:color w:val="000000"/>
          <w:spacing w:val="0"/>
          <w:w w:val="100"/>
          <w:position w:val="0"/>
          <w:sz w:val="22"/>
          <w:szCs w:val="22"/>
        </w:rPr>
        <w:t>金融工具确认和计量》，以取得成本代表其公允价值的最佳估计。</w:t>
      </w:r>
    </w:p>
    <w:p>
      <w:pPr>
        <w:pStyle w:val="Style34"/>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9</w:t>
      </w:r>
      <w:bookmarkEnd w:id="1718"/>
      <w:r>
        <w:rPr>
          <w:color w:val="000000"/>
          <w:spacing w:val="0"/>
          <w:w w:val="100"/>
          <w:position w:val="0"/>
        </w:rPr>
        <w:t>、其他</w:t>
      </w:r>
      <w:bookmarkEnd w:id="1716"/>
      <w:bookmarkEnd w:id="1717"/>
      <w:bookmarkEnd w:id="1719"/>
    </w:p>
    <w:p>
      <w:pPr>
        <w:pStyle w:val="Style26"/>
        <w:keepNext/>
        <w:keepLines/>
        <w:widowControl w:val="0"/>
        <w:shd w:val="clear" w:color="auto" w:fill="auto"/>
        <w:bidi w:val="0"/>
        <w:spacing w:before="0" w:after="400" w:line="240" w:lineRule="auto"/>
        <w:ind w:left="0" w:right="0" w:firstLine="0"/>
        <w:jc w:val="left"/>
      </w:pPr>
      <w:bookmarkStart w:id="1720" w:name="bookmark1720"/>
      <w:bookmarkStart w:id="1721" w:name="bookmark1721"/>
      <w:bookmarkStart w:id="1722" w:name="bookmark1722"/>
      <w:r>
        <w:rPr>
          <w:color w:val="000000"/>
          <w:spacing w:val="0"/>
          <w:w w:val="100"/>
          <w:position w:val="0"/>
          <w:sz w:val="24"/>
          <w:szCs w:val="24"/>
        </w:rPr>
        <w:t>十二、关联方及关联交易</w:t>
      </w:r>
      <w:bookmarkEnd w:id="1720"/>
      <w:bookmarkEnd w:id="1721"/>
      <w:bookmarkEnd w:id="1722"/>
    </w:p>
    <w:p>
      <w:pPr>
        <w:pStyle w:val="Style34"/>
        <w:keepNext/>
        <w:keepLines/>
        <w:widowControl w:val="0"/>
        <w:shd w:val="clear" w:color="auto" w:fill="auto"/>
        <w:bidi w:val="0"/>
        <w:spacing w:before="0" w:after="240" w:line="240" w:lineRule="auto"/>
        <w:ind w:left="0" w:right="0" w:firstLine="0"/>
        <w:jc w:val="left"/>
        <w:rPr>
          <w:sz w:val="22"/>
          <w:szCs w:val="22"/>
        </w:rPr>
      </w:pPr>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2"/>
          <w:szCs w:val="22"/>
        </w:rPr>
        <w:t>控股股东及最终控制方</w:t>
      </w:r>
      <w:bookmarkEnd w:id="1723"/>
      <w:bookmarkEnd w:id="1724"/>
      <w:bookmarkEnd w:id="1725"/>
    </w:p>
    <w:p>
      <w:pPr>
        <w:pStyle w:val="Style38"/>
        <w:keepNext w:val="0"/>
        <w:keepLines w:val="0"/>
        <w:widowControl w:val="0"/>
        <w:shd w:val="clear" w:color="auto" w:fill="auto"/>
        <w:bidi w:val="0"/>
        <w:spacing w:before="0" w:after="18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22"/>
          <w:szCs w:val="22"/>
        </w:rPr>
        <w:t>控股股东及最终控制方</w:t>
      </w:r>
    </w:p>
    <w:tbl>
      <w:tblPr>
        <w:tblOverlap w:val="never"/>
        <w:jc w:val="center"/>
        <w:tblLayout w:type="fixed"/>
      </w:tblPr>
      <w:tblGrid>
        <w:gridCol w:w="2938"/>
        <w:gridCol w:w="1013"/>
        <w:gridCol w:w="1661"/>
        <w:gridCol w:w="1075"/>
        <w:gridCol w:w="1550"/>
        <w:gridCol w:w="1339"/>
      </w:tblGrid>
      <w:tr>
        <w:trPr>
          <w:trHeight w:val="95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注册资本</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 业的表决权比 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青岛西海岸新区国有资产管理局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青岛黄岛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国有资产监督管理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25.01%</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青岛西海岸新区海洋控股集团有限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青岛黄岛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11.53%</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张德生先生为万马联合控股集团有限公司实际控制人。</w:t>
      </w:r>
    </w:p>
    <w:p>
      <w:pPr>
        <w:widowControl w:val="0"/>
        <w:spacing w:after="239" w:line="1" w:lineRule="exact"/>
      </w:pPr>
    </w:p>
    <w:p>
      <w:pPr>
        <w:pStyle w:val="Style38"/>
        <w:keepNext w:val="0"/>
        <w:keepLines w:val="0"/>
        <w:widowControl w:val="0"/>
        <w:shd w:val="clear" w:color="auto" w:fill="auto"/>
        <w:bidi w:val="0"/>
        <w:spacing w:before="0" w:after="180" w:line="240" w:lineRule="auto"/>
        <w:ind w:left="0" w:right="0" w:firstLine="620"/>
        <w:jc w:val="both"/>
        <w:rPr>
          <w:sz w:val="22"/>
          <w:szCs w:val="22"/>
        </w:rPr>
      </w:pPr>
      <w:r>
        <w:rPr>
          <w:color w:val="000000"/>
          <w:spacing w:val="0"/>
          <w:w w:val="100"/>
          <w:position w:val="0"/>
          <w:sz w:val="18"/>
          <w:szCs w:val="18"/>
        </w:rPr>
        <w:t>(2)</w:t>
      </w:r>
      <w:r>
        <w:rPr>
          <w:color w:val="000000"/>
          <w:spacing w:val="0"/>
          <w:w w:val="100"/>
          <w:position w:val="0"/>
          <w:sz w:val="22"/>
          <w:szCs w:val="22"/>
        </w:rPr>
        <w:t>控股股东的注册资本及其变化(单位：万元)</w:t>
      </w:r>
    </w:p>
    <w:tbl>
      <w:tblPr>
        <w:tblOverlap w:val="never"/>
        <w:jc w:val="center"/>
        <w:tblLayout w:type="fixed"/>
      </w:tblPr>
      <w:tblGrid>
        <w:gridCol w:w="3816"/>
        <w:gridCol w:w="1464"/>
        <w:gridCol w:w="1118"/>
        <w:gridCol w:w="1267"/>
        <w:gridCol w:w="1483"/>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控股股东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本年减少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sz w:val="18"/>
                <w:szCs w:val="18"/>
              </w:rPr>
              <w:t>年末余额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500,000.00</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9,120.00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9,120.00</w:t>
            </w:r>
          </w:p>
        </w:tc>
      </w:tr>
    </w:tbl>
    <w:p>
      <w:pPr>
        <w:widowControl w:val="0"/>
        <w:spacing w:after="179" w:line="1" w:lineRule="exact"/>
      </w:pPr>
    </w:p>
    <w:p>
      <w:pPr>
        <w:pStyle w:val="Style38"/>
        <w:keepNext w:val="0"/>
        <w:keepLines w:val="0"/>
        <w:widowControl w:val="0"/>
        <w:numPr>
          <w:ilvl w:val="0"/>
          <w:numId w:val="109"/>
        </w:numPr>
        <w:shd w:val="clear" w:color="auto" w:fill="auto"/>
        <w:bidi w:val="0"/>
        <w:spacing w:before="0" w:after="180" w:line="240" w:lineRule="auto"/>
        <w:ind w:left="0" w:right="0" w:firstLine="620"/>
        <w:jc w:val="both"/>
        <w:rPr>
          <w:sz w:val="22"/>
          <w:szCs w:val="22"/>
        </w:rPr>
      </w:pPr>
      <w:bookmarkStart w:id="1726" w:name="bookmark1726"/>
      <w:bookmarkEnd w:id="1726"/>
      <w:r>
        <w:rPr>
          <w:color w:val="000000"/>
          <w:spacing w:val="0"/>
          <w:w w:val="100"/>
          <w:position w:val="0"/>
          <w:sz w:val="22"/>
          <w:szCs w:val="22"/>
        </w:rPr>
        <w:t>控股股东的所持股份或权益及其变化</w:t>
      </w:r>
    </w:p>
    <w:tbl>
      <w:tblPr>
        <w:tblOverlap w:val="never"/>
        <w:jc w:val="center"/>
        <w:tblLayout w:type="fixed"/>
      </w:tblPr>
      <w:tblGrid>
        <w:gridCol w:w="3821"/>
        <w:gridCol w:w="1493"/>
        <w:gridCol w:w="1186"/>
        <w:gridCol w:w="1262"/>
        <w:gridCol w:w="1469"/>
      </w:tblGrid>
      <w:tr>
        <w:trPr>
          <w:trHeight w:val="37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控股股东</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持股金额(万元)</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持股比例(%)</w:t>
            </w:r>
          </w:p>
        </w:tc>
      </w:tr>
      <w:tr>
        <w:trPr>
          <w:trHeight w:val="3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年末比例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sz w:val="18"/>
                <w:szCs w:val="18"/>
              </w:rPr>
              <w:t>年初比例</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青岛西海岸新区海洋控股集团有限公司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 xml:space="preserve">25, </w:t>
            </w:r>
            <w:r>
              <w:rPr>
                <w:rFonts w:ascii="SimSun" w:eastAsia="SimSun" w:hAnsi="SimSun" w:cs="SimSun"/>
                <w:color w:val="000000"/>
                <w:spacing w:val="0"/>
                <w:w w:val="100"/>
                <w:position w:val="0"/>
                <w:sz w:val="18"/>
                <w:szCs w:val="18"/>
              </w:rPr>
              <w:t xml:space="preserve">897. </w:t>
            </w:r>
            <w:r>
              <w:rPr>
                <w:rFonts w:ascii="SimSun" w:eastAsia="SimSun" w:hAnsi="SimSun" w:cs="SimSu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sz w:val="18"/>
                <w:szCs w:val="18"/>
              </w:rPr>
              <w:t>25.01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0.00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 xml:space="preserve">11,939. </w:t>
            </w:r>
            <w:r>
              <w:rPr>
                <w:rFonts w:ascii="SimSun" w:eastAsia="SimSun" w:hAnsi="SimSun" w:cs="SimSu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26, </w:t>
            </w:r>
            <w:r>
              <w:rPr>
                <w:rFonts w:ascii="SimSun" w:eastAsia="SimSun" w:hAnsi="SimSun" w:cs="SimSun"/>
                <w:color w:val="000000"/>
                <w:spacing w:val="0"/>
                <w:w w:val="100"/>
                <w:position w:val="0"/>
                <w:sz w:val="18"/>
                <w:szCs w:val="18"/>
              </w:rPr>
              <w:t xml:space="preserve">314. </w:t>
            </w:r>
            <w:r>
              <w:rPr>
                <w:rFonts w:ascii="SimSun" w:eastAsia="SimSun" w:hAnsi="SimSun" w:cs="SimSu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sz w:val="18"/>
                <w:szCs w:val="18"/>
              </w:rPr>
              <w:t>11.53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25.41</w:t>
            </w:r>
          </w:p>
        </w:tc>
      </w:tr>
    </w:tbl>
    <w:p>
      <w:pPr>
        <w:widowControl w:val="0"/>
        <w:spacing w:after="79" w:line="1" w:lineRule="exact"/>
      </w:pPr>
    </w:p>
    <w:p>
      <w:pPr>
        <w:pStyle w:val="Style38"/>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本公司实际控制人张德生先生及其配偶陆珍玉女士、智能科技集团于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19</w:t>
      </w:r>
      <w:r>
        <w:rPr>
          <w:color w:val="000000"/>
          <w:spacing w:val="0"/>
          <w:w w:val="100"/>
          <w:position w:val="0"/>
        </w:rPr>
        <w:t>日与海控集团签署《关 于浙江万马股份有限公司之股份转让协议》</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5</w:t>
      </w:r>
      <w:r>
        <w:rPr>
          <w:color w:val="000000"/>
          <w:spacing w:val="0"/>
          <w:w w:val="100"/>
          <w:position w:val="0"/>
        </w:rPr>
        <w:t>日，本公司收到智能科技集团提供的中国证券登记结 算有限责任公司深圳分公司出具的《证券过户登记确认书》，智能科技集团、张德生先生及其配偶陆珍玉女士 协议转让给海控集团的无限售流通股</w:t>
      </w:r>
      <w:r>
        <w:rPr>
          <w:color w:val="000000"/>
          <w:spacing w:val="0"/>
          <w:w w:val="100"/>
          <w:position w:val="0"/>
          <w:sz w:val="20"/>
          <w:szCs w:val="20"/>
        </w:rPr>
        <w:t>25,897.58</w:t>
      </w:r>
      <w:r>
        <w:rPr>
          <w:color w:val="000000"/>
          <w:spacing w:val="0"/>
          <w:w w:val="100"/>
          <w:position w:val="0"/>
        </w:rPr>
        <w:t>万股股份已完成过户登记手续，过户日期为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4</w:t>
      </w:r>
      <w:r>
        <w:rPr>
          <w:color w:val="000000"/>
          <w:spacing w:val="0"/>
          <w:w w:val="100"/>
          <w:position w:val="0"/>
        </w:rPr>
        <w:t>日。本 次协议转让完成后，本公司控股股东由智能科技集团变更为海控集团，公司实际控制人由张德生变更为青岛西 海岸新区国有资产管理局。</w:t>
      </w:r>
    </w:p>
    <w:p>
      <w:pPr>
        <w:pStyle w:val="Style31"/>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本企业最终控制方是青岛西海岸新区国有资产管理局。</w:t>
      </w:r>
    </w:p>
    <w:p>
      <w:pPr>
        <w:pStyle w:val="Style34"/>
        <w:keepNext/>
        <w:keepLines/>
        <w:widowControl w:val="0"/>
        <w:shd w:val="clear" w:color="auto" w:fill="auto"/>
        <w:bidi w:val="0"/>
        <w:spacing w:before="0" w:after="180" w:line="329" w:lineRule="auto"/>
        <w:ind w:left="0" w:right="0" w:firstLine="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727"/>
      <w:bookmarkEnd w:id="1728"/>
      <w:bookmarkEnd w:id="1729"/>
    </w:p>
    <w:p>
      <w:pPr>
        <w:pStyle w:val="Style31"/>
        <w:keepNext w:val="0"/>
        <w:keepLines w:val="0"/>
        <w:widowControl w:val="0"/>
        <w:shd w:val="clear" w:color="auto" w:fill="auto"/>
        <w:bidi w:val="0"/>
        <w:spacing w:before="0" w:after="220" w:line="314" w:lineRule="exact"/>
        <w:ind w:left="0" w:right="0" w:firstLine="0"/>
        <w:jc w:val="left"/>
        <w:sectPr>
          <w:headerReference w:type="default" r:id="rId259"/>
          <w:footerReference w:type="default" r:id="rId260"/>
          <w:headerReference w:type="even" r:id="rId261"/>
          <w:footerReference w:type="even" r:id="rId262"/>
          <w:headerReference w:type="first" r:id="rId263"/>
          <w:footerReference w:type="first" r:id="rId264"/>
          <w:footnotePr>
            <w:pos w:val="pageBottom"/>
            <w:numFmt w:val="decimal"/>
            <w:numRestart w:val="continuous"/>
          </w:footnotePr>
          <w:pgSz w:w="11900" w:h="16840"/>
          <w:pgMar w:top="1642" w:right="862" w:bottom="1469" w:left="868" w:header="0" w:footer="3" w:gutter="0"/>
          <w:cols w:space="720"/>
          <w:noEndnote/>
          <w:titlePg/>
          <w:rtlGutter w:val="0"/>
          <w:docGrid w:linePitch="360"/>
        </w:sectPr>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)企业集团的构成”相关内容。</w:t>
      </w:r>
    </w:p>
    <w:p>
      <w:pPr>
        <w:pStyle w:val="Style34"/>
        <w:keepNext/>
        <w:keepLines/>
        <w:widowControl w:val="0"/>
        <w:shd w:val="clear" w:color="auto" w:fill="auto"/>
        <w:bidi w:val="0"/>
        <w:spacing w:before="0" w:after="32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3</w:t>
      </w:r>
      <w:bookmarkEnd w:id="1732"/>
      <w:r>
        <w:rPr>
          <w:color w:val="000000"/>
          <w:spacing w:val="0"/>
          <w:w w:val="100"/>
          <w:position w:val="0"/>
        </w:rPr>
        <w:t>、本企业合营和联营企业情况</w:t>
      </w:r>
      <w:bookmarkEnd w:id="1730"/>
      <w:bookmarkEnd w:id="1731"/>
      <w:bookmarkEnd w:id="1733"/>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浙江电腾云光伏科技有限公司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山东万恩新能源科技有限公司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32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浙江万马海立斯新能源有限公司</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4</w:t>
      </w:r>
      <w:bookmarkEnd w:id="1736"/>
      <w:r>
        <w:rPr>
          <w:color w:val="000000"/>
          <w:spacing w:val="0"/>
          <w:w w:val="100"/>
          <w:position w:val="0"/>
        </w:rPr>
        <w:t>、其他关联方情况</w:t>
      </w:r>
      <w:bookmarkEnd w:id="1734"/>
      <w:bookmarkEnd w:id="1735"/>
      <w:bookmarkEnd w:id="1737"/>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万马科技股份有限公司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浙江万马海振光电科技有限公司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临安万马雨顺农业科技开发有限公司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无锡会通轻质材料股份有限公司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杭州临安万马网络技术有限公司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杭州全通轻质材料有限公司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临安万马蓝翔置业有限公司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广州会通轻质材料有限公司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重庆会通轻质材料有限公司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杭州瑞正科技有限公司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前同一控股股东及最终控制方控制的其他企业</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山东天恩综合能源有限公司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联营企业股东</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浙江万马集团电气有限公司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其他关联方</w:t>
            </w:r>
          </w:p>
        </w:tc>
      </w:tr>
      <w:tr>
        <w:trPr>
          <w:trHeight w:val="32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长缆电工科技股份有限公司</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其他关联方</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color w:val="000000"/>
          <w:spacing w:val="0"/>
          <w:w w:val="100"/>
          <w:position w:val="0"/>
        </w:rPr>
        <w:t>、关联交易情况</w:t>
      </w:r>
      <w:bookmarkEnd w:id="1738"/>
      <w:bookmarkEnd w:id="1739"/>
      <w:bookmarkEnd w:id="1741"/>
    </w:p>
    <w:p>
      <w:pPr>
        <w:pStyle w:val="Style59"/>
        <w:keepNext/>
        <w:keepLines/>
        <w:widowControl w:val="0"/>
        <w:shd w:val="clear" w:color="auto" w:fill="auto"/>
        <w:bidi w:val="0"/>
        <w:spacing w:before="0" w:after="320" w:line="240" w:lineRule="auto"/>
        <w:ind w:left="0" w:right="0" w:firstLine="0"/>
        <w:jc w:val="both"/>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2"/>
      <w:bookmarkEnd w:id="1743"/>
      <w:bookmarkEnd w:id="174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p>
    <w:tbl>
      <w:tblPr>
        <w:tblOverlap w:val="never"/>
        <w:jc w:val="center"/>
        <w:tblLayout w:type="fixed"/>
      </w:tblPr>
      <w:tblGrid>
        <w:gridCol w:w="2789"/>
        <w:gridCol w:w="1061"/>
        <w:gridCol w:w="1310"/>
        <w:gridCol w:w="1690"/>
        <w:gridCol w:w="1210"/>
        <w:gridCol w:w="1522"/>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是否超过交 易额度</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127,149.56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3,600,000.00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1,143,767.27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2,352,262.19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浙江电腾云光伏科技有限公司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1,010,377.36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浙江万马集团电气有限公司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576,649.98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144,742.72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长缆电工科技股份有限公司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47,911.49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采购商品</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190,152.21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63,349.71</w:t>
            </w:r>
          </w:p>
        </w:tc>
      </w:tr>
    </w:tbl>
    <w:p>
      <w:pPr>
        <w:widowControl w:val="0"/>
        <w:spacing w:line="1" w:lineRule="exact"/>
      </w:pPr>
      <w:r>
        <w:br w:type="page"/>
      </w:r>
    </w:p>
    <w:tbl>
      <w:tblPr>
        <w:tblOverlap w:val="never"/>
        <w:jc w:val="center"/>
        <w:tblLayout w:type="fixed"/>
      </w:tblPr>
      <w:tblGrid>
        <w:gridCol w:w="2789"/>
        <w:gridCol w:w="1061"/>
        <w:gridCol w:w="1310"/>
        <w:gridCol w:w="1690"/>
        <w:gridCol w:w="1210"/>
        <w:gridCol w:w="1522"/>
      </w:tblGrid>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16,613.05</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2,085,630.51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10,300,000.00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7,187,345.03</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0"/>
        <w:gridCol w:w="1781"/>
        <w:gridCol w:w="2261"/>
        <w:gridCol w:w="2659"/>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杭州全通轻质材料有限公司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2,051,591.73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475,344.78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杭州全通轻质材料有限公司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48,358.16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20,364.46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1,630,453.36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954,351.59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359,564.09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260,582.49</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无锡会通轻质材料股份有限公司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26,605.31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992,530.69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无锡会通轻质材料股份有限公司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12,291.64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3,011.67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1,825.57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9,585.00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528,301.87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浙江万马集团电气有限公司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2,702.83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杭州瑞正科技有限公司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31,645.61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杭州瑞正科技有限公司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3,407.08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3,260.00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重庆会通轻质材料有限公司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137,776.64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浙江万马集团电气有限公司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56,436.87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广州会通轻质材料有限公司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34,652.93</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临安万马蓝翔置业有限公司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13,864.96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浙江电腾云光伏科技有限公司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1,200,951.59</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38,230.09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4,347,418.29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4,551,499.44</w:t>
            </w:r>
          </w:p>
        </w:tc>
      </w:tr>
    </w:tbl>
    <w:p>
      <w:pPr>
        <w:widowControl w:val="0"/>
        <w:spacing w:after="319" w:line="1" w:lineRule="exact"/>
      </w:pPr>
    </w:p>
    <w:p>
      <w:pPr>
        <w:pStyle w:val="Style59"/>
        <w:keepNext/>
        <w:keepLines/>
        <w:widowControl w:val="0"/>
        <w:shd w:val="clear" w:color="auto" w:fill="auto"/>
        <w:bidi w:val="0"/>
        <w:spacing w:before="0" w:after="320" w:line="240" w:lineRule="auto"/>
        <w:ind w:left="0" w:right="0" w:firstLine="22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45"/>
      <w:bookmarkEnd w:id="1746"/>
      <w:bookmarkEnd w:id="1747"/>
    </w:p>
    <w:p>
      <w:pPr>
        <w:pStyle w:val="Style59"/>
        <w:keepNext/>
        <w:keepLines/>
        <w:widowControl w:val="0"/>
        <w:numPr>
          <w:ilvl w:val="0"/>
          <w:numId w:val="111"/>
        </w:numPr>
        <w:shd w:val="clear" w:color="auto" w:fill="auto"/>
        <w:bidi w:val="0"/>
        <w:spacing w:before="0" w:after="420" w:line="240" w:lineRule="auto"/>
        <w:ind w:left="0" w:right="0" w:firstLine="22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关联租赁情况</w:t>
      </w:r>
      <w:bookmarkEnd w:id="1748"/>
      <w:bookmarkEnd w:id="1749"/>
      <w:bookmarkEnd w:id="1751"/>
    </w:p>
    <w:p>
      <w:pPr>
        <w:pStyle w:val="Style38"/>
        <w:keepNext w:val="0"/>
        <w:keepLines w:val="0"/>
        <w:widowControl w:val="0"/>
        <w:shd w:val="clear" w:color="auto" w:fill="auto"/>
        <w:tabs>
          <w:tab w:pos="8878" w:val="left"/>
        </w:tabs>
        <w:bidi w:val="0"/>
        <w:spacing w:before="0" w:after="180" w:line="240" w:lineRule="auto"/>
        <w:ind w:left="0" w:right="0" w:firstLine="320"/>
        <w:jc w:val="left"/>
        <w:rPr>
          <w:sz w:val="22"/>
          <w:szCs w:val="22"/>
        </w:rPr>
      </w:pPr>
      <w:r>
        <w:rPr>
          <w:color w:val="000000"/>
          <w:spacing w:val="0"/>
          <w:w w:val="100"/>
          <w:position w:val="0"/>
          <w:sz w:val="22"/>
          <w:szCs w:val="22"/>
        </w:rPr>
        <w:t>出租情况</w:t>
        <w:tab/>
        <w:t>单位：元</w:t>
      </w:r>
    </w:p>
    <w:tbl>
      <w:tblPr>
        <w:tblOverlap w:val="never"/>
        <w:jc w:val="center"/>
        <w:tblLayout w:type="fixed"/>
      </w:tblPr>
      <w:tblGrid>
        <w:gridCol w:w="3005"/>
        <w:gridCol w:w="2707"/>
        <w:gridCol w:w="1459"/>
        <w:gridCol w:w="1426"/>
        <w:gridCol w:w="1267"/>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出租方名称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承租方名称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租赁资产种类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8"/>
                <w:szCs w:val="18"/>
              </w:rPr>
              <w:t>本年确认的租赁 收益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b/>
                <w:bCs/>
                <w:color w:val="000000"/>
                <w:spacing w:val="0"/>
                <w:w w:val="100"/>
                <w:position w:val="0"/>
                <w:sz w:val="18"/>
                <w:szCs w:val="18"/>
              </w:rPr>
              <w:t>上年确认的租</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赁收益</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18"/>
                <w:szCs w:val="18"/>
              </w:rPr>
              <w:t xml:space="preserve">318, </w:t>
            </w:r>
            <w:r>
              <w:rPr>
                <w:rFonts w:ascii="SimSun" w:eastAsia="SimSun" w:hAnsi="SimSun" w:cs="SimSun"/>
                <w:color w:val="000000"/>
                <w:spacing w:val="0"/>
                <w:w w:val="100"/>
                <w:position w:val="0"/>
                <w:sz w:val="18"/>
                <w:szCs w:val="18"/>
              </w:rPr>
              <w:t xml:space="preserve">825. </w:t>
            </w:r>
            <w:r>
              <w:rPr>
                <w:rFonts w:ascii="SimSun" w:eastAsia="SimSun" w:hAnsi="SimSun" w:cs="SimSu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485,663.26</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18"/>
                <w:szCs w:val="18"/>
              </w:rPr>
              <w:t xml:space="preserve">162, </w:t>
            </w:r>
            <w:r>
              <w:rPr>
                <w:rFonts w:ascii="SimSun" w:eastAsia="SimSun" w:hAnsi="SimSun" w:cs="SimSun"/>
                <w:color w:val="000000"/>
                <w:spacing w:val="0"/>
                <w:w w:val="100"/>
                <w:position w:val="0"/>
                <w:sz w:val="18"/>
                <w:szCs w:val="18"/>
              </w:rPr>
              <w:t xml:space="preserve">841. </w:t>
            </w:r>
            <w:r>
              <w:rPr>
                <w:rFonts w:ascii="SimSun" w:eastAsia="SimSun" w:hAnsi="SimSun" w:cs="SimSu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 xml:space="preserve">407. </w:t>
            </w:r>
            <w:r>
              <w:rPr>
                <w:rFonts w:ascii="SimSun" w:eastAsia="SimSun" w:hAnsi="SimSun" w:cs="SimSun"/>
                <w:color w:val="000000"/>
                <w:spacing w:val="0"/>
                <w:w w:val="100"/>
                <w:position w:val="0"/>
                <w:sz w:val="18"/>
                <w:szCs w:val="18"/>
              </w:rPr>
              <w:t>08</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万马联合新能源投资有限公司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杭州全通轻质材料有限公司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18"/>
                <w:szCs w:val="18"/>
              </w:rPr>
              <w:t>434,311.93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杭州全通轻质材料有限公司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4,315.60</w:t>
            </w:r>
          </w:p>
        </w:tc>
      </w:tr>
    </w:tbl>
    <w:p>
      <w:pPr>
        <w:spacing w:lineRule="exact" w:line="1"/>
        <w:rPr>
          <w:sz w:val="2"/>
          <w:szCs w:val="2"/>
        </w:rPr>
      </w:pPr>
      <w:r>
        <w:br w:type="page"/>
      </w:r>
    </w:p>
    <w:p>
      <w:pPr>
        <w:pStyle w:val="Style38"/>
        <w:keepNext w:val="0"/>
        <w:keepLines w:val="0"/>
        <w:widowControl w:val="0"/>
        <w:shd w:val="clear" w:color="auto" w:fill="auto"/>
        <w:bidi w:val="0"/>
        <w:spacing w:before="0" w:after="160" w:line="240" w:lineRule="auto"/>
        <w:ind w:left="0" w:right="0" w:firstLine="340"/>
        <w:jc w:val="left"/>
        <w:rPr>
          <w:sz w:val="22"/>
          <w:szCs w:val="22"/>
        </w:rPr>
      </w:pPr>
      <w:r>
        <mc:AlternateContent>
          <mc:Choice Requires="wps">
            <w:drawing>
              <wp:anchor distT="0" distB="0" distL="114300" distR="114300" simplePos="0" relativeHeight="125829386" behindDoc="0" locked="0" layoutInCell="1" allowOverlap="1">
                <wp:simplePos x="0" y="0"/>
                <wp:positionH relativeFrom="page">
                  <wp:posOffset>6297930</wp:posOffset>
                </wp:positionH>
                <wp:positionV relativeFrom="paragraph">
                  <wp:posOffset>12700</wp:posOffset>
                </wp:positionV>
                <wp:extent cx="557530" cy="170815"/>
                <wp:wrapSquare wrapText="left"/>
                <wp:docPr id="634" name="Shape 634"/>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单位：元</w:t>
                            </w:r>
                          </w:p>
                        </w:txbxContent>
                      </wps:txbx>
                      <wps:bodyPr wrap="none" lIns="0" tIns="0" rIns="0" bIns="0">
                        <a:noAutoFit/>
                      </wps:bodyPr>
                    </wps:wsp>
                  </a:graphicData>
                </a:graphic>
              </wp:anchor>
            </w:drawing>
          </mc:Choice>
          <mc:Fallback>
            <w:pict>
              <v:shape id="_x0000_s1660" type="#_x0000_t202" style="position:absolute;margin-left:495.90000000000003pt;margin-top:1.pt;width:43.899999999999999pt;height:13.450000000000001pt;z-index:-125829367;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单位：元</w:t>
                      </w:r>
                    </w:p>
                  </w:txbxContent>
                </v:textbox>
                <w10:wrap type="square" side="left" anchorx="page"/>
              </v:shape>
            </w:pict>
          </mc:Fallback>
        </mc:AlternateContent>
      </w:r>
      <w:r>
        <w:rPr>
          <w:color w:val="000000"/>
          <w:spacing w:val="0"/>
          <w:w w:val="100"/>
          <w:position w:val="0"/>
          <w:sz w:val="22"/>
          <w:szCs w:val="22"/>
        </w:rPr>
        <w:t>承租情况</w:t>
      </w:r>
    </w:p>
    <w:tbl>
      <w:tblPr>
        <w:tblOverlap w:val="never"/>
        <w:jc w:val="center"/>
        <w:tblLayout w:type="fixed"/>
      </w:tblPr>
      <w:tblGrid>
        <w:gridCol w:w="3029"/>
        <w:gridCol w:w="2923"/>
        <w:gridCol w:w="1200"/>
        <w:gridCol w:w="1320"/>
        <w:gridCol w:w="1426"/>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出租方名称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承租方名称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租赁资产种类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sz w:val="18"/>
                <w:szCs w:val="18"/>
              </w:rPr>
              <w:t>本年确认的租 赁费</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sz w:val="18"/>
                <w:szCs w:val="18"/>
              </w:rPr>
              <w:t>上年确认的租赁 费</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杭州临安万马网络技术有限公司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万马联合新能源投资有限公司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953, </w:t>
            </w:r>
            <w:r>
              <w:rPr>
                <w:rFonts w:ascii="SimSun" w:eastAsia="SimSun" w:hAnsi="SimSun" w:cs="SimSun"/>
                <w:color w:val="000000"/>
                <w:spacing w:val="0"/>
                <w:w w:val="100"/>
                <w:position w:val="0"/>
                <w:sz w:val="18"/>
                <w:szCs w:val="18"/>
              </w:rPr>
              <w:t xml:space="preserve">866. </w:t>
            </w:r>
            <w:r>
              <w:rPr>
                <w:rFonts w:ascii="SimSun" w:eastAsia="SimSun" w:hAnsi="SimSun" w:cs="SimSu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杭州临安万马网络技术有限公司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浙江爱充网络科技有限公司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187,610.00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杭州临安万马网络技术有限公司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万马奔腾新能源产业集团有限公司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46, </w:t>
            </w:r>
            <w:r>
              <w:rPr>
                <w:rFonts w:ascii="SimSun" w:eastAsia="SimSun" w:hAnsi="SimSun" w:cs="SimSun"/>
                <w:color w:val="000000"/>
                <w:spacing w:val="0"/>
                <w:w w:val="100"/>
                <w:position w:val="0"/>
                <w:sz w:val="18"/>
                <w:szCs w:val="18"/>
              </w:rPr>
              <w:t xml:space="preserve">549. </w:t>
            </w:r>
            <w:r>
              <w:rPr>
                <w:rFonts w:ascii="SimSun" w:eastAsia="SimSun" w:hAnsi="SimSun" w:cs="SimSun"/>
                <w:color w:val="000000"/>
                <w:spacing w:val="0"/>
                <w:w w:val="100"/>
                <w:position w:val="0"/>
                <w:sz w:val="18"/>
                <w:szCs w:val="18"/>
              </w:rPr>
              <w:t>66</w:t>
            </w:r>
          </w:p>
        </w:tc>
      </w:tr>
    </w:tbl>
    <w:p>
      <w:pPr>
        <w:widowControl w:val="0"/>
        <w:spacing w:after="299" w:line="1" w:lineRule="exact"/>
      </w:pPr>
    </w:p>
    <w:p>
      <w:pPr>
        <w:pStyle w:val="Style59"/>
        <w:keepNext/>
        <w:keepLines/>
        <w:widowControl w:val="0"/>
        <w:numPr>
          <w:ilvl w:val="0"/>
          <w:numId w:val="111"/>
        </w:numPr>
        <w:shd w:val="clear" w:color="auto" w:fill="auto"/>
        <w:bidi w:val="0"/>
        <w:spacing w:before="0" w:after="380" w:line="240" w:lineRule="auto"/>
        <w:ind w:left="0" w:right="0" w:firstLine="24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关联担保情况</w:t>
      </w:r>
      <w:bookmarkEnd w:id="1752"/>
      <w:bookmarkEnd w:id="1753"/>
      <w:bookmarkEnd w:id="1755"/>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808"/>
        <w:gridCol w:w="1262"/>
        <w:gridCol w:w="1781"/>
        <w:gridCol w:w="1810"/>
        <w:gridCol w:w="1920"/>
      </w:tblGrid>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陆珍玉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2808"/>
        <w:gridCol w:w="1262"/>
        <w:gridCol w:w="1781"/>
        <w:gridCol w:w="1810"/>
        <w:gridCol w:w="1925"/>
      </w:tblGrid>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59"/>
        <w:keepNext/>
        <w:keepLines/>
        <w:widowControl w:val="0"/>
        <w:numPr>
          <w:ilvl w:val="0"/>
          <w:numId w:val="111"/>
        </w:numPr>
        <w:shd w:val="clear" w:color="auto" w:fill="auto"/>
        <w:bidi w:val="0"/>
        <w:spacing w:before="0" w:after="320" w:line="240" w:lineRule="auto"/>
        <w:ind w:left="0" w:right="0" w:firstLine="0"/>
        <w:jc w:val="both"/>
      </w:pPr>
      <w:bookmarkStart w:id="1756" w:name="bookmark1756"/>
      <w:bookmarkStart w:id="1757" w:name="bookmark1757"/>
      <w:bookmarkStart w:id="1758" w:name="bookmark1758"/>
      <w:bookmarkStart w:id="1759" w:name="bookmark1759"/>
      <w:bookmarkEnd w:id="1758"/>
      <w:r>
        <w:rPr>
          <w:color w:val="000000"/>
          <w:spacing w:val="0"/>
          <w:w w:val="100"/>
          <w:position w:val="0"/>
        </w:rPr>
        <w:t>关联方资金拆借</w:t>
      </w:r>
      <w:bookmarkEnd w:id="1756"/>
      <w:bookmarkEnd w:id="1757"/>
      <w:bookmarkEnd w:id="1759"/>
    </w:p>
    <w:p>
      <w:pPr>
        <w:pStyle w:val="Style59"/>
        <w:keepNext/>
        <w:keepLines/>
        <w:widowControl w:val="0"/>
        <w:numPr>
          <w:ilvl w:val="0"/>
          <w:numId w:val="111"/>
        </w:numPr>
        <w:shd w:val="clear" w:color="auto" w:fill="auto"/>
        <w:bidi w:val="0"/>
        <w:spacing w:before="0" w:after="36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关联方资产转让、债务重组情况</w:t>
      </w:r>
      <w:bookmarkEnd w:id="1760"/>
      <w:bookmarkEnd w:id="1761"/>
      <w:bookmarkEnd w:id="17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1814"/>
        <w:gridCol w:w="2390"/>
        <w:gridCol w:w="2400"/>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55,787.61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杭州临安万马蓝翔置业有限公司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受让资产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numPr>
          <w:ilvl w:val="0"/>
          <w:numId w:val="111"/>
        </w:numPr>
        <w:shd w:val="clear" w:color="auto" w:fill="auto"/>
        <w:bidi w:val="0"/>
        <w:spacing w:before="0" w:after="360" w:line="240" w:lineRule="auto"/>
        <w:ind w:left="0" w:right="0" w:firstLine="0"/>
        <w:jc w:val="both"/>
      </w:pPr>
      <w:bookmarkStart w:id="1764" w:name="bookmark1764"/>
      <w:bookmarkStart w:id="1765" w:name="bookmark1765"/>
      <w:bookmarkStart w:id="1766" w:name="bookmark1766"/>
      <w:bookmarkStart w:id="1767" w:name="bookmark1767"/>
      <w:bookmarkEnd w:id="1766"/>
      <w:r>
        <w:rPr>
          <w:color w:val="000000"/>
          <w:spacing w:val="0"/>
          <w:w w:val="100"/>
          <w:position w:val="0"/>
        </w:rPr>
        <w:t>关键管理人员报酬</w:t>
      </w:r>
      <w:bookmarkEnd w:id="1764"/>
      <w:bookmarkEnd w:id="1765"/>
      <w:bookmarkEnd w:id="17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7"/>
        <w:gridCol w:w="3437"/>
        <w:gridCol w:w="3197"/>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3,435,219.32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4,086,089.00</w:t>
            </w:r>
          </w:p>
        </w:tc>
      </w:tr>
    </w:tbl>
    <w:p>
      <w:pPr>
        <w:widowControl w:val="0"/>
        <w:spacing w:after="319" w:line="1" w:lineRule="exact"/>
      </w:pPr>
    </w:p>
    <w:p>
      <w:pPr>
        <w:pStyle w:val="Style59"/>
        <w:keepNext/>
        <w:keepLines/>
        <w:widowControl w:val="0"/>
        <w:numPr>
          <w:ilvl w:val="0"/>
          <w:numId w:val="111"/>
        </w:numPr>
        <w:shd w:val="clear" w:color="auto" w:fill="auto"/>
        <w:bidi w:val="0"/>
        <w:spacing w:before="0" w:after="320" w:line="240" w:lineRule="auto"/>
        <w:ind w:left="0" w:right="0" w:firstLine="0"/>
        <w:jc w:val="both"/>
      </w:pPr>
      <w:bookmarkStart w:id="1768" w:name="bookmark1768"/>
      <w:bookmarkStart w:id="1769" w:name="bookmark1769"/>
      <w:bookmarkStart w:id="1770" w:name="bookmark1770"/>
      <w:bookmarkStart w:id="1771" w:name="bookmark1771"/>
      <w:bookmarkEnd w:id="1770"/>
      <w:r>
        <w:rPr>
          <w:color w:val="000000"/>
          <w:spacing w:val="0"/>
          <w:w w:val="100"/>
          <w:position w:val="0"/>
        </w:rPr>
        <w:t>其他关联交易</w:t>
      </w:r>
      <w:bookmarkEnd w:id="1768"/>
      <w:bookmarkEnd w:id="1769"/>
      <w:bookmarkEnd w:id="1771"/>
    </w:p>
    <w:p>
      <w:pPr>
        <w:pStyle w:val="Style34"/>
        <w:keepNext/>
        <w:keepLines/>
        <w:widowControl w:val="0"/>
        <w:shd w:val="clear" w:color="auto" w:fill="auto"/>
        <w:bidi w:val="0"/>
        <w:spacing w:before="0" w:after="32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color w:val="000000"/>
          <w:spacing w:val="0"/>
          <w:w w:val="100"/>
          <w:position w:val="0"/>
        </w:rPr>
        <w:t>、关联方应收应付款项</w:t>
      </w:r>
      <w:bookmarkEnd w:id="1772"/>
      <w:bookmarkEnd w:id="1773"/>
      <w:bookmarkEnd w:id="1775"/>
    </w:p>
    <w:p>
      <w:pPr>
        <w:pStyle w:val="Style59"/>
        <w:keepNext/>
        <w:keepLines/>
        <w:widowControl w:val="0"/>
        <w:shd w:val="clear" w:color="auto" w:fill="auto"/>
        <w:bidi w:val="0"/>
        <w:spacing w:before="0" w:after="360" w:line="240" w:lineRule="auto"/>
        <w:ind w:left="0" w:right="0" w:firstLine="0"/>
        <w:jc w:val="both"/>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76"/>
      <w:bookmarkEnd w:id="1777"/>
      <w:bookmarkEnd w:id="177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2918"/>
        <w:gridCol w:w="1229"/>
        <w:gridCol w:w="1075"/>
        <w:gridCol w:w="1589"/>
        <w:gridCol w:w="1603"/>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长缆电工科技股份有限公司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杭州全通轻质材料有限公司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102,967.88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无锡会通轻质材料股份有限公司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杭州全通轻质材料有限公司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282,364.58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191,943.43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194,322.95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98,016.59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848,344.00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山东天恩综合能源有限公司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2,078,442.00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shd w:val="clear" w:color="auto" w:fill="auto"/>
        <w:bidi w:val="0"/>
        <w:spacing w:before="0" w:after="360" w:line="240" w:lineRule="auto"/>
        <w:ind w:left="0" w:right="0" w:firstLine="0"/>
        <w:jc w:val="both"/>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79"/>
      <w:bookmarkEnd w:id="1780"/>
      <w:bookmarkEnd w:id="1781"/>
    </w:p>
    <w:p>
      <w:pPr>
        <w:pStyle w:val="Style31"/>
        <w:keepNext w:val="0"/>
        <w:keepLines w:val="0"/>
        <w:widowControl w:val="0"/>
        <w:shd w:val="clear" w:color="auto" w:fill="auto"/>
        <w:bidi w:val="0"/>
        <w:spacing w:before="0" w:after="320" w:line="240" w:lineRule="auto"/>
        <w:ind w:left="0" w:right="0" w:firstLine="0"/>
        <w:jc w:val="right"/>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642" w:right="862" w:bottom="1469" w:left="868"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762"/>
        <w:gridCol w:w="3029"/>
        <w:gridCol w:w="2390"/>
        <w:gridCol w:w="2400"/>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298,524.00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1,667,880.00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760,362.50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506,653.00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浙江万马集团电气有限公司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31,833.31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85,563.19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长缆电工科技股份有限公司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2,688,241.03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7</w:t>
      </w:r>
      <w:bookmarkEnd w:id="1784"/>
      <w:r>
        <w:rPr>
          <w:color w:val="000000"/>
          <w:spacing w:val="0"/>
          <w:w w:val="100"/>
          <w:position w:val="0"/>
        </w:rPr>
        <w:t>、</w:t>
        <w:tab/>
        <w:t>关联方承诺</w:t>
      </w:r>
      <w:bookmarkEnd w:id="1782"/>
      <w:bookmarkEnd w:id="1783"/>
      <w:bookmarkEnd w:id="1785"/>
    </w:p>
    <w:p>
      <w:pPr>
        <w:pStyle w:val="Style34"/>
        <w:keepNext/>
        <w:keepLines/>
        <w:widowControl w:val="0"/>
        <w:shd w:val="clear" w:color="auto" w:fill="auto"/>
        <w:tabs>
          <w:tab w:pos="378" w:val="left"/>
        </w:tabs>
        <w:bidi w:val="0"/>
        <w:spacing w:before="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8</w:t>
      </w:r>
      <w:bookmarkEnd w:id="1788"/>
      <w:r>
        <w:rPr>
          <w:color w:val="000000"/>
          <w:spacing w:val="0"/>
          <w:w w:val="100"/>
          <w:position w:val="0"/>
        </w:rPr>
        <w:t>、</w:t>
        <w:tab/>
        <w:t>其他</w:t>
      </w:r>
      <w:bookmarkEnd w:id="1786"/>
      <w:bookmarkEnd w:id="1787"/>
      <w:bookmarkEnd w:id="1789"/>
    </w:p>
    <w:p>
      <w:pPr>
        <w:pStyle w:val="Style26"/>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color w:val="000000"/>
          <w:spacing w:val="0"/>
          <w:w w:val="100"/>
          <w:position w:val="0"/>
          <w:sz w:val="24"/>
          <w:szCs w:val="24"/>
        </w:rPr>
        <w:t>十三、股份支付</w:t>
      </w:r>
      <w:bookmarkEnd w:id="1790"/>
      <w:bookmarkEnd w:id="1791"/>
      <w:bookmarkEnd w:id="1792"/>
    </w:p>
    <w:p>
      <w:pPr>
        <w:pStyle w:val="Style34"/>
        <w:keepNext/>
        <w:keepLines/>
        <w:widowControl w:val="0"/>
        <w:shd w:val="clear" w:color="auto" w:fill="auto"/>
        <w:tabs>
          <w:tab w:pos="368" w:val="left"/>
        </w:tabs>
        <w:bidi w:val="0"/>
        <w:spacing w:before="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1</w:t>
      </w:r>
      <w:bookmarkEnd w:id="1795"/>
      <w:r>
        <w:rPr>
          <w:color w:val="000000"/>
          <w:spacing w:val="0"/>
          <w:w w:val="100"/>
          <w:position w:val="0"/>
        </w:rPr>
        <w:t>、</w:t>
        <w:tab/>
        <w:t>股份支付总体情况</w:t>
      </w:r>
      <w:bookmarkEnd w:id="1793"/>
      <w:bookmarkEnd w:id="1794"/>
      <w:bookmarkEnd w:id="1796"/>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bookmarkEnd w:id="1799"/>
      <w:r>
        <w:rPr>
          <w:color w:val="000000"/>
          <w:spacing w:val="0"/>
          <w:w w:val="100"/>
          <w:position w:val="0"/>
        </w:rPr>
        <w:t>、</w:t>
        <w:tab/>
        <w:t>以权益结算的股份支付情况</w:t>
      </w:r>
      <w:bookmarkEnd w:id="1797"/>
      <w:bookmarkEnd w:id="1798"/>
      <w:bookmarkEnd w:id="180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3</w:t>
      </w:r>
      <w:bookmarkEnd w:id="1803"/>
      <w:r>
        <w:rPr>
          <w:color w:val="000000"/>
          <w:spacing w:val="0"/>
          <w:w w:val="100"/>
          <w:position w:val="0"/>
        </w:rPr>
        <w:t>、</w:t>
        <w:tab/>
        <w:t>以现金结算的股份支付情况</w:t>
      </w:r>
      <w:bookmarkEnd w:id="1801"/>
      <w:bookmarkEnd w:id="1802"/>
      <w:bookmarkEnd w:id="180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4</w:t>
      </w:r>
      <w:bookmarkEnd w:id="1807"/>
      <w:r>
        <w:rPr>
          <w:color w:val="000000"/>
          <w:spacing w:val="0"/>
          <w:w w:val="100"/>
          <w:position w:val="0"/>
        </w:rPr>
        <w:t>、</w:t>
        <w:tab/>
        <w:t>股份支付的修改、终止情况</w:t>
      </w:r>
      <w:bookmarkEnd w:id="1805"/>
      <w:bookmarkEnd w:id="1806"/>
      <w:bookmarkEnd w:id="1808"/>
    </w:p>
    <w:p>
      <w:pPr>
        <w:pStyle w:val="Style34"/>
        <w:keepNext/>
        <w:keepLines/>
        <w:widowControl w:val="0"/>
        <w:shd w:val="clear" w:color="auto" w:fill="auto"/>
        <w:tabs>
          <w:tab w:pos="378" w:val="left"/>
        </w:tabs>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5</w:t>
      </w:r>
      <w:bookmarkEnd w:id="1811"/>
      <w:r>
        <w:rPr>
          <w:color w:val="000000"/>
          <w:spacing w:val="0"/>
          <w:w w:val="100"/>
          <w:position w:val="0"/>
        </w:rPr>
        <w:t>、</w:t>
        <w:tab/>
        <w:t>其他</w:t>
      </w:r>
      <w:bookmarkEnd w:id="1809"/>
      <w:bookmarkEnd w:id="1810"/>
      <w:bookmarkEnd w:id="1812"/>
    </w:p>
    <w:p>
      <w:pPr>
        <w:pStyle w:val="Style26"/>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color w:val="000000"/>
          <w:spacing w:val="0"/>
          <w:w w:val="100"/>
          <w:position w:val="0"/>
          <w:sz w:val="24"/>
          <w:szCs w:val="24"/>
        </w:rPr>
        <w:t>十四、承诺及或有事项</w:t>
      </w:r>
      <w:bookmarkEnd w:id="1813"/>
      <w:bookmarkEnd w:id="1814"/>
      <w:bookmarkEnd w:id="1815"/>
    </w:p>
    <w:p>
      <w:pPr>
        <w:pStyle w:val="Style34"/>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16"/>
      <w:bookmarkEnd w:id="1817"/>
      <w:bookmarkEnd w:id="1818"/>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资产负债表日存在的重要承诺</w:t>
      </w:r>
    </w:p>
    <w:p>
      <w:pPr>
        <w:pStyle w:val="Style38"/>
        <w:keepNext w:val="0"/>
        <w:keepLines w:val="0"/>
        <w:widowControl w:val="0"/>
        <w:shd w:val="clear" w:color="auto" w:fill="auto"/>
        <w:bidi w:val="0"/>
        <w:spacing w:before="0" w:after="180" w:line="240" w:lineRule="auto"/>
        <w:ind w:left="0" w:right="0" w:firstLine="460"/>
        <w:jc w:val="left"/>
        <w:rPr>
          <w:sz w:val="22"/>
          <w:szCs w:val="22"/>
        </w:rPr>
      </w:pPr>
      <w:r>
        <w:rPr>
          <w:color w:val="000000"/>
          <w:spacing w:val="0"/>
          <w:w w:val="100"/>
          <w:position w:val="0"/>
          <w:sz w:val="22"/>
          <w:szCs w:val="22"/>
        </w:rPr>
        <w:t>截止2020年12月31日，本集团已承诺出资及尚待出资情况如下:</w:t>
      </w:r>
    </w:p>
    <w:p>
      <w:pPr>
        <w:pStyle w:val="Style29"/>
        <w:keepNext w:val="0"/>
        <w:keepLines w:val="0"/>
        <w:widowControl w:val="0"/>
        <w:shd w:val="clear" w:color="auto" w:fill="auto"/>
        <w:bidi w:val="0"/>
        <w:spacing w:before="0" w:after="0" w:line="240" w:lineRule="auto"/>
        <w:ind w:left="7526" w:right="0" w:firstLine="0"/>
        <w:jc w:val="left"/>
      </w:pPr>
      <w:r>
        <w:rPr>
          <w:color w:val="000000"/>
          <w:spacing w:val="0"/>
          <w:w w:val="100"/>
          <w:position w:val="0"/>
        </w:rPr>
        <w:t>金额单位：万元</w:t>
      </w:r>
    </w:p>
    <w:tbl>
      <w:tblPr>
        <w:tblOverlap w:val="never"/>
        <w:jc w:val="center"/>
        <w:tblLayout w:type="fixed"/>
      </w:tblPr>
      <w:tblGrid>
        <w:gridCol w:w="3624"/>
        <w:gridCol w:w="1070"/>
        <w:gridCol w:w="734"/>
        <w:gridCol w:w="1181"/>
        <w:gridCol w:w="1181"/>
        <w:gridCol w:w="1296"/>
      </w:tblGrid>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sz w:val="18"/>
                <w:szCs w:val="18"/>
              </w:rPr>
              <w:t>认缴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sz w:val="18"/>
                <w:szCs w:val="18"/>
              </w:rPr>
              <w:t>承诺出资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sz w:val="18"/>
                <w:szCs w:val="18"/>
              </w:rPr>
              <w:t>已缴金额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8"/>
                <w:szCs w:val="18"/>
              </w:rPr>
              <w:t>尚待出资 金额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sz w:val="18"/>
                <w:szCs w:val="18"/>
              </w:rPr>
              <w:t>7,000.00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浙江万马家装有限公司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sz w:val="18"/>
                <w:szCs w:val="18"/>
              </w:rPr>
              <w:t>1,000.00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浙江万马光伏有限公司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205. </w:t>
            </w:r>
            <w:r>
              <w:rPr>
                <w:rFonts w:ascii="SimSun" w:eastAsia="SimSun" w:hAnsi="SimSun" w:cs="SimSu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sz w:val="18"/>
                <w:szCs w:val="18"/>
              </w:rPr>
              <w:t>9,794.04</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山东万恩新能源科技有限公司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1,705.00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1,334. </w:t>
            </w:r>
            <w:r>
              <w:rPr>
                <w:rFonts w:ascii="SimSun" w:eastAsia="SimSun" w:hAnsi="SimSun" w:cs="SimSu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370. </w:t>
            </w:r>
            <w:r>
              <w:rPr>
                <w:rFonts w:ascii="SimSun" w:eastAsia="SimSun" w:hAnsi="SimSun" w:cs="SimSun"/>
                <w:color w:val="000000"/>
                <w:spacing w:val="0"/>
                <w:w w:val="100"/>
                <w:position w:val="0"/>
                <w:sz w:val="18"/>
                <w:szCs w:val="18"/>
              </w:rPr>
              <w:t>28</w:t>
            </w:r>
          </w:p>
        </w:tc>
      </w:tr>
    </w:tbl>
    <w:p>
      <w:pPr>
        <w:widowControl w:val="0"/>
        <w:spacing w:line="1" w:lineRule="exact"/>
      </w:pPr>
    </w:p>
    <w:tbl>
      <w:tblPr>
        <w:tblOverlap w:val="never"/>
        <w:jc w:val="center"/>
        <w:tblLayout w:type="fixed"/>
      </w:tblPr>
      <w:tblGrid>
        <w:gridCol w:w="3624"/>
        <w:gridCol w:w="1070"/>
        <w:gridCol w:w="734"/>
        <w:gridCol w:w="1181"/>
        <w:gridCol w:w="1181"/>
        <w:gridCol w:w="1296"/>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宁波万爱新能源科技有限公司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244. 50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755.50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上海万遥新能源科技有限公司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2, 000. 00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1,915.74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84.26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杭州万充电力工程有限公司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698.00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重庆万充新能源科技有限公司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5, 000. 00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4,822.95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177.05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广州万充新能源科技有限公司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8, 000. 00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7,708.04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291.96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海南万充新能源科技有限公司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1,453.42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546.58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佛山万爱新能源科技有限公司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242.17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257.83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浙江骏业科创科技有限公司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900.00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广州万马爱充新能源科技有限公司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99.20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65, 305. 00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43,330.30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21,974.70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Optrum Technology LLC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rPr>
              <w:t>美兀）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119.9985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80.0015</w:t>
            </w:r>
          </w:p>
        </w:tc>
      </w:tr>
      <w:tr>
        <w:trPr>
          <w:trHeight w:val="6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sz w:val="18"/>
                <w:szCs w:val="18"/>
              </w:rPr>
              <w:t xml:space="preserve">Steed Networks Technologies Co. , LTD </w:t>
            </w:r>
            <w:r>
              <w:rPr>
                <w:rFonts w:ascii="SimSun" w:eastAsia="SimSun" w:hAnsi="SimSun" w:cs="SimSun"/>
                <w:color w:val="000000"/>
                <w:spacing w:val="0"/>
                <w:w w:val="100"/>
                <w:position w:val="0"/>
              </w:rPr>
              <w:t>（美 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12.00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12.00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5.1645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6.8355</w:t>
            </w:r>
          </w:p>
        </w:tc>
      </w:tr>
    </w:tbl>
    <w:p>
      <w:pPr>
        <w:pStyle w:val="Style29"/>
        <w:keepNext w:val="0"/>
        <w:keepLines w:val="0"/>
        <w:widowControl w:val="0"/>
        <w:shd w:val="clear" w:color="auto" w:fill="auto"/>
        <w:bidi w:val="0"/>
        <w:spacing w:before="0" w:after="0" w:line="240" w:lineRule="auto"/>
        <w:ind w:left="394" w:right="0" w:firstLine="0"/>
        <w:jc w:val="left"/>
        <w:rPr>
          <w:sz w:val="22"/>
          <w:szCs w:val="22"/>
        </w:rPr>
      </w:pPr>
      <w:r>
        <w:rPr>
          <w:color w:val="000000"/>
          <w:spacing w:val="0"/>
          <w:w w:val="100"/>
          <w:position w:val="0"/>
          <w:sz w:val="22"/>
          <w:szCs w:val="22"/>
        </w:rPr>
        <w:t>除上述事项外，本集团无需要披露的重要承诺事项。</w:t>
      </w:r>
    </w:p>
    <w:p>
      <w:pPr>
        <w:widowControl w:val="0"/>
        <w:spacing w:after="279" w:line="1" w:lineRule="exact"/>
      </w:pPr>
    </w:p>
    <w:p>
      <w:pPr>
        <w:pStyle w:val="Style34"/>
        <w:keepNext/>
        <w:keepLines/>
        <w:widowControl w:val="0"/>
        <w:shd w:val="clear" w:color="auto" w:fill="auto"/>
        <w:bidi w:val="0"/>
        <w:spacing w:before="0" w:after="280" w:line="311" w:lineRule="exact"/>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19"/>
      <w:bookmarkEnd w:id="1820"/>
      <w:bookmarkEnd w:id="1821"/>
    </w:p>
    <w:p>
      <w:pPr>
        <w:pStyle w:val="Style59"/>
        <w:keepNext/>
        <w:keepLines/>
        <w:widowControl w:val="0"/>
        <w:shd w:val="clear" w:color="auto" w:fill="auto"/>
        <w:bidi w:val="0"/>
        <w:spacing w:before="0" w:after="280" w:line="311" w:lineRule="exact"/>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22"/>
      <w:bookmarkEnd w:id="1823"/>
      <w:bookmarkEnd w:id="1824"/>
    </w:p>
    <w:p>
      <w:pPr>
        <w:pStyle w:val="Style38"/>
        <w:keepNext w:val="0"/>
        <w:keepLines w:val="0"/>
        <w:widowControl w:val="0"/>
        <w:shd w:val="clear" w:color="auto" w:fill="auto"/>
        <w:bidi w:val="0"/>
        <w:spacing w:before="0" w:after="120" w:line="311" w:lineRule="exact"/>
        <w:ind w:left="0" w:right="0" w:firstLine="460"/>
        <w:jc w:val="both"/>
        <w:rPr>
          <w:sz w:val="22"/>
          <w:szCs w:val="22"/>
        </w:rPr>
      </w:pPr>
      <w:r>
        <w:rPr>
          <w:color w:val="000000"/>
          <w:spacing w:val="0"/>
          <w:w w:val="100"/>
          <w:position w:val="0"/>
          <w:sz w:val="22"/>
          <w:szCs w:val="22"/>
        </w:rPr>
        <w:t>未决诉讼：</w:t>
      </w:r>
    </w:p>
    <w:p>
      <w:pPr>
        <w:pStyle w:val="Style38"/>
        <w:keepNext w:val="0"/>
        <w:keepLines w:val="0"/>
        <w:widowControl w:val="0"/>
        <w:shd w:val="clear" w:color="auto" w:fill="auto"/>
        <w:tabs>
          <w:tab w:pos="997" w:val="left"/>
        </w:tabs>
        <w:bidi w:val="0"/>
        <w:spacing w:before="0" w:after="120" w:line="311" w:lineRule="exact"/>
        <w:ind w:left="0" w:right="0" w:firstLine="460"/>
        <w:jc w:val="both"/>
        <w:rPr>
          <w:sz w:val="22"/>
          <w:szCs w:val="22"/>
        </w:rPr>
      </w:pPr>
      <w:bookmarkStart w:id="1825" w:name="bookmark1825"/>
      <w:r>
        <w:rPr>
          <w:color w:val="000000"/>
          <w:spacing w:val="0"/>
          <w:w w:val="100"/>
          <w:position w:val="0"/>
          <w:sz w:val="22"/>
          <w:szCs w:val="22"/>
        </w:rPr>
        <w:t>（</w:t>
      </w:r>
      <w:bookmarkEnd w:id="1825"/>
      <w:r>
        <w:rPr>
          <w:color w:val="000000"/>
          <w:spacing w:val="0"/>
          <w:w w:val="100"/>
          <w:position w:val="0"/>
          <w:sz w:val="22"/>
          <w:szCs w:val="22"/>
        </w:rPr>
        <w:t>1）</w:t>
        <w:tab/>
        <w:t xml:space="preserve">2020年10月23日，广东省清远市清城区人民法院（以下简称“清城法院”）在审理莫箭（以 下简称“申请人”）诉本公司之孙公司清远万马新材料有限公司（以下简称被“申请人”）建设工程 施工合同纠纷一案中，申请人于2020年10月15日向清城法院提出财产保全，要求对被申请人 8, 274, </w:t>
      </w:r>
      <w:r>
        <w:rPr>
          <w:color w:val="000000"/>
          <w:spacing w:val="0"/>
          <w:w w:val="100"/>
          <w:position w:val="0"/>
          <w:sz w:val="22"/>
          <w:szCs w:val="22"/>
        </w:rPr>
        <w:t xml:space="preserve">263. </w:t>
      </w:r>
      <w:r>
        <w:rPr>
          <w:color w:val="000000"/>
          <w:spacing w:val="0"/>
          <w:w w:val="100"/>
          <w:position w:val="0"/>
          <w:sz w:val="22"/>
          <w:szCs w:val="22"/>
        </w:rPr>
        <w:t xml:space="preserve">22元财产进行冻结，并由永安财产保险股份有限公司广州中心支公司提供保函作为担保。 清城法院认为申请人的申请符合法律规定，作出民事裁定书（2020）粤1802民初11197号，冻结被申 请人8, 274, </w:t>
      </w:r>
      <w:r>
        <w:rPr>
          <w:color w:val="000000"/>
          <w:spacing w:val="0"/>
          <w:w w:val="100"/>
          <w:position w:val="0"/>
          <w:sz w:val="22"/>
          <w:szCs w:val="22"/>
        </w:rPr>
        <w:t xml:space="preserve">263. </w:t>
      </w:r>
      <w:r>
        <w:rPr>
          <w:color w:val="000000"/>
          <w:spacing w:val="0"/>
          <w:w w:val="100"/>
          <w:position w:val="0"/>
          <w:sz w:val="22"/>
          <w:szCs w:val="22"/>
        </w:rPr>
        <w:t xml:space="preserve">22元的银行存款，期限为一年。被申请人随即聘请当地律师与法院协调后，将申请人 保全财产金额8, 274, </w:t>
      </w:r>
      <w:r>
        <w:rPr>
          <w:color w:val="000000"/>
          <w:spacing w:val="0"/>
          <w:w w:val="100"/>
          <w:position w:val="0"/>
          <w:sz w:val="22"/>
          <w:szCs w:val="22"/>
        </w:rPr>
        <w:t xml:space="preserve">263. </w:t>
      </w:r>
      <w:r>
        <w:rPr>
          <w:color w:val="000000"/>
          <w:spacing w:val="0"/>
          <w:w w:val="100"/>
          <w:position w:val="0"/>
          <w:sz w:val="22"/>
          <w:szCs w:val="22"/>
        </w:rPr>
        <w:t>22元划入清城法院指定账户并解封银行账户。</w:t>
      </w:r>
    </w:p>
    <w:p>
      <w:pPr>
        <w:pStyle w:val="Style38"/>
        <w:keepNext w:val="0"/>
        <w:keepLines w:val="0"/>
        <w:widowControl w:val="0"/>
        <w:shd w:val="clear" w:color="auto" w:fill="auto"/>
        <w:bidi w:val="0"/>
        <w:spacing w:before="0" w:after="120" w:line="307" w:lineRule="exact"/>
        <w:ind w:left="0" w:right="0" w:firstLine="460"/>
        <w:jc w:val="both"/>
        <w:rPr>
          <w:sz w:val="22"/>
          <w:szCs w:val="22"/>
        </w:rPr>
      </w:pPr>
      <w:r>
        <w:rPr>
          <w:color w:val="000000"/>
          <w:spacing w:val="0"/>
          <w:w w:val="100"/>
          <w:position w:val="0"/>
          <w:sz w:val="22"/>
          <w:szCs w:val="22"/>
        </w:rPr>
        <w:t>被申请建设工程施工承包商为广东大城建设集团有限公司（以下简称广东大城），承担向实际施 工人莫箭的付款义务。2021年4月1日第一次开庭，广东大城提出答辩期，法官明确举证期至2021年4 月21日止，举证期满后先组织庭前交还证据，再安排开庭。截止本报告日，尚未开庭。</w:t>
      </w:r>
    </w:p>
    <w:p>
      <w:pPr>
        <w:pStyle w:val="Style38"/>
        <w:keepNext w:val="0"/>
        <w:keepLines w:val="0"/>
        <w:widowControl w:val="0"/>
        <w:shd w:val="clear" w:color="auto" w:fill="auto"/>
        <w:tabs>
          <w:tab w:pos="1002" w:val="left"/>
        </w:tabs>
        <w:bidi w:val="0"/>
        <w:spacing w:before="0" w:after="120" w:line="311" w:lineRule="exact"/>
        <w:ind w:left="0" w:right="0" w:firstLine="460"/>
        <w:jc w:val="both"/>
        <w:rPr>
          <w:sz w:val="22"/>
          <w:szCs w:val="22"/>
        </w:rPr>
      </w:pPr>
      <w:bookmarkStart w:id="1826" w:name="bookmark1826"/>
      <w:r>
        <w:rPr>
          <w:color w:val="000000"/>
          <w:spacing w:val="0"/>
          <w:w w:val="100"/>
          <w:position w:val="0"/>
          <w:sz w:val="22"/>
          <w:szCs w:val="22"/>
        </w:rPr>
        <w:t>（</w:t>
      </w:r>
      <w:bookmarkEnd w:id="1826"/>
      <w:r>
        <w:rPr>
          <w:color w:val="000000"/>
          <w:spacing w:val="0"/>
          <w:w w:val="100"/>
          <w:position w:val="0"/>
          <w:sz w:val="22"/>
          <w:szCs w:val="22"/>
        </w:rPr>
        <w:t>2）</w:t>
        <w:tab/>
        <w:t>2019年11月北京万京新能源科技有限公司（以下简称“北京万京”）与上海英富汽车服务 有限公司（以下简称“上海英富”）、上海奋垚物流有限公司（以下简称“上海奋垚”）签订《车辆 买卖三方合同》，销售福田奥铃厢式货车50辆。因在合同履约过程中存在买卖纠纷，上海英富与上海 奋垚于2020年3月16日起诉北京万京，2020年3月24日，上海市金山区人民法院民事裁定书（2020）沪 0116民初3411号，裁定冻结北京万京基本户工商银行北京星城支行。截止2020年12月31日，冻结的银 行存款余额为</w:t>
      </w:r>
      <w:r>
        <w:rPr>
          <w:color w:val="000000"/>
          <w:spacing w:val="0"/>
          <w:w w:val="100"/>
          <w:position w:val="0"/>
          <w:sz w:val="22"/>
          <w:szCs w:val="22"/>
        </w:rPr>
        <w:t>234.83</w:t>
      </w:r>
      <w:r>
        <w:rPr>
          <w:color w:val="000000"/>
          <w:spacing w:val="0"/>
          <w:w w:val="100"/>
          <w:position w:val="0"/>
          <w:sz w:val="22"/>
          <w:szCs w:val="22"/>
        </w:rPr>
        <w:t>万元。截止本报告日，该案件已移送北京市朝阳区人民法院，尚未判决。</w:t>
      </w:r>
    </w:p>
    <w:p>
      <w:pPr>
        <w:pStyle w:val="Style38"/>
        <w:keepNext w:val="0"/>
        <w:keepLines w:val="0"/>
        <w:widowControl w:val="0"/>
        <w:shd w:val="clear" w:color="auto" w:fill="auto"/>
        <w:tabs>
          <w:tab w:pos="949" w:val="left"/>
        </w:tabs>
        <w:bidi w:val="0"/>
        <w:spacing w:before="0" w:after="0" w:line="322" w:lineRule="exact"/>
        <w:ind w:left="0" w:right="0" w:firstLine="460"/>
        <w:jc w:val="both"/>
        <w:rPr>
          <w:sz w:val="22"/>
          <w:szCs w:val="22"/>
        </w:rPr>
      </w:pPr>
      <w:bookmarkStart w:id="1827" w:name="bookmark1827"/>
      <w:r>
        <w:rPr>
          <w:color w:val="000000"/>
          <w:spacing w:val="0"/>
          <w:w w:val="100"/>
          <w:position w:val="0"/>
          <w:sz w:val="22"/>
          <w:szCs w:val="22"/>
        </w:rPr>
        <w:t>（</w:t>
      </w:r>
      <w:bookmarkEnd w:id="1827"/>
      <w:r>
        <w:rPr>
          <w:color w:val="000000"/>
          <w:spacing w:val="0"/>
          <w:w w:val="100"/>
          <w:position w:val="0"/>
          <w:sz w:val="22"/>
          <w:szCs w:val="22"/>
        </w:rPr>
        <w:t>3）</w:t>
        <w:tab/>
        <w:t>2019年11月北京万京与上海英富、上海鹭洋物流有限公司（以下简称“上海鹭洋”）签订 《车辆买卖三方合同》，销售福田奥铃厢式货车50辆。因在合同履约过程中存在买卖纠纷，上海英富</w:t>
      </w:r>
    </w:p>
    <w:p>
      <w:pPr>
        <w:pStyle w:val="Style38"/>
        <w:keepNext w:val="0"/>
        <w:keepLines w:val="0"/>
        <w:widowControl w:val="0"/>
        <w:shd w:val="clear" w:color="auto" w:fill="auto"/>
        <w:bidi w:val="0"/>
        <w:spacing w:before="0" w:after="200" w:line="322" w:lineRule="exact"/>
        <w:ind w:left="0" w:right="0" w:firstLine="0"/>
        <w:jc w:val="both"/>
        <w:rPr>
          <w:sz w:val="22"/>
          <w:szCs w:val="22"/>
        </w:rPr>
      </w:pPr>
      <w:r>
        <w:rPr>
          <w:color w:val="000000"/>
          <w:spacing w:val="0"/>
          <w:w w:val="100"/>
          <w:position w:val="0"/>
          <w:sz w:val="22"/>
          <w:szCs w:val="22"/>
        </w:rPr>
        <w:t>与上海鹭洋于2020年度起诉北京万京。截止本报告日，该案件由北京市朝阳区人民法院受理，尚未判 决。</w:t>
      </w:r>
    </w:p>
    <w:p>
      <w:pPr>
        <w:pStyle w:val="Style38"/>
        <w:keepNext w:val="0"/>
        <w:keepLines w:val="0"/>
        <w:widowControl w:val="0"/>
        <w:shd w:val="clear" w:color="auto" w:fill="auto"/>
        <w:bidi w:val="0"/>
        <w:spacing w:before="0" w:after="280" w:line="322" w:lineRule="exact"/>
        <w:ind w:left="0" w:right="0" w:firstLine="540"/>
        <w:jc w:val="both"/>
        <w:rPr>
          <w:sz w:val="22"/>
          <w:szCs w:val="22"/>
        </w:rPr>
      </w:pPr>
      <w:r>
        <w:rPr>
          <w:color w:val="000000"/>
          <w:spacing w:val="0"/>
          <w:w w:val="100"/>
          <w:position w:val="0"/>
          <w:sz w:val="22"/>
          <w:szCs w:val="22"/>
        </w:rPr>
        <w:t>截止2020年12月31日，除存在上述未决诉讼、“十二、5关联交易”为子公司提供担保以及未到 期已转让的银行承兑汇票外，本集团无需要披露的重要或有事项。</w:t>
      </w:r>
    </w:p>
    <w:p>
      <w:pPr>
        <w:pStyle w:val="Style59"/>
        <w:keepNext/>
        <w:keepLines/>
        <w:widowControl w:val="0"/>
        <w:shd w:val="clear" w:color="auto" w:fill="auto"/>
        <w:bidi w:val="0"/>
        <w:spacing w:before="0" w:after="400" w:line="322" w:lineRule="exact"/>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28"/>
      <w:bookmarkEnd w:id="1829"/>
      <w:bookmarkEnd w:id="183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bidi w:val="0"/>
        <w:spacing w:before="0" w:after="220" w:line="336"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、其他</w:t>
      </w:r>
      <w:bookmarkEnd w:id="1831"/>
      <w:bookmarkEnd w:id="1832"/>
      <w:bookmarkEnd w:id="1834"/>
    </w:p>
    <w:p>
      <w:pPr>
        <w:pStyle w:val="Style26"/>
        <w:keepNext/>
        <w:keepLines/>
        <w:widowControl w:val="0"/>
        <w:shd w:val="clear" w:color="auto" w:fill="auto"/>
        <w:bidi w:val="0"/>
        <w:spacing w:before="0" w:line="322" w:lineRule="exact"/>
        <w:ind w:left="0" w:right="0" w:firstLine="0"/>
        <w:jc w:val="left"/>
      </w:pPr>
      <w:bookmarkStart w:id="1835" w:name="bookmark1835"/>
      <w:bookmarkStart w:id="1836" w:name="bookmark1836"/>
      <w:bookmarkStart w:id="1837" w:name="bookmark1837"/>
      <w:r>
        <w:rPr>
          <w:color w:val="000000"/>
          <w:spacing w:val="0"/>
          <w:w w:val="100"/>
          <w:position w:val="0"/>
          <w:sz w:val="24"/>
          <w:szCs w:val="24"/>
        </w:rPr>
        <w:t>十五、资产负债表日后事项</w:t>
      </w:r>
      <w:bookmarkEnd w:id="1835"/>
      <w:bookmarkEnd w:id="1836"/>
      <w:bookmarkEnd w:id="1837"/>
    </w:p>
    <w:p>
      <w:pPr>
        <w:pStyle w:val="Style34"/>
        <w:keepNext/>
        <w:keepLines/>
        <w:widowControl w:val="0"/>
        <w:shd w:val="clear" w:color="auto" w:fill="auto"/>
        <w:bidi w:val="0"/>
        <w:spacing w:before="0" w:after="220" w:line="336"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38"/>
      <w:bookmarkEnd w:id="1839"/>
      <w:bookmarkEnd w:id="1840"/>
    </w:p>
    <w:p>
      <w:pPr>
        <w:pStyle w:val="Style29"/>
        <w:keepNext w:val="0"/>
        <w:keepLines w:val="0"/>
        <w:widowControl w:val="0"/>
        <w:shd w:val="clear" w:color="auto" w:fill="auto"/>
        <w:bidi w:val="0"/>
        <w:spacing w:before="0" w:after="0" w:line="240" w:lineRule="auto"/>
        <w:ind w:left="86" w:right="0" w:firstLine="0"/>
        <w:jc w:val="left"/>
        <w:rPr>
          <w:sz w:val="20"/>
          <w:szCs w:val="20"/>
        </w:rPr>
      </w:pPr>
      <w:bookmarkStart w:id="1841" w:name="bookmark184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841"/>
    </w:p>
    <w:tbl>
      <w:tblPr>
        <w:tblOverlap w:val="never"/>
        <w:jc w:val="center"/>
        <w:tblLayout w:type="fixed"/>
      </w:tblPr>
      <w:tblGrid>
        <w:gridCol w:w="1982"/>
        <w:gridCol w:w="788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8"/>
                <w:szCs w:val="18"/>
              </w:rPr>
              <w:t>内容</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年度利润分配预案为：按本公司本年净利润的</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rPr>
              <w:t xml:space="preserve">提取法定盈余公积；以未来实施分 配方案时股权登记日的总股本扣除公司回购专户上已回购股份后的总股本为基数，向全体股东每 </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rPr>
              <w:t>股派发现金红利人民币</w:t>
            </w:r>
            <w:r>
              <w:rPr>
                <w:rFonts w:ascii="SimSun" w:eastAsia="SimSun" w:hAnsi="SimSun" w:cs="SimSun"/>
                <w:color w:val="000000"/>
                <w:spacing w:val="0"/>
                <w:w w:val="100"/>
                <w:position w:val="0"/>
                <w:sz w:val="18"/>
                <w:szCs w:val="18"/>
              </w:rPr>
              <w:t>0.35</w:t>
            </w:r>
            <w:r>
              <w:rPr>
                <w:rFonts w:ascii="SimSun" w:eastAsia="SimSun" w:hAnsi="SimSun" w:cs="SimSun"/>
                <w:color w:val="000000"/>
                <w:spacing w:val="0"/>
                <w:w w:val="100"/>
                <w:position w:val="0"/>
              </w:rPr>
              <w:t>元（含税）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rPr>
              <w:t>不转增不送股。</w:t>
            </w:r>
          </w:p>
        </w:tc>
      </w:tr>
      <w:tr>
        <w:trPr>
          <w:trHeight w:val="63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经审议批准宣告发放</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上述利润分配预案业经本公司</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27</w:t>
            </w:r>
            <w:r>
              <w:rPr>
                <w:rFonts w:ascii="SimSun" w:eastAsia="SimSun" w:hAnsi="SimSun" w:cs="SimSun"/>
                <w:color w:val="000000"/>
                <w:spacing w:val="0"/>
                <w:w w:val="100"/>
                <w:position w:val="0"/>
              </w:rPr>
              <w:t>日董事会决议通过，尚需经年度股东大会批准实施。</w:t>
            </w:r>
          </w:p>
        </w:tc>
      </w:tr>
    </w:tbl>
    <w:p>
      <w:pPr>
        <w:pStyle w:val="Style29"/>
        <w:keepNext w:val="0"/>
        <w:keepLines w:val="0"/>
        <w:widowControl w:val="0"/>
        <w:shd w:val="clear" w:color="auto" w:fill="auto"/>
        <w:tabs>
          <w:tab w:pos="403" w:val="left"/>
        </w:tabs>
        <w:bidi w:val="0"/>
        <w:spacing w:before="0" w:after="0" w:line="312" w:lineRule="exact"/>
        <w:ind w:left="86" w:right="0" w:firstLine="0"/>
        <w:jc w:val="left"/>
        <w:rPr>
          <w:sz w:val="20"/>
          <w:szCs w:val="20"/>
        </w:rPr>
      </w:pPr>
      <w:bookmarkStart w:id="1842" w:name="bookmark184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销售退回</w:t>
      </w:r>
      <w:bookmarkEnd w:id="1842"/>
    </w:p>
    <w:p>
      <w:pPr>
        <w:widowControl w:val="0"/>
        <w:spacing w:after="339" w:line="1" w:lineRule="exact"/>
      </w:pPr>
    </w:p>
    <w:p>
      <w:pPr>
        <w:pStyle w:val="Style34"/>
        <w:keepNext/>
        <w:keepLines/>
        <w:widowControl w:val="0"/>
        <w:shd w:val="clear" w:color="auto" w:fill="auto"/>
        <w:tabs>
          <w:tab w:pos="353" w:val="left"/>
        </w:tabs>
        <w:bidi w:val="0"/>
        <w:spacing w:before="0" w:after="280" w:line="312" w:lineRule="exact"/>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color w:val="000000"/>
          <w:spacing w:val="0"/>
          <w:w w:val="100"/>
          <w:position w:val="0"/>
        </w:rPr>
        <w:t>、</w:t>
        <w:tab/>
        <w:t>其他资产负债表日后事项说明</w:t>
      </w:r>
      <w:bookmarkEnd w:id="1843"/>
      <w:bookmarkEnd w:id="1844"/>
      <w:bookmarkEnd w:id="1846"/>
    </w:p>
    <w:p>
      <w:pPr>
        <w:pStyle w:val="Style38"/>
        <w:keepNext w:val="0"/>
        <w:keepLines w:val="0"/>
        <w:widowControl w:val="0"/>
        <w:shd w:val="clear" w:color="auto" w:fill="auto"/>
        <w:bidi w:val="0"/>
        <w:spacing w:before="0" w:after="0" w:line="312" w:lineRule="exact"/>
        <w:ind w:left="0" w:right="0" w:firstLine="540"/>
        <w:jc w:val="both"/>
        <w:rPr>
          <w:sz w:val="22"/>
          <w:szCs w:val="22"/>
        </w:rPr>
      </w:pPr>
      <w:r>
        <w:rPr>
          <w:color w:val="000000"/>
          <w:spacing w:val="0"/>
          <w:w w:val="100"/>
          <w:position w:val="0"/>
          <w:sz w:val="22"/>
          <w:szCs w:val="22"/>
        </w:rPr>
        <w:t>2020年12月24日，本公司第五届董事会第十一次会议审议通过《关于受让参股公司山东万恩新能 源科技有限公司69%股权暨关联交易的议案》。2020年12月28日，本公司之子公司万马奔腾新能源产 业集团有限公司以下简称（“受让方”）分别与浙江万马智能科技集团有限公司、山东天恩综合能源 有限公司以下简称“出让方”签订标的公司山东万恩新能源科技有限公司《股权转让协议》，受让标 的公司合计69%的股权，对应实缴资本为</w:t>
      </w:r>
      <w:r>
        <w:rPr>
          <w:color w:val="000000"/>
          <w:spacing w:val="0"/>
          <w:w w:val="100"/>
          <w:position w:val="0"/>
          <w:sz w:val="22"/>
          <w:szCs w:val="22"/>
        </w:rPr>
        <w:t>2,970.82</w:t>
      </w:r>
      <w:r>
        <w:rPr>
          <w:color w:val="000000"/>
          <w:spacing w:val="0"/>
          <w:w w:val="100"/>
          <w:position w:val="0"/>
          <w:sz w:val="22"/>
          <w:szCs w:val="22"/>
        </w:rPr>
        <w:t>2万元。转让价款以致同会计师事务所2020年11月27 日出具的《山东万恩新能源科技有限公司2019年度、2020年</w:t>
      </w:r>
      <w:r>
        <w:rPr>
          <w:color w:val="000000"/>
          <w:spacing w:val="0"/>
          <w:w w:val="100"/>
          <w:position w:val="0"/>
          <w:sz w:val="22"/>
          <w:szCs w:val="22"/>
        </w:rPr>
        <w:t>1-10</w:t>
      </w:r>
      <w:r>
        <w:rPr>
          <w:color w:val="000000"/>
          <w:spacing w:val="0"/>
          <w:w w:val="100"/>
          <w:position w:val="0"/>
          <w:sz w:val="22"/>
          <w:szCs w:val="22"/>
        </w:rPr>
        <w:t xml:space="preserve">审计的报告》（致同审字（2020）第 </w:t>
      </w:r>
      <w:r>
        <w:rPr>
          <w:color w:val="000000"/>
          <w:spacing w:val="0"/>
          <w:w w:val="100"/>
          <w:position w:val="0"/>
          <w:sz w:val="22"/>
          <w:szCs w:val="22"/>
        </w:rPr>
        <w:t xml:space="preserve">110ZC </w:t>
      </w:r>
      <w:r>
        <w:rPr>
          <w:color w:val="000000"/>
          <w:spacing w:val="0"/>
          <w:w w:val="100"/>
          <w:position w:val="0"/>
          <w:sz w:val="22"/>
          <w:szCs w:val="22"/>
        </w:rPr>
        <w:t>11831号）和山东华明精诚土地房地产资产评估有限公司12月4日出具的《山东万恩新能源科技 有限公司委估拟股权转让行为所涉及的股东全部权益价值资产评估报告书》（鲁华明精诚资评</w:t>
      </w:r>
      <w:r>
        <w:rPr>
          <w:color w:val="000000"/>
          <w:spacing w:val="0"/>
          <w:w w:val="100"/>
          <w:position w:val="0"/>
          <w:sz w:val="22"/>
          <w:szCs w:val="22"/>
        </w:rPr>
        <w:t xml:space="preserve">[2020] </w:t>
      </w:r>
      <w:r>
        <w:rPr>
          <w:color w:val="000000"/>
          <w:spacing w:val="0"/>
          <w:w w:val="100"/>
          <w:position w:val="0"/>
          <w:sz w:val="22"/>
          <w:szCs w:val="22"/>
        </w:rPr>
        <w:t>第</w:t>
      </w:r>
      <w:r>
        <w:rPr>
          <w:color w:val="000000"/>
          <w:spacing w:val="0"/>
          <w:w w:val="100"/>
          <w:position w:val="0"/>
          <w:sz w:val="22"/>
          <w:szCs w:val="22"/>
        </w:rPr>
        <w:t>B017</w:t>
      </w:r>
      <w:r>
        <w:rPr>
          <w:color w:val="000000"/>
          <w:spacing w:val="0"/>
          <w:w w:val="100"/>
          <w:position w:val="0"/>
          <w:sz w:val="22"/>
          <w:szCs w:val="22"/>
        </w:rPr>
        <w:t xml:space="preserve">号）确认的截止2020年10月31日股东权益的评估价4, </w:t>
      </w:r>
      <w:r>
        <w:rPr>
          <w:color w:val="000000"/>
          <w:spacing w:val="0"/>
          <w:w w:val="100"/>
          <w:position w:val="0"/>
          <w:sz w:val="22"/>
          <w:szCs w:val="22"/>
        </w:rPr>
        <w:t xml:space="preserve">242. </w:t>
      </w:r>
      <w:r>
        <w:rPr>
          <w:color w:val="000000"/>
          <w:spacing w:val="0"/>
          <w:w w:val="100"/>
          <w:position w:val="0"/>
          <w:sz w:val="22"/>
          <w:szCs w:val="22"/>
        </w:rPr>
        <w:t>72万元为基准计算，确定标的转让总 价款为</w:t>
      </w:r>
      <w:r>
        <w:rPr>
          <w:color w:val="000000"/>
          <w:spacing w:val="0"/>
          <w:w w:val="100"/>
          <w:position w:val="0"/>
          <w:sz w:val="22"/>
          <w:szCs w:val="22"/>
        </w:rPr>
        <w:t>2,926.78</w:t>
      </w:r>
      <w:r>
        <w:rPr>
          <w:color w:val="000000"/>
          <w:spacing w:val="0"/>
          <w:w w:val="100"/>
          <w:position w:val="0"/>
          <w:sz w:val="22"/>
          <w:szCs w:val="22"/>
        </w:rPr>
        <w:t>万元。截止2020年12月31日，受让方支付了股权转让价款的10%为</w:t>
      </w:r>
      <w:r>
        <w:rPr>
          <w:color w:val="000000"/>
          <w:spacing w:val="0"/>
          <w:w w:val="100"/>
          <w:position w:val="0"/>
          <w:sz w:val="22"/>
          <w:szCs w:val="22"/>
        </w:rPr>
        <w:t>292.68</w:t>
      </w:r>
      <w:r>
        <w:rPr>
          <w:color w:val="000000"/>
          <w:spacing w:val="0"/>
          <w:w w:val="100"/>
          <w:position w:val="0"/>
          <w:sz w:val="22"/>
          <w:szCs w:val="22"/>
        </w:rPr>
        <w:t>万元。本次 股权受让完成后，山东万恩新能源科技有限公司成为本公司的全资孙公司。截止2021年1月14日，受 让方已支付全部标的股权转让款。</w:t>
      </w:r>
    </w:p>
    <w:p>
      <w:pPr>
        <w:pStyle w:val="Style38"/>
        <w:keepNext w:val="0"/>
        <w:keepLines w:val="0"/>
        <w:widowControl w:val="0"/>
        <w:shd w:val="clear" w:color="auto" w:fill="auto"/>
        <w:bidi w:val="0"/>
        <w:spacing w:before="0" w:after="300" w:line="312" w:lineRule="exact"/>
        <w:ind w:left="0" w:right="0" w:firstLine="540"/>
        <w:jc w:val="both"/>
        <w:rPr>
          <w:sz w:val="22"/>
          <w:szCs w:val="22"/>
        </w:rPr>
      </w:pPr>
      <w:r>
        <w:rPr>
          <w:color w:val="000000"/>
          <w:spacing w:val="0"/>
          <w:w w:val="100"/>
          <w:position w:val="0"/>
          <w:sz w:val="22"/>
          <w:szCs w:val="22"/>
        </w:rPr>
        <w:t>除存在上述资产负债表日后事项披露事项外，本集团无其他需要披露的重大资产负债表日后事 项。</w:t>
      </w:r>
    </w:p>
    <w:p>
      <w:pPr>
        <w:pStyle w:val="Style26"/>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color w:val="000000"/>
          <w:spacing w:val="0"/>
          <w:w w:val="100"/>
          <w:position w:val="0"/>
          <w:sz w:val="24"/>
          <w:szCs w:val="24"/>
        </w:rPr>
        <w:t>十六、其他重要事项</w:t>
      </w:r>
      <w:bookmarkEnd w:id="1847"/>
      <w:bookmarkEnd w:id="1848"/>
      <w:bookmarkEnd w:id="1849"/>
    </w:p>
    <w:p>
      <w:pPr>
        <w:pStyle w:val="Style34"/>
        <w:keepNext/>
        <w:keepLines/>
        <w:widowControl w:val="0"/>
        <w:shd w:val="clear" w:color="auto" w:fill="auto"/>
        <w:tabs>
          <w:tab w:pos="368"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1</w:t>
      </w:r>
      <w:bookmarkEnd w:id="1852"/>
      <w:r>
        <w:rPr>
          <w:color w:val="000000"/>
          <w:spacing w:val="0"/>
          <w:w w:val="100"/>
          <w:position w:val="0"/>
        </w:rPr>
        <w:t>、</w:t>
        <w:tab/>
        <w:t>前期会计差错更正</w:t>
      </w:r>
      <w:bookmarkEnd w:id="1850"/>
      <w:bookmarkEnd w:id="1851"/>
      <w:bookmarkEnd w:id="1853"/>
    </w:p>
    <w:p>
      <w:pPr>
        <w:pStyle w:val="Style34"/>
        <w:keepNext/>
        <w:keepLines/>
        <w:widowControl w:val="0"/>
        <w:shd w:val="clear" w:color="auto" w:fill="auto"/>
        <w:tabs>
          <w:tab w:pos="378"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2</w:t>
      </w:r>
      <w:bookmarkEnd w:id="1856"/>
      <w:r>
        <w:rPr>
          <w:color w:val="000000"/>
          <w:spacing w:val="0"/>
          <w:w w:val="100"/>
          <w:position w:val="0"/>
        </w:rPr>
        <w:t>、</w:t>
        <w:tab/>
        <w:t>债务重组</w:t>
      </w:r>
      <w:bookmarkEnd w:id="1854"/>
      <w:bookmarkEnd w:id="1855"/>
      <w:bookmarkEnd w:id="1857"/>
    </w:p>
    <w:p>
      <w:pPr>
        <w:pStyle w:val="Style34"/>
        <w:keepNext/>
        <w:keepLines/>
        <w:widowControl w:val="0"/>
        <w:shd w:val="clear" w:color="auto" w:fill="auto"/>
        <w:tabs>
          <w:tab w:pos="378"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w:t>
        <w:tab/>
        <w:t>资产置换</w:t>
      </w:r>
      <w:bookmarkEnd w:id="1858"/>
      <w:bookmarkEnd w:id="1859"/>
      <w:bookmarkEnd w:id="1861"/>
    </w:p>
    <w:p>
      <w:pPr>
        <w:pStyle w:val="Style59"/>
        <w:keepNext/>
        <w:keepLines/>
        <w:widowControl w:val="0"/>
        <w:shd w:val="clear" w:color="auto" w:fill="auto"/>
        <w:tabs>
          <w:tab w:pos="493" w:val="left"/>
        </w:tabs>
        <w:bidi w:val="0"/>
        <w:spacing w:before="0" w:after="34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62"/>
      <w:bookmarkEnd w:id="1863"/>
      <w:bookmarkEnd w:id="1865"/>
    </w:p>
    <w:p>
      <w:pPr>
        <w:pStyle w:val="Style59"/>
        <w:keepNext/>
        <w:keepLines/>
        <w:widowControl w:val="0"/>
        <w:shd w:val="clear" w:color="auto" w:fill="auto"/>
        <w:tabs>
          <w:tab w:pos="493" w:val="left"/>
        </w:tabs>
        <w:bidi w:val="0"/>
        <w:spacing w:before="0" w:after="34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66"/>
      <w:bookmarkEnd w:id="1867"/>
      <w:bookmarkEnd w:id="1869"/>
    </w:p>
    <w:p>
      <w:pPr>
        <w:pStyle w:val="Style34"/>
        <w:keepNext/>
        <w:keepLines/>
        <w:widowControl w:val="0"/>
        <w:shd w:val="clear" w:color="auto" w:fill="auto"/>
        <w:tabs>
          <w:tab w:pos="378"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4</w:t>
      </w:r>
      <w:bookmarkEnd w:id="1872"/>
      <w:r>
        <w:rPr>
          <w:color w:val="000000"/>
          <w:spacing w:val="0"/>
          <w:w w:val="100"/>
          <w:position w:val="0"/>
        </w:rPr>
        <w:t>、</w:t>
        <w:tab/>
        <w:t>年金计划</w:t>
      </w:r>
      <w:bookmarkEnd w:id="1870"/>
      <w:bookmarkEnd w:id="1871"/>
      <w:bookmarkEnd w:id="1873"/>
    </w:p>
    <w:p>
      <w:pPr>
        <w:pStyle w:val="Style34"/>
        <w:keepNext/>
        <w:keepLines/>
        <w:widowControl w:val="0"/>
        <w:shd w:val="clear" w:color="auto" w:fill="auto"/>
        <w:tabs>
          <w:tab w:pos="37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5</w:t>
      </w:r>
      <w:bookmarkEnd w:id="1876"/>
      <w:r>
        <w:rPr>
          <w:color w:val="000000"/>
          <w:spacing w:val="0"/>
          <w:w w:val="100"/>
          <w:position w:val="0"/>
        </w:rPr>
        <w:t>、</w:t>
        <w:tab/>
        <w:t>终止经营</w:t>
      </w:r>
      <w:bookmarkEnd w:id="1874"/>
      <w:bookmarkEnd w:id="1875"/>
      <w:bookmarkEnd w:id="1877"/>
    </w:p>
    <w:p>
      <w:pPr>
        <w:pStyle w:val="Style34"/>
        <w:keepNext/>
        <w:keepLines/>
        <w:widowControl w:val="0"/>
        <w:shd w:val="clear" w:color="auto" w:fill="auto"/>
        <w:tabs>
          <w:tab w:pos="378"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6</w:t>
      </w:r>
      <w:bookmarkEnd w:id="1880"/>
      <w:r>
        <w:rPr>
          <w:color w:val="000000"/>
          <w:spacing w:val="0"/>
          <w:w w:val="100"/>
          <w:position w:val="0"/>
        </w:rPr>
        <w:t>、</w:t>
        <w:tab/>
        <w:t>分部信息</w:t>
      </w:r>
      <w:bookmarkEnd w:id="1878"/>
      <w:bookmarkEnd w:id="1879"/>
      <w:bookmarkEnd w:id="1881"/>
    </w:p>
    <w:p>
      <w:pPr>
        <w:pStyle w:val="Style59"/>
        <w:keepNext/>
        <w:keepLines/>
        <w:widowControl w:val="0"/>
        <w:shd w:val="clear" w:color="auto" w:fill="auto"/>
        <w:tabs>
          <w:tab w:pos="493" w:val="left"/>
        </w:tabs>
        <w:bidi w:val="0"/>
        <w:spacing w:before="0" w:after="34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82"/>
      <w:bookmarkEnd w:id="1883"/>
      <w:bookmarkEnd w:id="1885"/>
    </w:p>
    <w:p>
      <w:pPr>
        <w:pStyle w:val="Style59"/>
        <w:keepNext/>
        <w:keepLines/>
        <w:widowControl w:val="0"/>
        <w:shd w:val="clear" w:color="auto" w:fill="auto"/>
        <w:tabs>
          <w:tab w:pos="493" w:val="left"/>
        </w:tabs>
        <w:bidi w:val="0"/>
        <w:spacing w:before="0" w:after="34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86"/>
      <w:bookmarkEnd w:id="1887"/>
      <w:bookmarkEnd w:id="1889"/>
    </w:p>
    <w:p>
      <w:pPr>
        <w:pStyle w:val="Style59"/>
        <w:keepNext/>
        <w:keepLines/>
        <w:widowControl w:val="0"/>
        <w:shd w:val="clear" w:color="auto" w:fill="auto"/>
        <w:tabs>
          <w:tab w:pos="493" w:val="left"/>
        </w:tabs>
        <w:bidi w:val="0"/>
        <w:spacing w:before="0" w:after="34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90"/>
      <w:bookmarkEnd w:id="1891"/>
      <w:bookmarkEnd w:id="1893"/>
    </w:p>
    <w:p>
      <w:pPr>
        <w:pStyle w:val="Style59"/>
        <w:keepNext/>
        <w:keepLines/>
        <w:widowControl w:val="0"/>
        <w:shd w:val="clear" w:color="auto" w:fill="auto"/>
        <w:tabs>
          <w:tab w:pos="493" w:val="left"/>
        </w:tabs>
        <w:bidi w:val="0"/>
        <w:spacing w:before="0" w:after="34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94"/>
      <w:bookmarkEnd w:id="1895"/>
      <w:bookmarkEnd w:id="1897"/>
    </w:p>
    <w:p>
      <w:pPr>
        <w:pStyle w:val="Style34"/>
        <w:keepNext/>
        <w:keepLines/>
        <w:widowControl w:val="0"/>
        <w:shd w:val="clear" w:color="auto" w:fill="auto"/>
        <w:tabs>
          <w:tab w:pos="378"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7</w:t>
      </w:r>
      <w:bookmarkEnd w:id="1900"/>
      <w:r>
        <w:rPr>
          <w:color w:val="000000"/>
          <w:spacing w:val="0"/>
          <w:w w:val="100"/>
          <w:position w:val="0"/>
        </w:rPr>
        <w:t>、</w:t>
        <w:tab/>
        <w:t>其他对投资者决策有影响的重要交易和事项</w:t>
      </w:r>
      <w:bookmarkEnd w:id="1898"/>
      <w:bookmarkEnd w:id="1899"/>
      <w:bookmarkEnd w:id="1901"/>
    </w:p>
    <w:p>
      <w:pPr>
        <w:pStyle w:val="Style34"/>
        <w:keepNext/>
        <w:keepLines/>
        <w:widowControl w:val="0"/>
        <w:shd w:val="clear" w:color="auto" w:fill="auto"/>
        <w:tabs>
          <w:tab w:pos="378" w:val="left"/>
        </w:tabs>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8</w:t>
      </w:r>
      <w:bookmarkEnd w:id="1904"/>
      <w:r>
        <w:rPr>
          <w:color w:val="000000"/>
          <w:spacing w:val="0"/>
          <w:w w:val="100"/>
          <w:position w:val="0"/>
        </w:rPr>
        <w:t>、</w:t>
        <w:tab/>
        <w:t>其他</w:t>
      </w:r>
      <w:bookmarkEnd w:id="1902"/>
      <w:bookmarkEnd w:id="1903"/>
      <w:bookmarkEnd w:id="1905"/>
    </w:p>
    <w:p>
      <w:pPr>
        <w:pStyle w:val="Style26"/>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r>
        <w:rPr>
          <w:color w:val="000000"/>
          <w:spacing w:val="0"/>
          <w:w w:val="100"/>
          <w:position w:val="0"/>
          <w:sz w:val="24"/>
          <w:szCs w:val="24"/>
        </w:rPr>
        <w:t>十七、母公司财务报表主要项目注释</w:t>
      </w:r>
      <w:bookmarkEnd w:id="1906"/>
      <w:bookmarkEnd w:id="1907"/>
      <w:bookmarkEnd w:id="1908"/>
    </w:p>
    <w:p>
      <w:pPr>
        <w:pStyle w:val="Style34"/>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09"/>
      <w:bookmarkEnd w:id="1910"/>
      <w:bookmarkEnd w:id="1911"/>
    </w:p>
    <w:p>
      <w:pPr>
        <w:pStyle w:val="Style59"/>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2"/>
      <w:bookmarkEnd w:id="1913"/>
      <w:bookmarkEnd w:id="191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按单项计提坏账 准备的应收账款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24,690,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24,690,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24,690,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14,814,</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9,876,09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r>
    </w:tbl>
    <w:p>
      <w:pPr>
        <w:sectPr>
          <w:headerReference w:type="default" r:id="rId269"/>
          <w:footerReference w:type="default" r:id="rId270"/>
          <w:headerReference w:type="even" r:id="rId271"/>
          <w:footerReference w:type="even" r:id="rId272"/>
          <w:footnotePr>
            <w:pos w:val="pageBottom"/>
            <w:numFmt w:val="decimal"/>
            <w:numRestart w:val="continuous"/>
          </w:footnotePr>
          <w:type w:val="continuous"/>
          <w:pgSz w:w="11900" w:h="16840"/>
          <w:pgMar w:top="1642" w:right="862" w:bottom="1469" w:left="868" w:header="0" w:footer="3" w:gutter="0"/>
          <w:cols w:space="720"/>
          <w:noEndnote/>
          <w:rtlGutter w:val="0"/>
          <w:docGrid w:linePitch="360"/>
        </w:sectPr>
      </w:pPr>
    </w:p>
    <w:p>
      <w:pPr>
        <w:pStyle w:val="Style87"/>
        <w:keepNext w:val="0"/>
        <w:keepLines w:val="0"/>
        <w:widowControl w:val="0"/>
        <w:shd w:val="clear" w:color="auto" w:fill="auto"/>
        <w:bidi w:val="0"/>
        <w:spacing w:before="0" w:after="100" w:line="240" w:lineRule="auto"/>
        <w:ind w:left="0" w:right="0"/>
        <w:jc w:val="left"/>
      </w:pPr>
      <w:r>
        <w:rPr>
          <w:spacing w:val="0"/>
          <w:w w:val="100"/>
          <w:position w:val="0"/>
        </w:rPr>
        <w:t>ms</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88" w:hRule="exact"/>
        </w:trPr>
        <w:tc>
          <w:tcPr>
            <w:vMerge w:val="restart"/>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1,593,0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98.56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95,621,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78,474,</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1,515,19</w:t>
            </w:r>
          </w:p>
        </w:tc>
      </w:tr>
      <w:tr>
        <w:trPr>
          <w:trHeight w:val="149"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15,081.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71,581.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498.91</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7,082.17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其中：账龄组合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1,628,7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1,533,1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00,424.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78,474,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1,442,33</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498.91</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8,521.47</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59,914,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72,858,5</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656.43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w:t>
            </w:r>
          </w:p>
        </w:tc>
      </w:tr>
      <w:tr>
        <w:trPr>
          <w:trHeight w:val="293" w:hRule="exact"/>
        </w:trPr>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1,593,0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93,288,</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5.76%</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1,525,07</w:t>
            </w:r>
          </w:p>
        </w:tc>
      </w:tr>
      <w:tr>
        <w:trPr>
          <w:trHeight w:val="158"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26,607.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1,526.2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15,081.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61,828.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647.56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3,181.27</w:t>
            </w: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24,690,247.75</w:t>
      </w:r>
      <w:r>
        <w:rPr>
          <w:color w:val="000000"/>
          <w:spacing w:val="0"/>
          <w:w w:val="100"/>
          <w:position w:val="0"/>
        </w:rPr>
        <w:t>元</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15,703,603.65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15,703,603.65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4,335,468.37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4,335,468.37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4,222,205.60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4,222,205.60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428,970.13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428,970.13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24,690,247.75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24,690,247.75</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95,621,278.50</w:t>
      </w:r>
      <w:r>
        <w:rPr>
          <w:color w:val="000000"/>
          <w:spacing w:val="0"/>
          <w:w w:val="100"/>
          <w:position w:val="0"/>
        </w:rPr>
        <w:t>元。</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1,449,521,214.10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14,495,212.14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99,744,389.39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9,974,438.94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11,863,532.02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3,559,059.61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67,592,567.81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67,592,567.81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1,628,721,703.32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95,621,278.50</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firstLine="0"/>
        <w:jc w:val="left"/>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567" w:right="1112" w:bottom="1167" w:left="1112" w:header="0" w:footer="3" w:gutter="0"/>
          <w:cols w:space="720"/>
          <w:noEndnote/>
          <w:rtlGutter w:val="0"/>
          <w:docGrid w:linePitch="360"/>
        </w:sectPr>
      </w:pPr>
      <w:r>
        <w:rPr>
          <w:color w:val="000000"/>
          <w:spacing w:val="0"/>
          <w:w w:val="100"/>
          <w:position w:val="0"/>
        </w:rPr>
        <w:t>按组合计提坏账准备：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400" w:right="0" w:firstLine="0"/>
              <w:jc w:val="left"/>
            </w:pPr>
            <w:r>
              <w:rPr>
                <w:color w:val="000000"/>
                <w:spacing w:val="0"/>
                <w:w w:val="100"/>
                <w:position w:val="0"/>
              </w:rPr>
              <w:t>1,495,679,296.97</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113,500,962.95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12,184,277.90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91,962,069.68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400" w:right="0" w:firstLine="0"/>
              <w:jc w:val="left"/>
            </w:pPr>
            <w:r>
              <w:rPr>
                <w:color w:val="000000"/>
                <w:spacing w:val="0"/>
                <w:w w:val="100"/>
                <w:position w:val="0"/>
              </w:rPr>
              <w:t>1,713,326,607.50</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140"/>
        <w:jc w:val="left"/>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7"/>
      <w:bookmarkEnd w:id="1928"/>
      <w:bookmarkEnd w:id="192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14,814,148.65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9,876,099.10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24,690,247.75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78,474,498.91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17,407,500.63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260,721.04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95,621,278.50</w:t>
            </w:r>
          </w:p>
        </w:tc>
      </w:tr>
      <w:tr>
        <w:trPr>
          <w:trHeight w:val="331"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93,288,647.56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27,283,599.73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260,721.04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120,311,526.25</w:t>
            </w:r>
          </w:p>
        </w:tc>
      </w:tr>
    </w:tbl>
    <w:p>
      <w:pPr>
        <w:widowControl w:val="0"/>
        <w:spacing w:after="299" w:line="1" w:lineRule="exact"/>
      </w:pPr>
    </w:p>
    <w:p>
      <w:pPr>
        <w:pStyle w:val="Style59"/>
        <w:keepNext/>
        <w:keepLines/>
        <w:widowControl w:val="0"/>
        <w:numPr>
          <w:ilvl w:val="0"/>
          <w:numId w:val="113"/>
        </w:numPr>
        <w:shd w:val="clear" w:color="auto" w:fill="auto"/>
        <w:bidi w:val="0"/>
        <w:spacing w:before="0" w:after="360" w:line="240" w:lineRule="auto"/>
        <w:ind w:left="0" w:right="0" w:firstLine="14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本期实际核销的应收账款情况</w:t>
      </w:r>
      <w:bookmarkEnd w:id="1930"/>
      <w:bookmarkEnd w:id="1931"/>
      <w:bookmarkEnd w:id="19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260,721.04</w:t>
            </w:r>
          </w:p>
        </w:tc>
      </w:tr>
    </w:tbl>
    <w:p>
      <w:pPr>
        <w:widowControl w:val="0"/>
        <w:spacing w:after="299" w:line="1" w:lineRule="exact"/>
      </w:pPr>
    </w:p>
    <w:p>
      <w:pPr>
        <w:pStyle w:val="Style59"/>
        <w:keepNext/>
        <w:keepLines/>
        <w:widowControl w:val="0"/>
        <w:numPr>
          <w:ilvl w:val="0"/>
          <w:numId w:val="113"/>
        </w:numPr>
        <w:shd w:val="clear" w:color="auto" w:fill="auto"/>
        <w:bidi w:val="0"/>
        <w:spacing w:before="0" w:after="360" w:line="240" w:lineRule="auto"/>
        <w:ind w:left="0" w:right="0" w:firstLine="14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按欠款方归集的期末余额前五名的应收账款情况</w:t>
      </w:r>
      <w:bookmarkEnd w:id="1934"/>
      <w:bookmarkEnd w:id="1935"/>
      <w:bookmarkEnd w:id="19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64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112,279,577.64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1,122,795.78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82,237,483.17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822,374.83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69,325,175.19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693,251.75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59,495,366.71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4,334,680.44</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53,694,801.73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536,948.02</w:t>
            </w:r>
          </w:p>
        </w:tc>
      </w:tr>
    </w:tbl>
    <w:p>
      <w:pPr>
        <w:widowControl w:val="0"/>
        <w:spacing w:line="1" w:lineRule="exact"/>
      </w:pPr>
    </w:p>
    <w:tbl>
      <w:tblPr>
        <w:tblOverlap w:val="never"/>
        <w:jc w:val="center"/>
        <w:tblLayout w:type="fixed"/>
      </w:tblPr>
      <w:tblGrid>
        <w:gridCol w:w="2400"/>
        <w:gridCol w:w="2390"/>
        <w:gridCol w:w="2390"/>
        <w:gridCol w:w="2400"/>
      </w:tblGrid>
      <w:tr>
        <w:trPr>
          <w:trHeight w:val="331"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377,032,404.44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59"/>
        <w:keepNext/>
        <w:keepLines/>
        <w:widowControl w:val="0"/>
        <w:numPr>
          <w:ilvl w:val="0"/>
          <w:numId w:val="113"/>
        </w:numPr>
        <w:shd w:val="clear" w:color="auto" w:fill="auto"/>
        <w:bidi w:val="0"/>
        <w:spacing w:before="0" w:after="340" w:line="240" w:lineRule="auto"/>
        <w:ind w:left="0" w:right="0" w:firstLine="14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因金融资产转移而终止确认的应收账款</w:t>
      </w:r>
      <w:bookmarkEnd w:id="1938"/>
      <w:bookmarkEnd w:id="1939"/>
      <w:bookmarkEnd w:id="1941"/>
    </w:p>
    <w:p>
      <w:pPr>
        <w:pStyle w:val="Style59"/>
        <w:keepNext/>
        <w:keepLines/>
        <w:widowControl w:val="0"/>
        <w:numPr>
          <w:ilvl w:val="0"/>
          <w:numId w:val="113"/>
        </w:numPr>
        <w:shd w:val="clear" w:color="auto" w:fill="auto"/>
        <w:bidi w:val="0"/>
        <w:spacing w:before="0" w:after="340" w:line="240" w:lineRule="auto"/>
        <w:ind w:left="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转移应收账款且继续涉入形成的资产、负债金额</w:t>
      </w:r>
      <w:bookmarkEnd w:id="1942"/>
      <w:bookmarkEnd w:id="1943"/>
      <w:bookmarkEnd w:id="1945"/>
    </w:p>
    <w:p>
      <w:pPr>
        <w:pStyle w:val="Style34"/>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46"/>
      <w:bookmarkEnd w:id="1947"/>
      <w:bookmarkEnd w:id="19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896,458,886.05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761,186,828.62</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896,458,886.05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761,186,828.62</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14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49"/>
      <w:bookmarkEnd w:id="1950"/>
      <w:bookmarkEnd w:id="1951"/>
    </w:p>
    <w:p>
      <w:pPr>
        <w:pStyle w:val="Style108"/>
        <w:keepNext/>
        <w:keepLines/>
        <w:widowControl w:val="0"/>
        <w:numPr>
          <w:ilvl w:val="0"/>
          <w:numId w:val="115"/>
        </w:numPr>
        <w:shd w:val="clear" w:color="auto" w:fill="auto"/>
        <w:tabs>
          <w:tab w:pos="387" w:val="left"/>
        </w:tabs>
        <w:bidi w:val="0"/>
        <w:spacing w:before="0" w:after="34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应收利息分类</w:t>
      </w:r>
      <w:bookmarkEnd w:id="1952"/>
      <w:bookmarkEnd w:id="1953"/>
      <w:bookmarkEnd w:id="1955"/>
    </w:p>
    <w:p>
      <w:pPr>
        <w:pStyle w:val="Style108"/>
        <w:keepNext/>
        <w:keepLines/>
        <w:widowControl w:val="0"/>
        <w:numPr>
          <w:ilvl w:val="0"/>
          <w:numId w:val="115"/>
        </w:numPr>
        <w:shd w:val="clear" w:color="auto" w:fill="auto"/>
        <w:tabs>
          <w:tab w:pos="397" w:val="left"/>
        </w:tabs>
        <w:bidi w:val="0"/>
        <w:spacing w:before="0" w:after="340" w:line="240" w:lineRule="auto"/>
        <w:ind w:left="0" w:right="0" w:firstLine="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重要逾期利息</w:t>
      </w:r>
      <w:bookmarkEnd w:id="1956"/>
      <w:bookmarkEnd w:id="1957"/>
      <w:bookmarkEnd w:id="1959"/>
    </w:p>
    <w:p>
      <w:pPr>
        <w:pStyle w:val="Style108"/>
        <w:keepNext/>
        <w:keepLines/>
        <w:widowControl w:val="0"/>
        <w:numPr>
          <w:ilvl w:val="0"/>
          <w:numId w:val="115"/>
        </w:numPr>
        <w:shd w:val="clear" w:color="auto" w:fill="auto"/>
        <w:tabs>
          <w:tab w:pos="397" w:val="left"/>
        </w:tabs>
        <w:bidi w:val="0"/>
        <w:spacing w:before="0" w:after="340" w:line="240" w:lineRule="auto"/>
        <w:ind w:left="0" w:right="0" w:firstLine="0"/>
        <w:jc w:val="left"/>
      </w:pPr>
      <w:bookmarkStart w:id="1960" w:name="bookmark1960"/>
      <w:bookmarkStart w:id="1961" w:name="bookmark1961"/>
      <w:bookmarkStart w:id="1962" w:name="bookmark1962"/>
      <w:bookmarkStart w:id="1963" w:name="bookmark1963"/>
      <w:bookmarkEnd w:id="1962"/>
      <w:r>
        <w:rPr>
          <w:color w:val="000000"/>
          <w:spacing w:val="0"/>
          <w:w w:val="100"/>
          <w:position w:val="0"/>
        </w:rPr>
        <w:t>坏账准备计提情况</w:t>
      </w:r>
      <w:bookmarkEnd w:id="1960"/>
      <w:bookmarkEnd w:id="1961"/>
      <w:bookmarkEnd w:id="196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val="0"/>
        <w:keepLines w:val="0"/>
        <w:widowControl w:val="0"/>
        <w:numPr>
          <w:ilvl w:val="0"/>
          <w:numId w:val="117"/>
        </w:numPr>
        <w:shd w:val="clear" w:color="auto" w:fill="auto"/>
        <w:tabs>
          <w:tab w:pos="493" w:val="left"/>
        </w:tabs>
        <w:bidi w:val="0"/>
        <w:spacing w:before="0" w:after="340" w:line="240" w:lineRule="auto"/>
        <w:ind w:left="0" w:right="0" w:firstLine="0"/>
        <w:jc w:val="left"/>
      </w:pPr>
      <w:bookmarkStart w:id="1964" w:name="bookmark1964"/>
      <w:bookmarkStart w:id="1965" w:name="bookmark1965"/>
      <w:bookmarkEnd w:id="1964"/>
      <w:r>
        <w:rPr>
          <w:b/>
          <w:bCs/>
          <w:color w:val="000000"/>
          <w:spacing w:val="0"/>
          <w:w w:val="100"/>
          <w:position w:val="0"/>
        </w:rPr>
        <w:t>应收股利</w:t>
      </w:r>
      <w:bookmarkEnd w:id="1965"/>
    </w:p>
    <w:p>
      <w:pPr>
        <w:pStyle w:val="Style108"/>
        <w:keepNext/>
        <w:keepLines/>
        <w:widowControl w:val="0"/>
        <w:numPr>
          <w:ilvl w:val="0"/>
          <w:numId w:val="119"/>
        </w:numPr>
        <w:shd w:val="clear" w:color="auto" w:fill="auto"/>
        <w:tabs>
          <w:tab w:pos="387" w:val="left"/>
        </w:tabs>
        <w:bidi w:val="0"/>
        <w:spacing w:before="0" w:after="340" w:line="240" w:lineRule="auto"/>
        <w:ind w:left="0" w:right="0" w:firstLine="0"/>
        <w:jc w:val="left"/>
      </w:pPr>
      <w:bookmarkStart w:id="1966" w:name="bookmark1966"/>
      <w:bookmarkStart w:id="1967" w:name="bookmark1967"/>
      <w:bookmarkStart w:id="1968" w:name="bookmark1968"/>
      <w:bookmarkStart w:id="1969" w:name="bookmark1969"/>
      <w:bookmarkEnd w:id="1968"/>
      <w:r>
        <w:rPr>
          <w:color w:val="000000"/>
          <w:spacing w:val="0"/>
          <w:w w:val="100"/>
          <w:position w:val="0"/>
        </w:rPr>
        <w:t>应收股利分类</w:t>
      </w:r>
      <w:bookmarkEnd w:id="1966"/>
      <w:bookmarkEnd w:id="1967"/>
      <w:bookmarkEnd w:id="1969"/>
    </w:p>
    <w:p>
      <w:pPr>
        <w:pStyle w:val="Style108"/>
        <w:keepNext/>
        <w:keepLines/>
        <w:widowControl w:val="0"/>
        <w:numPr>
          <w:ilvl w:val="0"/>
          <w:numId w:val="119"/>
        </w:numPr>
        <w:shd w:val="clear" w:color="auto" w:fill="auto"/>
        <w:tabs>
          <w:tab w:pos="397" w:val="left"/>
        </w:tabs>
        <w:bidi w:val="0"/>
        <w:spacing w:before="0" w:after="34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70"/>
      <w:bookmarkEnd w:id="1971"/>
      <w:bookmarkEnd w:id="1973"/>
    </w:p>
    <w:p>
      <w:pPr>
        <w:pStyle w:val="Style108"/>
        <w:keepNext/>
        <w:keepLines/>
        <w:widowControl w:val="0"/>
        <w:numPr>
          <w:ilvl w:val="0"/>
          <w:numId w:val="119"/>
        </w:numPr>
        <w:shd w:val="clear" w:color="auto" w:fill="auto"/>
        <w:tabs>
          <w:tab w:pos="397" w:val="left"/>
        </w:tabs>
        <w:bidi w:val="0"/>
        <w:spacing w:before="0" w:after="340" w:line="240" w:lineRule="auto"/>
        <w:ind w:left="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坏账准备计提情况</w:t>
      </w:r>
      <w:bookmarkEnd w:id="1974"/>
      <w:bookmarkEnd w:id="1975"/>
      <w:bookmarkEnd w:id="197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8"/>
        <w:keepNext w:val="0"/>
        <w:keepLines w:val="0"/>
        <w:widowControl w:val="0"/>
        <w:numPr>
          <w:ilvl w:val="0"/>
          <w:numId w:val="117"/>
        </w:numPr>
        <w:shd w:val="clear" w:color="auto" w:fill="auto"/>
        <w:tabs>
          <w:tab w:pos="493" w:val="left"/>
        </w:tabs>
        <w:bidi w:val="0"/>
        <w:spacing w:before="0" w:after="340" w:line="240" w:lineRule="auto"/>
        <w:ind w:left="0" w:right="0" w:firstLine="0"/>
        <w:jc w:val="left"/>
      </w:pPr>
      <w:bookmarkStart w:id="1978" w:name="bookmark1978"/>
      <w:bookmarkStart w:id="1979" w:name="bookmark1979"/>
      <w:bookmarkEnd w:id="1978"/>
      <w:r>
        <w:rPr>
          <w:b/>
          <w:bCs/>
          <w:color w:val="000000"/>
          <w:spacing w:val="0"/>
          <w:w w:val="100"/>
          <w:position w:val="0"/>
        </w:rPr>
        <w:t>其他应收款</w:t>
      </w:r>
      <w:bookmarkEnd w:id="1979"/>
    </w:p>
    <w:p>
      <w:pPr>
        <w:pStyle w:val="Style108"/>
        <w:keepNext/>
        <w:keepLines/>
        <w:widowControl w:val="0"/>
        <w:shd w:val="clear" w:color="auto" w:fill="auto"/>
        <w:bidi w:val="0"/>
        <w:spacing w:before="0" w:after="340" w:line="240" w:lineRule="auto"/>
        <w:ind w:left="0" w:right="0" w:firstLine="0"/>
        <w:jc w:val="left"/>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80"/>
      <w:bookmarkEnd w:id="1981"/>
      <w:bookmarkEnd w:id="19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合并范围内子公司往来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844,395,223.12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687,122,571.33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11,143,748.98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17,272,747.96</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27,328,522.81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32,732,588.02</w:t>
            </w:r>
          </w:p>
        </w:tc>
      </w:tr>
    </w:tbl>
    <w:p>
      <w:pPr>
        <w:widowControl w:val="0"/>
        <w:spacing w:line="1" w:lineRule="exact"/>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19,654,762.94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34,238,157.82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3,340,800.00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922,840.64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546,692.91</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906,785,898.49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771,912,758.04</w:t>
            </w:r>
          </w:p>
        </w:tc>
      </w:tr>
    </w:tbl>
    <w:p>
      <w:pPr>
        <w:widowControl w:val="0"/>
        <w:spacing w:after="299" w:line="1" w:lineRule="exact"/>
      </w:pPr>
    </w:p>
    <w:p>
      <w:pPr>
        <w:pStyle w:val="Style108"/>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83"/>
      <w:bookmarkEnd w:id="1984"/>
      <w:bookmarkEnd w:id="19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541"/>
        <w:gridCol w:w="2098"/>
        <w:gridCol w:w="2102"/>
        <w:gridCol w:w="1810"/>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10,725,929.42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10,725,929.42</w:t>
            </w:r>
          </w:p>
        </w:tc>
      </w:tr>
      <w:tr>
        <w:trPr>
          <w:trHeight w:val="634"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1,929,697.35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1,929,697.35</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1,160.50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2,327,453.83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2,327,453.83</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8,397,315.09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1,929,697.35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10,327,012.44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881,393,186.93</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14,594,165.56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3,188,846.31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7,609,699.69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906,785,898.49</w:t>
            </w:r>
          </w:p>
        </w:tc>
      </w:tr>
    </w:tbl>
    <w:p>
      <w:pPr>
        <w:widowControl w:val="0"/>
        <w:spacing w:after="299" w:line="1" w:lineRule="exact"/>
      </w:pPr>
    </w:p>
    <w:p>
      <w:pPr>
        <w:pStyle w:val="Style108"/>
        <w:keepNext/>
        <w:keepLines/>
        <w:widowControl w:val="0"/>
        <w:shd w:val="clear" w:color="auto" w:fill="auto"/>
        <w:bidi w:val="0"/>
        <w:spacing w:before="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3</w:t>
      </w:r>
      <w:bookmarkEnd w:id="1988"/>
      <w:r>
        <w:rPr>
          <w:color w:val="000000"/>
          <w:spacing w:val="0"/>
          <w:w w:val="100"/>
          <w:position w:val="0"/>
        </w:rPr>
        <w:t>）本期计提、收回或转回的坏账准备情况</w:t>
      </w:r>
      <w:bookmarkEnd w:id="1986"/>
      <w:bookmarkEnd w:id="1987"/>
      <w:bookmarkEnd w:id="198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1325"/>
        <w:gridCol w:w="1330"/>
        <w:gridCol w:w="1330"/>
        <w:gridCol w:w="1090"/>
        <w:gridCol w:w="1579"/>
        <w:gridCol w:w="1579"/>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1,929,697.35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1,929,697.35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10,725,929.42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2,327,453.83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8,397,315.09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10,725,929.42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1,929,697.35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2,327,453.83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10,327,012.44</w:t>
            </w:r>
          </w:p>
        </w:tc>
      </w:tr>
    </w:tbl>
    <w:p>
      <w:pPr>
        <w:widowControl w:val="0"/>
        <w:spacing w:after="299" w:line="1" w:lineRule="exact"/>
      </w:pPr>
    </w:p>
    <w:p>
      <w:pPr>
        <w:pStyle w:val="Style108"/>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4</w:t>
      </w:r>
      <w:bookmarkEnd w:id="1992"/>
      <w:r>
        <w:rPr>
          <w:color w:val="000000"/>
          <w:spacing w:val="0"/>
          <w:w w:val="100"/>
          <w:position w:val="0"/>
        </w:rPr>
        <w:t>）本期实际核销的其他应收款情况</w:t>
      </w:r>
      <w:bookmarkEnd w:id="1990"/>
      <w:bookmarkEnd w:id="1991"/>
      <w:bookmarkEnd w:id="1993"/>
    </w:p>
    <w:p>
      <w:pPr>
        <w:pStyle w:val="Style3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1,160.50</w:t>
            </w:r>
          </w:p>
        </w:tc>
      </w:tr>
    </w:tbl>
    <w:p>
      <w:pPr>
        <w:widowControl w:val="0"/>
        <w:spacing w:after="299" w:line="1" w:lineRule="exact"/>
      </w:pPr>
    </w:p>
    <w:p>
      <w:pPr>
        <w:pStyle w:val="Style108"/>
        <w:keepNext/>
        <w:keepLines/>
        <w:widowControl w:val="0"/>
        <w:numPr>
          <w:ilvl w:val="0"/>
          <w:numId w:val="121"/>
        </w:numPr>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bookmarkEnd w:id="1996"/>
      <w:r>
        <w:rPr>
          <w:color w:val="000000"/>
          <w:spacing w:val="0"/>
          <w:w w:val="100"/>
          <w:position w:val="0"/>
        </w:rPr>
        <w:t>按欠款方归集的期末余额前五名的其他应收款情况</w:t>
      </w:r>
      <w:bookmarkEnd w:id="1994"/>
      <w:bookmarkEnd w:id="1995"/>
      <w:bookmarkEnd w:id="1997"/>
    </w:p>
    <w:p>
      <w:pPr>
        <w:widowControl w:val="0"/>
        <w:spacing w:line="1" w:lineRule="exact"/>
      </w:pPr>
      <w:r>
        <mc:AlternateContent>
          <mc:Choice Requires="wps">
            <w:drawing>
              <wp:anchor distT="127000" distB="1170305" distL="0" distR="0" simplePos="0" relativeHeight="125829388" behindDoc="0" locked="0" layoutInCell="1" allowOverlap="1">
                <wp:simplePos x="0" y="0"/>
                <wp:positionH relativeFrom="page">
                  <wp:posOffset>705485</wp:posOffset>
                </wp:positionH>
                <wp:positionV relativeFrom="paragraph">
                  <wp:posOffset>127000</wp:posOffset>
                </wp:positionV>
                <wp:extent cx="198120" cy="194945"/>
                <wp:wrapTopAndBottom/>
                <wp:docPr id="670" name="Shape 670"/>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w:t>
                            </w:r>
                            <w:r>
                              <w:rPr>
                                <w:b/>
                                <w:bCs/>
                                <w:color w:val="000000"/>
                                <w:spacing w:val="0"/>
                                <w:w w:val="100"/>
                                <w:position w:val="0"/>
                              </w:rPr>
                              <w:t>)</w:t>
                            </w:r>
                          </w:p>
                        </w:txbxContent>
                      </wps:txbx>
                      <wps:bodyPr wrap="none" lIns="0" tIns="0" rIns="0" bIns="0">
                        <a:noAutoFit/>
                      </wps:bodyPr>
                    </wps:wsp>
                  </a:graphicData>
                </a:graphic>
              </wp:anchor>
            </w:drawing>
          </mc:Choice>
          <mc:Fallback>
            <w:pict>
              <v:shape id="_x0000_s1696" type="#_x0000_t202" style="position:absolute;margin-left:55.550000000000004pt;margin-top:10.pt;width:15.6pt;height:15.35pt;z-index:-125829365;mso-wrap-distance-left:0;mso-wrap-distance-top:10.pt;mso-wrap-distance-right:0;mso-wrap-distance-bottom:92.150000000000006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w:t>
                      </w:r>
                      <w:r>
                        <w:rPr>
                          <w:b/>
                          <w:bCs/>
                          <w:color w:val="000000"/>
                          <w:spacing w:val="0"/>
                          <w:w w:val="100"/>
                          <w:position w:val="0"/>
                        </w:rPr>
                        <w:t>)</w:t>
                      </w:r>
                    </w:p>
                  </w:txbxContent>
                </v:textbox>
                <w10:wrap type="topAndBottom" anchorx="page"/>
              </v:shape>
            </w:pict>
          </mc:Fallback>
        </mc:AlternateContent>
      </w:r>
      <w:r>
        <mc:AlternateContent>
          <mc:Choice Requires="wps">
            <w:drawing>
              <wp:anchor distT="139065" distB="1182370" distL="0" distR="0" simplePos="0" relativeHeight="125829390" behindDoc="0" locked="0" layoutInCell="1" allowOverlap="1">
                <wp:simplePos x="0" y="0"/>
                <wp:positionH relativeFrom="page">
                  <wp:posOffset>909955</wp:posOffset>
                </wp:positionH>
                <wp:positionV relativeFrom="paragraph">
                  <wp:posOffset>139065</wp:posOffset>
                </wp:positionV>
                <wp:extent cx="1496695" cy="170815"/>
                <wp:wrapTopAndBottom/>
                <wp:docPr id="672" name="Shape 672"/>
                <a:graphic xmlns:a="http://schemas.openxmlformats.org/drawingml/2006/main">
                  <a:graphicData uri="http://schemas.microsoft.com/office/word/2010/wordprocessingShape">
                    <wps:wsp>
                      <wps:cNvSpPr txBox="1"/>
                      <wps:spPr>
                        <a:xfrm>
                          <a:ext cx="1496695" cy="170815"/>
                        </a:xfrm>
                        <a:prstGeom prst="rect"/>
                        <a:noFill/>
                      </wps:spPr>
                      <wps:txbx>
                        <w:txbxContent>
                          <w:p>
                            <w:pPr>
                              <w:pStyle w:val="Style108"/>
                              <w:keepNext/>
                              <w:keepLines/>
                              <w:widowControl w:val="0"/>
                              <w:shd w:val="clear" w:color="auto" w:fill="auto"/>
                              <w:bidi w:val="0"/>
                              <w:spacing w:before="0" w:after="0" w:line="240" w:lineRule="auto"/>
                              <w:ind w:left="0" w:right="0" w:firstLine="0"/>
                              <w:jc w:val="left"/>
                            </w:pPr>
                            <w:bookmarkStart w:id="1915" w:name="bookmark1915"/>
                            <w:bookmarkStart w:id="1916" w:name="bookmark1916"/>
                            <w:bookmarkStart w:id="1917" w:name="bookmark1917"/>
                            <w:r>
                              <w:rPr>
                                <w:color w:val="000000"/>
                                <w:spacing w:val="0"/>
                                <w:w w:val="100"/>
                                <w:position w:val="0"/>
                              </w:rPr>
                              <w:t>涉及政府补助的应收款项</w:t>
                            </w:r>
                            <w:bookmarkEnd w:id="1915"/>
                            <w:bookmarkEnd w:id="1916"/>
                            <w:bookmarkEnd w:id="1917"/>
                          </w:p>
                        </w:txbxContent>
                      </wps:txbx>
                      <wps:bodyPr wrap="none" lIns="0" tIns="0" rIns="0" bIns="0">
                        <a:noAutoFit/>
                      </wps:bodyPr>
                    </wps:wsp>
                  </a:graphicData>
                </a:graphic>
              </wp:anchor>
            </w:drawing>
          </mc:Choice>
          <mc:Fallback>
            <w:pict>
              <v:shape id="_x0000_s1698" type="#_x0000_t202" style="position:absolute;margin-left:71.650000000000006pt;margin-top:10.950000000000001pt;width:117.85000000000001pt;height:13.450000000000001pt;z-index:-125829363;mso-wrap-distance-left:0;mso-wrap-distance-top:10.950000000000001pt;mso-wrap-distance-right:0;mso-wrap-distance-bottom:93.100000000000009pt;mso-position-horizontal-relative:page" filled="f" stroked="f">
                <v:textbox inset="0,0,0,0">
                  <w:txbxContent>
                    <w:p>
                      <w:pPr>
                        <w:pStyle w:val="Style108"/>
                        <w:keepNext/>
                        <w:keepLines/>
                        <w:widowControl w:val="0"/>
                        <w:shd w:val="clear" w:color="auto" w:fill="auto"/>
                        <w:bidi w:val="0"/>
                        <w:spacing w:before="0" w:after="0" w:line="240" w:lineRule="auto"/>
                        <w:ind w:left="0" w:right="0" w:firstLine="0"/>
                        <w:jc w:val="left"/>
                      </w:pPr>
                      <w:bookmarkStart w:id="1915" w:name="bookmark1915"/>
                      <w:bookmarkStart w:id="1916" w:name="bookmark1916"/>
                      <w:bookmarkStart w:id="1917" w:name="bookmark1917"/>
                      <w:r>
                        <w:rPr>
                          <w:color w:val="000000"/>
                          <w:spacing w:val="0"/>
                          <w:w w:val="100"/>
                          <w:position w:val="0"/>
                        </w:rPr>
                        <w:t>涉及政府补助的应收款项</w:t>
                      </w:r>
                      <w:bookmarkEnd w:id="1915"/>
                      <w:bookmarkEnd w:id="1916"/>
                      <w:bookmarkEnd w:id="1917"/>
                    </w:p>
                  </w:txbxContent>
                </v:textbox>
                <w10:wrap type="topAndBottom" anchorx="page"/>
              </v:shape>
            </w:pict>
          </mc:Fallback>
        </mc:AlternateContent>
      </w:r>
      <w:r>
        <mc:AlternateContent>
          <mc:Choice Requires="wps">
            <w:drawing>
              <wp:anchor distT="516890" distB="780415" distL="0" distR="0" simplePos="0" relativeHeight="125829392" behindDoc="0" locked="0" layoutInCell="1" allowOverlap="1">
                <wp:simplePos x="0" y="0"/>
                <wp:positionH relativeFrom="page">
                  <wp:posOffset>708660</wp:posOffset>
                </wp:positionH>
                <wp:positionV relativeFrom="paragraph">
                  <wp:posOffset>516890</wp:posOffset>
                </wp:positionV>
                <wp:extent cx="194945" cy="194945"/>
                <wp:wrapTopAndBottom/>
                <wp:docPr id="674" name="Shape 674"/>
                <a:graphic xmlns:a="http://schemas.openxmlformats.org/drawingml/2006/main">
                  <a:graphicData uri="http://schemas.microsoft.com/office/word/2010/wordprocessingShape">
                    <wps:wsp>
                      <wps:cNvSpPr txBox="1"/>
                      <wps:spPr>
                        <a:xfrm>
                          <a:ext cx="194945" cy="19494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w:t>
                            </w:r>
                          </w:p>
                        </w:txbxContent>
                      </wps:txbx>
                      <wps:bodyPr wrap="none" lIns="0" tIns="0" rIns="0" bIns="0">
                        <a:noAutoFit/>
                      </wps:bodyPr>
                    </wps:wsp>
                  </a:graphicData>
                </a:graphic>
              </wp:anchor>
            </w:drawing>
          </mc:Choice>
          <mc:Fallback>
            <w:pict>
              <v:shape id="_x0000_s1700" type="#_x0000_t202" style="position:absolute;margin-left:55.800000000000004pt;margin-top:40.700000000000003pt;width:15.35pt;height:15.35pt;z-index:-125829361;mso-wrap-distance-left:0;mso-wrap-distance-top:40.700000000000003pt;mso-wrap-distance-right:0;mso-wrap-distance-bottom:61.450000000000003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w:t>
                      </w:r>
                    </w:p>
                  </w:txbxContent>
                </v:textbox>
                <w10:wrap type="topAndBottom" anchorx="page"/>
              </v:shape>
            </w:pict>
          </mc:Fallback>
        </mc:AlternateContent>
      </w:r>
      <w:r>
        <mc:AlternateContent>
          <mc:Choice Requires="wps">
            <w:drawing>
              <wp:anchor distT="526415" distB="798195" distL="0" distR="0" simplePos="0" relativeHeight="125829394" behindDoc="0" locked="0" layoutInCell="1" allowOverlap="1">
                <wp:simplePos x="0" y="0"/>
                <wp:positionH relativeFrom="page">
                  <wp:posOffset>918845</wp:posOffset>
                </wp:positionH>
                <wp:positionV relativeFrom="paragraph">
                  <wp:posOffset>526415</wp:posOffset>
                </wp:positionV>
                <wp:extent cx="2426335" cy="167640"/>
                <wp:wrapTopAndBottom/>
                <wp:docPr id="676" name="Shape 676"/>
                <a:graphic xmlns:a="http://schemas.openxmlformats.org/drawingml/2006/main">
                  <a:graphicData uri="http://schemas.microsoft.com/office/word/2010/wordprocessingShape">
                    <wps:wsp>
                      <wps:cNvSpPr txBox="1"/>
                      <wps:spPr>
                        <a:xfrm>
                          <a:ext cx="2426335" cy="167640"/>
                        </a:xfrm>
                        <a:prstGeom prst="rect"/>
                        <a:noFill/>
                      </wps:spPr>
                      <wps:txbx>
                        <w:txbxContent>
                          <w:p>
                            <w:pPr>
                              <w:pStyle w:val="Style108"/>
                              <w:keepNext/>
                              <w:keepLines/>
                              <w:widowControl w:val="0"/>
                              <w:shd w:val="clear" w:color="auto" w:fill="auto"/>
                              <w:bidi w:val="0"/>
                              <w:spacing w:before="0" w:after="0" w:line="240" w:lineRule="auto"/>
                              <w:ind w:left="0" w:right="0" w:firstLine="0"/>
                              <w:jc w:val="left"/>
                            </w:pPr>
                            <w:bookmarkStart w:id="1918" w:name="bookmark1918"/>
                            <w:bookmarkStart w:id="1919" w:name="bookmark1919"/>
                            <w:bookmarkStart w:id="1920" w:name="bookmark1920"/>
                            <w:r>
                              <w:rPr>
                                <w:color w:val="000000"/>
                                <w:spacing w:val="0"/>
                                <w:w w:val="100"/>
                                <w:position w:val="0"/>
                              </w:rPr>
                              <w:t>因金融资产转移而终止确认的其他应收款</w:t>
                            </w:r>
                            <w:bookmarkEnd w:id="1918"/>
                            <w:bookmarkEnd w:id="1919"/>
                            <w:bookmarkEnd w:id="1920"/>
                          </w:p>
                        </w:txbxContent>
                      </wps:txbx>
                      <wps:bodyPr wrap="none" lIns="0" tIns="0" rIns="0" bIns="0">
                        <a:noAutoFit/>
                      </wps:bodyPr>
                    </wps:wsp>
                  </a:graphicData>
                </a:graphic>
              </wp:anchor>
            </w:drawing>
          </mc:Choice>
          <mc:Fallback>
            <w:pict>
              <v:shape id="_x0000_s1702" type="#_x0000_t202" style="position:absolute;margin-left:72.350000000000009pt;margin-top:41.450000000000003pt;width:191.05000000000001pt;height:13.200000000000001pt;z-index:-125829359;mso-wrap-distance-left:0;mso-wrap-distance-top:41.450000000000003pt;mso-wrap-distance-right:0;mso-wrap-distance-bottom:62.850000000000001pt;mso-position-horizontal-relative:page" filled="f" stroked="f">
                <v:textbox inset="0,0,0,0">
                  <w:txbxContent>
                    <w:p>
                      <w:pPr>
                        <w:pStyle w:val="Style108"/>
                        <w:keepNext/>
                        <w:keepLines/>
                        <w:widowControl w:val="0"/>
                        <w:shd w:val="clear" w:color="auto" w:fill="auto"/>
                        <w:bidi w:val="0"/>
                        <w:spacing w:before="0" w:after="0" w:line="240" w:lineRule="auto"/>
                        <w:ind w:left="0" w:right="0" w:firstLine="0"/>
                        <w:jc w:val="left"/>
                      </w:pPr>
                      <w:bookmarkStart w:id="1918" w:name="bookmark1918"/>
                      <w:bookmarkStart w:id="1919" w:name="bookmark1919"/>
                      <w:bookmarkStart w:id="1920" w:name="bookmark1920"/>
                      <w:r>
                        <w:rPr>
                          <w:color w:val="000000"/>
                          <w:spacing w:val="0"/>
                          <w:w w:val="100"/>
                          <w:position w:val="0"/>
                        </w:rPr>
                        <w:t>因金融资产转移而终止确认的其他应收款</w:t>
                      </w:r>
                      <w:bookmarkEnd w:id="1918"/>
                      <w:bookmarkEnd w:id="1919"/>
                      <w:bookmarkEnd w:id="1920"/>
                    </w:p>
                  </w:txbxContent>
                </v:textbox>
                <w10:wrap type="topAndBottom" anchorx="page"/>
              </v:shape>
            </w:pict>
          </mc:Fallback>
        </mc:AlternateContent>
      </w:r>
      <w:r>
        <mc:AlternateContent>
          <mc:Choice Requires="wps">
            <w:drawing>
              <wp:anchor distT="907415" distB="389890" distL="0" distR="0" simplePos="0" relativeHeight="125829396" behindDoc="0" locked="0" layoutInCell="1" allowOverlap="1">
                <wp:simplePos x="0" y="0"/>
                <wp:positionH relativeFrom="page">
                  <wp:posOffset>705485</wp:posOffset>
                </wp:positionH>
                <wp:positionV relativeFrom="paragraph">
                  <wp:posOffset>907415</wp:posOffset>
                </wp:positionV>
                <wp:extent cx="198120" cy="194945"/>
                <wp:wrapTopAndBottom/>
                <wp:docPr id="678" name="Shape 678"/>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txbxContent>
                      </wps:txbx>
                      <wps:bodyPr wrap="none" lIns="0" tIns="0" rIns="0" bIns="0">
                        <a:noAutoFit/>
                      </wps:bodyPr>
                    </wps:wsp>
                  </a:graphicData>
                </a:graphic>
              </wp:anchor>
            </w:drawing>
          </mc:Choice>
          <mc:Fallback>
            <w:pict>
              <v:shape id="_x0000_s1704" type="#_x0000_t202" style="position:absolute;margin-left:55.550000000000004pt;margin-top:71.450000000000003pt;width:15.6pt;height:15.35pt;z-index:-125829357;mso-wrap-distance-left:0;mso-wrap-distance-top:71.450000000000003pt;mso-wrap-distance-right:0;mso-wrap-distance-bottom:30.69999999999999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txbxContent>
                </v:textbox>
                <w10:wrap type="topAndBottom" anchorx="page"/>
              </v:shape>
            </w:pict>
          </mc:Fallback>
        </mc:AlternateContent>
      </w:r>
      <w:r>
        <mc:AlternateContent>
          <mc:Choice Requires="wps">
            <w:drawing>
              <wp:anchor distT="916305" distB="408305" distL="0" distR="0" simplePos="0" relativeHeight="125829398" behindDoc="0" locked="0" layoutInCell="1" allowOverlap="1">
                <wp:simplePos x="0" y="0"/>
                <wp:positionH relativeFrom="page">
                  <wp:posOffset>906780</wp:posOffset>
                </wp:positionH>
                <wp:positionV relativeFrom="paragraph">
                  <wp:posOffset>916305</wp:posOffset>
                </wp:positionV>
                <wp:extent cx="2974975" cy="167640"/>
                <wp:wrapTopAndBottom/>
                <wp:docPr id="680" name="Shape 680"/>
                <a:graphic xmlns:a="http://schemas.openxmlformats.org/drawingml/2006/main">
                  <a:graphicData uri="http://schemas.microsoft.com/office/word/2010/wordprocessingShape">
                    <wps:wsp>
                      <wps:cNvSpPr txBox="1"/>
                      <wps:spPr>
                        <a:xfrm>
                          <a:ext cx="2974975" cy="167640"/>
                        </a:xfrm>
                        <a:prstGeom prst="rect"/>
                        <a:noFill/>
                      </wps:spPr>
                      <wps:txbx>
                        <w:txbxContent>
                          <w:p>
                            <w:pPr>
                              <w:pStyle w:val="Style108"/>
                              <w:keepNext/>
                              <w:keepLines/>
                              <w:widowControl w:val="0"/>
                              <w:shd w:val="clear" w:color="auto" w:fill="auto"/>
                              <w:bidi w:val="0"/>
                              <w:spacing w:before="0" w:after="0" w:line="240" w:lineRule="auto"/>
                              <w:ind w:left="0" w:right="0" w:firstLine="0"/>
                              <w:jc w:val="left"/>
                            </w:pPr>
                            <w:bookmarkStart w:id="1921" w:name="bookmark1921"/>
                            <w:bookmarkStart w:id="1922" w:name="bookmark1922"/>
                            <w:bookmarkStart w:id="1923" w:name="bookmark1923"/>
                            <w:r>
                              <w:rPr>
                                <w:color w:val="000000"/>
                                <w:spacing w:val="0"/>
                                <w:w w:val="100"/>
                                <w:position w:val="0"/>
                              </w:rPr>
                              <w:t>转移其他应收款且继续涉入形成的资产、负债金额</w:t>
                            </w:r>
                            <w:bookmarkEnd w:id="1921"/>
                            <w:bookmarkEnd w:id="1922"/>
                            <w:bookmarkEnd w:id="1923"/>
                          </w:p>
                        </w:txbxContent>
                      </wps:txbx>
                      <wps:bodyPr wrap="none" lIns="0" tIns="0" rIns="0" bIns="0">
                        <a:noAutoFit/>
                      </wps:bodyPr>
                    </wps:wsp>
                  </a:graphicData>
                </a:graphic>
              </wp:anchor>
            </w:drawing>
          </mc:Choice>
          <mc:Fallback>
            <w:pict>
              <v:shape id="_x0000_s1706" type="#_x0000_t202" style="position:absolute;margin-left:71.400000000000006pt;margin-top:72.150000000000006pt;width:234.25pt;height:13.200000000000001pt;z-index:-125829355;mso-wrap-distance-left:0;mso-wrap-distance-top:72.150000000000006pt;mso-wrap-distance-right:0;mso-wrap-distance-bottom:32.149999999999999pt;mso-position-horizontal-relative:page" filled="f" stroked="f">
                <v:textbox inset="0,0,0,0">
                  <w:txbxContent>
                    <w:p>
                      <w:pPr>
                        <w:pStyle w:val="Style108"/>
                        <w:keepNext/>
                        <w:keepLines/>
                        <w:widowControl w:val="0"/>
                        <w:shd w:val="clear" w:color="auto" w:fill="auto"/>
                        <w:bidi w:val="0"/>
                        <w:spacing w:before="0" w:after="0" w:line="240" w:lineRule="auto"/>
                        <w:ind w:left="0" w:right="0" w:firstLine="0"/>
                        <w:jc w:val="left"/>
                      </w:pPr>
                      <w:bookmarkStart w:id="1921" w:name="bookmark1921"/>
                      <w:bookmarkStart w:id="1922" w:name="bookmark1922"/>
                      <w:bookmarkStart w:id="1923" w:name="bookmark1923"/>
                      <w:r>
                        <w:rPr>
                          <w:color w:val="000000"/>
                          <w:spacing w:val="0"/>
                          <w:w w:val="100"/>
                          <w:position w:val="0"/>
                        </w:rPr>
                        <w:t>转移其他应收款且继续涉入形成的资产、负债金额</w:t>
                      </w:r>
                      <w:bookmarkEnd w:id="1921"/>
                      <w:bookmarkEnd w:id="1922"/>
                      <w:bookmarkEnd w:id="1923"/>
                    </w:p>
                  </w:txbxContent>
                </v:textbox>
                <w10:wrap type="topAndBottom" anchorx="page"/>
              </v:shape>
            </w:pict>
          </mc:Fallback>
        </mc:AlternateContent>
      </w:r>
      <w:r>
        <mc:AlternateContent>
          <mc:Choice Requires="wps">
            <w:drawing>
              <wp:anchor distT="1297305" distB="0" distL="0" distR="0" simplePos="0" relativeHeight="125829400" behindDoc="0" locked="0" layoutInCell="1" allowOverlap="1">
                <wp:simplePos x="0" y="0"/>
                <wp:positionH relativeFrom="page">
                  <wp:posOffset>705485</wp:posOffset>
                </wp:positionH>
                <wp:positionV relativeFrom="paragraph">
                  <wp:posOffset>1297305</wp:posOffset>
                </wp:positionV>
                <wp:extent cx="198120" cy="194945"/>
                <wp:wrapTopAndBottom/>
                <wp:docPr id="682" name="Shape 682"/>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wps:txbx>
                      <wps:bodyPr wrap="none" lIns="0" tIns="0" rIns="0" bIns="0">
                        <a:noAutoFit/>
                      </wps:bodyPr>
                    </wps:wsp>
                  </a:graphicData>
                </a:graphic>
              </wp:anchor>
            </w:drawing>
          </mc:Choice>
          <mc:Fallback>
            <w:pict>
              <v:shape id="_x0000_s1708" type="#_x0000_t202" style="position:absolute;margin-left:55.550000000000004pt;margin-top:102.15000000000001pt;width:15.6pt;height:15.35pt;z-index:-125829353;mso-wrap-distance-left:0;mso-wrap-distance-top:102.15000000000001pt;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v:textbox>
                <w10:wrap type="topAndBottom" anchorx="page"/>
              </v:shape>
            </w:pict>
          </mc:Fallback>
        </mc:AlternateContent>
      </w:r>
      <w:r>
        <mc:AlternateContent>
          <mc:Choice Requires="wps">
            <w:drawing>
              <wp:anchor distT="1306830" distB="14605" distL="0" distR="0" simplePos="0" relativeHeight="125829402" behindDoc="0" locked="0" layoutInCell="1" allowOverlap="1">
                <wp:simplePos x="0" y="0"/>
                <wp:positionH relativeFrom="page">
                  <wp:posOffset>906780</wp:posOffset>
                </wp:positionH>
                <wp:positionV relativeFrom="paragraph">
                  <wp:posOffset>1306830</wp:posOffset>
                </wp:positionV>
                <wp:extent cx="829310" cy="170815"/>
                <wp:wrapTopAndBottom/>
                <wp:docPr id="684" name="Shape 684"/>
                <a:graphic xmlns:a="http://schemas.openxmlformats.org/drawingml/2006/main">
                  <a:graphicData uri="http://schemas.microsoft.com/office/word/2010/wordprocessingShape">
                    <wps:wsp>
                      <wps:cNvSpPr txBox="1"/>
                      <wps:spPr>
                        <a:xfrm>
                          <a:ext cx="829310" cy="17081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1924" w:name="bookmark1924"/>
                            <w:bookmarkStart w:id="1925" w:name="bookmark1925"/>
                            <w:bookmarkStart w:id="1926" w:name="bookmark1926"/>
                            <w:r>
                              <w:rPr>
                                <w:color w:val="000000"/>
                                <w:spacing w:val="0"/>
                                <w:w w:val="100"/>
                                <w:position w:val="0"/>
                              </w:rPr>
                              <w:t>长期股权投资</w:t>
                            </w:r>
                            <w:bookmarkEnd w:id="1924"/>
                            <w:bookmarkEnd w:id="1925"/>
                            <w:bookmarkEnd w:id="1926"/>
                          </w:p>
                        </w:txbxContent>
                      </wps:txbx>
                      <wps:bodyPr wrap="none" lIns="0" tIns="0" rIns="0" bIns="0">
                        <a:noAutoFit/>
                      </wps:bodyPr>
                    </wps:wsp>
                  </a:graphicData>
                </a:graphic>
              </wp:anchor>
            </w:drawing>
          </mc:Choice>
          <mc:Fallback>
            <w:pict>
              <v:shape id="_x0000_s1710" type="#_x0000_t202" style="position:absolute;margin-left:71.400000000000006pt;margin-top:102.90000000000001pt;width:65.299999999999997pt;height:13.450000000000001pt;z-index:-125829351;mso-wrap-distance-left:0;mso-wrap-distance-top:102.90000000000001pt;mso-wrap-distance-right:0;mso-wrap-distance-bottom:1.1500000000000001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1924" w:name="bookmark1924"/>
                      <w:bookmarkStart w:id="1925" w:name="bookmark1925"/>
                      <w:bookmarkStart w:id="1926" w:name="bookmark1926"/>
                      <w:r>
                        <w:rPr>
                          <w:color w:val="000000"/>
                          <w:spacing w:val="0"/>
                          <w:w w:val="100"/>
                          <w:position w:val="0"/>
                        </w:rPr>
                        <w:t>长期股权投资</w:t>
                      </w:r>
                      <w:bookmarkEnd w:id="1924"/>
                      <w:bookmarkEnd w:id="1925"/>
                      <w:bookmarkEnd w:id="1926"/>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2203"/>
        <w:gridCol w:w="1555"/>
        <w:gridCol w:w="1550"/>
        <w:gridCol w:w="1613"/>
        <w:gridCol w:w="1622"/>
      </w:tblGrid>
      <w:tr>
        <w:trPr>
          <w:trHeight w:val="955"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合并范围内子公司往来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299,048,155.70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合并范围内子公司往来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293,509,000.00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合并范围内子公司往来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187,885,388.90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合并范围内子公司往来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51,474,883.39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合并范围内子公司往来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11,109,396.68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843,026,824.67</w:t>
            </w:r>
          </w:p>
        </w:tc>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36"/>
        <w:gridCol w:w="1051"/>
        <w:gridCol w:w="1517"/>
        <w:gridCol w:w="1522"/>
        <w:gridCol w:w="1080"/>
        <w:gridCol w:w="1502"/>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账面价值</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1,784,088,921.67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1,784,088,921.67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1,527,798,921.67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1,527,798,921.67</w:t>
            </w:r>
          </w:p>
        </w:tc>
      </w:tr>
      <w:tr>
        <w:trPr>
          <w:trHeight w:val="638"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10,313,524.94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10,313,524.94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9,506,421.98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9,506,421.98</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1,794,402,446.61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1,794,402,446.61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1,537,305,343.65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1,537,305,343.65</w:t>
            </w: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14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98"/>
      <w:bookmarkEnd w:id="1999"/>
      <w:bookmarkEnd w:id="20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1531"/>
        <w:gridCol w:w="1430"/>
        <w:gridCol w:w="499"/>
        <w:gridCol w:w="1022"/>
        <w:gridCol w:w="571"/>
        <w:gridCol w:w="1498"/>
        <w:gridCol w:w="931"/>
      </w:tblGrid>
      <w:tr>
        <w:trPr>
          <w:trHeight w:val="331"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减 少 投 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3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浙江万马高分子材料集 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384,455,307.04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384,455,307.04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77"/>
          <w:footerReference w:type="default" r:id="rId278"/>
          <w:headerReference w:type="even" r:id="rId279"/>
          <w:footerReference w:type="even" r:id="rId280"/>
          <w:headerReference w:type="first" r:id="rId281"/>
          <w:footerReference w:type="first" r:id="rId282"/>
          <w:footnotePr>
            <w:pos w:val="pageBottom"/>
            <w:numFmt w:val="decimal"/>
            <w:numRestart w:val="continuous"/>
          </w:footnotePr>
          <w:pgSz w:w="11900" w:h="16840"/>
          <w:pgMar w:top="1695" w:right="1088" w:bottom="1465" w:left="1092" w:header="0" w:footer="3" w:gutter="0"/>
          <w:cols w:space="720"/>
          <w:noEndnote/>
          <w:titlePg/>
          <w:rtlGutter w:val="0"/>
          <w:docGrid w:linePitch="360"/>
        </w:sectPr>
      </w:pPr>
    </w:p>
    <w:tbl>
      <w:tblPr>
        <w:tblOverlap w:val="never"/>
        <w:jc w:val="center"/>
        <w:tblLayout w:type="fixed"/>
      </w:tblPr>
      <w:tblGrid>
        <w:gridCol w:w="2098"/>
        <w:gridCol w:w="1531"/>
        <w:gridCol w:w="1430"/>
        <w:gridCol w:w="499"/>
        <w:gridCol w:w="1022"/>
        <w:gridCol w:w="571"/>
        <w:gridCol w:w="1498"/>
        <w:gridCol w:w="931"/>
      </w:tblGrid>
      <w:tr>
        <w:trPr>
          <w:trHeight w:val="63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浙江万马天屹通信线缆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107,483,914.43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157,483,914.43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浙江万马集团特种电子</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香港骐骥国际发展有限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39,688,210.20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39,688,210.20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浙江万马专用线缆科技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33,662,415.00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39,952,415.00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浙江万马家装有限公司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Optrum Technology LLC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8,109,075.00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8,109,075.00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万马奔腾新能源产业集 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杭州以田科技有限公司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浙江骏业科创科技有限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1,527,798,921.67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256,290,000.00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1,784,088,921.67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9"/>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01"/>
      <w:bookmarkEnd w:id="2002"/>
      <w:bookmarkEnd w:id="20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gridSpan w:val="1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5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浙江电 腾云光 伏科技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9,506,4</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807,10</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10,313,</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524.94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9,506,4</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807,10</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10,313,</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524.94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9,506,4</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807,10</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10,313,</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524.94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、营业收入和营业成本</w:t>
      </w:r>
      <w:bookmarkEnd w:id="2004"/>
      <w:bookmarkEnd w:id="2005"/>
      <w:bookmarkEnd w:id="20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326"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bottom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right w:val="single" w:sz="4"/>
            </w:tcBorders>
            <w:shd w:val="clear" w:color="auto" w:fill="D4D4D4"/>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2002"/>
        <w:gridCol w:w="1834"/>
        <w:gridCol w:w="1915"/>
        <w:gridCol w:w="1910"/>
        <w:gridCol w:w="1925"/>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5,403,509,256.39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4,719,631,485.54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6,048,155,697.59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5,208,791,995.28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90,080,912.19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68,009,063.05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126,144,074.52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110,901,023.70</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5,493,590,168.58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4,787,640,548.59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6,174,299,772.11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5,319,693,018.98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5,493,590,168.58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5,403,509,256.39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5,403,509,256.39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90,080,912.19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90,080,912.19</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5,493,590,168.58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2,466,758,360.40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2,466,758,360.40</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582,114,990.11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582,114,990.11</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719,644,978.78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719,644,978.78</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874,999,784.56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874,999,784.56</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850,072,054.73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850,072,054.73</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5,493,590,168.58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5,493,590,168.58</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、投资收益</w:t>
      </w:r>
      <w:bookmarkEnd w:id="2008"/>
      <w:bookmarkEnd w:id="2009"/>
      <w:bookmarkEnd w:id="20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118,795,572.80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807,102.96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38,649.88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套期投资收益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1,197,109.70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2,629,265.00</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3,084,409.56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3,371,099.21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-687,039.60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-541,148.89</w:t>
            </w:r>
          </w:p>
        </w:tc>
      </w:tr>
      <w:tr>
        <w:trPr>
          <w:trHeight w:val="326" w:hRule="exact"/>
        </w:trPr>
        <w:tc>
          <w:tcPr>
            <w:tcBorders>
              <w:top w:val="single" w:sz="4"/>
              <w:left w:val="single" w:sz="4"/>
              <w:bottom w:val="single" w:sz="4"/>
            </w:tcBorders>
            <w:shd w:val="clear" w:color="auto" w:fill="D4D4D4"/>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123,197,155.42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5,497,865.20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012" w:name="bookmark2012"/>
      <w:bookmarkStart w:id="2013" w:name="bookmark2013"/>
      <w:bookmarkStart w:id="2014" w:name="bookmark2014"/>
      <w:r>
        <w:rPr>
          <w:color w:val="000000"/>
          <w:spacing w:val="0"/>
          <w:w w:val="100"/>
          <w:position w:val="0"/>
          <w:sz w:val="24"/>
          <w:szCs w:val="24"/>
        </w:rPr>
        <w:t>十八、补充资料</w:t>
      </w:r>
      <w:bookmarkEnd w:id="2012"/>
      <w:bookmarkEnd w:id="2013"/>
      <w:bookmarkEnd w:id="2014"/>
    </w:p>
    <w:p>
      <w:pPr>
        <w:pStyle w:val="Style34"/>
        <w:keepNext/>
        <w:keepLines/>
        <w:widowControl w:val="0"/>
        <w:shd w:val="clear" w:color="auto" w:fill="auto"/>
        <w:bidi w:val="0"/>
        <w:spacing w:before="0" w:after="360" w:line="240" w:lineRule="auto"/>
        <w:ind w:left="0" w:right="0" w:firstLine="0"/>
        <w:jc w:val="left"/>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15"/>
      <w:bookmarkEnd w:id="2016"/>
      <w:bookmarkEnd w:id="201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0"/>
        <w:gridCol w:w="1570"/>
        <w:gridCol w:w="2251"/>
      </w:tblGrid>
      <w:tr>
        <w:trPr>
          <w:trHeight w:val="408"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-2,239,775.42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系处置固定资产损失</w:t>
            </w:r>
          </w:p>
        </w:tc>
      </w:tr>
      <w:tr>
        <w:trPr>
          <w:trHeight w:val="710"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47,304,502.31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9,727,185.73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系银行理财收益</w:t>
            </w:r>
          </w:p>
        </w:tc>
      </w:tr>
    </w:tbl>
    <w:p>
      <w:pPr>
        <w:widowControl w:val="0"/>
        <w:spacing w:line="1" w:lineRule="exact"/>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695" w:right="1088" w:bottom="1465" w:left="1092" w:header="0" w:footer="3" w:gutter="0"/>
          <w:cols w:space="720"/>
          <w:noEndnote/>
          <w:titlePg/>
          <w:rtlGutter w:val="0"/>
          <w:docGrid w:linePitch="360"/>
        </w:sectPr>
      </w:pPr>
    </w:p>
    <w:tbl>
      <w:tblPr>
        <w:tblOverlap w:val="never"/>
        <w:jc w:val="center"/>
        <w:tblLayout w:type="fixed"/>
      </w:tblPr>
      <w:tblGrid>
        <w:gridCol w:w="5760"/>
        <w:gridCol w:w="1570"/>
        <w:gridCol w:w="2251"/>
      </w:tblGrid>
      <w:tr>
        <w:trPr>
          <w:trHeight w:val="1651"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除同公司正常经营业务相关的有效套期保值业务外，持有交易性金融资 产、衍生金融资产、交易性金融负债、衍生金融负债产生的公允价值变 动损益，以及处置交易性金融资产、衍生金融资产、交易性金融负债、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公司开展套期保值业务， 期货价格波动超出现货价 格波动列入套保无效部分 及开展远期结购汇公允价 值变动和交割收益</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1,130,427.99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4,218,539.57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121,530.56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51,585,542.99</w:t>
            </w:r>
          </w:p>
        </w:tc>
        <w:tc>
          <w:tcPr>
            <w:tcBorders>
              <w:top w:val="single" w:sz="4"/>
              <w:left w:val="single" w:sz="4"/>
              <w:bottom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公司开展套期保值业务，期货价格波动超出现货价格波</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动列入套保无效部分及开展远期结购汇公允价值变动和</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交割收益</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18"/>
      <w:bookmarkEnd w:id="2019"/>
      <w:bookmarkEnd w:id="2020"/>
    </w:p>
    <w:tbl>
      <w:tblPr>
        <w:tblOverlap w:val="never"/>
        <w:jc w:val="center"/>
        <w:tblLayout w:type="fixed"/>
      </w:tblPr>
      <w:tblGrid>
        <w:gridCol w:w="4450"/>
        <w:gridCol w:w="1301"/>
        <w:gridCol w:w="1910"/>
        <w:gridCol w:w="1920"/>
      </w:tblGrid>
      <w:tr>
        <w:trPr>
          <w:trHeight w:val="408" w:hRule="exact"/>
        </w:trPr>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加权平均净资 产收益率</w:t>
            </w:r>
          </w:p>
        </w:tc>
        <w:tc>
          <w:tcPr>
            <w:gridSpan w:val="2"/>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r>
      <w:tr>
        <w:trPr>
          <w:trHeight w:val="403" w:hRule="exact"/>
        </w:trPr>
        <w:tc>
          <w:tcPr>
            <w:tcBorders>
              <w:top w:val="single" w:sz="4"/>
              <w:left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0.2154</w:t>
            </w:r>
          </w:p>
        </w:tc>
      </w:tr>
      <w:tr>
        <w:trPr>
          <w:trHeight w:val="403" w:hRule="exact"/>
        </w:trPr>
        <w:tc>
          <w:tcPr>
            <w:tcBorders>
              <w:top w:val="single" w:sz="4"/>
              <w:left w:val="single" w:sz="4"/>
              <w:bottom w:val="single" w:sz="4"/>
            </w:tcBorders>
            <w:shd w:val="clear" w:color="auto" w:fill="D4D4D4"/>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0.1656</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3</w:t>
      </w:r>
      <w:bookmarkEnd w:id="2023"/>
      <w:r>
        <w:rPr>
          <w:color w:val="000000"/>
          <w:spacing w:val="0"/>
          <w:w w:val="100"/>
          <w:position w:val="0"/>
        </w:rPr>
        <w:t>、境内外会计准则下会计数据差异</w:t>
      </w:r>
      <w:bookmarkEnd w:id="2021"/>
      <w:bookmarkEnd w:id="2022"/>
      <w:bookmarkEnd w:id="2024"/>
    </w:p>
    <w:p>
      <w:pPr>
        <w:pStyle w:val="Style59"/>
        <w:keepNext/>
        <w:keepLines/>
        <w:widowControl w:val="0"/>
        <w:numPr>
          <w:ilvl w:val="0"/>
          <w:numId w:val="123"/>
        </w:numPr>
        <w:shd w:val="clear" w:color="auto" w:fill="auto"/>
        <w:tabs>
          <w:tab w:pos="493" w:val="left"/>
        </w:tabs>
        <w:bidi w:val="0"/>
        <w:spacing w:before="0" w:after="380" w:line="322" w:lineRule="exact"/>
        <w:ind w:left="0" w:right="0" w:firstLine="0"/>
        <w:jc w:val="left"/>
      </w:pPr>
      <w:bookmarkStart w:id="2025" w:name="bookmark2025"/>
      <w:bookmarkStart w:id="2026" w:name="bookmark2026"/>
      <w:bookmarkStart w:id="2027" w:name="bookmark2027"/>
      <w:bookmarkStart w:id="2028" w:name="bookmark2028"/>
      <w:bookmarkEnd w:id="2027"/>
      <w:r>
        <w:rPr>
          <w:color w:val="000000"/>
          <w:spacing w:val="0"/>
          <w:w w:val="100"/>
          <w:position w:val="0"/>
        </w:rPr>
        <w:t>同时按照国际会计准则与按中国会计准则披露的财务报告中净利润和净资产差异情况</w:t>
      </w:r>
      <w:bookmarkEnd w:id="2025"/>
      <w:bookmarkEnd w:id="2026"/>
      <w:bookmarkEnd w:id="2028"/>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123"/>
        </w:numPr>
        <w:shd w:val="clear" w:color="auto" w:fill="auto"/>
        <w:tabs>
          <w:tab w:pos="493" w:val="left"/>
        </w:tabs>
        <w:bidi w:val="0"/>
        <w:spacing w:before="0" w:after="380" w:line="322" w:lineRule="exact"/>
        <w:ind w:left="0" w:right="0" w:firstLine="0"/>
        <w:jc w:val="left"/>
      </w:pPr>
      <w:bookmarkStart w:id="2029" w:name="bookmark2029"/>
      <w:bookmarkStart w:id="2030" w:name="bookmark2030"/>
      <w:bookmarkStart w:id="2031" w:name="bookmark2031"/>
      <w:bookmarkStart w:id="2032" w:name="bookmark2032"/>
      <w:bookmarkEnd w:id="2031"/>
      <w:r>
        <w:rPr>
          <w:color w:val="000000"/>
          <w:spacing w:val="0"/>
          <w:w w:val="100"/>
          <w:position w:val="0"/>
        </w:rPr>
        <w:t>同时按照境外会计准则与按中国会计准则披露的财务报告中净利润和净资产差异情况</w:t>
      </w:r>
      <w:bookmarkEnd w:id="2029"/>
      <w:bookmarkEnd w:id="2030"/>
      <w:bookmarkEnd w:id="2032"/>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123"/>
        </w:numPr>
        <w:shd w:val="clear" w:color="auto" w:fill="auto"/>
        <w:tabs>
          <w:tab w:pos="589" w:val="left"/>
        </w:tabs>
        <w:bidi w:val="0"/>
        <w:spacing w:before="0" w:after="320" w:line="322" w:lineRule="exact"/>
        <w:ind w:left="0" w:right="0" w:firstLine="0"/>
        <w:jc w:val="left"/>
      </w:pPr>
      <w:bookmarkStart w:id="2033" w:name="bookmark2033"/>
      <w:bookmarkStart w:id="2034" w:name="bookmark2034"/>
      <w:bookmarkStart w:id="2035" w:name="bookmark2035"/>
      <w:bookmarkStart w:id="2036" w:name="bookmark2036"/>
      <w:bookmarkEnd w:id="2035"/>
      <w:r>
        <w:rPr>
          <w:color w:val="000000"/>
          <w:spacing w:val="0"/>
          <w:w w:val="100"/>
          <w:position w:val="0"/>
        </w:rPr>
        <w:t>境内外会计准则下会计数据差异原因说明，对已经境外审计机构审计的数据进行差异调节的，应注 明该境外机构的名称</w:t>
      </w:r>
      <w:bookmarkEnd w:id="2033"/>
      <w:bookmarkEnd w:id="2034"/>
      <w:bookmarkEnd w:id="2036"/>
    </w:p>
    <w:p>
      <w:pPr>
        <w:pStyle w:val="Style34"/>
        <w:keepNext/>
        <w:keepLines/>
        <w:widowControl w:val="0"/>
        <w:shd w:val="clear" w:color="auto" w:fill="auto"/>
        <w:bidi w:val="0"/>
        <w:spacing w:before="0" w:after="320" w:line="322" w:lineRule="exact"/>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4</w:t>
      </w:r>
      <w:bookmarkEnd w:id="2039"/>
      <w:r>
        <w:rPr>
          <w:color w:val="000000"/>
          <w:spacing w:val="0"/>
          <w:w w:val="100"/>
          <w:position w:val="0"/>
        </w:rPr>
        <w:t>、其他</w:t>
      </w:r>
      <w:bookmarkEnd w:id="2037"/>
      <w:bookmarkEnd w:id="2038"/>
      <w:bookmarkEnd w:id="2040"/>
    </w:p>
    <w:p>
      <w:pPr>
        <w:pStyle w:val="Style9"/>
        <w:keepNext/>
        <w:keepLines/>
        <w:widowControl w:val="0"/>
        <w:shd w:val="clear" w:color="auto" w:fill="auto"/>
        <w:bidi w:val="0"/>
        <w:spacing w:before="0" w:after="400" w:line="240" w:lineRule="auto"/>
        <w:ind w:left="0" w:right="0" w:firstLine="0"/>
        <w:jc w:val="center"/>
      </w:pPr>
      <w:bookmarkStart w:id="2041" w:name="bookmark2041"/>
      <w:bookmarkStart w:id="2042" w:name="bookmark2042"/>
      <w:bookmarkStart w:id="2043" w:name="bookmark2043"/>
      <w:bookmarkStart w:id="2044" w:name="bookmark2044"/>
      <w:r>
        <w:rPr>
          <w:color w:val="000000"/>
          <w:spacing w:val="0"/>
          <w:w w:val="100"/>
          <w:position w:val="0"/>
        </w:rPr>
        <w:t>第十三节备查文件目录</w:t>
      </w:r>
      <w:bookmarkEnd w:id="2042"/>
      <w:bookmarkEnd w:id="2043"/>
      <w:bookmarkEnd w:id="2044"/>
      <w:bookmarkEnd w:id="2041"/>
    </w:p>
    <w:p>
      <w:pPr>
        <w:pStyle w:val="Style38"/>
        <w:keepNext w:val="0"/>
        <w:keepLines w:val="0"/>
        <w:widowControl w:val="0"/>
        <w:shd w:val="clear" w:color="auto" w:fill="auto"/>
        <w:tabs>
          <w:tab w:pos="469" w:val="left"/>
        </w:tabs>
        <w:bidi w:val="0"/>
        <w:spacing w:before="0" w:after="0" w:line="475" w:lineRule="exact"/>
        <w:ind w:left="0" w:right="0" w:firstLine="0"/>
        <w:jc w:val="left"/>
      </w:pPr>
      <w:bookmarkStart w:id="2045" w:name="bookmark2045"/>
      <w:r>
        <w:rPr>
          <w:color w:val="000000"/>
          <w:spacing w:val="0"/>
          <w:w w:val="100"/>
          <w:position w:val="0"/>
        </w:rPr>
        <w:t>一</w:t>
      </w:r>
      <w:bookmarkEnd w:id="2045"/>
      <w:r>
        <w:rPr>
          <w:color w:val="000000"/>
          <w:spacing w:val="0"/>
          <w:w w:val="100"/>
          <w:position w:val="0"/>
        </w:rPr>
        <w:t>、</w:t>
        <w:tab/>
        <w:t>载有公司负责人、主管会计工作负责人、会计机构负责人签名并盖章的财务报表。</w:t>
      </w:r>
    </w:p>
    <w:p>
      <w:pPr>
        <w:pStyle w:val="Style38"/>
        <w:keepNext w:val="0"/>
        <w:keepLines w:val="0"/>
        <w:widowControl w:val="0"/>
        <w:shd w:val="clear" w:color="auto" w:fill="auto"/>
        <w:tabs>
          <w:tab w:pos="469" w:val="left"/>
        </w:tabs>
        <w:bidi w:val="0"/>
        <w:spacing w:before="0" w:after="0" w:line="475" w:lineRule="exact"/>
        <w:ind w:left="0" w:right="0" w:firstLine="0"/>
        <w:jc w:val="left"/>
      </w:pPr>
      <w:bookmarkStart w:id="2046" w:name="bookmark2046"/>
      <w:r>
        <w:rPr>
          <w:color w:val="000000"/>
          <w:spacing w:val="0"/>
          <w:w w:val="100"/>
          <w:position w:val="0"/>
        </w:rPr>
        <w:t>二</w:t>
      </w:r>
      <w:bookmarkEnd w:id="2046"/>
      <w:r>
        <w:rPr>
          <w:color w:val="000000"/>
          <w:spacing w:val="0"/>
          <w:w w:val="100"/>
          <w:position w:val="0"/>
        </w:rPr>
        <w:t>、</w:t>
        <w:tab/>
        <w:t>载有会计师事务所盖章、注册会计师签名并盖章的审计报告原件。</w:t>
      </w:r>
    </w:p>
    <w:p>
      <w:pPr>
        <w:pStyle w:val="Style38"/>
        <w:keepNext w:val="0"/>
        <w:keepLines w:val="0"/>
        <w:widowControl w:val="0"/>
        <w:shd w:val="clear" w:color="auto" w:fill="auto"/>
        <w:tabs>
          <w:tab w:pos="474" w:val="left"/>
        </w:tabs>
        <w:bidi w:val="0"/>
        <w:spacing w:before="0" w:after="0" w:line="475" w:lineRule="exact"/>
        <w:ind w:left="0" w:right="0" w:firstLine="0"/>
        <w:jc w:val="left"/>
      </w:pPr>
      <w:bookmarkStart w:id="2047" w:name="bookmark2047"/>
      <w:r>
        <w:rPr>
          <w:color w:val="000000"/>
          <w:spacing w:val="0"/>
          <w:w w:val="100"/>
          <w:position w:val="0"/>
        </w:rPr>
        <w:t>三</w:t>
      </w:r>
      <w:bookmarkEnd w:id="2047"/>
      <w:r>
        <w:rPr>
          <w:color w:val="000000"/>
          <w:spacing w:val="0"/>
          <w:w w:val="100"/>
          <w:position w:val="0"/>
        </w:rPr>
        <w:t>、</w:t>
        <w:tab/>
        <w:t>报告期内在中国证监会指定网站上公开披露过的所有文件正本及公告的原稿。</w:t>
      </w:r>
    </w:p>
    <w:p>
      <w:pPr>
        <w:pStyle w:val="Style38"/>
        <w:keepNext w:val="0"/>
        <w:keepLines w:val="0"/>
        <w:widowControl w:val="0"/>
        <w:shd w:val="clear" w:color="auto" w:fill="auto"/>
        <w:tabs>
          <w:tab w:pos="474" w:val="left"/>
        </w:tabs>
        <w:bidi w:val="0"/>
        <w:spacing w:before="0" w:after="0" w:line="475" w:lineRule="exact"/>
        <w:ind w:left="0" w:right="0" w:firstLine="0"/>
        <w:jc w:val="left"/>
      </w:pPr>
      <w:bookmarkStart w:id="2048" w:name="bookmark2048"/>
      <w:r>
        <w:rPr>
          <w:color w:val="000000"/>
          <w:spacing w:val="0"/>
          <w:w w:val="100"/>
          <w:position w:val="0"/>
        </w:rPr>
        <w:t>四</w:t>
      </w:r>
      <w:bookmarkEnd w:id="2048"/>
      <w:r>
        <w:rPr>
          <w:color w:val="000000"/>
          <w:spacing w:val="0"/>
          <w:w w:val="100"/>
          <w:position w:val="0"/>
        </w:rPr>
        <w:t>、</w:t>
        <w:tab/>
        <w:t>载有法定代表人签名的2020年年度报告文本原件。</w:t>
      </w:r>
    </w:p>
    <w:p>
      <w:pPr>
        <w:pStyle w:val="Style38"/>
        <w:keepNext w:val="0"/>
        <w:keepLines w:val="0"/>
        <w:widowControl w:val="0"/>
        <w:shd w:val="clear" w:color="auto" w:fill="auto"/>
        <w:tabs>
          <w:tab w:pos="474" w:val="left"/>
        </w:tabs>
        <w:bidi w:val="0"/>
        <w:spacing w:before="0" w:after="1680" w:line="475" w:lineRule="exact"/>
        <w:ind w:left="0" w:right="0" w:firstLine="0"/>
        <w:jc w:val="left"/>
      </w:pPr>
      <w:bookmarkStart w:id="2049" w:name="bookmark2049"/>
      <w:r>
        <w:rPr>
          <w:color w:val="000000"/>
          <w:spacing w:val="0"/>
          <w:w w:val="100"/>
          <w:position w:val="0"/>
        </w:rPr>
        <w:t>五</w:t>
      </w:r>
      <w:bookmarkEnd w:id="2049"/>
      <w:r>
        <w:rPr>
          <w:color w:val="000000"/>
          <w:spacing w:val="0"/>
          <w:w w:val="100"/>
          <w:position w:val="0"/>
        </w:rPr>
        <w:t>、</w:t>
        <w:tab/>
        <w:t>以上备查文件的备置地点：浙江省杭州市临安区青山湖街道科技大道2159号万马创新园办公楼公司 董秘办。</w:t>
      </w:r>
    </w:p>
    <w:p>
      <w:pPr>
        <w:pStyle w:val="Style38"/>
        <w:keepNext w:val="0"/>
        <w:keepLines w:val="0"/>
        <w:widowControl w:val="0"/>
        <w:shd w:val="clear" w:color="auto" w:fill="auto"/>
        <w:bidi w:val="0"/>
        <w:spacing w:before="0" w:after="260" w:line="240" w:lineRule="auto"/>
        <w:ind w:left="6640" w:right="0" w:firstLine="0"/>
        <w:jc w:val="left"/>
      </w:pPr>
      <w:r>
        <w:rPr>
          <w:color w:val="000000"/>
          <w:spacing w:val="0"/>
          <w:w w:val="100"/>
          <w:position w:val="0"/>
        </w:rPr>
        <w:t>浙江万马股份有限公司</w:t>
      </w:r>
    </w:p>
    <w:p>
      <w:pPr>
        <w:pStyle w:val="Style38"/>
        <w:keepNext w:val="0"/>
        <w:keepLines w:val="0"/>
        <w:widowControl w:val="0"/>
        <w:shd w:val="clear" w:color="auto" w:fill="auto"/>
        <w:bidi w:val="0"/>
        <w:spacing w:before="0" w:after="260" w:line="240" w:lineRule="auto"/>
        <w:ind w:left="6740" w:right="0" w:firstLine="0"/>
        <w:jc w:val="left"/>
      </w:pPr>
      <w:r>
        <w:rPr>
          <w:color w:val="000000"/>
          <w:spacing w:val="0"/>
          <w:w w:val="100"/>
          <w:position w:val="0"/>
        </w:rPr>
        <w:t>法定代表人：孟宪洪</w:t>
      </w:r>
    </w:p>
    <w:p>
      <w:pPr>
        <w:pStyle w:val="Style38"/>
        <w:keepNext w:val="0"/>
        <w:keepLines w:val="0"/>
        <w:widowControl w:val="0"/>
        <w:shd w:val="clear" w:color="auto" w:fill="auto"/>
        <w:bidi w:val="0"/>
        <w:spacing w:before="0" w:line="240" w:lineRule="auto"/>
        <w:ind w:left="0" w:right="600" w:firstLine="0"/>
        <w:jc w:val="right"/>
      </w:pPr>
      <w:r>
        <w:rPr>
          <w:color w:val="000000"/>
          <w:spacing w:val="0"/>
          <w:w w:val="100"/>
          <w:position w:val="0"/>
        </w:rPr>
        <w:t>二。二一年四月二十九日</w:t>
      </w:r>
    </w:p>
    <w:sectPr>
      <w:headerReference w:type="default" r:id="rId289"/>
      <w:footerReference w:type="default" r:id="rId290"/>
      <w:headerReference w:type="even" r:id="rId291"/>
      <w:footerReference w:type="even" r:id="rId292"/>
      <w:footnotePr>
        <w:pos w:val="pageBottom"/>
        <w:numFmt w:val="decimal"/>
        <w:numRestart w:val="continuous"/>
      </w:footnotePr>
      <w:type w:val="continuous"/>
      <w:pgSz w:w="11900" w:h="16840"/>
      <w:pgMar w:top="1695" w:right="1088" w:bottom="1465" w:left="109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3278505</wp:posOffset>
              </wp:positionH>
              <wp:positionV relativeFrom="page">
                <wp:posOffset>9952355</wp:posOffset>
              </wp:positionV>
              <wp:extent cx="990600" cy="106680"/>
              <wp:wrapNone/>
              <wp:docPr id="11" name="Shape 1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1</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216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37" type="#_x0000_t202" style="position:absolute;margin-left:258.14999999999998pt;margin-top:783.64999999999998pt;width:78.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1</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216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723265</wp:posOffset>
              </wp:positionH>
              <wp:positionV relativeFrom="page">
                <wp:posOffset>9692005</wp:posOffset>
              </wp:positionV>
              <wp:extent cx="3770630" cy="457200"/>
              <wp:wrapNone/>
              <wp:docPr id="52" name="Shape 52"/>
              <a:graphic xmlns:a="http://schemas.openxmlformats.org/drawingml/2006/main">
                <a:graphicData uri="http://schemas.microsoft.com/office/word/2010/wordprocessingShape">
                  <wps:wsp>
                    <wps:cNvSpPr txBox="1"/>
                    <wps:spPr>
                      <a:xfrm>
                        <a:ext cx="3770630" cy="457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FFFFFF"/>
                              <w:vertAlign w:val="superscript"/>
                            </w:rPr>
                            <w:t>2</w:t>
                          </w:r>
                          <w:r>
                            <w:rPr>
                              <w:rFonts w:ascii="SimSun" w:eastAsia="SimSun" w:hAnsi="SimSun" w:cs="SimSun"/>
                              <w:color w:val="000000"/>
                              <w:spacing w:val="0"/>
                              <w:w w:val="100"/>
                              <w:position w:val="0"/>
                              <w:sz w:val="18"/>
                              <w:szCs w:val="18"/>
                              <w:shd w:val="clear" w:color="auto" w:fill="FFFFFF"/>
                            </w:rPr>
                            <w:t>前瞻产业研究院：《</w:t>
                          </w:r>
                          <w:r>
                            <w:rPr>
                              <w:color w:val="000000"/>
                              <w:spacing w:val="0"/>
                              <w:w w:val="100"/>
                              <w:position w:val="0"/>
                              <w:sz w:val="18"/>
                              <w:szCs w:val="18"/>
                              <w:shd w:val="clear" w:color="auto" w:fill="FFFFFF"/>
                            </w:rPr>
                            <w:t>2019</w:t>
                          </w:r>
                          <w:r>
                            <w:rPr>
                              <w:rFonts w:ascii="SimSun" w:eastAsia="SimSun" w:hAnsi="SimSun" w:cs="SimSun"/>
                              <w:color w:val="000000"/>
                              <w:spacing w:val="0"/>
                              <w:w w:val="100"/>
                              <w:position w:val="0"/>
                              <w:sz w:val="18"/>
                              <w:szCs w:val="18"/>
                              <w:shd w:val="clear" w:color="auto" w:fill="FFFFFF"/>
                            </w:rPr>
                            <w:t>年中国电线电缆行业市场竞争格局及发展趋势》。</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9</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78" type="#_x0000_t202" style="position:absolute;margin-left:56.950000000000003pt;margin-top:763.14999999999998pt;width:296.90000000000003pt;height:36.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FFFFFF"/>
                        <w:vertAlign w:val="superscript"/>
                      </w:rPr>
                      <w:t>2</w:t>
                    </w:r>
                    <w:r>
                      <w:rPr>
                        <w:rFonts w:ascii="SimSun" w:eastAsia="SimSun" w:hAnsi="SimSun" w:cs="SimSun"/>
                        <w:color w:val="000000"/>
                        <w:spacing w:val="0"/>
                        <w:w w:val="100"/>
                        <w:position w:val="0"/>
                        <w:sz w:val="18"/>
                        <w:szCs w:val="18"/>
                        <w:shd w:val="clear" w:color="auto" w:fill="FFFFFF"/>
                      </w:rPr>
                      <w:t>前瞻产业研究院：《</w:t>
                    </w:r>
                    <w:r>
                      <w:rPr>
                        <w:color w:val="000000"/>
                        <w:spacing w:val="0"/>
                        <w:w w:val="100"/>
                        <w:position w:val="0"/>
                        <w:sz w:val="18"/>
                        <w:szCs w:val="18"/>
                        <w:shd w:val="clear" w:color="auto" w:fill="FFFFFF"/>
                      </w:rPr>
                      <w:t>2019</w:t>
                    </w:r>
                    <w:r>
                      <w:rPr>
                        <w:rFonts w:ascii="SimSun" w:eastAsia="SimSun" w:hAnsi="SimSun" w:cs="SimSun"/>
                        <w:color w:val="000000"/>
                        <w:spacing w:val="0"/>
                        <w:w w:val="100"/>
                        <w:position w:val="0"/>
                        <w:sz w:val="18"/>
                        <w:szCs w:val="18"/>
                        <w:shd w:val="clear" w:color="auto" w:fill="FFFFFF"/>
                      </w:rPr>
                      <w:t>年中国电线电缆行业市场竞争格局及发展趋势》。</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9</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3296285</wp:posOffset>
              </wp:positionH>
              <wp:positionV relativeFrom="page">
                <wp:posOffset>9952355</wp:posOffset>
              </wp:positionV>
              <wp:extent cx="960120" cy="106680"/>
              <wp:wrapNone/>
              <wp:docPr id="518" name="Shape 51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44" type="#_x0000_t202" style="position:absolute;margin-left:259.55000000000001pt;margin-top:783.64999999999998pt;width:75.600000000000009pt;height:8.4000000000000004pt;z-index:-1887436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3270885</wp:posOffset>
              </wp:positionH>
              <wp:positionV relativeFrom="page">
                <wp:posOffset>9952355</wp:posOffset>
              </wp:positionV>
              <wp:extent cx="1017905" cy="106680"/>
              <wp:wrapNone/>
              <wp:docPr id="523" name="Shape 52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49" type="#_x0000_t202" style="position:absolute;margin-left:257.55000000000001pt;margin-top:783.64999999999998pt;width:80.150000000000006pt;height:8.4000000000000004pt;z-index:-18874365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3270885</wp:posOffset>
              </wp:positionH>
              <wp:positionV relativeFrom="page">
                <wp:posOffset>9952355</wp:posOffset>
              </wp:positionV>
              <wp:extent cx="1017905" cy="106680"/>
              <wp:wrapNone/>
              <wp:docPr id="528" name="Shape 52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54" type="#_x0000_t202" style="position:absolute;margin-left:257.55000000000001pt;margin-top:783.64999999999998pt;width:80.150000000000006pt;height:8.4000000000000004pt;z-index:-1887436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3270885</wp:posOffset>
              </wp:positionH>
              <wp:positionV relativeFrom="page">
                <wp:posOffset>9952355</wp:posOffset>
              </wp:positionV>
              <wp:extent cx="1017905" cy="106680"/>
              <wp:wrapNone/>
              <wp:docPr id="533" name="Shape 53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59" type="#_x0000_t202" style="position:absolute;margin-left:257.55000000000001pt;margin-top:783.64999999999998pt;width:80.150000000000006pt;height:8.4000000000000004pt;z-index:-1887436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3296285</wp:posOffset>
              </wp:positionH>
              <wp:positionV relativeFrom="page">
                <wp:posOffset>9952355</wp:posOffset>
              </wp:positionV>
              <wp:extent cx="960120" cy="106680"/>
              <wp:wrapNone/>
              <wp:docPr id="538" name="Shape 53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64" type="#_x0000_t202" style="position:absolute;margin-left:259.55000000000001pt;margin-top:783.64999999999998pt;width:75.600000000000009pt;height:8.4000000000000004pt;z-index:-1887436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3296285</wp:posOffset>
              </wp:positionH>
              <wp:positionV relativeFrom="page">
                <wp:posOffset>9952355</wp:posOffset>
              </wp:positionV>
              <wp:extent cx="960120" cy="106680"/>
              <wp:wrapNone/>
              <wp:docPr id="543" name="Shape 54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69" type="#_x0000_t202" style="position:absolute;margin-left:259.55000000000001pt;margin-top:783.64999999999998pt;width:75.600000000000009pt;height:8.4000000000000004pt;z-index:-1887436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3270885</wp:posOffset>
              </wp:positionH>
              <wp:positionV relativeFrom="page">
                <wp:posOffset>9952355</wp:posOffset>
              </wp:positionV>
              <wp:extent cx="1017905" cy="106680"/>
              <wp:wrapNone/>
              <wp:docPr id="548" name="Shape 54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74" type="#_x0000_t202" style="position:absolute;margin-left:257.55000000000001pt;margin-top:783.64999999999998pt;width:80.150000000000006pt;height:8.4000000000000004pt;z-index:-1887436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3270885</wp:posOffset>
              </wp:positionH>
              <wp:positionV relativeFrom="page">
                <wp:posOffset>9952355</wp:posOffset>
              </wp:positionV>
              <wp:extent cx="1017905" cy="106680"/>
              <wp:wrapNone/>
              <wp:docPr id="553" name="Shape 55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79" type="#_x0000_t202" style="position:absolute;margin-left:257.55000000000001pt;margin-top:783.64999999999998pt;width:80.150000000000006pt;height:8.4000000000000004pt;z-index:-1887436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3270885</wp:posOffset>
              </wp:positionH>
              <wp:positionV relativeFrom="page">
                <wp:posOffset>9952355</wp:posOffset>
              </wp:positionV>
              <wp:extent cx="1017905" cy="106680"/>
              <wp:wrapNone/>
              <wp:docPr id="558" name="Shape 55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84" type="#_x0000_t202" style="position:absolute;margin-left:257.55000000000001pt;margin-top:783.64999999999998pt;width:80.150000000000006pt;height:8.4000000000000004pt;z-index:-18874362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3270885</wp:posOffset>
              </wp:positionH>
              <wp:positionV relativeFrom="page">
                <wp:posOffset>9952355</wp:posOffset>
              </wp:positionV>
              <wp:extent cx="1017905" cy="106680"/>
              <wp:wrapNone/>
              <wp:docPr id="563" name="Shape 56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89" type="#_x0000_t202" style="position:absolute;margin-left:257.55000000000001pt;margin-top:783.64999999999998pt;width:80.150000000000006pt;height:8.4000000000000004pt;z-index:-18874362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3298825</wp:posOffset>
              </wp:positionH>
              <wp:positionV relativeFrom="page">
                <wp:posOffset>9907270</wp:posOffset>
              </wp:positionV>
              <wp:extent cx="956945" cy="106680"/>
              <wp:wrapNone/>
              <wp:docPr id="57" name="Shape 57"/>
              <a:graphic xmlns:a="http://schemas.openxmlformats.org/drawingml/2006/main">
                <a:graphicData uri="http://schemas.microsoft.com/office/word/2010/wordprocessingShape">
                  <wps:wsp>
                    <wps:cNvSpPr txBox="1"/>
                    <wps:spPr>
                      <a:xfrm>
                        <a:ext cx="9569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83" type="#_x0000_t202" style="position:absolute;margin-left:259.75pt;margin-top:780.10000000000002pt;width:75.350000000000009pt;height:8.40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3266440</wp:posOffset>
              </wp:positionH>
              <wp:positionV relativeFrom="page">
                <wp:posOffset>9952355</wp:posOffset>
              </wp:positionV>
              <wp:extent cx="1017905" cy="106680"/>
              <wp:wrapNone/>
              <wp:docPr id="570" name="Shape 570"/>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96" type="#_x0000_t202" style="position:absolute;margin-left:257.19999999999999pt;margin-top:783.64999999999998pt;width:80.150000000000006pt;height:8.4000000000000004pt;z-index:-18874361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3266440</wp:posOffset>
              </wp:positionH>
              <wp:positionV relativeFrom="page">
                <wp:posOffset>9952355</wp:posOffset>
              </wp:positionV>
              <wp:extent cx="1017905" cy="106680"/>
              <wp:wrapNone/>
              <wp:docPr id="577" name="Shape 577"/>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03" type="#_x0000_t202" style="position:absolute;margin-left:257.19999999999999pt;margin-top:783.64999999999998pt;width:80.150000000000006pt;height:8.4000000000000004pt;z-index:-1887436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3270885</wp:posOffset>
              </wp:positionH>
              <wp:positionV relativeFrom="page">
                <wp:posOffset>9952355</wp:posOffset>
              </wp:positionV>
              <wp:extent cx="1017905" cy="106680"/>
              <wp:wrapNone/>
              <wp:docPr id="582" name="Shape 582"/>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08" type="#_x0000_t202" style="position:absolute;margin-left:257.55000000000001pt;margin-top:783.64999999999998pt;width:80.150000000000006pt;height:8.4000000000000004pt;z-index:-18874360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3270885</wp:posOffset>
              </wp:positionH>
              <wp:positionV relativeFrom="page">
                <wp:posOffset>9952355</wp:posOffset>
              </wp:positionV>
              <wp:extent cx="1017905" cy="106680"/>
              <wp:wrapNone/>
              <wp:docPr id="587" name="Shape 587"/>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13" type="#_x0000_t202" style="position:absolute;margin-left:257.55000000000001pt;margin-top:783.64999999999998pt;width:80.150000000000006pt;height:8.4000000000000004pt;z-index:-18874360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3266440</wp:posOffset>
              </wp:positionH>
              <wp:positionV relativeFrom="page">
                <wp:posOffset>9952355</wp:posOffset>
              </wp:positionV>
              <wp:extent cx="1017905" cy="106680"/>
              <wp:wrapNone/>
              <wp:docPr id="592" name="Shape 592"/>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18" type="#_x0000_t202" style="position:absolute;margin-left:257.19999999999999pt;margin-top:783.64999999999998pt;width:80.150000000000006pt;height:8.4000000000000004pt;z-index:-18874360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3266440</wp:posOffset>
              </wp:positionH>
              <wp:positionV relativeFrom="page">
                <wp:posOffset>9952355</wp:posOffset>
              </wp:positionV>
              <wp:extent cx="1017905" cy="106680"/>
              <wp:wrapNone/>
              <wp:docPr id="597" name="Shape 597"/>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23" type="#_x0000_t202" style="position:absolute;margin-left:257.19999999999999pt;margin-top:783.64999999999998pt;width:80.150000000000006pt;height:8.4000000000000004pt;z-index:-18874359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3270885</wp:posOffset>
              </wp:positionH>
              <wp:positionV relativeFrom="page">
                <wp:posOffset>9952355</wp:posOffset>
              </wp:positionV>
              <wp:extent cx="1017905" cy="106680"/>
              <wp:wrapNone/>
              <wp:docPr id="602" name="Shape 602"/>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28" type="#_x0000_t202" style="position:absolute;margin-left:257.55000000000001pt;margin-top:783.64999999999998pt;width:80.150000000000006pt;height:8.4000000000000004pt;z-index:-18874359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3270885</wp:posOffset>
              </wp:positionH>
              <wp:positionV relativeFrom="page">
                <wp:posOffset>9952355</wp:posOffset>
              </wp:positionV>
              <wp:extent cx="1017905" cy="106680"/>
              <wp:wrapNone/>
              <wp:docPr id="607" name="Shape 607"/>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33" type="#_x0000_t202" style="position:absolute;margin-left:257.55000000000001pt;margin-top:783.64999999999998pt;width:80.150000000000006pt;height:8.4000000000000004pt;z-index:-18874358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3270885</wp:posOffset>
              </wp:positionH>
              <wp:positionV relativeFrom="page">
                <wp:posOffset>9952355</wp:posOffset>
              </wp:positionV>
              <wp:extent cx="1017905" cy="106680"/>
              <wp:wrapNone/>
              <wp:docPr id="612" name="Shape 612"/>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38" type="#_x0000_t202" style="position:absolute;margin-left:257.55000000000001pt;margin-top:783.64999999999998pt;width:80.150000000000006pt;height:8.4000000000000004pt;z-index:-18874358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3266440</wp:posOffset>
              </wp:positionH>
              <wp:positionV relativeFrom="page">
                <wp:posOffset>9952355</wp:posOffset>
              </wp:positionV>
              <wp:extent cx="1017905" cy="106680"/>
              <wp:wrapNone/>
              <wp:docPr id="617" name="Shape 617"/>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43" type="#_x0000_t202" style="position:absolute;margin-left:257.19999999999999pt;margin-top:783.64999999999998pt;width:80.150000000000006pt;height:8.4000000000000004pt;z-index:-18874358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3296285</wp:posOffset>
              </wp:positionH>
              <wp:positionV relativeFrom="page">
                <wp:posOffset>9952355</wp:posOffset>
              </wp:positionV>
              <wp:extent cx="960120" cy="106680"/>
              <wp:wrapNone/>
              <wp:docPr id="62" name="Shape 62"/>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88" type="#_x0000_t202" style="position:absolute;margin-left:259.55000000000001pt;margin-top:783.64999999999998pt;width:75.600000000000009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3266440</wp:posOffset>
              </wp:positionH>
              <wp:positionV relativeFrom="page">
                <wp:posOffset>9952355</wp:posOffset>
              </wp:positionV>
              <wp:extent cx="1017905" cy="106680"/>
              <wp:wrapNone/>
              <wp:docPr id="622" name="Shape 622"/>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48" type="#_x0000_t202" style="position:absolute;margin-left:257.19999999999999pt;margin-top:783.64999999999998pt;width:80.150000000000006pt;height:8.4000000000000004pt;z-index:-18874357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3266440</wp:posOffset>
              </wp:positionH>
              <wp:positionV relativeFrom="page">
                <wp:posOffset>9952355</wp:posOffset>
              </wp:positionV>
              <wp:extent cx="1017905" cy="106680"/>
              <wp:wrapNone/>
              <wp:docPr id="627" name="Shape 627"/>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53" type="#_x0000_t202" style="position:absolute;margin-left:257.19999999999999pt;margin-top:783.64999999999998pt;width:80.150000000000006pt;height:8.4000000000000004pt;z-index:-18874357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3263900</wp:posOffset>
              </wp:positionH>
              <wp:positionV relativeFrom="page">
                <wp:posOffset>9952355</wp:posOffset>
              </wp:positionV>
              <wp:extent cx="1017905" cy="106680"/>
              <wp:wrapNone/>
              <wp:docPr id="632" name="Shape 632"/>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58" type="#_x0000_t202" style="position:absolute;margin-left:257.pt;margin-top:783.64999999999998pt;width:80.150000000000006pt;height:8.4000000000000004pt;z-index:-18874356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3263900</wp:posOffset>
              </wp:positionH>
              <wp:positionV relativeFrom="page">
                <wp:posOffset>9952355</wp:posOffset>
              </wp:positionV>
              <wp:extent cx="1017905" cy="106680"/>
              <wp:wrapNone/>
              <wp:docPr id="639" name="Shape 63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65" type="#_x0000_t202" style="position:absolute;margin-left:257.pt;margin-top:783.64999999999998pt;width:80.150000000000006pt;height:8.4000000000000004pt;z-index:-18874356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3263900</wp:posOffset>
              </wp:positionH>
              <wp:positionV relativeFrom="page">
                <wp:posOffset>9952355</wp:posOffset>
              </wp:positionV>
              <wp:extent cx="1017905" cy="106680"/>
              <wp:wrapNone/>
              <wp:docPr id="644" name="Shape 64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70" type="#_x0000_t202" style="position:absolute;margin-left:257.pt;margin-top:783.64999999999998pt;width:80.150000000000006pt;height:8.4000000000000004pt;z-index:-18874356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3266440</wp:posOffset>
              </wp:positionH>
              <wp:positionV relativeFrom="page">
                <wp:posOffset>9952355</wp:posOffset>
              </wp:positionV>
              <wp:extent cx="1017905" cy="106680"/>
              <wp:wrapNone/>
              <wp:docPr id="649" name="Shape 64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75" type="#_x0000_t202" style="position:absolute;margin-left:257.19999999999999pt;margin-top:783.64999999999998pt;width:80.150000000000006pt;height:8.4000000000000004pt;z-index:-18874355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3266440</wp:posOffset>
              </wp:positionH>
              <wp:positionV relativeFrom="page">
                <wp:posOffset>9952355</wp:posOffset>
              </wp:positionV>
              <wp:extent cx="1017905" cy="106680"/>
              <wp:wrapNone/>
              <wp:docPr id="654" name="Shape 65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80" type="#_x0000_t202" style="position:absolute;margin-left:257.19999999999999pt;margin-top:783.64999999999998pt;width:80.150000000000006pt;height:8.4000000000000004pt;z-index:-1887435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3266440</wp:posOffset>
              </wp:positionH>
              <wp:positionV relativeFrom="page">
                <wp:posOffset>9952355</wp:posOffset>
              </wp:positionV>
              <wp:extent cx="1017905" cy="106680"/>
              <wp:wrapNone/>
              <wp:docPr id="661" name="Shape 661"/>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87" type="#_x0000_t202" style="position:absolute;margin-left:257.19999999999999pt;margin-top:783.64999999999998pt;width:80.150000000000006pt;height:8.4000000000000004pt;z-index:-18874354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3266440</wp:posOffset>
              </wp:positionH>
              <wp:positionV relativeFrom="page">
                <wp:posOffset>9952355</wp:posOffset>
              </wp:positionV>
              <wp:extent cx="1017905" cy="106680"/>
              <wp:wrapNone/>
              <wp:docPr id="668" name="Shape 66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694" type="#_x0000_t202" style="position:absolute;margin-left:257.19999999999999pt;margin-top:783.64999999999998pt;width:80.150000000000006pt;height:8.4000000000000004pt;z-index:-18874354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3268980</wp:posOffset>
              </wp:positionH>
              <wp:positionV relativeFrom="page">
                <wp:posOffset>9952355</wp:posOffset>
              </wp:positionV>
              <wp:extent cx="1017905" cy="106680"/>
              <wp:wrapNone/>
              <wp:docPr id="689" name="Shape 68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15" type="#_x0000_t202" style="position:absolute;margin-left:257.39999999999998pt;margin-top:783.64999999999998pt;width:80.150000000000006pt;height:8.4000000000000004pt;z-index:-1887435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3295015</wp:posOffset>
              </wp:positionH>
              <wp:positionV relativeFrom="page">
                <wp:posOffset>9954895</wp:posOffset>
              </wp:positionV>
              <wp:extent cx="959485" cy="104140"/>
              <wp:wrapNone/>
              <wp:docPr id="68" name="Shape 68"/>
              <a:graphic xmlns:a="http://schemas.openxmlformats.org/drawingml/2006/main">
                <a:graphicData uri="http://schemas.microsoft.com/office/word/2010/wordprocessingShape">
                  <wps:wsp>
                    <wps:cNvSpPr txBox="1"/>
                    <wps:spPr>
                      <a:xfrm>
                        <a:ext cx="959485" cy="1041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94" type="#_x0000_t202" style="position:absolute;margin-left:259.44999999999999pt;margin-top:783.85000000000002pt;width:75.549999999999997pt;height:8.1999999999999993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3267710</wp:posOffset>
              </wp:positionH>
              <wp:positionV relativeFrom="page">
                <wp:posOffset>9952355</wp:posOffset>
              </wp:positionV>
              <wp:extent cx="1017905" cy="106680"/>
              <wp:wrapNone/>
              <wp:docPr id="694" name="Shape 69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20" type="#_x0000_t202" style="position:absolute;margin-left:257.30000000000001pt;margin-top:783.64999999999998pt;width:80.150000000000006pt;height:8.4000000000000004pt;z-index:-1887435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3268980</wp:posOffset>
              </wp:positionH>
              <wp:positionV relativeFrom="page">
                <wp:posOffset>9952355</wp:posOffset>
              </wp:positionV>
              <wp:extent cx="1017905" cy="106680"/>
              <wp:wrapNone/>
              <wp:docPr id="699" name="Shape 69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25" type="#_x0000_t202" style="position:absolute;margin-left:257.39999999999998pt;margin-top:783.64999999999998pt;width:80.150000000000006pt;height:8.4000000000000004pt;z-index:-18874352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3267710</wp:posOffset>
              </wp:positionH>
              <wp:positionV relativeFrom="page">
                <wp:posOffset>9952355</wp:posOffset>
              </wp:positionV>
              <wp:extent cx="1017905" cy="106680"/>
              <wp:wrapNone/>
              <wp:docPr id="704" name="Shape 70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30" type="#_x0000_t202" style="position:absolute;margin-left:257.30000000000001pt;margin-top:783.64999999999998pt;width:80.150000000000006pt;height:8.4000000000000004pt;z-index:-18874352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3267710</wp:posOffset>
              </wp:positionH>
              <wp:positionV relativeFrom="page">
                <wp:posOffset>9952355</wp:posOffset>
              </wp:positionV>
              <wp:extent cx="1017905" cy="106680"/>
              <wp:wrapNone/>
              <wp:docPr id="709" name="Shape 70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35" type="#_x0000_t202" style="position:absolute;margin-left:257.30000000000001pt;margin-top:783.64999999999998pt;width:80.150000000000006pt;height:8.4000000000000004pt;z-index:-1887435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3268980</wp:posOffset>
              </wp:positionH>
              <wp:positionV relativeFrom="page">
                <wp:posOffset>9952355</wp:posOffset>
              </wp:positionV>
              <wp:extent cx="1017905" cy="106680"/>
              <wp:wrapNone/>
              <wp:docPr id="714" name="Shape 71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40" type="#_x0000_t202" style="position:absolute;margin-left:257.39999999999998pt;margin-top:783.64999999999998pt;width:80.150000000000006pt;height:8.4000000000000004pt;z-index:-1887435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3265805</wp:posOffset>
              </wp:positionH>
              <wp:positionV relativeFrom="page">
                <wp:posOffset>9952355</wp:posOffset>
              </wp:positionV>
              <wp:extent cx="1017905" cy="106680"/>
              <wp:wrapNone/>
              <wp:docPr id="719" name="Shape 71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45" type="#_x0000_t202" style="position:absolute;margin-left:257.14999999999998pt;margin-top:783.64999999999998pt;width:80.150000000000006pt;height:8.4000000000000004pt;z-index:-1887435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3256915</wp:posOffset>
              </wp:positionH>
              <wp:positionV relativeFrom="page">
                <wp:posOffset>9952355</wp:posOffset>
              </wp:positionV>
              <wp:extent cx="1017905" cy="106680"/>
              <wp:wrapNone/>
              <wp:docPr id="724" name="Shape 72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750" type="#_x0000_t202" style="position:absolute;margin-left:256.44999999999999pt;margin-top:783.64999999999998pt;width:80.150000000000006pt;height:8.4000000000000004pt;z-index:-18874350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3295015</wp:posOffset>
              </wp:positionH>
              <wp:positionV relativeFrom="page">
                <wp:posOffset>9954895</wp:posOffset>
              </wp:positionV>
              <wp:extent cx="959485" cy="104140"/>
              <wp:wrapNone/>
              <wp:docPr id="73" name="Shape 73"/>
              <a:graphic xmlns:a="http://schemas.openxmlformats.org/drawingml/2006/main">
                <a:graphicData uri="http://schemas.microsoft.com/office/word/2010/wordprocessingShape">
                  <wps:wsp>
                    <wps:cNvSpPr txBox="1"/>
                    <wps:spPr>
                      <a:xfrm>
                        <a:ext cx="959485" cy="1041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99" type="#_x0000_t202" style="position:absolute;margin-left:259.44999999999999pt;margin-top:783.85000000000002pt;width:75.549999999999997pt;height:8.1999999999999993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3293110</wp:posOffset>
              </wp:positionH>
              <wp:positionV relativeFrom="page">
                <wp:posOffset>9953625</wp:posOffset>
              </wp:positionV>
              <wp:extent cx="961390" cy="105410"/>
              <wp:wrapNone/>
              <wp:docPr id="84" name="Shape 84"/>
              <a:graphic xmlns:a="http://schemas.openxmlformats.org/drawingml/2006/main">
                <a:graphicData uri="http://schemas.microsoft.com/office/word/2010/wordprocessingShape">
                  <wps:wsp>
                    <wps:cNvSpPr txBox="1"/>
                    <wps:spPr>
                      <a:xfrm>
                        <a:ext cx="96139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10" type="#_x0000_t202" style="position:absolute;margin-left:259.30000000000001pt;margin-top:783.75pt;width:75.700000000000003pt;height:8.3000000000000007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3293110</wp:posOffset>
              </wp:positionH>
              <wp:positionV relativeFrom="page">
                <wp:posOffset>9953625</wp:posOffset>
              </wp:positionV>
              <wp:extent cx="961390" cy="105410"/>
              <wp:wrapNone/>
              <wp:docPr id="89" name="Shape 89"/>
              <a:graphic xmlns:a="http://schemas.openxmlformats.org/drawingml/2006/main">
                <a:graphicData uri="http://schemas.microsoft.com/office/word/2010/wordprocessingShape">
                  <wps:wsp>
                    <wps:cNvSpPr txBox="1"/>
                    <wps:spPr>
                      <a:xfrm>
                        <a:ext cx="96139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15" type="#_x0000_t202" style="position:absolute;margin-left:259.30000000000001pt;margin-top:783.75pt;width:75.700000000000003pt;height:8.3000000000000007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3296285</wp:posOffset>
              </wp:positionH>
              <wp:positionV relativeFrom="page">
                <wp:posOffset>9952355</wp:posOffset>
              </wp:positionV>
              <wp:extent cx="960120" cy="106680"/>
              <wp:wrapNone/>
              <wp:docPr id="94" name="Shape 9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20" type="#_x0000_t202" style="position:absolute;margin-left:259.55000000000001pt;margin-top:783.64999999999998pt;width:75.600000000000009pt;height:8.4000000000000004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3296285</wp:posOffset>
              </wp:positionH>
              <wp:positionV relativeFrom="page">
                <wp:posOffset>9952355</wp:posOffset>
              </wp:positionV>
              <wp:extent cx="960120" cy="106680"/>
              <wp:wrapNone/>
              <wp:docPr id="99" name="Shape 9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25" type="#_x0000_t202" style="position:absolute;margin-left:259.55000000000001pt;margin-top:783.64999999999998pt;width:75.600000000000009pt;height:8.4000000000000004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3319145</wp:posOffset>
              </wp:positionH>
              <wp:positionV relativeFrom="page">
                <wp:posOffset>9952355</wp:posOffset>
              </wp:positionV>
              <wp:extent cx="960120" cy="106680"/>
              <wp:wrapNone/>
              <wp:docPr id="104" name="Shape 10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0" type="#_x0000_t202" style="position:absolute;margin-left:261.35000000000002pt;margin-top:783.64999999999998pt;width:75.600000000000009pt;height:8.4000000000000004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3278505</wp:posOffset>
              </wp:positionH>
              <wp:positionV relativeFrom="page">
                <wp:posOffset>9952355</wp:posOffset>
              </wp:positionV>
              <wp:extent cx="990600" cy="106680"/>
              <wp:wrapNone/>
              <wp:docPr id="16" name="Shape 1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1</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216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42" type="#_x0000_t202" style="position:absolute;margin-left:258.14999999999998pt;margin-top:783.64999999999998pt;width:78.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1</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216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3319145</wp:posOffset>
              </wp:positionH>
              <wp:positionV relativeFrom="page">
                <wp:posOffset>9952355</wp:posOffset>
              </wp:positionV>
              <wp:extent cx="960120" cy="106680"/>
              <wp:wrapNone/>
              <wp:docPr id="109" name="Shape 10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5" type="#_x0000_t202" style="position:absolute;margin-left:261.35000000000002pt;margin-top:783.64999999999998pt;width:75.600000000000009pt;height:8.4000000000000004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3319145</wp:posOffset>
              </wp:positionH>
              <wp:positionV relativeFrom="page">
                <wp:posOffset>9952355</wp:posOffset>
              </wp:positionV>
              <wp:extent cx="960120" cy="106680"/>
              <wp:wrapNone/>
              <wp:docPr id="114" name="Shape 11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40" type="#_x0000_t202" style="position:absolute;margin-left:261.35000000000002pt;margin-top:783.64999999999998pt;width:75.600000000000009pt;height:8.4000000000000004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3319145</wp:posOffset>
              </wp:positionH>
              <wp:positionV relativeFrom="page">
                <wp:posOffset>9952355</wp:posOffset>
              </wp:positionV>
              <wp:extent cx="960120" cy="106680"/>
              <wp:wrapNone/>
              <wp:docPr id="119" name="Shape 11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45" type="#_x0000_t202" style="position:absolute;margin-left:261.35000000000002pt;margin-top:783.64999999999998pt;width:75.600000000000009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3296285</wp:posOffset>
              </wp:positionH>
              <wp:positionV relativeFrom="page">
                <wp:posOffset>9952355</wp:posOffset>
              </wp:positionV>
              <wp:extent cx="960120" cy="106680"/>
              <wp:wrapNone/>
              <wp:docPr id="124" name="Shape 12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50" type="#_x0000_t202" style="position:absolute;margin-left:259.55000000000001pt;margin-top:783.64999999999998pt;width:75.600000000000009pt;height:8.4000000000000004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3265805</wp:posOffset>
              </wp:positionH>
              <wp:positionV relativeFrom="page">
                <wp:posOffset>9952355</wp:posOffset>
              </wp:positionV>
              <wp:extent cx="960120" cy="106680"/>
              <wp:wrapNone/>
              <wp:docPr id="129" name="Shape 12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155" type="#_x0000_t202" style="position:absolute;margin-left:257.14999999999998pt;margin-top:783.64999999999998pt;width:75.600000000000009pt;height:8.4000000000000004pt;z-index:-18874396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3296285</wp:posOffset>
              </wp:positionH>
              <wp:positionV relativeFrom="page">
                <wp:posOffset>9952355</wp:posOffset>
              </wp:positionV>
              <wp:extent cx="960120" cy="106680"/>
              <wp:wrapNone/>
              <wp:docPr id="134" name="Shape 13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60" type="#_x0000_t202" style="position:absolute;margin-left:259.55000000000001pt;margin-top:783.64999999999998pt;width:75.600000000000009pt;height:8.4000000000000004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3296285</wp:posOffset>
              </wp:positionH>
              <wp:positionV relativeFrom="page">
                <wp:posOffset>9952355</wp:posOffset>
              </wp:positionV>
              <wp:extent cx="960120" cy="106680"/>
              <wp:wrapNone/>
              <wp:docPr id="139" name="Shape 13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65" type="#_x0000_t202" style="position:absolute;margin-left:259.55000000000001pt;margin-top:783.64999999999998pt;width:75.600000000000009pt;height:8.4000000000000004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3296285</wp:posOffset>
              </wp:positionH>
              <wp:positionV relativeFrom="page">
                <wp:posOffset>9952355</wp:posOffset>
              </wp:positionV>
              <wp:extent cx="960120" cy="106680"/>
              <wp:wrapNone/>
              <wp:docPr id="144" name="Shape 14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70" type="#_x0000_t202" style="position:absolute;margin-left:259.55000000000001pt;margin-top:783.64999999999998pt;width:75.600000000000009pt;height:8.4000000000000004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3315970</wp:posOffset>
              </wp:positionH>
              <wp:positionV relativeFrom="page">
                <wp:posOffset>9952355</wp:posOffset>
              </wp:positionV>
              <wp:extent cx="960120" cy="106680"/>
              <wp:wrapNone/>
              <wp:docPr id="149" name="Shape 14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175" type="#_x0000_t202" style="position:absolute;margin-left:261.10000000000002pt;margin-top:783.64999999999998pt;width:75.600000000000009pt;height:8.4000000000000004pt;z-index:-1887439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3315970</wp:posOffset>
              </wp:positionH>
              <wp:positionV relativeFrom="page">
                <wp:posOffset>9952355</wp:posOffset>
              </wp:positionV>
              <wp:extent cx="960120" cy="106680"/>
              <wp:wrapNone/>
              <wp:docPr id="154" name="Shape 15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180" type="#_x0000_t202" style="position:absolute;margin-left:261.10000000000002pt;margin-top:783.64999999999998pt;width:75.600000000000009pt;height:8.4000000000000004pt;z-index:-1887439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3315335</wp:posOffset>
              </wp:positionH>
              <wp:positionV relativeFrom="page">
                <wp:posOffset>9952355</wp:posOffset>
              </wp:positionV>
              <wp:extent cx="902335" cy="106680"/>
              <wp:wrapNone/>
              <wp:docPr id="21" name="Shape 21"/>
              <a:graphic xmlns:a="http://schemas.openxmlformats.org/drawingml/2006/main">
                <a:graphicData uri="http://schemas.microsoft.com/office/word/2010/wordprocessingShape">
                  <wps:wsp>
                    <wps:cNvSpPr txBox="1"/>
                    <wps:spPr>
                      <a:xfrm>
                        <a:ext cx="90233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47" type="#_x0000_t202" style="position:absolute;margin-left:261.05000000000001pt;margin-top:783.64999999999998pt;width:71.0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3296285</wp:posOffset>
              </wp:positionH>
              <wp:positionV relativeFrom="page">
                <wp:posOffset>9952355</wp:posOffset>
              </wp:positionV>
              <wp:extent cx="960120" cy="106680"/>
              <wp:wrapNone/>
              <wp:docPr id="159" name="Shape 15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85" type="#_x0000_t202" style="position:absolute;margin-left:259.55000000000001pt;margin-top:783.64999999999998pt;width:75.600000000000009pt;height:8.4000000000000004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3296285</wp:posOffset>
              </wp:positionH>
              <wp:positionV relativeFrom="page">
                <wp:posOffset>9952355</wp:posOffset>
              </wp:positionV>
              <wp:extent cx="960120" cy="106680"/>
              <wp:wrapNone/>
              <wp:docPr id="164" name="Shape 16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90" type="#_x0000_t202" style="position:absolute;margin-left:259.55000000000001pt;margin-top:783.64999999999998pt;width:75.600000000000009pt;height:8.4000000000000004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3315970</wp:posOffset>
              </wp:positionH>
              <wp:positionV relativeFrom="page">
                <wp:posOffset>9952355</wp:posOffset>
              </wp:positionV>
              <wp:extent cx="960120" cy="106680"/>
              <wp:wrapNone/>
              <wp:docPr id="169" name="Shape 16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195" type="#_x0000_t202" style="position:absolute;margin-left:261.10000000000002pt;margin-top:783.64999999999998pt;width:75.600000000000009pt;height:8.4000000000000004pt;z-index:-1887439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3240405</wp:posOffset>
              </wp:positionH>
              <wp:positionV relativeFrom="page">
                <wp:posOffset>9952355</wp:posOffset>
              </wp:positionV>
              <wp:extent cx="960120" cy="106680"/>
              <wp:wrapNone/>
              <wp:docPr id="174" name="Shape 17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00" type="#_x0000_t202" style="position:absolute;margin-left:255.15000000000001pt;margin-top:783.64999999999998pt;width:75.600000000000009pt;height:8.4000000000000004pt;z-index:-1887439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3296285</wp:posOffset>
              </wp:positionH>
              <wp:positionV relativeFrom="page">
                <wp:posOffset>9952355</wp:posOffset>
              </wp:positionV>
              <wp:extent cx="960120" cy="106680"/>
              <wp:wrapNone/>
              <wp:docPr id="179" name="Shape 17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05" type="#_x0000_t202" style="position:absolute;margin-left:259.55000000000001pt;margin-top:783.64999999999998pt;width:75.600000000000009pt;height:8.4000000000000004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3296285</wp:posOffset>
              </wp:positionH>
              <wp:positionV relativeFrom="page">
                <wp:posOffset>9952355</wp:posOffset>
              </wp:positionV>
              <wp:extent cx="960120" cy="106680"/>
              <wp:wrapNone/>
              <wp:docPr id="184" name="Shape 18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10" type="#_x0000_t202" style="position:absolute;margin-left:259.55000000000001pt;margin-top:783.64999999999998pt;width:75.600000000000009pt;height:8.4000000000000004pt;z-index:-1887439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3315970</wp:posOffset>
              </wp:positionH>
              <wp:positionV relativeFrom="page">
                <wp:posOffset>9952355</wp:posOffset>
              </wp:positionV>
              <wp:extent cx="960120" cy="106680"/>
              <wp:wrapNone/>
              <wp:docPr id="189" name="Shape 18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15" type="#_x0000_t202" style="position:absolute;margin-left:261.10000000000002pt;margin-top:783.64999999999998pt;width:75.600000000000009pt;height:8.4000000000000004pt;z-index:-1887439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3315970</wp:posOffset>
              </wp:positionH>
              <wp:positionV relativeFrom="page">
                <wp:posOffset>9952355</wp:posOffset>
              </wp:positionV>
              <wp:extent cx="960120" cy="106680"/>
              <wp:wrapNone/>
              <wp:docPr id="194" name="Shape 19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20" type="#_x0000_t202" style="position:absolute;margin-left:261.10000000000002pt;margin-top:783.64999999999998pt;width:75.600000000000009pt;height:8.4000000000000004pt;z-index:-1887439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3240405</wp:posOffset>
              </wp:positionH>
              <wp:positionV relativeFrom="page">
                <wp:posOffset>9952355</wp:posOffset>
              </wp:positionV>
              <wp:extent cx="960120" cy="106680"/>
              <wp:wrapNone/>
              <wp:docPr id="199" name="Shape 19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25" type="#_x0000_t202" style="position:absolute;margin-left:255.15000000000001pt;margin-top:783.64999999999998pt;width:75.600000000000009pt;height:8.4000000000000004pt;z-index:-1887439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3296285</wp:posOffset>
              </wp:positionH>
              <wp:positionV relativeFrom="page">
                <wp:posOffset>9952355</wp:posOffset>
              </wp:positionV>
              <wp:extent cx="960120" cy="106680"/>
              <wp:wrapNone/>
              <wp:docPr id="204" name="Shape 20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30" type="#_x0000_t202" style="position:absolute;margin-left:259.55000000000001pt;margin-top:783.64999999999998pt;width:75.600000000000009pt;height:8.4000000000000004pt;z-index:-1887439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3315335</wp:posOffset>
              </wp:positionH>
              <wp:positionV relativeFrom="page">
                <wp:posOffset>9952355</wp:posOffset>
              </wp:positionV>
              <wp:extent cx="902335" cy="106680"/>
              <wp:wrapNone/>
              <wp:docPr id="26" name="Shape 26"/>
              <a:graphic xmlns:a="http://schemas.openxmlformats.org/drawingml/2006/main">
                <a:graphicData uri="http://schemas.microsoft.com/office/word/2010/wordprocessingShape">
                  <wps:wsp>
                    <wps:cNvSpPr txBox="1"/>
                    <wps:spPr>
                      <a:xfrm>
                        <a:ext cx="90233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2" type="#_x0000_t202" style="position:absolute;margin-left:261.05000000000001pt;margin-top:783.64999999999998pt;width:71.0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3296285</wp:posOffset>
              </wp:positionH>
              <wp:positionV relativeFrom="page">
                <wp:posOffset>9952355</wp:posOffset>
              </wp:positionV>
              <wp:extent cx="960120" cy="106680"/>
              <wp:wrapNone/>
              <wp:docPr id="209" name="Shape 20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35" type="#_x0000_t202" style="position:absolute;margin-left:259.55000000000001pt;margin-top:783.64999999999998pt;width:75.600000000000009pt;height:8.4000000000000004pt;z-index:-1887439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3240405</wp:posOffset>
              </wp:positionH>
              <wp:positionV relativeFrom="page">
                <wp:posOffset>9952355</wp:posOffset>
              </wp:positionV>
              <wp:extent cx="960120" cy="106680"/>
              <wp:wrapNone/>
              <wp:docPr id="214" name="Shape 21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40" type="#_x0000_t202" style="position:absolute;margin-left:255.15000000000001pt;margin-top:783.64999999999998pt;width:75.600000000000009pt;height:8.4000000000000004pt;z-index:-18874390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3279775</wp:posOffset>
              </wp:positionH>
              <wp:positionV relativeFrom="page">
                <wp:posOffset>9954260</wp:posOffset>
              </wp:positionV>
              <wp:extent cx="960120" cy="105410"/>
              <wp:wrapNone/>
              <wp:docPr id="220" name="Shape 220"/>
              <a:graphic xmlns:a="http://schemas.openxmlformats.org/drawingml/2006/main">
                <a:graphicData uri="http://schemas.microsoft.com/office/word/2010/wordprocessingShape">
                  <wps:wsp>
                    <wps:cNvSpPr txBox="1"/>
                    <wps:spPr>
                      <a:xfrm>
                        <a:ext cx="960120" cy="10541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46" type="#_x0000_t202" style="position:absolute;margin-left:258.25pt;margin-top:783.80000000000007pt;width:75.600000000000009pt;height:8.3000000000000007pt;z-index:-18874389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3279775</wp:posOffset>
              </wp:positionH>
              <wp:positionV relativeFrom="page">
                <wp:posOffset>9954260</wp:posOffset>
              </wp:positionV>
              <wp:extent cx="960120" cy="105410"/>
              <wp:wrapNone/>
              <wp:docPr id="225" name="Shape 225"/>
              <a:graphic xmlns:a="http://schemas.openxmlformats.org/drawingml/2006/main">
                <a:graphicData uri="http://schemas.microsoft.com/office/word/2010/wordprocessingShape">
                  <wps:wsp>
                    <wps:cNvSpPr txBox="1"/>
                    <wps:spPr>
                      <a:xfrm>
                        <a:ext cx="960120" cy="10541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51" type="#_x0000_t202" style="position:absolute;margin-left:258.25pt;margin-top:783.80000000000007pt;width:75.600000000000009pt;height:8.3000000000000007pt;z-index:-18874389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3296285</wp:posOffset>
              </wp:positionH>
              <wp:positionV relativeFrom="page">
                <wp:posOffset>9952355</wp:posOffset>
              </wp:positionV>
              <wp:extent cx="960120" cy="106680"/>
              <wp:wrapNone/>
              <wp:docPr id="230" name="Shape 23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56" type="#_x0000_t202" style="position:absolute;margin-left:259.55000000000001pt;margin-top:783.64999999999998pt;width:75.600000000000009pt;height:8.4000000000000004pt;z-index:-1887438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3296285</wp:posOffset>
              </wp:positionH>
              <wp:positionV relativeFrom="page">
                <wp:posOffset>9952355</wp:posOffset>
              </wp:positionV>
              <wp:extent cx="960120" cy="106680"/>
              <wp:wrapNone/>
              <wp:docPr id="235" name="Shape 23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61" type="#_x0000_t202" style="position:absolute;margin-left:259.55000000000001pt;margin-top:783.64999999999998pt;width:75.600000000000009pt;height:8.4000000000000004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3296285</wp:posOffset>
              </wp:positionH>
              <wp:positionV relativeFrom="page">
                <wp:posOffset>9952355</wp:posOffset>
              </wp:positionV>
              <wp:extent cx="960120" cy="106680"/>
              <wp:wrapNone/>
              <wp:docPr id="240" name="Shape 24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66" type="#_x0000_t202" style="position:absolute;margin-left:259.55000000000001pt;margin-top:783.64999999999998pt;width:75.600000000000009pt;height:8.4000000000000004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3293110</wp:posOffset>
              </wp:positionH>
              <wp:positionV relativeFrom="page">
                <wp:posOffset>9952355</wp:posOffset>
              </wp:positionV>
              <wp:extent cx="960120" cy="106680"/>
              <wp:wrapNone/>
              <wp:docPr id="245" name="Shape 24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71" type="#_x0000_t202" style="position:absolute;margin-left:259.30000000000001pt;margin-top:783.64999999999998pt;width:75.600000000000009pt;height:8.4000000000000004pt;z-index:-18874387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3296285</wp:posOffset>
              </wp:positionH>
              <wp:positionV relativeFrom="page">
                <wp:posOffset>9952355</wp:posOffset>
              </wp:positionV>
              <wp:extent cx="960120" cy="106680"/>
              <wp:wrapNone/>
              <wp:docPr id="250" name="Shape 25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76" type="#_x0000_t202" style="position:absolute;margin-left:259.55000000000001pt;margin-top:783.64999999999998pt;width:75.600000000000009pt;height:8.4000000000000004pt;z-index:-1887438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3296285</wp:posOffset>
              </wp:positionH>
              <wp:positionV relativeFrom="page">
                <wp:posOffset>9952355</wp:posOffset>
              </wp:positionV>
              <wp:extent cx="960120" cy="106680"/>
              <wp:wrapNone/>
              <wp:docPr id="255" name="Shape 25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81" type="#_x0000_t202" style="position:absolute;margin-left:259.55000000000001pt;margin-top:783.64999999999998pt;width:75.600000000000009pt;height:8.4000000000000004pt;z-index:-1887438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3296285</wp:posOffset>
              </wp:positionH>
              <wp:positionV relativeFrom="page">
                <wp:posOffset>9952355</wp:posOffset>
              </wp:positionV>
              <wp:extent cx="960120" cy="106680"/>
              <wp:wrapNone/>
              <wp:docPr id="31" name="Shape 31"/>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7" type="#_x0000_t202" style="position:absolute;margin-left:259.55000000000001pt;margin-top:783.64999999999998pt;width:75.600000000000009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3293110</wp:posOffset>
              </wp:positionH>
              <wp:positionV relativeFrom="page">
                <wp:posOffset>9952355</wp:posOffset>
              </wp:positionV>
              <wp:extent cx="960120" cy="106680"/>
              <wp:wrapNone/>
              <wp:docPr id="262" name="Shape 262"/>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88" type="#_x0000_t202" style="position:absolute;margin-left:259.30000000000001pt;margin-top:783.64999999999998pt;width:75.600000000000009pt;height:8.4000000000000004pt;z-index:-18874386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3293110</wp:posOffset>
              </wp:positionH>
              <wp:positionV relativeFrom="page">
                <wp:posOffset>9952355</wp:posOffset>
              </wp:positionV>
              <wp:extent cx="960120" cy="106680"/>
              <wp:wrapNone/>
              <wp:docPr id="269" name="Shape 26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295" type="#_x0000_t202" style="position:absolute;margin-left:259.30000000000001pt;margin-top:783.64999999999998pt;width:75.600000000000009pt;height:8.4000000000000004pt;z-index:-18874385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3296285</wp:posOffset>
              </wp:positionH>
              <wp:positionV relativeFrom="page">
                <wp:posOffset>9952355</wp:posOffset>
              </wp:positionV>
              <wp:extent cx="960120" cy="106680"/>
              <wp:wrapNone/>
              <wp:docPr id="274" name="Shape 27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00" type="#_x0000_t202" style="position:absolute;margin-left:259.55000000000001pt;margin-top:783.64999999999998pt;width:75.600000000000009pt;height:8.4000000000000004pt;z-index:-1887438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3296285</wp:posOffset>
              </wp:positionH>
              <wp:positionV relativeFrom="page">
                <wp:posOffset>9952355</wp:posOffset>
              </wp:positionV>
              <wp:extent cx="960120" cy="106680"/>
              <wp:wrapNone/>
              <wp:docPr id="279" name="Shape 27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05" type="#_x0000_t202" style="position:absolute;margin-left:259.55000000000001pt;margin-top:783.64999999999998pt;width:75.600000000000009pt;height:8.4000000000000004pt;z-index:-1887438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3293110</wp:posOffset>
              </wp:positionH>
              <wp:positionV relativeFrom="page">
                <wp:posOffset>9952355</wp:posOffset>
              </wp:positionV>
              <wp:extent cx="960120" cy="106680"/>
              <wp:wrapNone/>
              <wp:docPr id="284" name="Shape 28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10" type="#_x0000_t202" style="position:absolute;margin-left:259.30000000000001pt;margin-top:783.64999999999998pt;width:75.600000000000009pt;height:8.4000000000000004pt;z-index:-18874384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3293110</wp:posOffset>
              </wp:positionH>
              <wp:positionV relativeFrom="page">
                <wp:posOffset>9952355</wp:posOffset>
              </wp:positionV>
              <wp:extent cx="960120" cy="106680"/>
              <wp:wrapNone/>
              <wp:docPr id="289" name="Shape 289"/>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15" type="#_x0000_t202" style="position:absolute;margin-left:259.30000000000001pt;margin-top:783.64999999999998pt;width:75.600000000000009pt;height:8.4000000000000004pt;z-index:-18874384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3296285</wp:posOffset>
              </wp:positionH>
              <wp:positionV relativeFrom="page">
                <wp:posOffset>9952355</wp:posOffset>
              </wp:positionV>
              <wp:extent cx="960120" cy="106680"/>
              <wp:wrapNone/>
              <wp:docPr id="298" name="Shape 29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24" type="#_x0000_t202" style="position:absolute;margin-left:259.55000000000001pt;margin-top:783.64999999999998pt;width:75.600000000000009pt;height:8.4000000000000004pt;z-index:-1887438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3296285</wp:posOffset>
              </wp:positionH>
              <wp:positionV relativeFrom="page">
                <wp:posOffset>9952355</wp:posOffset>
              </wp:positionV>
              <wp:extent cx="960120" cy="106680"/>
              <wp:wrapNone/>
              <wp:docPr id="303" name="Shape 30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29" type="#_x0000_t202" style="position:absolute;margin-left:259.55000000000001pt;margin-top:783.64999999999998pt;width:75.600000000000009pt;height:8.4000000000000004pt;z-index:-1887438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3296285</wp:posOffset>
              </wp:positionH>
              <wp:positionV relativeFrom="page">
                <wp:posOffset>9952355</wp:posOffset>
              </wp:positionV>
              <wp:extent cx="960120" cy="106680"/>
              <wp:wrapNone/>
              <wp:docPr id="308" name="Shape 30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34" type="#_x0000_t202" style="position:absolute;margin-left:259.55000000000001pt;margin-top:783.64999999999998pt;width:75.600000000000009pt;height:8.4000000000000004pt;z-index:-1887438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3293110</wp:posOffset>
              </wp:positionH>
              <wp:positionV relativeFrom="page">
                <wp:posOffset>9952355</wp:posOffset>
              </wp:positionV>
              <wp:extent cx="960120" cy="106680"/>
              <wp:wrapNone/>
              <wp:docPr id="313" name="Shape 31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39" type="#_x0000_t202" style="position:absolute;margin-left:259.30000000000001pt;margin-top:783.64999999999998pt;width:75.600000000000009pt;height:8.4000000000000004pt;z-index:-18874382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3296285</wp:posOffset>
              </wp:positionH>
              <wp:positionV relativeFrom="page">
                <wp:posOffset>9952355</wp:posOffset>
              </wp:positionV>
              <wp:extent cx="960120" cy="106680"/>
              <wp:wrapNone/>
              <wp:docPr id="36" name="Shape 36"/>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62" type="#_x0000_t202" style="position:absolute;margin-left:259.55000000000001pt;margin-top:783.64999999999998pt;width:75.600000000000009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3342640</wp:posOffset>
              </wp:positionH>
              <wp:positionV relativeFrom="page">
                <wp:posOffset>9952355</wp:posOffset>
              </wp:positionV>
              <wp:extent cx="960120" cy="106680"/>
              <wp:wrapNone/>
              <wp:docPr id="318" name="Shape 31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44" type="#_x0000_t202" style="position:absolute;margin-left:263.19999999999999pt;margin-top:783.64999999999998pt;width:75.600000000000009pt;height:8.4000000000000004pt;z-index:-1887438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3342640</wp:posOffset>
              </wp:positionH>
              <wp:positionV relativeFrom="page">
                <wp:posOffset>9952355</wp:posOffset>
              </wp:positionV>
              <wp:extent cx="960120" cy="106680"/>
              <wp:wrapNone/>
              <wp:docPr id="323" name="Shape 32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49" type="#_x0000_t202" style="position:absolute;margin-left:263.19999999999999pt;margin-top:783.64999999999998pt;width:75.600000000000009pt;height:8.4000000000000004pt;z-index:-1887438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3342640</wp:posOffset>
              </wp:positionH>
              <wp:positionV relativeFrom="page">
                <wp:posOffset>9952355</wp:posOffset>
              </wp:positionV>
              <wp:extent cx="960120" cy="106680"/>
              <wp:wrapNone/>
              <wp:docPr id="328" name="Shape 32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54" type="#_x0000_t202" style="position:absolute;margin-left:263.19999999999999pt;margin-top:783.64999999999998pt;width:75.600000000000009pt;height:8.4000000000000004pt;z-index:-1887438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3342640</wp:posOffset>
              </wp:positionH>
              <wp:positionV relativeFrom="page">
                <wp:posOffset>9952355</wp:posOffset>
              </wp:positionV>
              <wp:extent cx="960120" cy="106680"/>
              <wp:wrapNone/>
              <wp:docPr id="333" name="Shape 33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59" type="#_x0000_t202" style="position:absolute;margin-left:263.19999999999999pt;margin-top:783.64999999999998pt;width:75.600000000000009pt;height:8.4000000000000004pt;z-index:-18874380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3296285</wp:posOffset>
              </wp:positionH>
              <wp:positionV relativeFrom="page">
                <wp:posOffset>9952355</wp:posOffset>
              </wp:positionV>
              <wp:extent cx="960120" cy="106680"/>
              <wp:wrapNone/>
              <wp:docPr id="338" name="Shape 33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64" type="#_x0000_t202" style="position:absolute;margin-left:259.55000000000001pt;margin-top:783.64999999999998pt;width:75.600000000000009pt;height:8.4000000000000004pt;z-index:-1887438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3296285</wp:posOffset>
              </wp:positionH>
              <wp:positionV relativeFrom="page">
                <wp:posOffset>9952355</wp:posOffset>
              </wp:positionV>
              <wp:extent cx="960120" cy="106680"/>
              <wp:wrapNone/>
              <wp:docPr id="343" name="Shape 34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69" type="#_x0000_t202" style="position:absolute;margin-left:259.55000000000001pt;margin-top:783.64999999999998pt;width:75.600000000000009pt;height:8.4000000000000004pt;z-index:-1887438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3293110</wp:posOffset>
              </wp:positionH>
              <wp:positionV relativeFrom="page">
                <wp:posOffset>9952355</wp:posOffset>
              </wp:positionV>
              <wp:extent cx="960120" cy="106680"/>
              <wp:wrapNone/>
              <wp:docPr id="348" name="Shape 34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74" type="#_x0000_t202" style="position:absolute;margin-left:259.30000000000001pt;margin-top:783.64999999999998pt;width:75.600000000000009pt;height:8.4000000000000004pt;z-index:-18874379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3293110</wp:posOffset>
              </wp:positionH>
              <wp:positionV relativeFrom="page">
                <wp:posOffset>9952355</wp:posOffset>
              </wp:positionV>
              <wp:extent cx="960120" cy="106680"/>
              <wp:wrapNone/>
              <wp:docPr id="353" name="Shape 35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79" type="#_x0000_t202" style="position:absolute;margin-left:259.30000000000001pt;margin-top:783.64999999999998pt;width:75.600000000000009pt;height:8.4000000000000004pt;z-index:-18874379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3296285</wp:posOffset>
              </wp:positionH>
              <wp:positionV relativeFrom="page">
                <wp:posOffset>9952355</wp:posOffset>
              </wp:positionV>
              <wp:extent cx="960120" cy="106680"/>
              <wp:wrapNone/>
              <wp:docPr id="358" name="Shape 35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84" type="#_x0000_t202" style="position:absolute;margin-left:259.55000000000001pt;margin-top:783.64999999999998pt;width:75.600000000000009pt;height:8.4000000000000004pt;z-index:-1887437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3321685</wp:posOffset>
              </wp:positionH>
              <wp:positionV relativeFrom="page">
                <wp:posOffset>9952355</wp:posOffset>
              </wp:positionV>
              <wp:extent cx="960120" cy="106680"/>
              <wp:wrapNone/>
              <wp:docPr id="363" name="Shape 36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89" type="#_x0000_t202" style="position:absolute;margin-left:261.55000000000001pt;margin-top:783.64999999999998pt;width:75.600000000000009pt;height:8.4000000000000004pt;z-index:-18874378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3321685</wp:posOffset>
              </wp:positionH>
              <wp:positionV relativeFrom="page">
                <wp:posOffset>9952355</wp:posOffset>
              </wp:positionV>
              <wp:extent cx="960120" cy="106680"/>
              <wp:wrapNone/>
              <wp:docPr id="368" name="Shape 36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394" type="#_x0000_t202" style="position:absolute;margin-left:261.55000000000001pt;margin-top:783.64999999999998pt;width:75.600000000000009pt;height:8.4000000000000004pt;z-index:-18874378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3296285</wp:posOffset>
              </wp:positionH>
              <wp:positionV relativeFrom="page">
                <wp:posOffset>9952355</wp:posOffset>
              </wp:positionV>
              <wp:extent cx="960120" cy="106680"/>
              <wp:wrapNone/>
              <wp:docPr id="373" name="Shape 37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99" type="#_x0000_t202" style="position:absolute;margin-left:259.55000000000001pt;margin-top:783.64999999999998pt;width:75.600000000000009pt;height:8.4000000000000004pt;z-index:-1887437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3296285</wp:posOffset>
              </wp:positionH>
              <wp:positionV relativeFrom="page">
                <wp:posOffset>9952355</wp:posOffset>
              </wp:positionV>
              <wp:extent cx="960120" cy="106680"/>
              <wp:wrapNone/>
              <wp:docPr id="378" name="Shape 37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04" type="#_x0000_t202" style="position:absolute;margin-left:259.55000000000001pt;margin-top:783.64999999999998pt;width:75.600000000000009pt;height:8.4000000000000004pt;z-index:-1887437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3296285</wp:posOffset>
              </wp:positionH>
              <wp:positionV relativeFrom="page">
                <wp:posOffset>9952355</wp:posOffset>
              </wp:positionV>
              <wp:extent cx="960120" cy="106680"/>
              <wp:wrapNone/>
              <wp:docPr id="383" name="Shape 38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09" type="#_x0000_t202" style="position:absolute;margin-left:259.55000000000001pt;margin-top:783.64999999999998pt;width:75.600000000000009pt;height:8.4000000000000004pt;z-index:-1887437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3296285</wp:posOffset>
              </wp:positionH>
              <wp:positionV relativeFrom="page">
                <wp:posOffset>9952355</wp:posOffset>
              </wp:positionV>
              <wp:extent cx="960120" cy="106680"/>
              <wp:wrapNone/>
              <wp:docPr id="388" name="Shape 38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14" type="#_x0000_t202" style="position:absolute;margin-left:259.55000000000001pt;margin-top:783.64999999999998pt;width:75.600000000000009pt;height:8.4000000000000004pt;z-index:-1887437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3293110</wp:posOffset>
              </wp:positionH>
              <wp:positionV relativeFrom="page">
                <wp:posOffset>9952355</wp:posOffset>
              </wp:positionV>
              <wp:extent cx="960120" cy="106680"/>
              <wp:wrapNone/>
              <wp:docPr id="393" name="Shape 39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19" type="#_x0000_t202" style="position:absolute;margin-left:259.30000000000001pt;margin-top:783.64999999999998pt;width:75.600000000000009pt;height:8.4000000000000004pt;z-index:-18874376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3293745</wp:posOffset>
              </wp:positionH>
              <wp:positionV relativeFrom="page">
                <wp:posOffset>9952355</wp:posOffset>
              </wp:positionV>
              <wp:extent cx="1014730" cy="106680"/>
              <wp:wrapNone/>
              <wp:docPr id="398" name="Shape 39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24" type="#_x0000_t202" style="position:absolute;margin-left:259.35000000000002pt;margin-top:783.64999999999998pt;width:79.900000000000006pt;height:8.4000000000000004pt;z-index:-18874375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3293745</wp:posOffset>
              </wp:positionH>
              <wp:positionV relativeFrom="page">
                <wp:posOffset>9952355</wp:posOffset>
              </wp:positionV>
              <wp:extent cx="1014730" cy="106680"/>
              <wp:wrapNone/>
              <wp:docPr id="403" name="Shape 40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29" type="#_x0000_t202" style="position:absolute;margin-left:259.35000000000002pt;margin-top:783.64999999999998pt;width:79.900000000000006pt;height:8.4000000000000004pt;z-index:-1887437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3293745</wp:posOffset>
              </wp:positionH>
              <wp:positionV relativeFrom="page">
                <wp:posOffset>9952355</wp:posOffset>
              </wp:positionV>
              <wp:extent cx="1014730" cy="106680"/>
              <wp:wrapNone/>
              <wp:docPr id="408" name="Shape 40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34" type="#_x0000_t202" style="position:absolute;margin-left:259.35000000000002pt;margin-top:783.64999999999998pt;width:79.900000000000006pt;height:8.4000000000000004pt;z-index:-1887437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3296285</wp:posOffset>
              </wp:positionH>
              <wp:positionV relativeFrom="page">
                <wp:posOffset>9952355</wp:posOffset>
              </wp:positionV>
              <wp:extent cx="960120" cy="106680"/>
              <wp:wrapNone/>
              <wp:docPr id="413" name="Shape 41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39" type="#_x0000_t202" style="position:absolute;margin-left:259.55000000000001pt;margin-top:783.64999999999998pt;width:75.600000000000009pt;height:8.4000000000000004pt;z-index:-1887437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3296285</wp:posOffset>
              </wp:positionH>
              <wp:positionV relativeFrom="page">
                <wp:posOffset>9952355</wp:posOffset>
              </wp:positionV>
              <wp:extent cx="960120" cy="106680"/>
              <wp:wrapNone/>
              <wp:docPr id="418" name="Shape 41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44" type="#_x0000_t202" style="position:absolute;margin-left:259.55000000000001pt;margin-top:783.64999999999998pt;width:75.600000000000009pt;height:8.4000000000000004pt;z-index:-1887437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3296285</wp:posOffset>
              </wp:positionH>
              <wp:positionV relativeFrom="page">
                <wp:posOffset>9952355</wp:posOffset>
              </wp:positionV>
              <wp:extent cx="960120" cy="106680"/>
              <wp:wrapNone/>
              <wp:docPr id="423" name="Shape 42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49" type="#_x0000_t202" style="position:absolute;margin-left:259.55000000000001pt;margin-top:783.64999999999998pt;width:75.600000000000009pt;height:8.4000000000000004pt;z-index:-1887437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3270885</wp:posOffset>
              </wp:positionH>
              <wp:positionV relativeFrom="page">
                <wp:posOffset>9952355</wp:posOffset>
              </wp:positionV>
              <wp:extent cx="1017905" cy="106680"/>
              <wp:wrapNone/>
              <wp:docPr id="428" name="Shape 42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54" type="#_x0000_t202" style="position:absolute;margin-left:257.55000000000001pt;margin-top:783.64999999999998pt;width:80.150000000000006pt;height:8.4000000000000004pt;z-index:-1887437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3270885</wp:posOffset>
              </wp:positionH>
              <wp:positionV relativeFrom="page">
                <wp:posOffset>9952355</wp:posOffset>
              </wp:positionV>
              <wp:extent cx="1017905" cy="106680"/>
              <wp:wrapNone/>
              <wp:docPr id="433" name="Shape 43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59" type="#_x0000_t202" style="position:absolute;margin-left:257.55000000000001pt;margin-top:783.64999999999998pt;width:80.150000000000006pt;height:8.4000000000000004pt;z-index:-18874372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3296285</wp:posOffset>
              </wp:positionH>
              <wp:positionV relativeFrom="page">
                <wp:posOffset>9952355</wp:posOffset>
              </wp:positionV>
              <wp:extent cx="960120" cy="106680"/>
              <wp:wrapNone/>
              <wp:docPr id="438" name="Shape 43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64" type="#_x0000_t202" style="position:absolute;margin-left:259.55000000000001pt;margin-top:783.64999999999998pt;width:75.600000000000009pt;height:8.4000000000000004pt;z-index:-1887437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3270885</wp:posOffset>
              </wp:positionH>
              <wp:positionV relativeFrom="page">
                <wp:posOffset>9952355</wp:posOffset>
              </wp:positionV>
              <wp:extent cx="1017905" cy="106680"/>
              <wp:wrapNone/>
              <wp:docPr id="443" name="Shape 44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69" type="#_x0000_t202" style="position:absolute;margin-left:257.55000000000001pt;margin-top:783.64999999999998pt;width:80.150000000000006pt;height:8.4000000000000004pt;z-index:-1887437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3270885</wp:posOffset>
              </wp:positionH>
              <wp:positionV relativeFrom="page">
                <wp:posOffset>9952355</wp:posOffset>
              </wp:positionV>
              <wp:extent cx="1017905" cy="106680"/>
              <wp:wrapNone/>
              <wp:docPr id="448" name="Shape 44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74" type="#_x0000_t202" style="position:absolute;margin-left:257.55000000000001pt;margin-top:783.64999999999998pt;width:80.150000000000006pt;height:8.4000000000000004pt;z-index:-1887437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3270885</wp:posOffset>
              </wp:positionH>
              <wp:positionV relativeFrom="page">
                <wp:posOffset>9952355</wp:posOffset>
              </wp:positionV>
              <wp:extent cx="1017905" cy="106680"/>
              <wp:wrapNone/>
              <wp:docPr id="453" name="Shape 45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79" type="#_x0000_t202" style="position:absolute;margin-left:257.55000000000001pt;margin-top:783.64999999999998pt;width:80.150000000000006pt;height:8.4000000000000004pt;z-index:-1887437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3267710</wp:posOffset>
              </wp:positionH>
              <wp:positionV relativeFrom="page">
                <wp:posOffset>9952355</wp:posOffset>
              </wp:positionV>
              <wp:extent cx="1017905" cy="106680"/>
              <wp:wrapNone/>
              <wp:docPr id="458" name="Shape 45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84" type="#_x0000_t202" style="position:absolute;margin-left:257.30000000000001pt;margin-top:783.64999999999998pt;width:80.150000000000006pt;height:8.4000000000000004pt;z-index:-18874370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3270885</wp:posOffset>
              </wp:positionH>
              <wp:positionV relativeFrom="page">
                <wp:posOffset>9952355</wp:posOffset>
              </wp:positionV>
              <wp:extent cx="1017905" cy="106680"/>
              <wp:wrapNone/>
              <wp:docPr id="463" name="Shape 46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89" type="#_x0000_t202" style="position:absolute;margin-left:257.55000000000001pt;margin-top:783.64999999999998pt;width:80.150000000000006pt;height:8.4000000000000004pt;z-index:-18874370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723265</wp:posOffset>
              </wp:positionH>
              <wp:positionV relativeFrom="page">
                <wp:posOffset>9692005</wp:posOffset>
              </wp:positionV>
              <wp:extent cx="3770630" cy="457200"/>
              <wp:wrapNone/>
              <wp:docPr id="47" name="Shape 47"/>
              <a:graphic xmlns:a="http://schemas.openxmlformats.org/drawingml/2006/main">
                <a:graphicData uri="http://schemas.microsoft.com/office/word/2010/wordprocessingShape">
                  <wps:wsp>
                    <wps:cNvSpPr txBox="1"/>
                    <wps:spPr>
                      <a:xfrm>
                        <a:ext cx="3770630" cy="457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FFFFFF"/>
                              <w:vertAlign w:val="superscript"/>
                            </w:rPr>
                            <w:t>2</w:t>
                          </w:r>
                          <w:r>
                            <w:rPr>
                              <w:rFonts w:ascii="SimSun" w:eastAsia="SimSun" w:hAnsi="SimSun" w:cs="SimSun"/>
                              <w:color w:val="000000"/>
                              <w:spacing w:val="0"/>
                              <w:w w:val="100"/>
                              <w:position w:val="0"/>
                              <w:sz w:val="18"/>
                              <w:szCs w:val="18"/>
                              <w:shd w:val="clear" w:color="auto" w:fill="FFFFFF"/>
                            </w:rPr>
                            <w:t>前瞻产业研究院：《</w:t>
                          </w:r>
                          <w:r>
                            <w:rPr>
                              <w:color w:val="000000"/>
                              <w:spacing w:val="0"/>
                              <w:w w:val="100"/>
                              <w:position w:val="0"/>
                              <w:sz w:val="18"/>
                              <w:szCs w:val="18"/>
                              <w:shd w:val="clear" w:color="auto" w:fill="FFFFFF"/>
                            </w:rPr>
                            <w:t>2019</w:t>
                          </w:r>
                          <w:r>
                            <w:rPr>
                              <w:rFonts w:ascii="SimSun" w:eastAsia="SimSun" w:hAnsi="SimSun" w:cs="SimSun"/>
                              <w:color w:val="000000"/>
                              <w:spacing w:val="0"/>
                              <w:w w:val="100"/>
                              <w:position w:val="0"/>
                              <w:sz w:val="18"/>
                              <w:szCs w:val="18"/>
                              <w:shd w:val="clear" w:color="auto" w:fill="FFFFFF"/>
                            </w:rPr>
                            <w:t>年中国电线电缆行业市场竞争格局及发展趋势》。</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9</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73" type="#_x0000_t202" style="position:absolute;margin-left:56.950000000000003pt;margin-top:763.14999999999998pt;width:296.90000000000003pt;height:36.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FFFFFF"/>
                        <w:vertAlign w:val="superscript"/>
                      </w:rPr>
                      <w:t>2</w:t>
                    </w:r>
                    <w:r>
                      <w:rPr>
                        <w:rFonts w:ascii="SimSun" w:eastAsia="SimSun" w:hAnsi="SimSun" w:cs="SimSun"/>
                        <w:color w:val="000000"/>
                        <w:spacing w:val="0"/>
                        <w:w w:val="100"/>
                        <w:position w:val="0"/>
                        <w:sz w:val="18"/>
                        <w:szCs w:val="18"/>
                        <w:shd w:val="clear" w:color="auto" w:fill="FFFFFF"/>
                      </w:rPr>
                      <w:t>前瞻产业研究院：《</w:t>
                    </w:r>
                    <w:r>
                      <w:rPr>
                        <w:color w:val="000000"/>
                        <w:spacing w:val="0"/>
                        <w:w w:val="100"/>
                        <w:position w:val="0"/>
                        <w:sz w:val="18"/>
                        <w:szCs w:val="18"/>
                        <w:shd w:val="clear" w:color="auto" w:fill="FFFFFF"/>
                      </w:rPr>
                      <w:t>2019</w:t>
                    </w:r>
                    <w:r>
                      <w:rPr>
                        <w:rFonts w:ascii="SimSun" w:eastAsia="SimSun" w:hAnsi="SimSun" w:cs="SimSun"/>
                        <w:color w:val="000000"/>
                        <w:spacing w:val="0"/>
                        <w:w w:val="100"/>
                        <w:position w:val="0"/>
                        <w:sz w:val="18"/>
                        <w:szCs w:val="18"/>
                        <w:shd w:val="clear" w:color="auto" w:fill="FFFFFF"/>
                      </w:rPr>
                      <w:t>年中国电线电缆行业市场竞争格局及发展趋势》。</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color w:val="000000"/>
                        <w:spacing w:val="0"/>
                        <w:w w:val="100"/>
                        <w:position w:val="0"/>
                        <w:sz w:val="18"/>
                        <w:szCs w:val="18"/>
                      </w:rPr>
                      <w:t>9</w:t>
                    </w:r>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3270885</wp:posOffset>
              </wp:positionH>
              <wp:positionV relativeFrom="page">
                <wp:posOffset>9952355</wp:posOffset>
              </wp:positionV>
              <wp:extent cx="1017905" cy="106680"/>
              <wp:wrapNone/>
              <wp:docPr id="468" name="Shape 46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494" type="#_x0000_t202" style="position:absolute;margin-left:257.55000000000001pt;margin-top:783.64999999999998pt;width:80.150000000000006pt;height:8.4000000000000004pt;z-index:-18874370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3296285</wp:posOffset>
              </wp:positionH>
              <wp:positionV relativeFrom="page">
                <wp:posOffset>9952355</wp:posOffset>
              </wp:positionV>
              <wp:extent cx="960120" cy="106680"/>
              <wp:wrapNone/>
              <wp:docPr id="473" name="Shape 47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499" type="#_x0000_t202" style="position:absolute;margin-left:259.55000000000001pt;margin-top:783.64999999999998pt;width:75.600000000000009pt;height:8.4000000000000004pt;z-index:-1887436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3296285</wp:posOffset>
              </wp:positionH>
              <wp:positionV relativeFrom="page">
                <wp:posOffset>9952355</wp:posOffset>
              </wp:positionV>
              <wp:extent cx="960120" cy="106680"/>
              <wp:wrapNone/>
              <wp:docPr id="478" name="Shape 47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04" type="#_x0000_t202" style="position:absolute;margin-left:259.55000000000001pt;margin-top:783.64999999999998pt;width:75.600000000000009pt;height:8.4000000000000004pt;z-index:-1887436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3296285</wp:posOffset>
              </wp:positionH>
              <wp:positionV relativeFrom="page">
                <wp:posOffset>9952355</wp:posOffset>
              </wp:positionV>
              <wp:extent cx="960120" cy="106680"/>
              <wp:wrapNone/>
              <wp:docPr id="483" name="Shape 48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09" type="#_x0000_t202" style="position:absolute;margin-left:259.55000000000001pt;margin-top:783.64999999999998pt;width:75.600000000000009pt;height:8.4000000000000004pt;z-index:-1887436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3270885</wp:posOffset>
              </wp:positionH>
              <wp:positionV relativeFrom="page">
                <wp:posOffset>9952355</wp:posOffset>
              </wp:positionV>
              <wp:extent cx="1017905" cy="106680"/>
              <wp:wrapNone/>
              <wp:docPr id="488" name="Shape 48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14" type="#_x0000_t202" style="position:absolute;margin-left:257.55000000000001pt;margin-top:783.64999999999998pt;width:80.150000000000006pt;height:8.4000000000000004pt;z-index:-18874368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3270885</wp:posOffset>
              </wp:positionH>
              <wp:positionV relativeFrom="page">
                <wp:posOffset>9952355</wp:posOffset>
              </wp:positionV>
              <wp:extent cx="1017905" cy="106680"/>
              <wp:wrapNone/>
              <wp:docPr id="493" name="Shape 493"/>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19" type="#_x0000_t202" style="position:absolute;margin-left:257.55000000000001pt;margin-top:783.64999999999998pt;width:80.150000000000006pt;height:8.4000000000000004pt;z-index:-18874368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3296285</wp:posOffset>
              </wp:positionH>
              <wp:positionV relativeFrom="page">
                <wp:posOffset>9952355</wp:posOffset>
              </wp:positionV>
              <wp:extent cx="960120" cy="106680"/>
              <wp:wrapNone/>
              <wp:docPr id="498" name="Shape 49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24" type="#_x0000_t202" style="position:absolute;margin-left:259.55000000000001pt;margin-top:783.64999999999998pt;width:75.600000000000009pt;height:8.4000000000000004pt;z-index:-1887436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3296285</wp:posOffset>
              </wp:positionH>
              <wp:positionV relativeFrom="page">
                <wp:posOffset>9952355</wp:posOffset>
              </wp:positionV>
              <wp:extent cx="960120" cy="106680"/>
              <wp:wrapNone/>
              <wp:docPr id="503" name="Shape 50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29" type="#_x0000_t202" style="position:absolute;margin-left:259.55000000000001pt;margin-top:783.64999999999998pt;width:75.600000000000009pt;height:8.4000000000000004pt;z-index:-1887436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3266440</wp:posOffset>
              </wp:positionH>
              <wp:positionV relativeFrom="page">
                <wp:posOffset>9952355</wp:posOffset>
              </wp:positionV>
              <wp:extent cx="1017905" cy="106680"/>
              <wp:wrapNone/>
              <wp:docPr id="508" name="Shape 508"/>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wps:txbx>
                    <wps:bodyPr wrap="none" lIns="0" tIns="0" rIns="0" bIns="0">
                      <a:spAutoFit/>
                    </wps:bodyPr>
                  </wps:wsp>
                </a:graphicData>
              </a:graphic>
            </wp:anchor>
          </w:drawing>
        </mc:Choice>
        <mc:Fallback>
          <w:pict>
            <v:shape id="_x0000_s1534" type="#_x0000_t202" style="position:absolute;margin-left:257.19999999999999pt;margin-top:783.64999999999998pt;width:80.150000000000006pt;height:8.4000000000000004pt;z-index:-18874366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187</w:t>
                    </w:r>
                    <w:r>
                      <w:rPr>
                        <w:color w:val="000000"/>
                        <w:spacing w:val="0"/>
                        <w:w w:val="100"/>
                        <w:position w:val="0"/>
                      </w:rPr>
                      <w:t>页</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3296285</wp:posOffset>
              </wp:positionH>
              <wp:positionV relativeFrom="page">
                <wp:posOffset>9952355</wp:posOffset>
              </wp:positionV>
              <wp:extent cx="960120" cy="106680"/>
              <wp:wrapNone/>
              <wp:docPr id="513" name="Shape 51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539" type="#_x0000_t202" style="position:absolute;margin-left:259.55000000000001pt;margin-top:783.64999999999998pt;width:75.600000000000009pt;height:8.4000000000000004pt;z-index:-1887436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187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446405</wp:posOffset>
              </wp:positionH>
              <wp:positionV relativeFrom="page">
                <wp:posOffset>374650</wp:posOffset>
              </wp:positionV>
              <wp:extent cx="6712585" cy="172720"/>
              <wp:wrapNone/>
              <wp:docPr id="3" name="Shape 3"/>
              <a:graphic xmlns:a="http://schemas.openxmlformats.org/drawingml/2006/main">
                <a:graphicData uri="http://schemas.microsoft.com/office/word/2010/wordprocessingShape">
                  <wps:wsp>
                    <wps:cNvSpPr txBox="1"/>
                    <wps:spPr>
                      <a:xfrm>
                        <a:ext cx="6712585" cy="172720"/>
                      </a:xfrm>
                      <a:prstGeom prst="rect"/>
                      <a:noFill/>
                    </wps:spPr>
                    <wps:txbx>
                      <w:txbxContent>
                        <w:p>
                          <w:pPr>
                            <w:pStyle w:val="Style4"/>
                            <w:keepNext w:val="0"/>
                            <w:keepLines w:val="0"/>
                            <w:widowControl w:val="0"/>
                            <w:shd w:val="clear" w:color="auto" w:fill="auto"/>
                            <w:tabs>
                              <w:tab w:pos="6436" w:val="right"/>
                              <w:tab w:pos="10571" w:val="right"/>
                            </w:tabs>
                            <w:bidi w:val="0"/>
                            <w:spacing w:before="0" w:after="0" w:line="240" w:lineRule="auto"/>
                            <w:ind w:left="0" w:right="0" w:firstLine="0"/>
                            <w:jc w:val="left"/>
                            <w:rPr>
                              <w:sz w:val="28"/>
                              <w:szCs w:val="28"/>
                            </w:rPr>
                          </w:pPr>
                          <w:r>
                            <w:rPr>
                              <w:rFonts w:ascii="SimHei" w:eastAsia="SimHei" w:hAnsi="SimHei" w:cs="SimHei"/>
                              <w:color w:val="074C86"/>
                              <w:spacing w:val="0"/>
                              <w:w w:val="100"/>
                              <w:position w:val="0"/>
                              <w:sz w:val="28"/>
                              <w:szCs w:val="28"/>
                            </w:rPr>
                            <w:t>证券代码：</w:t>
                          </w:r>
                          <w:r>
                            <w:rPr>
                              <w:b/>
                              <w:bCs/>
                              <w:color w:val="074C86"/>
                              <w:spacing w:val="0"/>
                              <w:w w:val="100"/>
                              <w:position w:val="0"/>
                              <w:sz w:val="28"/>
                              <w:szCs w:val="28"/>
                            </w:rPr>
                            <w:t>002276</w:t>
                            <w:tab/>
                          </w:r>
                          <w:r>
                            <w:rPr>
                              <w:rFonts w:ascii="SimHei" w:eastAsia="SimHei" w:hAnsi="SimHei" w:cs="SimHei"/>
                              <w:color w:val="074C86"/>
                              <w:spacing w:val="0"/>
                              <w:w w:val="100"/>
                              <w:position w:val="0"/>
                              <w:sz w:val="28"/>
                              <w:szCs w:val="28"/>
                            </w:rPr>
                            <w:t>证券简称：万马股份</w:t>
                            <w:tab/>
                            <w:t>公告编号：</w:t>
                          </w:r>
                          <w:r>
                            <w:rPr>
                              <w:b/>
                              <w:bCs/>
                              <w:color w:val="074C86"/>
                              <w:spacing w:val="0"/>
                              <w:w w:val="100"/>
                              <w:position w:val="0"/>
                              <w:sz w:val="28"/>
                              <w:szCs w:val="28"/>
                            </w:rPr>
                            <w:t>2021-025</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5.149999999999999pt;margin-top:29.5pt;width:528.54999999999995pt;height:13.6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436" w:val="right"/>
                        <w:tab w:pos="10571" w:val="right"/>
                      </w:tabs>
                      <w:bidi w:val="0"/>
                      <w:spacing w:before="0" w:after="0" w:line="240" w:lineRule="auto"/>
                      <w:ind w:left="0" w:right="0" w:firstLine="0"/>
                      <w:jc w:val="left"/>
                      <w:rPr>
                        <w:sz w:val="28"/>
                        <w:szCs w:val="28"/>
                      </w:rPr>
                    </w:pPr>
                    <w:r>
                      <w:rPr>
                        <w:rFonts w:ascii="SimHei" w:eastAsia="SimHei" w:hAnsi="SimHei" w:cs="SimHei"/>
                        <w:color w:val="074C86"/>
                        <w:spacing w:val="0"/>
                        <w:w w:val="100"/>
                        <w:position w:val="0"/>
                        <w:sz w:val="28"/>
                        <w:szCs w:val="28"/>
                      </w:rPr>
                      <w:t>证券代码：</w:t>
                    </w:r>
                    <w:r>
                      <w:rPr>
                        <w:b/>
                        <w:bCs/>
                        <w:color w:val="074C86"/>
                        <w:spacing w:val="0"/>
                        <w:w w:val="100"/>
                        <w:position w:val="0"/>
                        <w:sz w:val="28"/>
                        <w:szCs w:val="28"/>
                      </w:rPr>
                      <w:t>002276</w:t>
                      <w:tab/>
                    </w:r>
                    <w:r>
                      <w:rPr>
                        <w:rFonts w:ascii="SimHei" w:eastAsia="SimHei" w:hAnsi="SimHei" w:cs="SimHei"/>
                        <w:color w:val="074C86"/>
                        <w:spacing w:val="0"/>
                        <w:w w:val="100"/>
                        <w:position w:val="0"/>
                        <w:sz w:val="28"/>
                        <w:szCs w:val="28"/>
                      </w:rPr>
                      <w:t>证券简称：万马股份</w:t>
                      <w:tab/>
                      <w:t>公告编号：</w:t>
                    </w:r>
                    <w:r>
                      <w:rPr>
                        <w:b/>
                        <w:bCs/>
                        <w:color w:val="074C86"/>
                        <w:spacing w:val="0"/>
                        <w:w w:val="100"/>
                        <w:position w:val="0"/>
                        <w:sz w:val="28"/>
                        <w:szCs w:val="28"/>
                      </w:rPr>
                      <w:t>2021-025</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1556385</wp:posOffset>
              </wp:positionH>
              <wp:positionV relativeFrom="page">
                <wp:posOffset>579755</wp:posOffset>
              </wp:positionV>
              <wp:extent cx="5273040" cy="320040"/>
              <wp:wrapNone/>
              <wp:docPr id="41" name="Shape 41"/>
              <a:graphic xmlns:a="http://schemas.openxmlformats.org/drawingml/2006/main">
                <a:graphicData uri="http://schemas.microsoft.com/office/word/2010/wordprocessingShape">
                  <wps:wsp>
                    <wps:cNvSpPr txBox="1"/>
                    <wps:spPr>
                      <a:xfrm>
                        <a:ext cx="527304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67" type="#_x0000_t202" style="position:absolute;margin-left:122.55pt;margin-top:45.649999999999999pt;width:415.19999999999999pt;height:25.199999999999999pt;z-index:-1887440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43" name="Shape 4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882650</wp:posOffset>
              </wp:positionH>
              <wp:positionV relativeFrom="page">
                <wp:posOffset>765810</wp:posOffset>
              </wp:positionV>
              <wp:extent cx="5946775" cy="133985"/>
              <wp:wrapNone/>
              <wp:docPr id="505" name="Shape 50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1" type="#_x0000_t202" style="position:absolute;margin-left:69.5pt;margin-top:60.300000000000004pt;width:468.25pt;height:10.550000000000001pt;z-index:-18874367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507" name="Shape 50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1343660</wp:posOffset>
              </wp:positionH>
              <wp:positionV relativeFrom="page">
                <wp:posOffset>525145</wp:posOffset>
              </wp:positionV>
              <wp:extent cx="5486400" cy="328930"/>
              <wp:wrapNone/>
              <wp:docPr id="510" name="Shape 51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36" type="#_x0000_t202" style="position:absolute;margin-left:105.8pt;margin-top:41.350000000000001pt;width:432.pt;height:25.900000000000002pt;z-index:-1887436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512" name="Shape 51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1343660</wp:posOffset>
              </wp:positionH>
              <wp:positionV relativeFrom="page">
                <wp:posOffset>525145</wp:posOffset>
              </wp:positionV>
              <wp:extent cx="5486400" cy="328930"/>
              <wp:wrapNone/>
              <wp:docPr id="515" name="Shape 51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41" type="#_x0000_t202" style="position:absolute;margin-left:105.8pt;margin-top:41.350000000000001pt;width:432.pt;height:25.900000000000002pt;z-index:-1887436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517" name="Shape 51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1283335</wp:posOffset>
              </wp:positionH>
              <wp:positionV relativeFrom="page">
                <wp:posOffset>570230</wp:posOffset>
              </wp:positionV>
              <wp:extent cx="5550535" cy="328930"/>
              <wp:wrapNone/>
              <wp:docPr id="520" name="Shape 52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6" type="#_x0000_t202" style="position:absolute;margin-left:101.05pt;margin-top:44.899999999999999pt;width:437.05000000000001pt;height:25.900000000000002pt;z-index:-18874365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22" name="Shape 52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1283335</wp:posOffset>
              </wp:positionH>
              <wp:positionV relativeFrom="page">
                <wp:posOffset>570230</wp:posOffset>
              </wp:positionV>
              <wp:extent cx="5550535" cy="328930"/>
              <wp:wrapNone/>
              <wp:docPr id="525" name="Shape 525"/>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1" type="#_x0000_t202" style="position:absolute;margin-left:101.05pt;margin-top:44.899999999999999pt;width:437.05000000000001pt;height:25.900000000000002pt;z-index:-18874365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27" name="Shape 52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1283335</wp:posOffset>
              </wp:positionH>
              <wp:positionV relativeFrom="page">
                <wp:posOffset>570230</wp:posOffset>
              </wp:positionV>
              <wp:extent cx="5550535" cy="328930"/>
              <wp:wrapNone/>
              <wp:docPr id="530" name="Shape 53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6" type="#_x0000_t202" style="position:absolute;margin-left:101.05pt;margin-top:44.899999999999999pt;width:437.05000000000001pt;height:25.900000000000002pt;z-index:-18874365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32" name="Shape 53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1343660</wp:posOffset>
              </wp:positionH>
              <wp:positionV relativeFrom="page">
                <wp:posOffset>525145</wp:posOffset>
              </wp:positionV>
              <wp:extent cx="5486400" cy="328930"/>
              <wp:wrapNone/>
              <wp:docPr id="535" name="Shape 53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61" type="#_x0000_t202" style="position:absolute;margin-left:105.8pt;margin-top:41.350000000000001pt;width:432.pt;height:25.900000000000002pt;z-index:-1887436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537" name="Shape 53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1343660</wp:posOffset>
              </wp:positionH>
              <wp:positionV relativeFrom="page">
                <wp:posOffset>525145</wp:posOffset>
              </wp:positionV>
              <wp:extent cx="5486400" cy="328930"/>
              <wp:wrapNone/>
              <wp:docPr id="540" name="Shape 54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66" type="#_x0000_t202" style="position:absolute;margin-left:105.8pt;margin-top:41.350000000000001pt;width:432.pt;height:25.900000000000002pt;z-index:-1887436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542" name="Shape 54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887095</wp:posOffset>
              </wp:positionH>
              <wp:positionV relativeFrom="page">
                <wp:posOffset>765810</wp:posOffset>
              </wp:positionV>
              <wp:extent cx="5946775" cy="133985"/>
              <wp:wrapNone/>
              <wp:docPr id="545" name="Shape 54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1" type="#_x0000_t202" style="position:absolute;margin-left:69.850000000000009pt;margin-top:60.300000000000004pt;width:468.25pt;height:10.550000000000001pt;z-index:-18874363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47" name="Shape 54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1283335</wp:posOffset>
              </wp:positionH>
              <wp:positionV relativeFrom="page">
                <wp:posOffset>570230</wp:posOffset>
              </wp:positionV>
              <wp:extent cx="5550535" cy="328930"/>
              <wp:wrapNone/>
              <wp:docPr id="550" name="Shape 55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6" type="#_x0000_t202" style="position:absolute;margin-left:101.05pt;margin-top:44.899999999999999pt;width:437.05000000000001pt;height:25.900000000000002pt;z-index:-18874363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52" name="Shape 55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1558290</wp:posOffset>
              </wp:positionH>
              <wp:positionV relativeFrom="page">
                <wp:posOffset>669925</wp:posOffset>
              </wp:positionV>
              <wp:extent cx="5273040" cy="320040"/>
              <wp:wrapNone/>
              <wp:docPr id="44" name="Shape 44"/>
              <a:graphic xmlns:a="http://schemas.openxmlformats.org/drawingml/2006/main">
                <a:graphicData uri="http://schemas.microsoft.com/office/word/2010/wordprocessingShape">
                  <wps:wsp>
                    <wps:cNvSpPr txBox="1"/>
                    <wps:spPr>
                      <a:xfrm>
                        <a:ext cx="527304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0" type="#_x0000_t202" style="position:absolute;margin-left:122.7pt;margin-top:52.75pt;width:415.19999999999999pt;height:25.199999999999999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993140</wp:posOffset>
              </wp:positionV>
              <wp:extent cx="5958840" cy="0"/>
              <wp:wrapNone/>
              <wp:docPr id="46" name="Shape 4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400000000000006pt;margin-top:78.200000000000003pt;width:469.19999999999999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887095</wp:posOffset>
              </wp:positionH>
              <wp:positionV relativeFrom="page">
                <wp:posOffset>765810</wp:posOffset>
              </wp:positionV>
              <wp:extent cx="5946775" cy="133985"/>
              <wp:wrapNone/>
              <wp:docPr id="555" name="Shape 55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1" type="#_x0000_t202" style="position:absolute;margin-left:69.850000000000009pt;margin-top:60.300000000000004pt;width:468.25pt;height:10.550000000000001pt;z-index:-18874363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57" name="Shape 55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887095</wp:posOffset>
              </wp:positionH>
              <wp:positionV relativeFrom="page">
                <wp:posOffset>765810</wp:posOffset>
              </wp:positionV>
              <wp:extent cx="5946775" cy="133985"/>
              <wp:wrapNone/>
              <wp:docPr id="560" name="Shape 560"/>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6" type="#_x0000_t202" style="position:absolute;margin-left:69.850000000000009pt;margin-top:60.300000000000004pt;width:468.25pt;height:10.550000000000001pt;z-index:-18874362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62" name="Shape 56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1556385</wp:posOffset>
              </wp:positionH>
              <wp:positionV relativeFrom="page">
                <wp:posOffset>579755</wp:posOffset>
              </wp:positionV>
              <wp:extent cx="987425" cy="289560"/>
              <wp:wrapNone/>
              <wp:docPr id="565" name="Shape 565"/>
              <a:graphic xmlns:a="http://schemas.openxmlformats.org/drawingml/2006/main">
                <a:graphicData uri="http://schemas.microsoft.com/office/word/2010/wordprocessingShape">
                  <wps:wsp>
                    <wps:cNvSpPr txBox="1"/>
                    <wps:spPr>
                      <a:xfrm>
                        <a:ext cx="987425" cy="2895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wps:txbx>
                    <wps:bodyPr wrap="none" lIns="0" tIns="0" rIns="0" bIns="0">
                      <a:spAutoFit/>
                    </wps:bodyPr>
                  </wps:wsp>
                </a:graphicData>
              </a:graphic>
            </wp:anchor>
          </w:drawing>
        </mc:Choice>
        <mc:Fallback>
          <w:pict>
            <v:shape id="_x0000_s1591" type="#_x0000_t202" style="position:absolute;margin-left:122.55pt;margin-top:45.649999999999999pt;width:77.75pt;height:22.800000000000001pt;z-index:-18874362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v:textbox>
              <w10:wrap anchorx="page" anchory="page"/>
            </v:shape>
          </w:pict>
        </mc:Fallback>
      </mc:AlternateContent>
    </w:r>
    <w:r>
      <mc:AlternateContent>
        <mc:Choice Requires="wps">
          <w:drawing>
            <wp:anchor distT="0" distB="0" distL="0" distR="0" simplePos="0" relativeHeight="62915132" behindDoc="1" locked="0" layoutInCell="1" allowOverlap="1">
              <wp:simplePos x="0" y="0"/>
              <wp:positionH relativeFrom="page">
                <wp:posOffset>4616450</wp:posOffset>
              </wp:positionH>
              <wp:positionV relativeFrom="page">
                <wp:posOffset>793115</wp:posOffset>
              </wp:positionV>
              <wp:extent cx="2212975" cy="106680"/>
              <wp:wrapNone/>
              <wp:docPr id="567" name="Shape 567"/>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3" type="#_x0000_t202" style="position:absolute;margin-left:363.5pt;margin-top:62.450000000000003pt;width:174.25pt;height:8.4000000000000004pt;z-index:-1887436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569" name="Shape 569"/>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1556385</wp:posOffset>
              </wp:positionH>
              <wp:positionV relativeFrom="page">
                <wp:posOffset>579755</wp:posOffset>
              </wp:positionV>
              <wp:extent cx="987425" cy="289560"/>
              <wp:wrapNone/>
              <wp:docPr id="572" name="Shape 572"/>
              <a:graphic xmlns:a="http://schemas.openxmlformats.org/drawingml/2006/main">
                <a:graphicData uri="http://schemas.microsoft.com/office/word/2010/wordprocessingShape">
                  <wps:wsp>
                    <wps:cNvSpPr txBox="1"/>
                    <wps:spPr>
                      <a:xfrm>
                        <a:ext cx="987425" cy="2895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wps:txbx>
                    <wps:bodyPr wrap="none" lIns="0" tIns="0" rIns="0" bIns="0">
                      <a:spAutoFit/>
                    </wps:bodyPr>
                  </wps:wsp>
                </a:graphicData>
              </a:graphic>
            </wp:anchor>
          </w:drawing>
        </mc:Choice>
        <mc:Fallback>
          <w:pict>
            <v:shape id="_x0000_s1598" type="#_x0000_t202" style="position:absolute;margin-left:122.55pt;margin-top:45.649999999999999pt;width:77.75pt;height:22.800000000000001pt;z-index:-1887436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v:textbox>
              <w10:wrap anchorx="page" anchory="page"/>
            </v:shape>
          </w:pict>
        </mc:Fallback>
      </mc:AlternateContent>
    </w:r>
    <w:r>
      <mc:AlternateContent>
        <mc:Choice Requires="wps">
          <w:drawing>
            <wp:anchor distT="0" distB="0" distL="0" distR="0" simplePos="0" relativeHeight="62915138" behindDoc="1" locked="0" layoutInCell="1" allowOverlap="1">
              <wp:simplePos x="0" y="0"/>
              <wp:positionH relativeFrom="page">
                <wp:posOffset>4616450</wp:posOffset>
              </wp:positionH>
              <wp:positionV relativeFrom="page">
                <wp:posOffset>793115</wp:posOffset>
              </wp:positionV>
              <wp:extent cx="2212975" cy="106680"/>
              <wp:wrapNone/>
              <wp:docPr id="574" name="Shape 574"/>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0" type="#_x0000_t202" style="position:absolute;margin-left:363.5pt;margin-top:62.450000000000003pt;width:174.25pt;height:8.4000000000000004pt;z-index:-18874361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576" name="Shape 57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1283335</wp:posOffset>
              </wp:positionH>
              <wp:positionV relativeFrom="page">
                <wp:posOffset>570230</wp:posOffset>
              </wp:positionV>
              <wp:extent cx="5550535" cy="328930"/>
              <wp:wrapNone/>
              <wp:docPr id="579" name="Shape 579"/>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5" type="#_x0000_t202" style="position:absolute;margin-left:101.05pt;margin-top:44.899999999999999pt;width:437.05000000000001pt;height:25.900000000000002pt;z-index:-18874361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81" name="Shape 58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1283335</wp:posOffset>
              </wp:positionH>
              <wp:positionV relativeFrom="page">
                <wp:posOffset>570230</wp:posOffset>
              </wp:positionV>
              <wp:extent cx="5550535" cy="328930"/>
              <wp:wrapNone/>
              <wp:docPr id="584" name="Shape 584"/>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0" type="#_x0000_t202" style="position:absolute;margin-left:101.05pt;margin-top:44.899999999999999pt;width:437.05000000000001pt;height:25.900000000000002pt;z-index:-18874360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586" name="Shape 58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1550670</wp:posOffset>
              </wp:positionH>
              <wp:positionV relativeFrom="page">
                <wp:posOffset>576580</wp:posOffset>
              </wp:positionV>
              <wp:extent cx="5279390" cy="323215"/>
              <wp:wrapNone/>
              <wp:docPr id="589" name="Shape 589"/>
              <a:graphic xmlns:a="http://schemas.openxmlformats.org/drawingml/2006/main">
                <a:graphicData uri="http://schemas.microsoft.com/office/word/2010/wordprocessingShape">
                  <wps:wsp>
                    <wps:cNvSpPr txBox="1"/>
                    <wps:spPr>
                      <a:xfrm>
                        <a:ext cx="5279390" cy="3232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5" type="#_x0000_t202" style="position:absolute;margin-left:122.10000000000001pt;margin-top:45.399999999999999pt;width:415.69999999999999pt;height:25.449999999999999pt;z-index:-18874360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591" name="Shape 59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1550670</wp:posOffset>
              </wp:positionH>
              <wp:positionV relativeFrom="page">
                <wp:posOffset>576580</wp:posOffset>
              </wp:positionV>
              <wp:extent cx="5279390" cy="323215"/>
              <wp:wrapNone/>
              <wp:docPr id="594" name="Shape 594"/>
              <a:graphic xmlns:a="http://schemas.openxmlformats.org/drawingml/2006/main">
                <a:graphicData uri="http://schemas.microsoft.com/office/word/2010/wordprocessingShape">
                  <wps:wsp>
                    <wps:cNvSpPr txBox="1"/>
                    <wps:spPr>
                      <a:xfrm>
                        <a:ext cx="5279390" cy="3232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0" type="#_x0000_t202" style="position:absolute;margin-left:122.10000000000001pt;margin-top:45.399999999999999pt;width:415.69999999999999pt;height:25.449999999999999pt;z-index:-18874359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596" name="Shape 59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887095</wp:posOffset>
              </wp:positionH>
              <wp:positionV relativeFrom="page">
                <wp:posOffset>765810</wp:posOffset>
              </wp:positionV>
              <wp:extent cx="5946775" cy="133985"/>
              <wp:wrapNone/>
              <wp:docPr id="599" name="Shape 599"/>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5" type="#_x0000_t202" style="position:absolute;margin-left:69.850000000000009pt;margin-top:60.300000000000004pt;width:468.25pt;height:10.550000000000001pt;z-index:-18874359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601" name="Shape 60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887095</wp:posOffset>
              </wp:positionH>
              <wp:positionV relativeFrom="page">
                <wp:posOffset>765810</wp:posOffset>
              </wp:positionV>
              <wp:extent cx="5946775" cy="133985"/>
              <wp:wrapNone/>
              <wp:docPr id="604" name="Shape 604"/>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0" type="#_x0000_t202" style="position:absolute;margin-left:69.850000000000009pt;margin-top:60.300000000000004pt;width:468.25pt;height:10.550000000000001pt;z-index:-18874359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606" name="Shape 60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1558290</wp:posOffset>
              </wp:positionH>
              <wp:positionV relativeFrom="page">
                <wp:posOffset>669925</wp:posOffset>
              </wp:positionV>
              <wp:extent cx="5273040" cy="320040"/>
              <wp:wrapNone/>
              <wp:docPr id="49" name="Shape 49"/>
              <a:graphic xmlns:a="http://schemas.openxmlformats.org/drawingml/2006/main">
                <a:graphicData uri="http://schemas.microsoft.com/office/word/2010/wordprocessingShape">
                  <wps:wsp>
                    <wps:cNvSpPr txBox="1"/>
                    <wps:spPr>
                      <a:xfrm>
                        <a:ext cx="527304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5" type="#_x0000_t202" style="position:absolute;margin-left:122.7pt;margin-top:52.75pt;width:415.19999999999999pt;height:25.199999999999999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993140</wp:posOffset>
              </wp:positionV>
              <wp:extent cx="5958840" cy="0"/>
              <wp:wrapNone/>
              <wp:docPr id="51" name="Shape 5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400000000000006pt;margin-top:78.200000000000003pt;width:469.19999999999999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887095</wp:posOffset>
              </wp:positionH>
              <wp:positionV relativeFrom="page">
                <wp:posOffset>765810</wp:posOffset>
              </wp:positionV>
              <wp:extent cx="5946775" cy="133985"/>
              <wp:wrapNone/>
              <wp:docPr id="609" name="Shape 609"/>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5" type="#_x0000_t202" style="position:absolute;margin-left:69.850000000000009pt;margin-top:60.300000000000004pt;width:468.25pt;height:10.550000000000001pt;z-index:-18874358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611" name="Shape 61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883285</wp:posOffset>
              </wp:positionH>
              <wp:positionV relativeFrom="page">
                <wp:posOffset>765810</wp:posOffset>
              </wp:positionV>
              <wp:extent cx="5946775" cy="133985"/>
              <wp:wrapNone/>
              <wp:docPr id="614" name="Shape 614"/>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76" w:val="right"/>
                              <w:tab w:pos="9365" w:val="right"/>
                            </w:tabs>
                            <w:bidi w:val="0"/>
                            <w:spacing w:before="0" w:after="0" w:line="240" w:lineRule="auto"/>
                            <w:ind w:left="0" w:right="0" w:firstLine="0"/>
                            <w:jc w:val="left"/>
                          </w:pPr>
                          <w:r>
                            <w:rPr>
                              <w:color w:val="2F418C"/>
                              <w:spacing w:val="0"/>
                              <w:w w:val="100"/>
                              <w:position w:val="0"/>
                              <w:sz w:val="9"/>
                              <w:szCs w:val="9"/>
                            </w:rPr>
                            <w:t>■ ■ ■■</w:t>
                            <w:tab/>
                          </w:r>
                          <w:r>
                            <w:rPr>
                              <w:color w:val="7F839D"/>
                              <w:spacing w:val="0"/>
                              <w:w w:val="100"/>
                              <w:position w:val="0"/>
                              <w:sz w:val="9"/>
                              <w:szCs w:val="9"/>
                            </w:rPr>
                            <w:t>线绳-材料-能源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0" type="#_x0000_t202" style="position:absolute;margin-left:69.549999999999997pt;margin-top:60.300000000000004pt;width:468.25pt;height:10.550000000000001pt;z-index:-18874358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76" w:val="right"/>
                        <w:tab w:pos="9365" w:val="right"/>
                      </w:tabs>
                      <w:bidi w:val="0"/>
                      <w:spacing w:before="0" w:after="0" w:line="240" w:lineRule="auto"/>
                      <w:ind w:left="0" w:right="0" w:firstLine="0"/>
                      <w:jc w:val="left"/>
                    </w:pPr>
                    <w:r>
                      <w:rPr>
                        <w:color w:val="2F418C"/>
                        <w:spacing w:val="0"/>
                        <w:w w:val="100"/>
                        <w:position w:val="0"/>
                        <w:sz w:val="9"/>
                        <w:szCs w:val="9"/>
                      </w:rPr>
                      <w:t>■ ■ ■■</w:t>
                      <w:tab/>
                    </w:r>
                    <w:r>
                      <w:rPr>
                        <w:color w:val="7F839D"/>
                        <w:spacing w:val="0"/>
                        <w:w w:val="100"/>
                        <w:position w:val="0"/>
                        <w:sz w:val="9"/>
                        <w:szCs w:val="9"/>
                      </w:rPr>
                      <w:t>线绳-材料-能源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616" name="Shape 61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1550670</wp:posOffset>
              </wp:positionH>
              <wp:positionV relativeFrom="page">
                <wp:posOffset>576580</wp:posOffset>
              </wp:positionV>
              <wp:extent cx="5279390" cy="323215"/>
              <wp:wrapNone/>
              <wp:docPr id="619" name="Shape 619"/>
              <a:graphic xmlns:a="http://schemas.openxmlformats.org/drawingml/2006/main">
                <a:graphicData uri="http://schemas.microsoft.com/office/word/2010/wordprocessingShape">
                  <wps:wsp>
                    <wps:cNvSpPr txBox="1"/>
                    <wps:spPr>
                      <a:xfrm>
                        <a:ext cx="5279390" cy="3232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5" type="#_x0000_t202" style="position:absolute;margin-left:122.10000000000001pt;margin-top:45.399999999999999pt;width:415.69999999999999pt;height:25.449999999999999pt;z-index:-18874357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621" name="Shape 62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1550670</wp:posOffset>
              </wp:positionH>
              <wp:positionV relativeFrom="page">
                <wp:posOffset>576580</wp:posOffset>
              </wp:positionV>
              <wp:extent cx="5279390" cy="323215"/>
              <wp:wrapNone/>
              <wp:docPr id="624" name="Shape 624"/>
              <a:graphic xmlns:a="http://schemas.openxmlformats.org/drawingml/2006/main">
                <a:graphicData uri="http://schemas.microsoft.com/office/word/2010/wordprocessingShape">
                  <wps:wsp>
                    <wps:cNvSpPr txBox="1"/>
                    <wps:spPr>
                      <a:xfrm>
                        <a:ext cx="5279390" cy="3232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0" type="#_x0000_t202" style="position:absolute;margin-left:122.10000000000001pt;margin-top:45.399999999999999pt;width:415.69999999999999pt;height:25.449999999999999pt;z-index:-18874357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626" name="Shape 62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1276350</wp:posOffset>
              </wp:positionH>
              <wp:positionV relativeFrom="page">
                <wp:posOffset>570230</wp:posOffset>
              </wp:positionV>
              <wp:extent cx="5550535" cy="328930"/>
              <wp:wrapNone/>
              <wp:docPr id="629" name="Shape 629"/>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5" type="#_x0000_t202" style="position:absolute;margin-left:100.5pt;margin-top:44.899999999999999pt;width:437.05000000000001pt;height:25.900000000000002pt;z-index:-18874357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902970</wp:posOffset>
              </wp:positionV>
              <wp:extent cx="5958840" cy="0"/>
              <wp:wrapNone/>
              <wp:docPr id="631" name="Shape 63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049999999999997pt;margin-top:71.100000000000009pt;width:469.19999999999999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1276350</wp:posOffset>
              </wp:positionH>
              <wp:positionV relativeFrom="page">
                <wp:posOffset>570230</wp:posOffset>
              </wp:positionV>
              <wp:extent cx="5550535" cy="328930"/>
              <wp:wrapNone/>
              <wp:docPr id="636" name="Shape 63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2" type="#_x0000_t202" style="position:absolute;margin-left:100.5pt;margin-top:44.899999999999999pt;width:437.05000000000001pt;height:25.900000000000002pt;z-index:-18874356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902970</wp:posOffset>
              </wp:positionV>
              <wp:extent cx="5958840" cy="0"/>
              <wp:wrapNone/>
              <wp:docPr id="638" name="Shape 63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049999999999997pt;margin-top:71.100000000000009pt;width:469.19999999999999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1276350</wp:posOffset>
              </wp:positionH>
              <wp:positionV relativeFrom="page">
                <wp:posOffset>570230</wp:posOffset>
              </wp:positionV>
              <wp:extent cx="5550535" cy="328930"/>
              <wp:wrapNone/>
              <wp:docPr id="641" name="Shape 64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7" type="#_x0000_t202" style="position:absolute;margin-left:100.5pt;margin-top:44.899999999999999pt;width:437.05000000000001pt;height:25.900000000000002pt;z-index:-18874356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902970</wp:posOffset>
              </wp:positionV>
              <wp:extent cx="5958840" cy="0"/>
              <wp:wrapNone/>
              <wp:docPr id="643" name="Shape 64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049999999999997pt;margin-top:71.100000000000009pt;width:469.19999999999999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1550670</wp:posOffset>
              </wp:positionH>
              <wp:positionV relativeFrom="page">
                <wp:posOffset>576580</wp:posOffset>
              </wp:positionV>
              <wp:extent cx="5279390" cy="323215"/>
              <wp:wrapNone/>
              <wp:docPr id="646" name="Shape 646"/>
              <a:graphic xmlns:a="http://schemas.openxmlformats.org/drawingml/2006/main">
                <a:graphicData uri="http://schemas.microsoft.com/office/word/2010/wordprocessingShape">
                  <wps:wsp>
                    <wps:cNvSpPr txBox="1"/>
                    <wps:spPr>
                      <a:xfrm>
                        <a:ext cx="5279390" cy="3232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2" type="#_x0000_t202" style="position:absolute;margin-left:122.10000000000001pt;margin-top:45.399999999999999pt;width:415.69999999999999pt;height:25.449999999999999pt;z-index:-18874355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648" name="Shape 64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1550670</wp:posOffset>
              </wp:positionH>
              <wp:positionV relativeFrom="page">
                <wp:posOffset>576580</wp:posOffset>
              </wp:positionV>
              <wp:extent cx="5279390" cy="323215"/>
              <wp:wrapNone/>
              <wp:docPr id="651" name="Shape 651"/>
              <a:graphic xmlns:a="http://schemas.openxmlformats.org/drawingml/2006/main">
                <a:graphicData uri="http://schemas.microsoft.com/office/word/2010/wordprocessingShape">
                  <wps:wsp>
                    <wps:cNvSpPr txBox="1"/>
                    <wps:spPr>
                      <a:xfrm>
                        <a:ext cx="5279390" cy="3232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7" type="#_x0000_t202" style="position:absolute;margin-left:122.10000000000001pt;margin-top:45.399999999999999pt;width:415.69999999999999pt;height:25.449999999999999pt;z-index:-18874355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85" w:val="right"/>
                        <w:tab w:pos="806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902970</wp:posOffset>
              </wp:positionV>
              <wp:extent cx="5958840" cy="0"/>
              <wp:wrapNone/>
              <wp:docPr id="653" name="Shape 65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99999999999997pt;margin-top:71.100000000000009pt;width:469.19999999999999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1556385</wp:posOffset>
              </wp:positionH>
              <wp:positionV relativeFrom="page">
                <wp:posOffset>579755</wp:posOffset>
              </wp:positionV>
              <wp:extent cx="987425" cy="289560"/>
              <wp:wrapNone/>
              <wp:docPr id="656" name="Shape 656"/>
              <a:graphic xmlns:a="http://schemas.openxmlformats.org/drawingml/2006/main">
                <a:graphicData uri="http://schemas.microsoft.com/office/word/2010/wordprocessingShape">
                  <wps:wsp>
                    <wps:cNvSpPr txBox="1"/>
                    <wps:spPr>
                      <a:xfrm>
                        <a:ext cx="987425" cy="2895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wps:txbx>
                    <wps:bodyPr wrap="none" lIns="0" tIns="0" rIns="0" bIns="0">
                      <a:spAutoFit/>
                    </wps:bodyPr>
                  </wps:wsp>
                </a:graphicData>
              </a:graphic>
            </wp:anchor>
          </w:drawing>
        </mc:Choice>
        <mc:Fallback>
          <w:pict>
            <v:shape id="_x0000_s1682" type="#_x0000_t202" style="position:absolute;margin-left:122.55pt;margin-top:45.649999999999999pt;width:77.75pt;height:22.800000000000001pt;z-index:-18874355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4616450</wp:posOffset>
              </wp:positionH>
              <wp:positionV relativeFrom="page">
                <wp:posOffset>793115</wp:posOffset>
              </wp:positionV>
              <wp:extent cx="2212975" cy="106680"/>
              <wp:wrapNone/>
              <wp:docPr id="658" name="Shape 658"/>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4" type="#_x0000_t202" style="position:absolute;margin-left:363.5pt;margin-top:62.450000000000003pt;width:174.25pt;height:8.4000000000000004pt;z-index:-1887435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660" name="Shape 660"/>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887730</wp:posOffset>
              </wp:positionH>
              <wp:positionV relativeFrom="page">
                <wp:posOffset>521970</wp:posOffset>
              </wp:positionV>
              <wp:extent cx="5943600" cy="332105"/>
              <wp:wrapNone/>
              <wp:docPr id="54" name="Shape 54"/>
              <a:graphic xmlns:a="http://schemas.openxmlformats.org/drawingml/2006/main">
                <a:graphicData uri="http://schemas.microsoft.com/office/word/2010/wordprocessingShape">
                  <wps:wsp>
                    <wps:cNvSpPr txBox="1"/>
                    <wps:spPr>
                      <a:xfrm>
                        <a:ext cx="5943600" cy="3321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9336"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80" type="#_x0000_t202" style="position:absolute;margin-left:69.900000000000006pt;margin-top:41.100000000000001pt;width:468.pt;height:26.150000000000002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9336"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857885</wp:posOffset>
              </wp:positionV>
              <wp:extent cx="5958840" cy="0"/>
              <wp:wrapNone/>
              <wp:docPr id="56" name="Shape 56"/>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400000000000006pt;margin-top:67.549999999999997pt;width:469.19999999999999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1556385</wp:posOffset>
              </wp:positionH>
              <wp:positionV relativeFrom="page">
                <wp:posOffset>579755</wp:posOffset>
              </wp:positionV>
              <wp:extent cx="987425" cy="289560"/>
              <wp:wrapNone/>
              <wp:docPr id="663" name="Shape 663"/>
              <a:graphic xmlns:a="http://schemas.openxmlformats.org/drawingml/2006/main">
                <a:graphicData uri="http://schemas.microsoft.com/office/word/2010/wordprocessingShape">
                  <wps:wsp>
                    <wps:cNvSpPr txBox="1"/>
                    <wps:spPr>
                      <a:xfrm>
                        <a:ext cx="987425" cy="2895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wps:txbx>
                    <wps:bodyPr wrap="none" lIns="0" tIns="0" rIns="0" bIns="0">
                      <a:spAutoFit/>
                    </wps:bodyPr>
                  </wps:wsp>
                </a:graphicData>
              </a:graphic>
            </wp:anchor>
          </w:drawing>
        </mc:Choice>
        <mc:Fallback>
          <w:pict>
            <v:shape id="_x0000_s1689" type="#_x0000_t202" style="position:absolute;margin-left:122.55pt;margin-top:45.649999999999999pt;width:77.75pt;height:22.800000000000001pt;z-index:-18874354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4616450</wp:posOffset>
              </wp:positionH>
              <wp:positionV relativeFrom="page">
                <wp:posOffset>793115</wp:posOffset>
              </wp:positionV>
              <wp:extent cx="2212975" cy="106680"/>
              <wp:wrapNone/>
              <wp:docPr id="665" name="Shape 665"/>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1" type="#_x0000_t202" style="position:absolute;margin-left:363.5pt;margin-top:62.450000000000003pt;width:174.25pt;height:8.4000000000000004pt;z-index:-18874354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667" name="Shape 66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1282065</wp:posOffset>
              </wp:positionH>
              <wp:positionV relativeFrom="page">
                <wp:posOffset>570230</wp:posOffset>
              </wp:positionV>
              <wp:extent cx="5550535" cy="328930"/>
              <wp:wrapNone/>
              <wp:docPr id="686" name="Shape 68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12" type="#_x0000_t202" style="position:absolute;margin-left:100.95pt;margin-top:44.899999999999999pt;width:437.05000000000001pt;height:25.900000000000002pt;z-index:-18874353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902970</wp:posOffset>
              </wp:positionV>
              <wp:extent cx="5958840" cy="0"/>
              <wp:wrapNone/>
              <wp:docPr id="688" name="Shape 68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5pt;margin-top:71.100000000000009pt;width:469.19999999999999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883920</wp:posOffset>
              </wp:positionH>
              <wp:positionV relativeFrom="page">
                <wp:posOffset>765810</wp:posOffset>
              </wp:positionV>
              <wp:extent cx="5946775" cy="133985"/>
              <wp:wrapNone/>
              <wp:docPr id="691" name="Shape 691"/>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17" type="#_x0000_t202" style="position:absolute;margin-left:69.600000000000009pt;margin-top:60.300000000000004pt;width:468.25pt;height:10.550000000000001pt;z-index:-18874353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693" name="Shape 69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888365</wp:posOffset>
              </wp:positionH>
              <wp:positionV relativeFrom="page">
                <wp:posOffset>567690</wp:posOffset>
              </wp:positionV>
              <wp:extent cx="5943600" cy="332105"/>
              <wp:wrapNone/>
              <wp:docPr id="696" name="Shape 696"/>
              <a:graphic xmlns:a="http://schemas.openxmlformats.org/drawingml/2006/main">
                <a:graphicData uri="http://schemas.microsoft.com/office/word/2010/wordprocessingShape">
                  <wps:wsp>
                    <wps:cNvSpPr txBox="1"/>
                    <wps:spPr>
                      <a:xfrm>
                        <a:ext cx="5943600" cy="33210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336"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2" type="#_x0000_t202" style="position:absolute;margin-left:69.950000000000003pt;margin-top:44.700000000000003pt;width:468.pt;height:26.150000000000002pt;z-index:-18874353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336"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902970</wp:posOffset>
              </wp:positionV>
              <wp:extent cx="5958840" cy="0"/>
              <wp:wrapNone/>
              <wp:docPr id="698" name="Shape 69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5pt;margin-top:71.100000000000009pt;width:469.19999999999999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883920</wp:posOffset>
              </wp:positionH>
              <wp:positionV relativeFrom="page">
                <wp:posOffset>765810</wp:posOffset>
              </wp:positionV>
              <wp:extent cx="5946775" cy="133985"/>
              <wp:wrapNone/>
              <wp:docPr id="701" name="Shape 701"/>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7" type="#_x0000_t202" style="position:absolute;margin-left:69.600000000000009pt;margin-top:60.300000000000004pt;width:468.25pt;height:10.550000000000001pt;z-index:-18874352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703" name="Shape 70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883920</wp:posOffset>
              </wp:positionH>
              <wp:positionV relativeFrom="page">
                <wp:posOffset>765810</wp:posOffset>
              </wp:positionV>
              <wp:extent cx="5946775" cy="133985"/>
              <wp:wrapNone/>
              <wp:docPr id="706" name="Shape 706"/>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2" type="#_x0000_t202" style="position:absolute;margin-left:69.600000000000009pt;margin-top:60.300000000000004pt;width:468.25pt;height:10.550000000000001pt;z-index:-18874352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708" name="Shape 70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1282065</wp:posOffset>
              </wp:positionH>
              <wp:positionV relativeFrom="page">
                <wp:posOffset>570230</wp:posOffset>
              </wp:positionV>
              <wp:extent cx="5550535" cy="328930"/>
              <wp:wrapNone/>
              <wp:docPr id="711" name="Shape 71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7" type="#_x0000_t202" style="position:absolute;margin-left:100.95pt;margin-top:44.899999999999999pt;width:437.05000000000001pt;height:25.900000000000002pt;z-index:-18874351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902970</wp:posOffset>
              </wp:positionV>
              <wp:extent cx="5958840" cy="0"/>
              <wp:wrapNone/>
              <wp:docPr id="713" name="Shape 71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5pt;margin-top:71.100000000000009pt;width:469.19999999999999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1482725</wp:posOffset>
              </wp:positionH>
              <wp:positionV relativeFrom="page">
                <wp:posOffset>579755</wp:posOffset>
              </wp:positionV>
              <wp:extent cx="5276215" cy="320040"/>
              <wp:wrapNone/>
              <wp:docPr id="716" name="Shape 716"/>
              <a:graphic xmlns:a="http://schemas.openxmlformats.org/drawingml/2006/main">
                <a:graphicData uri="http://schemas.microsoft.com/office/word/2010/wordprocessingShape">
                  <wps:wsp>
                    <wps:cNvSpPr txBox="1"/>
                    <wps:spPr>
                      <a:xfrm>
                        <a:ext cx="5276215" cy="3200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 J •</w:t>
                          </w:r>
                          <w:r>
                            <w:rPr>
                              <w:color w:val="000000"/>
                              <w:spacing w:val="0"/>
                              <w:w w:val="100"/>
                              <w:position w:val="0"/>
                            </w:rPr>
                            <w:t>-一。浙江万马股份有限公司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2" type="#_x0000_t202" style="position:absolute;margin-left:116.75pt;margin-top:45.649999999999999pt;width:415.44999999999999pt;height:25.199999999999999pt;z-index:-18874351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 J •</w:t>
                    </w:r>
                    <w:r>
                      <w:rPr>
                        <w:color w:val="000000"/>
                        <w:spacing w:val="0"/>
                        <w:w w:val="100"/>
                        <w:position w:val="0"/>
                      </w:rPr>
                      <w:t>-一。浙江万马股份有限公司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806450</wp:posOffset>
              </wp:positionH>
              <wp:positionV relativeFrom="page">
                <wp:posOffset>902970</wp:posOffset>
              </wp:positionV>
              <wp:extent cx="5962015" cy="0"/>
              <wp:wrapNone/>
              <wp:docPr id="718" name="Shape 718"/>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63.5pt;margin-top:71.100000000000009pt;width:469.44999999999999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1546860</wp:posOffset>
              </wp:positionH>
              <wp:positionV relativeFrom="page">
                <wp:posOffset>579755</wp:posOffset>
              </wp:positionV>
              <wp:extent cx="5273040" cy="320040"/>
              <wp:wrapNone/>
              <wp:docPr id="721" name="Shape 721"/>
              <a:graphic xmlns:a="http://schemas.openxmlformats.org/drawingml/2006/main">
                <a:graphicData uri="http://schemas.microsoft.com/office/word/2010/wordprocessingShape">
                  <wps:wsp>
                    <wps:cNvSpPr txBox="1"/>
                    <wps:spPr>
                      <a:xfrm>
                        <a:ext cx="5273040" cy="3200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75" w:val="right"/>
                              <w:tab w:pos="807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47" type="#_x0000_t202" style="position:absolute;margin-left:121.8pt;margin-top:45.649999999999999pt;width:415.19999999999999pt;height:25.199999999999999pt;z-index:-18874351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1075" w:val="right"/>
                        <w:tab w:pos="8074" w:val="right"/>
                      </w:tabs>
                      <w:bidi w:val="0"/>
                      <w:spacing w:before="0" w:after="0" w:line="240" w:lineRule="auto"/>
                      <w:ind w:left="0" w:right="0" w:firstLine="0"/>
                      <w:jc w:val="left"/>
                    </w:pPr>
                    <w:r>
                      <w:rPr>
                        <w:color w:val="000000"/>
                        <w:spacing w:val="0"/>
                        <w:w w:val="100"/>
                        <w:position w:val="0"/>
                      </w:rPr>
                      <w:t>七"，,</w:t>
                    </w:r>
                    <w:r>
                      <w:rPr>
                        <w:color w:val="000000"/>
                        <w:spacing w:val="0"/>
                        <w:w w:val="100"/>
                        <w:position w:val="0"/>
                      </w:rPr>
                      <w:t>•</w:t>
                      <w:tab/>
                      <w:t>,</w:t>
                    </w:r>
                    <w:r>
                      <w:rPr>
                        <w:color w:val="000000"/>
                        <w:spacing w:val="0"/>
                        <w:w w:val="100"/>
                        <w:position w:val="0"/>
                      </w:rPr>
                      <w:t>5</w:t>
                      <w:tab/>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870585</wp:posOffset>
              </wp:positionH>
              <wp:positionV relativeFrom="page">
                <wp:posOffset>902970</wp:posOffset>
              </wp:positionV>
              <wp:extent cx="5958840" cy="0"/>
              <wp:wrapNone/>
              <wp:docPr id="723" name="Shape 72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8.549999999999997pt;margin-top:71.100000000000009pt;width:469.19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1343660</wp:posOffset>
              </wp:positionH>
              <wp:positionV relativeFrom="page">
                <wp:posOffset>525145</wp:posOffset>
              </wp:positionV>
              <wp:extent cx="5486400" cy="328930"/>
              <wp:wrapNone/>
              <wp:docPr id="59" name="Shape 59"/>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85" type="#_x0000_t202" style="position:absolute;margin-left:105.8pt;margin-top:41.350000000000001pt;width:432.pt;height:25.900000000000002pt;z-index:-1887440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61" name="Shape 6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886460</wp:posOffset>
              </wp:positionH>
              <wp:positionV relativeFrom="page">
                <wp:posOffset>577850</wp:posOffset>
              </wp:positionV>
              <wp:extent cx="5944870" cy="328930"/>
              <wp:wrapNone/>
              <wp:docPr id="65" name="Shape 65"/>
              <a:graphic xmlns:a="http://schemas.openxmlformats.org/drawingml/2006/main">
                <a:graphicData uri="http://schemas.microsoft.com/office/word/2010/wordprocessingShape">
                  <wps:wsp>
                    <wps:cNvSpPr txBox="1"/>
                    <wps:spPr>
                      <a:xfrm>
                        <a:ext cx="594487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u w:val="single"/>
                            </w:rPr>
                            <w:t>万马股份</w:t>
                          </w:r>
                        </w:p>
                        <w:p>
                          <w:pPr>
                            <w:pStyle w:val="Style4"/>
                            <w:keepNext w:val="0"/>
                            <w:keepLines w:val="0"/>
                            <w:widowControl w:val="0"/>
                            <w:shd w:val="clear" w:color="auto" w:fill="auto"/>
                            <w:tabs>
                              <w:tab w:pos="9362" w:val="right"/>
                            </w:tabs>
                            <w:bidi w:val="0"/>
                            <w:spacing w:before="0" w:after="0" w:line="240" w:lineRule="auto"/>
                            <w:ind w:left="0" w:right="0" w:firstLine="0"/>
                            <w:jc w:val="left"/>
                            <w:rPr>
                              <w:sz w:val="18"/>
                              <w:szCs w:val="18"/>
                            </w:rPr>
                          </w:pPr>
                          <w:r>
                            <w:rPr>
                              <w:rFonts w:ascii="SimSun" w:eastAsia="SimSun" w:hAnsi="SimSun" w:cs="SimSun"/>
                              <w:color w:val="2F418C"/>
                              <w:spacing w:val="0"/>
                              <w:w w:val="100"/>
                              <w:position w:val="0"/>
                              <w:sz w:val="18"/>
                              <w:szCs w:val="18"/>
                              <w:u w:val="single"/>
                            </w:rPr>
                            <w:t xml:space="preserve">■"彳 </w:t>
                          </w:r>
                          <w:r>
                            <w:rPr>
                              <w:rFonts w:ascii="SimSun" w:eastAsia="SimSun" w:hAnsi="SimSun" w:cs="SimSun"/>
                              <w:i/>
                              <w:iCs/>
                              <w:color w:val="7F839D"/>
                              <w:spacing w:val="0"/>
                              <w:w w:val="100"/>
                              <w:position w:val="0"/>
                              <w:sz w:val="18"/>
                              <w:szCs w:val="18"/>
                              <w:u w:val="single"/>
                            </w:rPr>
                            <w:t>糠一林</w:t>
                          </w:r>
                          <w:r>
                            <w:rPr>
                              <w:i/>
                              <w:iCs/>
                              <w:color w:val="7F839D"/>
                              <w:spacing w:val="0"/>
                              <w:w w:val="100"/>
                              <w:position w:val="0"/>
                              <w:sz w:val="17"/>
                              <w:szCs w:val="17"/>
                              <w:u w:val="single"/>
                            </w:rPr>
                            <w:t>♦</w:t>
                          </w:r>
                          <w:r>
                            <w:rPr>
                              <w:rFonts w:ascii="SimSun" w:eastAsia="SimSun" w:hAnsi="SimSun" w:cs="SimSun"/>
                              <w:i/>
                              <w:iCs/>
                              <w:color w:val="7F839D"/>
                              <w:spacing w:val="0"/>
                              <w:w w:val="100"/>
                              <w:position w:val="0"/>
                              <w:sz w:val="18"/>
                              <w:szCs w:val="18"/>
                              <w:u w:val="single"/>
                            </w:rPr>
                            <w:t xml:space="preserve"> f</w:t>
                          </w:r>
                          <w:r>
                            <w:rPr>
                              <w:rFonts w:ascii="SimSun" w:eastAsia="SimSun" w:hAnsi="SimSun" w:cs="SimSun"/>
                              <w:i/>
                              <w:iCs/>
                              <w:color w:val="7F839D"/>
                              <w:spacing w:val="0"/>
                              <w:w w:val="100"/>
                              <w:position w:val="0"/>
                              <w:sz w:val="18"/>
                              <w:szCs w:val="18"/>
                              <w:u w:val="single"/>
                            </w:rPr>
                            <w:t>碑</w:t>
                          </w:r>
                          <w:r>
                            <w:rPr>
                              <w:rFonts w:ascii="SimSun" w:eastAsia="SimSun" w:hAnsi="SimSun" w:cs="SimSun"/>
                              <w:color w:val="7F839D"/>
                              <w:spacing w:val="0"/>
                              <w:w w:val="100"/>
                              <w:position w:val="0"/>
                              <w:sz w:val="18"/>
                              <w:szCs w:val="18"/>
                            </w:rPr>
                            <w:tab/>
                            <w:t xml:space="preserve"> </w:t>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91" type="#_x0000_t202" style="position:absolute;margin-left:69.799999999999997pt;margin-top:45.5pt;width:468.10000000000002pt;height:25.900000000000002pt;z-index:-1887440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u w:val="single"/>
                      </w:rPr>
                      <w:t>万马股份</w:t>
                    </w:r>
                  </w:p>
                  <w:p>
                    <w:pPr>
                      <w:pStyle w:val="Style4"/>
                      <w:keepNext w:val="0"/>
                      <w:keepLines w:val="0"/>
                      <w:widowControl w:val="0"/>
                      <w:shd w:val="clear" w:color="auto" w:fill="auto"/>
                      <w:tabs>
                        <w:tab w:pos="9362" w:val="right"/>
                      </w:tabs>
                      <w:bidi w:val="0"/>
                      <w:spacing w:before="0" w:after="0" w:line="240" w:lineRule="auto"/>
                      <w:ind w:left="0" w:right="0" w:firstLine="0"/>
                      <w:jc w:val="left"/>
                      <w:rPr>
                        <w:sz w:val="18"/>
                        <w:szCs w:val="18"/>
                      </w:rPr>
                    </w:pPr>
                    <w:r>
                      <w:rPr>
                        <w:rFonts w:ascii="SimSun" w:eastAsia="SimSun" w:hAnsi="SimSun" w:cs="SimSun"/>
                        <w:color w:val="2F418C"/>
                        <w:spacing w:val="0"/>
                        <w:w w:val="100"/>
                        <w:position w:val="0"/>
                        <w:sz w:val="18"/>
                        <w:szCs w:val="18"/>
                        <w:u w:val="single"/>
                      </w:rPr>
                      <w:t xml:space="preserve">■"彳 </w:t>
                    </w:r>
                    <w:r>
                      <w:rPr>
                        <w:rFonts w:ascii="SimSun" w:eastAsia="SimSun" w:hAnsi="SimSun" w:cs="SimSun"/>
                        <w:i/>
                        <w:iCs/>
                        <w:color w:val="7F839D"/>
                        <w:spacing w:val="0"/>
                        <w:w w:val="100"/>
                        <w:position w:val="0"/>
                        <w:sz w:val="18"/>
                        <w:szCs w:val="18"/>
                        <w:u w:val="single"/>
                      </w:rPr>
                      <w:t>糠一林</w:t>
                    </w:r>
                    <w:r>
                      <w:rPr>
                        <w:i/>
                        <w:iCs/>
                        <w:color w:val="7F839D"/>
                        <w:spacing w:val="0"/>
                        <w:w w:val="100"/>
                        <w:position w:val="0"/>
                        <w:sz w:val="17"/>
                        <w:szCs w:val="17"/>
                        <w:u w:val="single"/>
                      </w:rPr>
                      <w:t>♦</w:t>
                    </w:r>
                    <w:r>
                      <w:rPr>
                        <w:rFonts w:ascii="SimSun" w:eastAsia="SimSun" w:hAnsi="SimSun" w:cs="SimSun"/>
                        <w:i/>
                        <w:iCs/>
                        <w:color w:val="7F839D"/>
                        <w:spacing w:val="0"/>
                        <w:w w:val="100"/>
                        <w:position w:val="0"/>
                        <w:sz w:val="18"/>
                        <w:szCs w:val="18"/>
                        <w:u w:val="single"/>
                      </w:rPr>
                      <w:t xml:space="preserve"> f</w:t>
                    </w:r>
                    <w:r>
                      <w:rPr>
                        <w:rFonts w:ascii="SimSun" w:eastAsia="SimSun" w:hAnsi="SimSun" w:cs="SimSun"/>
                        <w:i/>
                        <w:iCs/>
                        <w:color w:val="7F839D"/>
                        <w:spacing w:val="0"/>
                        <w:w w:val="100"/>
                        <w:position w:val="0"/>
                        <w:sz w:val="18"/>
                        <w:szCs w:val="18"/>
                        <w:u w:val="single"/>
                      </w:rPr>
                      <w:t>碑</w:t>
                    </w:r>
                    <w:r>
                      <w:rPr>
                        <w:rFonts w:ascii="SimSun" w:eastAsia="SimSun" w:hAnsi="SimSun" w:cs="SimSun"/>
                        <w:color w:val="7F839D"/>
                        <w:spacing w:val="0"/>
                        <w:w w:val="100"/>
                        <w:position w:val="0"/>
                        <w:sz w:val="18"/>
                        <w:szCs w:val="18"/>
                      </w:rPr>
                      <w:tab/>
                      <w:t xml:space="preserve"> </w:t>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903605</wp:posOffset>
              </wp:positionV>
              <wp:extent cx="5958840" cy="0"/>
              <wp:wrapNone/>
              <wp:docPr id="67" name="Shape 6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150000000000006pt;margin-top:71.150000000000006pt;width:469.1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886460</wp:posOffset>
              </wp:positionH>
              <wp:positionV relativeFrom="page">
                <wp:posOffset>577850</wp:posOffset>
              </wp:positionV>
              <wp:extent cx="5944870" cy="328930"/>
              <wp:wrapNone/>
              <wp:docPr id="70" name="Shape 70"/>
              <a:graphic xmlns:a="http://schemas.openxmlformats.org/drawingml/2006/main">
                <a:graphicData uri="http://schemas.microsoft.com/office/word/2010/wordprocessingShape">
                  <wps:wsp>
                    <wps:cNvSpPr txBox="1"/>
                    <wps:spPr>
                      <a:xfrm>
                        <a:ext cx="594487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u w:val="single"/>
                            </w:rPr>
                            <w:t>万马股份</w:t>
                          </w:r>
                        </w:p>
                        <w:p>
                          <w:pPr>
                            <w:pStyle w:val="Style4"/>
                            <w:keepNext w:val="0"/>
                            <w:keepLines w:val="0"/>
                            <w:widowControl w:val="0"/>
                            <w:shd w:val="clear" w:color="auto" w:fill="auto"/>
                            <w:tabs>
                              <w:tab w:pos="9362" w:val="right"/>
                            </w:tabs>
                            <w:bidi w:val="0"/>
                            <w:spacing w:before="0" w:after="0" w:line="240" w:lineRule="auto"/>
                            <w:ind w:left="0" w:right="0" w:firstLine="0"/>
                            <w:jc w:val="left"/>
                            <w:rPr>
                              <w:sz w:val="18"/>
                              <w:szCs w:val="18"/>
                            </w:rPr>
                          </w:pPr>
                          <w:r>
                            <w:rPr>
                              <w:rFonts w:ascii="SimSun" w:eastAsia="SimSun" w:hAnsi="SimSun" w:cs="SimSun"/>
                              <w:color w:val="2F418C"/>
                              <w:spacing w:val="0"/>
                              <w:w w:val="100"/>
                              <w:position w:val="0"/>
                              <w:sz w:val="18"/>
                              <w:szCs w:val="18"/>
                              <w:u w:val="single"/>
                            </w:rPr>
                            <w:t xml:space="preserve">■"彳 </w:t>
                          </w:r>
                          <w:r>
                            <w:rPr>
                              <w:rFonts w:ascii="SimSun" w:eastAsia="SimSun" w:hAnsi="SimSun" w:cs="SimSun"/>
                              <w:i/>
                              <w:iCs/>
                              <w:color w:val="7F839D"/>
                              <w:spacing w:val="0"/>
                              <w:w w:val="100"/>
                              <w:position w:val="0"/>
                              <w:sz w:val="18"/>
                              <w:szCs w:val="18"/>
                              <w:u w:val="single"/>
                            </w:rPr>
                            <w:t>糠一林</w:t>
                          </w:r>
                          <w:r>
                            <w:rPr>
                              <w:i/>
                              <w:iCs/>
                              <w:color w:val="7F839D"/>
                              <w:spacing w:val="0"/>
                              <w:w w:val="100"/>
                              <w:position w:val="0"/>
                              <w:sz w:val="17"/>
                              <w:szCs w:val="17"/>
                              <w:u w:val="single"/>
                            </w:rPr>
                            <w:t>♦</w:t>
                          </w:r>
                          <w:r>
                            <w:rPr>
                              <w:rFonts w:ascii="SimSun" w:eastAsia="SimSun" w:hAnsi="SimSun" w:cs="SimSun"/>
                              <w:i/>
                              <w:iCs/>
                              <w:color w:val="7F839D"/>
                              <w:spacing w:val="0"/>
                              <w:w w:val="100"/>
                              <w:position w:val="0"/>
                              <w:sz w:val="18"/>
                              <w:szCs w:val="18"/>
                              <w:u w:val="single"/>
                            </w:rPr>
                            <w:t xml:space="preserve"> f</w:t>
                          </w:r>
                          <w:r>
                            <w:rPr>
                              <w:rFonts w:ascii="SimSun" w:eastAsia="SimSun" w:hAnsi="SimSun" w:cs="SimSun"/>
                              <w:i/>
                              <w:iCs/>
                              <w:color w:val="7F839D"/>
                              <w:spacing w:val="0"/>
                              <w:w w:val="100"/>
                              <w:position w:val="0"/>
                              <w:sz w:val="18"/>
                              <w:szCs w:val="18"/>
                              <w:u w:val="single"/>
                            </w:rPr>
                            <w:t>碑</w:t>
                          </w:r>
                          <w:r>
                            <w:rPr>
                              <w:rFonts w:ascii="SimSun" w:eastAsia="SimSun" w:hAnsi="SimSun" w:cs="SimSun"/>
                              <w:color w:val="7F839D"/>
                              <w:spacing w:val="0"/>
                              <w:w w:val="100"/>
                              <w:position w:val="0"/>
                              <w:sz w:val="18"/>
                              <w:szCs w:val="18"/>
                            </w:rPr>
                            <w:tab/>
                            <w:t xml:space="preserve"> </w:t>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96" type="#_x0000_t202" style="position:absolute;margin-left:69.799999999999997pt;margin-top:45.5pt;width:468.10000000000002pt;height:25.900000000000002pt;z-index:-1887440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u w:val="single"/>
                      </w:rPr>
                      <w:t>万马股份</w:t>
                    </w:r>
                  </w:p>
                  <w:p>
                    <w:pPr>
                      <w:pStyle w:val="Style4"/>
                      <w:keepNext w:val="0"/>
                      <w:keepLines w:val="0"/>
                      <w:widowControl w:val="0"/>
                      <w:shd w:val="clear" w:color="auto" w:fill="auto"/>
                      <w:tabs>
                        <w:tab w:pos="9362" w:val="right"/>
                      </w:tabs>
                      <w:bidi w:val="0"/>
                      <w:spacing w:before="0" w:after="0" w:line="240" w:lineRule="auto"/>
                      <w:ind w:left="0" w:right="0" w:firstLine="0"/>
                      <w:jc w:val="left"/>
                      <w:rPr>
                        <w:sz w:val="18"/>
                        <w:szCs w:val="18"/>
                      </w:rPr>
                    </w:pPr>
                    <w:r>
                      <w:rPr>
                        <w:rFonts w:ascii="SimSun" w:eastAsia="SimSun" w:hAnsi="SimSun" w:cs="SimSun"/>
                        <w:color w:val="2F418C"/>
                        <w:spacing w:val="0"/>
                        <w:w w:val="100"/>
                        <w:position w:val="0"/>
                        <w:sz w:val="18"/>
                        <w:szCs w:val="18"/>
                        <w:u w:val="single"/>
                      </w:rPr>
                      <w:t xml:space="preserve">■"彳 </w:t>
                    </w:r>
                    <w:r>
                      <w:rPr>
                        <w:rFonts w:ascii="SimSun" w:eastAsia="SimSun" w:hAnsi="SimSun" w:cs="SimSun"/>
                        <w:i/>
                        <w:iCs/>
                        <w:color w:val="7F839D"/>
                        <w:spacing w:val="0"/>
                        <w:w w:val="100"/>
                        <w:position w:val="0"/>
                        <w:sz w:val="18"/>
                        <w:szCs w:val="18"/>
                        <w:u w:val="single"/>
                      </w:rPr>
                      <w:t>糠一林</w:t>
                    </w:r>
                    <w:r>
                      <w:rPr>
                        <w:i/>
                        <w:iCs/>
                        <w:color w:val="7F839D"/>
                        <w:spacing w:val="0"/>
                        <w:w w:val="100"/>
                        <w:position w:val="0"/>
                        <w:sz w:val="17"/>
                        <w:szCs w:val="17"/>
                        <w:u w:val="single"/>
                      </w:rPr>
                      <w:t>♦</w:t>
                    </w:r>
                    <w:r>
                      <w:rPr>
                        <w:rFonts w:ascii="SimSun" w:eastAsia="SimSun" w:hAnsi="SimSun" w:cs="SimSun"/>
                        <w:i/>
                        <w:iCs/>
                        <w:color w:val="7F839D"/>
                        <w:spacing w:val="0"/>
                        <w:w w:val="100"/>
                        <w:position w:val="0"/>
                        <w:sz w:val="18"/>
                        <w:szCs w:val="18"/>
                        <w:u w:val="single"/>
                      </w:rPr>
                      <w:t xml:space="preserve"> f</w:t>
                    </w:r>
                    <w:r>
                      <w:rPr>
                        <w:rFonts w:ascii="SimSun" w:eastAsia="SimSun" w:hAnsi="SimSun" w:cs="SimSun"/>
                        <w:i/>
                        <w:iCs/>
                        <w:color w:val="7F839D"/>
                        <w:spacing w:val="0"/>
                        <w:w w:val="100"/>
                        <w:position w:val="0"/>
                        <w:sz w:val="18"/>
                        <w:szCs w:val="18"/>
                        <w:u w:val="single"/>
                      </w:rPr>
                      <w:t>碑</w:t>
                    </w:r>
                    <w:r>
                      <w:rPr>
                        <w:rFonts w:ascii="SimSun" w:eastAsia="SimSun" w:hAnsi="SimSun" w:cs="SimSun"/>
                        <w:color w:val="7F839D"/>
                        <w:spacing w:val="0"/>
                        <w:w w:val="100"/>
                        <w:position w:val="0"/>
                        <w:sz w:val="18"/>
                        <w:szCs w:val="18"/>
                      </w:rPr>
                      <w:tab/>
                      <w:t xml:space="preserve"> </w:t>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903605</wp:posOffset>
              </wp:positionV>
              <wp:extent cx="5958840" cy="0"/>
              <wp:wrapNone/>
              <wp:docPr id="72" name="Shape 7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150000000000006pt;margin-top:71.150000000000006pt;width:469.1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4614545</wp:posOffset>
              </wp:positionH>
              <wp:positionV relativeFrom="page">
                <wp:posOffset>792480</wp:posOffset>
              </wp:positionV>
              <wp:extent cx="2214880" cy="105410"/>
              <wp:wrapNone/>
              <wp:docPr id="81" name="Shape 81"/>
              <a:graphic xmlns:a="http://schemas.openxmlformats.org/drawingml/2006/main">
                <a:graphicData uri="http://schemas.microsoft.com/office/word/2010/wordprocessingShape">
                  <wps:wsp>
                    <wps:cNvSpPr txBox="1"/>
                    <wps:spPr>
                      <a:xfrm>
                        <a:ext cx="221488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7" type="#_x0000_t202" style="position:absolute;margin-left:363.35000000000002pt;margin-top:62.399999999999999pt;width:174.40000000000001pt;height:8.3000000000000007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878840</wp:posOffset>
              </wp:positionH>
              <wp:positionV relativeFrom="page">
                <wp:posOffset>905510</wp:posOffset>
              </wp:positionV>
              <wp:extent cx="5962015" cy="0"/>
              <wp:wrapNone/>
              <wp:docPr id="83" name="Shape 83"/>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69.200000000000003pt;margin-top:71.299999999999997pt;width:469.44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4614545</wp:posOffset>
              </wp:positionH>
              <wp:positionV relativeFrom="page">
                <wp:posOffset>792480</wp:posOffset>
              </wp:positionV>
              <wp:extent cx="2214880" cy="105410"/>
              <wp:wrapNone/>
              <wp:docPr id="86" name="Shape 86"/>
              <a:graphic xmlns:a="http://schemas.openxmlformats.org/drawingml/2006/main">
                <a:graphicData uri="http://schemas.microsoft.com/office/word/2010/wordprocessingShape">
                  <wps:wsp>
                    <wps:cNvSpPr txBox="1"/>
                    <wps:spPr>
                      <a:xfrm>
                        <a:ext cx="221488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2" type="#_x0000_t202" style="position:absolute;margin-left:363.35000000000002pt;margin-top:62.399999999999999pt;width:174.40000000000001pt;height:8.3000000000000007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878840</wp:posOffset>
              </wp:positionH>
              <wp:positionV relativeFrom="page">
                <wp:posOffset>905510</wp:posOffset>
              </wp:positionV>
              <wp:extent cx="5962015" cy="0"/>
              <wp:wrapNone/>
              <wp:docPr id="88" name="Shape 88"/>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69.200000000000003pt;margin-top:71.299999999999997pt;width:469.44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1343660</wp:posOffset>
              </wp:positionH>
              <wp:positionV relativeFrom="page">
                <wp:posOffset>525145</wp:posOffset>
              </wp:positionV>
              <wp:extent cx="5486400" cy="328930"/>
              <wp:wrapNone/>
              <wp:docPr id="91" name="Shape 9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17" type="#_x0000_t202" style="position:absolute;margin-left:105.8pt;margin-top:41.350000000000001pt;width:432.pt;height:25.900000000000002pt;z-index:-18874399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93" name="Shape 9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446405</wp:posOffset>
              </wp:positionH>
              <wp:positionV relativeFrom="page">
                <wp:posOffset>374650</wp:posOffset>
              </wp:positionV>
              <wp:extent cx="6712585" cy="172720"/>
              <wp:wrapNone/>
              <wp:docPr id="5" name="Shape 5"/>
              <a:graphic xmlns:a="http://schemas.openxmlformats.org/drawingml/2006/main">
                <a:graphicData uri="http://schemas.microsoft.com/office/word/2010/wordprocessingShape">
                  <wps:wsp>
                    <wps:cNvSpPr txBox="1"/>
                    <wps:spPr>
                      <a:xfrm>
                        <a:ext cx="6712585" cy="172720"/>
                      </a:xfrm>
                      <a:prstGeom prst="rect"/>
                      <a:noFill/>
                    </wps:spPr>
                    <wps:txbx>
                      <w:txbxContent>
                        <w:p>
                          <w:pPr>
                            <w:pStyle w:val="Style4"/>
                            <w:keepNext w:val="0"/>
                            <w:keepLines w:val="0"/>
                            <w:widowControl w:val="0"/>
                            <w:shd w:val="clear" w:color="auto" w:fill="auto"/>
                            <w:tabs>
                              <w:tab w:pos="6436" w:val="right"/>
                              <w:tab w:pos="10571" w:val="right"/>
                            </w:tabs>
                            <w:bidi w:val="0"/>
                            <w:spacing w:before="0" w:after="0" w:line="240" w:lineRule="auto"/>
                            <w:ind w:left="0" w:right="0" w:firstLine="0"/>
                            <w:jc w:val="left"/>
                            <w:rPr>
                              <w:sz w:val="28"/>
                              <w:szCs w:val="28"/>
                            </w:rPr>
                          </w:pPr>
                          <w:r>
                            <w:rPr>
                              <w:rFonts w:ascii="SimHei" w:eastAsia="SimHei" w:hAnsi="SimHei" w:cs="SimHei"/>
                              <w:color w:val="074C86"/>
                              <w:spacing w:val="0"/>
                              <w:w w:val="100"/>
                              <w:position w:val="0"/>
                              <w:sz w:val="28"/>
                              <w:szCs w:val="28"/>
                            </w:rPr>
                            <w:t>证券代码：</w:t>
                          </w:r>
                          <w:r>
                            <w:rPr>
                              <w:b/>
                              <w:bCs/>
                              <w:color w:val="074C86"/>
                              <w:spacing w:val="0"/>
                              <w:w w:val="100"/>
                              <w:position w:val="0"/>
                              <w:sz w:val="28"/>
                              <w:szCs w:val="28"/>
                            </w:rPr>
                            <w:t>002276</w:t>
                            <w:tab/>
                          </w:r>
                          <w:r>
                            <w:rPr>
                              <w:rFonts w:ascii="SimHei" w:eastAsia="SimHei" w:hAnsi="SimHei" w:cs="SimHei"/>
                              <w:color w:val="074C86"/>
                              <w:spacing w:val="0"/>
                              <w:w w:val="100"/>
                              <w:position w:val="0"/>
                              <w:sz w:val="28"/>
                              <w:szCs w:val="28"/>
                            </w:rPr>
                            <w:t>证券简称：万马股份</w:t>
                            <w:tab/>
                            <w:t>公告编号：</w:t>
                          </w:r>
                          <w:r>
                            <w:rPr>
                              <w:b/>
                              <w:bCs/>
                              <w:color w:val="074C86"/>
                              <w:spacing w:val="0"/>
                              <w:w w:val="100"/>
                              <w:position w:val="0"/>
                              <w:sz w:val="28"/>
                              <w:szCs w:val="28"/>
                            </w:rPr>
                            <w:t>2021-025</w:t>
                          </w:r>
                        </w:p>
                      </w:txbxContent>
                    </wps:txbx>
                    <wps:bodyPr lIns="0" tIns="0" rIns="0" bIns="0">
                      <a:spAutoFit/>
                    </wps:bodyPr>
                  </wps:wsp>
                </a:graphicData>
              </a:graphic>
            </wp:anchor>
          </w:drawing>
        </mc:Choice>
        <mc:Fallback>
          <w:pict>
            <v:shape id="_x0000_s1031" type="#_x0000_t202" style="position:absolute;margin-left:35.149999999999999pt;margin-top:29.5pt;width:528.54999999999995pt;height:13.6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436" w:val="right"/>
                        <w:tab w:pos="10571" w:val="right"/>
                      </w:tabs>
                      <w:bidi w:val="0"/>
                      <w:spacing w:before="0" w:after="0" w:line="240" w:lineRule="auto"/>
                      <w:ind w:left="0" w:right="0" w:firstLine="0"/>
                      <w:jc w:val="left"/>
                      <w:rPr>
                        <w:sz w:val="28"/>
                        <w:szCs w:val="28"/>
                      </w:rPr>
                    </w:pPr>
                    <w:r>
                      <w:rPr>
                        <w:rFonts w:ascii="SimHei" w:eastAsia="SimHei" w:hAnsi="SimHei" w:cs="SimHei"/>
                        <w:color w:val="074C86"/>
                        <w:spacing w:val="0"/>
                        <w:w w:val="100"/>
                        <w:position w:val="0"/>
                        <w:sz w:val="28"/>
                        <w:szCs w:val="28"/>
                      </w:rPr>
                      <w:t>证券代码：</w:t>
                    </w:r>
                    <w:r>
                      <w:rPr>
                        <w:b/>
                        <w:bCs/>
                        <w:color w:val="074C86"/>
                        <w:spacing w:val="0"/>
                        <w:w w:val="100"/>
                        <w:position w:val="0"/>
                        <w:sz w:val="28"/>
                        <w:szCs w:val="28"/>
                      </w:rPr>
                      <w:t>002276</w:t>
                      <w:tab/>
                    </w:r>
                    <w:r>
                      <w:rPr>
                        <w:rFonts w:ascii="SimHei" w:eastAsia="SimHei" w:hAnsi="SimHei" w:cs="SimHei"/>
                        <w:color w:val="074C86"/>
                        <w:spacing w:val="0"/>
                        <w:w w:val="100"/>
                        <w:position w:val="0"/>
                        <w:sz w:val="28"/>
                        <w:szCs w:val="28"/>
                      </w:rPr>
                      <w:t>证券简称：万马股份</w:t>
                      <w:tab/>
                      <w:t>公告编号：</w:t>
                    </w:r>
                    <w:r>
                      <w:rPr>
                        <w:b/>
                        <w:bCs/>
                        <w:color w:val="074C86"/>
                        <w:spacing w:val="0"/>
                        <w:w w:val="100"/>
                        <w:position w:val="0"/>
                        <w:sz w:val="28"/>
                        <w:szCs w:val="28"/>
                      </w:rPr>
                      <w:t>2021-025</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1343660</wp:posOffset>
              </wp:positionH>
              <wp:positionV relativeFrom="page">
                <wp:posOffset>525145</wp:posOffset>
              </wp:positionV>
              <wp:extent cx="5486400" cy="328930"/>
              <wp:wrapNone/>
              <wp:docPr id="96" name="Shape 96"/>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22" type="#_x0000_t202" style="position:absolute;margin-left:105.8pt;margin-top:41.350000000000001pt;width:432.pt;height:25.900000000000002pt;z-index:-18874399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98" name="Shape 9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1304290</wp:posOffset>
              </wp:positionH>
              <wp:positionV relativeFrom="page">
                <wp:posOffset>570230</wp:posOffset>
              </wp:positionV>
              <wp:extent cx="5550535" cy="328930"/>
              <wp:wrapNone/>
              <wp:docPr id="101" name="Shape 10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27" type="#_x0000_t202" style="position:absolute;margin-left:102.7pt;margin-top:44.899999999999999pt;width:437.05000000000001pt;height:25.900000000000002pt;z-index:-1887439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902970</wp:posOffset>
              </wp:positionV>
              <wp:extent cx="5958840" cy="0"/>
              <wp:wrapNone/>
              <wp:docPr id="103" name="Shape 10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25pt;margin-top:71.100000000000009pt;width:469.19999999999999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1304290</wp:posOffset>
              </wp:positionH>
              <wp:positionV relativeFrom="page">
                <wp:posOffset>570230</wp:posOffset>
              </wp:positionV>
              <wp:extent cx="5550535" cy="328930"/>
              <wp:wrapNone/>
              <wp:docPr id="106" name="Shape 10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32" type="#_x0000_t202" style="position:absolute;margin-left:102.7pt;margin-top:44.899999999999999pt;width:437.05000000000001pt;height:25.900000000000002pt;z-index:-18874398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902970</wp:posOffset>
              </wp:positionV>
              <wp:extent cx="5958840" cy="0"/>
              <wp:wrapNone/>
              <wp:docPr id="108" name="Shape 10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25pt;margin-top:71.100000000000009pt;width:469.19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1304290</wp:posOffset>
              </wp:positionH>
              <wp:positionV relativeFrom="page">
                <wp:posOffset>570230</wp:posOffset>
              </wp:positionV>
              <wp:extent cx="5550535" cy="328930"/>
              <wp:wrapNone/>
              <wp:docPr id="111" name="Shape 11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37" type="#_x0000_t202" style="position:absolute;margin-left:102.7pt;margin-top:44.899999999999999pt;width:437.05000000000001pt;height:25.900000000000002pt;z-index:-18874398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902970</wp:posOffset>
              </wp:positionV>
              <wp:extent cx="5958840" cy="0"/>
              <wp:wrapNone/>
              <wp:docPr id="113" name="Shape 11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25pt;margin-top:71.100000000000009pt;width:469.19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1304290</wp:posOffset>
              </wp:positionH>
              <wp:positionV relativeFrom="page">
                <wp:posOffset>570230</wp:posOffset>
              </wp:positionV>
              <wp:extent cx="5550535" cy="328930"/>
              <wp:wrapNone/>
              <wp:docPr id="116" name="Shape 11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42" type="#_x0000_t202" style="position:absolute;margin-left:102.7pt;margin-top:44.899999999999999pt;width:437.05000000000001pt;height:25.900000000000002pt;z-index:-1887439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902970</wp:posOffset>
              </wp:positionV>
              <wp:extent cx="5958840" cy="0"/>
              <wp:wrapNone/>
              <wp:docPr id="118" name="Shape 11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25pt;margin-top:71.100000000000009pt;width:469.19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1343660</wp:posOffset>
              </wp:positionH>
              <wp:positionV relativeFrom="page">
                <wp:posOffset>525145</wp:posOffset>
              </wp:positionV>
              <wp:extent cx="5486400" cy="328930"/>
              <wp:wrapNone/>
              <wp:docPr id="121" name="Shape 12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47" type="#_x0000_t202" style="position:absolute;margin-left:105.8pt;margin-top:41.350000000000001pt;width:432.pt;height:25.900000000000002pt;z-index:-1887439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23" name="Shape 12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857885</wp:posOffset>
              </wp:positionH>
              <wp:positionV relativeFrom="page">
                <wp:posOffset>567690</wp:posOffset>
              </wp:positionV>
              <wp:extent cx="5943600" cy="332105"/>
              <wp:wrapNone/>
              <wp:docPr id="126" name="Shape 126"/>
              <a:graphic xmlns:a="http://schemas.openxmlformats.org/drawingml/2006/main">
                <a:graphicData uri="http://schemas.microsoft.com/office/word/2010/wordprocessingShape">
                  <wps:wsp>
                    <wps:cNvSpPr txBox="1"/>
                    <wps:spPr>
                      <a:xfrm>
                        <a:ext cx="5943600" cy="33210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293" w:val="right"/>
                            </w:tabs>
                            <w:bidi w:val="0"/>
                            <w:spacing w:before="0" w:after="0" w:line="240" w:lineRule="auto"/>
                            <w:ind w:left="0" w:right="0" w:firstLine="0"/>
                            <w:jc w:val="left"/>
                          </w:pPr>
                          <w:r>
                            <w:rPr>
                              <w:color w:val="2F418C"/>
                              <w:spacing w:val="0"/>
                              <w:w w:val="100"/>
                              <w:position w:val="0"/>
                            </w:rPr>
                            <w:t xml:space="preserve">■"/ </w:t>
                          </w:r>
                          <w:r>
                            <w:rPr>
                              <w:color w:val="2F418C"/>
                              <w:spacing w:val="0"/>
                              <w:w w:val="100"/>
                              <w:position w:val="0"/>
                            </w:rPr>
                            <w:t>心"</w:t>
                          </w:r>
                          <w:r>
                            <w:rPr>
                              <w:color w:val="2F418C"/>
                              <w:spacing w:val="0"/>
                              <w:w w:val="100"/>
                              <w:position w:val="0"/>
                            </w:rPr>
                            <w:t>E— 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52" type="#_x0000_t202" style="position:absolute;margin-left:67.549999999999997pt;margin-top:44.700000000000003pt;width:468.pt;height:26.150000000000002pt;z-index:-18874397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293" w:val="right"/>
                      </w:tabs>
                      <w:bidi w:val="0"/>
                      <w:spacing w:before="0" w:after="0" w:line="240" w:lineRule="auto"/>
                      <w:ind w:left="0" w:right="0" w:firstLine="0"/>
                      <w:jc w:val="left"/>
                    </w:pPr>
                    <w:r>
                      <w:rPr>
                        <w:color w:val="2F418C"/>
                        <w:spacing w:val="0"/>
                        <w:w w:val="100"/>
                        <w:position w:val="0"/>
                      </w:rPr>
                      <w:t xml:space="preserve">■"/ </w:t>
                    </w:r>
                    <w:r>
                      <w:rPr>
                        <w:color w:val="2F418C"/>
                        <w:spacing w:val="0"/>
                        <w:w w:val="100"/>
                        <w:position w:val="0"/>
                      </w:rPr>
                      <w:t>心"</w:t>
                    </w:r>
                    <w:r>
                      <w:rPr>
                        <w:color w:val="2F418C"/>
                        <w:spacing w:val="0"/>
                        <w:w w:val="100"/>
                        <w:position w:val="0"/>
                      </w:rPr>
                      <w:t>E— 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902970</wp:posOffset>
              </wp:positionV>
              <wp:extent cx="5958840" cy="0"/>
              <wp:wrapNone/>
              <wp:docPr id="128" name="Shape 12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7.049999999999997pt;margin-top:71.100000000000009pt;width:469.19999999999999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1343660</wp:posOffset>
              </wp:positionH>
              <wp:positionV relativeFrom="page">
                <wp:posOffset>525145</wp:posOffset>
              </wp:positionV>
              <wp:extent cx="5486400" cy="328930"/>
              <wp:wrapNone/>
              <wp:docPr id="131" name="Shape 13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57" type="#_x0000_t202" style="position:absolute;margin-left:105.8pt;margin-top:41.350000000000001pt;width:432.pt;height:25.900000000000002pt;z-index:-1887439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33" name="Shape 13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1343660</wp:posOffset>
              </wp:positionH>
              <wp:positionV relativeFrom="page">
                <wp:posOffset>525145</wp:posOffset>
              </wp:positionV>
              <wp:extent cx="5486400" cy="328930"/>
              <wp:wrapNone/>
              <wp:docPr id="136" name="Shape 136"/>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62" type="#_x0000_t202" style="position:absolute;margin-left:105.8pt;margin-top:41.350000000000001pt;width:432.pt;height:25.900000000000002pt;z-index:-1887439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38" name="Shape 13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1343660</wp:posOffset>
              </wp:positionH>
              <wp:positionV relativeFrom="page">
                <wp:posOffset>525145</wp:posOffset>
              </wp:positionV>
              <wp:extent cx="5486400" cy="328930"/>
              <wp:wrapNone/>
              <wp:docPr id="141" name="Shape 14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67" type="#_x0000_t202" style="position:absolute;margin-left:105.8pt;margin-top:41.350000000000001pt;width:432.pt;height:25.900000000000002pt;z-index:-1887439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43" name="Shape 14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1394460</wp:posOffset>
              </wp:positionH>
              <wp:positionV relativeFrom="page">
                <wp:posOffset>579755</wp:posOffset>
              </wp:positionV>
              <wp:extent cx="5434330" cy="320040"/>
              <wp:wrapNone/>
              <wp:docPr id="8" name="Shape 8"/>
              <a:graphic xmlns:a="http://schemas.openxmlformats.org/drawingml/2006/main">
                <a:graphicData uri="http://schemas.microsoft.com/office/word/2010/wordprocessingShape">
                  <wps:wsp>
                    <wps:cNvSpPr txBox="1"/>
                    <wps:spPr>
                      <a:xfrm>
                        <a:ext cx="543433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4" type="#_x0000_t202" style="position:absolute;margin-left:109.8pt;margin-top:45.649999999999999pt;width:427.90000000000003pt;height:25.199999999999999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902970</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71.100000000000009pt;width:482.15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1301115</wp:posOffset>
              </wp:positionH>
              <wp:positionV relativeFrom="page">
                <wp:posOffset>570230</wp:posOffset>
              </wp:positionV>
              <wp:extent cx="5550535" cy="328930"/>
              <wp:wrapNone/>
              <wp:docPr id="146" name="Shape 14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2" type="#_x0000_t202" style="position:absolute;margin-left:102.45pt;margin-top:44.899999999999999pt;width:437.05000000000001pt;height:25.900000000000002pt;z-index:-18874395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902970</wp:posOffset>
              </wp:positionV>
              <wp:extent cx="5958840" cy="0"/>
              <wp:wrapNone/>
              <wp:docPr id="148" name="Shape 14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pt;margin-top:71.100000000000009pt;width:469.19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1301115</wp:posOffset>
              </wp:positionH>
              <wp:positionV relativeFrom="page">
                <wp:posOffset>570230</wp:posOffset>
              </wp:positionV>
              <wp:extent cx="5550535" cy="328930"/>
              <wp:wrapNone/>
              <wp:docPr id="151" name="Shape 15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7" type="#_x0000_t202" style="position:absolute;margin-left:102.45pt;margin-top:44.899999999999999pt;width:437.05000000000001pt;height:25.900000000000002pt;z-index:-18874395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902970</wp:posOffset>
              </wp:positionV>
              <wp:extent cx="5958840" cy="0"/>
              <wp:wrapNone/>
              <wp:docPr id="153" name="Shape 15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pt;margin-top:71.100000000000009pt;width:469.19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1343660</wp:posOffset>
              </wp:positionH>
              <wp:positionV relativeFrom="page">
                <wp:posOffset>525145</wp:posOffset>
              </wp:positionV>
              <wp:extent cx="5486400" cy="328930"/>
              <wp:wrapNone/>
              <wp:docPr id="156" name="Shape 156"/>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82" type="#_x0000_t202" style="position:absolute;margin-left:105.8pt;margin-top:41.350000000000001pt;width:432.pt;height:25.900000000000002pt;z-index:-1887439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58" name="Shape 15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1343660</wp:posOffset>
              </wp:positionH>
              <wp:positionV relativeFrom="page">
                <wp:posOffset>525145</wp:posOffset>
              </wp:positionV>
              <wp:extent cx="5486400" cy="328930"/>
              <wp:wrapNone/>
              <wp:docPr id="161" name="Shape 16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87" type="#_x0000_t202" style="position:absolute;margin-left:105.8pt;margin-top:41.350000000000001pt;width:432.pt;height:25.900000000000002pt;z-index:-1887439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63" name="Shape 16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1301115</wp:posOffset>
              </wp:positionH>
              <wp:positionV relativeFrom="page">
                <wp:posOffset>570230</wp:posOffset>
              </wp:positionV>
              <wp:extent cx="5550535" cy="328930"/>
              <wp:wrapNone/>
              <wp:docPr id="166" name="Shape 16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2" type="#_x0000_t202" style="position:absolute;margin-left:102.45pt;margin-top:44.899999999999999pt;width:437.05000000000001pt;height:25.900000000000002pt;z-index:-18874393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902970</wp:posOffset>
              </wp:positionV>
              <wp:extent cx="5958840" cy="0"/>
              <wp:wrapNone/>
              <wp:docPr id="168" name="Shape 16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pt;margin-top:71.100000000000009pt;width:469.19999999999999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829310</wp:posOffset>
              </wp:positionH>
              <wp:positionV relativeFrom="page">
                <wp:posOffset>765810</wp:posOffset>
              </wp:positionV>
              <wp:extent cx="5946775" cy="133985"/>
              <wp:wrapNone/>
              <wp:docPr id="171" name="Shape 171"/>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57" w:val="right"/>
                              <w:tab w:pos="9365" w:val="right"/>
                            </w:tabs>
                            <w:bidi w:val="0"/>
                            <w:spacing w:before="0" w:after="0" w:line="240" w:lineRule="auto"/>
                            <w:ind w:left="0" w:right="0" w:firstLine="0"/>
                            <w:jc w:val="left"/>
                          </w:pPr>
                          <w:r>
                            <w:rPr>
                              <w:color w:val="2F418C"/>
                              <w:spacing w:val="0"/>
                              <w:w w:val="100"/>
                              <w:position w:val="0"/>
                              <w:sz w:val="9"/>
                              <w:szCs w:val="9"/>
                            </w:rPr>
                            <w:t>■ ■ ■■</w:t>
                            <w:tab/>
                          </w:r>
                          <w:r>
                            <w:rPr>
                              <w:color w:val="7F839D"/>
                              <w:spacing w:val="0"/>
                              <w:w w:val="100"/>
                              <w:position w:val="0"/>
                              <w:sz w:val="9"/>
                              <w:szCs w:val="9"/>
                            </w:rPr>
                            <w:t>线绳-材料-能源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7" type="#_x0000_t202" style="position:absolute;margin-left:65.299999999999997pt;margin-top:60.300000000000004pt;width:468.25pt;height:10.550000000000001pt;z-index:-18874393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57" w:val="right"/>
                        <w:tab w:pos="9365" w:val="right"/>
                      </w:tabs>
                      <w:bidi w:val="0"/>
                      <w:spacing w:before="0" w:after="0" w:line="240" w:lineRule="auto"/>
                      <w:ind w:left="0" w:right="0" w:firstLine="0"/>
                      <w:jc w:val="left"/>
                    </w:pPr>
                    <w:r>
                      <w:rPr>
                        <w:color w:val="2F418C"/>
                        <w:spacing w:val="0"/>
                        <w:w w:val="100"/>
                        <w:position w:val="0"/>
                        <w:sz w:val="9"/>
                        <w:szCs w:val="9"/>
                      </w:rPr>
                      <w:t>■ ■ ■■</w:t>
                      <w:tab/>
                    </w:r>
                    <w:r>
                      <w:rPr>
                        <w:color w:val="7F839D"/>
                        <w:spacing w:val="0"/>
                        <w:w w:val="100"/>
                        <w:position w:val="0"/>
                        <w:sz w:val="9"/>
                        <w:szCs w:val="9"/>
                      </w:rPr>
                      <w:t>线绳-材料-能源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902970</wp:posOffset>
              </wp:positionV>
              <wp:extent cx="5958840" cy="0"/>
              <wp:wrapNone/>
              <wp:docPr id="173" name="Shape 17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5.049999999999997pt;margin-top:71.100000000000009pt;width:469.19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1343660</wp:posOffset>
              </wp:positionH>
              <wp:positionV relativeFrom="page">
                <wp:posOffset>525145</wp:posOffset>
              </wp:positionV>
              <wp:extent cx="5486400" cy="328930"/>
              <wp:wrapNone/>
              <wp:docPr id="176" name="Shape 176"/>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02" type="#_x0000_t202" style="position:absolute;margin-left:105.8pt;margin-top:41.350000000000001pt;width:432.pt;height:25.900000000000002pt;z-index:-1887439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78" name="Shape 17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1343660</wp:posOffset>
              </wp:positionH>
              <wp:positionV relativeFrom="page">
                <wp:posOffset>525145</wp:posOffset>
              </wp:positionV>
              <wp:extent cx="5486400" cy="328930"/>
              <wp:wrapNone/>
              <wp:docPr id="181" name="Shape 18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07" type="#_x0000_t202" style="position:absolute;margin-left:105.8pt;margin-top:41.350000000000001pt;width:432.pt;height:25.900000000000002pt;z-index:-1887439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183" name="Shape 18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1301115</wp:posOffset>
              </wp:positionH>
              <wp:positionV relativeFrom="page">
                <wp:posOffset>570230</wp:posOffset>
              </wp:positionV>
              <wp:extent cx="5550535" cy="328930"/>
              <wp:wrapNone/>
              <wp:docPr id="186" name="Shape 18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12" type="#_x0000_t202" style="position:absolute;margin-left:102.45pt;margin-top:44.899999999999999pt;width:437.05000000000001pt;height:25.900000000000002pt;z-index:-18874392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902970</wp:posOffset>
              </wp:positionV>
              <wp:extent cx="5958840" cy="0"/>
              <wp:wrapNone/>
              <wp:docPr id="188" name="Shape 18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pt;margin-top:71.100000000000009pt;width:469.19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1301115</wp:posOffset>
              </wp:positionH>
              <wp:positionV relativeFrom="page">
                <wp:posOffset>570230</wp:posOffset>
              </wp:positionV>
              <wp:extent cx="5550535" cy="328930"/>
              <wp:wrapNone/>
              <wp:docPr id="191" name="Shape 19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17" type="#_x0000_t202" style="position:absolute;margin-left:102.45pt;margin-top:44.899999999999999pt;width:437.05000000000001pt;height:25.900000000000002pt;z-index:-18874391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902970</wp:posOffset>
              </wp:positionV>
              <wp:extent cx="5958840" cy="0"/>
              <wp:wrapNone/>
              <wp:docPr id="193" name="Shape 19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pt;margin-top:71.100000000000009pt;width:469.1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1394460</wp:posOffset>
              </wp:positionH>
              <wp:positionV relativeFrom="page">
                <wp:posOffset>579755</wp:posOffset>
              </wp:positionV>
              <wp:extent cx="5434330" cy="320040"/>
              <wp:wrapNone/>
              <wp:docPr id="13" name="Shape 13"/>
              <a:graphic xmlns:a="http://schemas.openxmlformats.org/drawingml/2006/main">
                <a:graphicData uri="http://schemas.microsoft.com/office/word/2010/wordprocessingShape">
                  <wps:wsp>
                    <wps:cNvSpPr txBox="1"/>
                    <wps:spPr>
                      <a:xfrm>
                        <a:ext cx="543433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9" type="#_x0000_t202" style="position:absolute;margin-left:109.8pt;margin-top:45.649999999999999pt;width:427.90000000000003pt;height:25.19999999999999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902970</wp:posOffset>
              </wp:positionV>
              <wp:extent cx="6123305" cy="0"/>
              <wp:wrapNone/>
              <wp:docPr id="15" name="Shape 1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71.100000000000009pt;width:482.15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832485</wp:posOffset>
              </wp:positionH>
              <wp:positionV relativeFrom="page">
                <wp:posOffset>567690</wp:posOffset>
              </wp:positionV>
              <wp:extent cx="5943600" cy="332105"/>
              <wp:wrapNone/>
              <wp:docPr id="196" name="Shape 196"/>
              <a:graphic xmlns:a="http://schemas.openxmlformats.org/drawingml/2006/main">
                <a:graphicData uri="http://schemas.microsoft.com/office/word/2010/wordprocessingShape">
                  <wps:wsp>
                    <wps:cNvSpPr txBox="1"/>
                    <wps:spPr>
                      <a:xfrm>
                        <a:ext cx="5943600" cy="33210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336"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22" type="#_x0000_t202" style="position:absolute;margin-left:65.549999999999997pt;margin-top:44.700000000000003pt;width:468.pt;height:26.150000000000002pt;z-index:-18874391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336"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902970</wp:posOffset>
              </wp:positionV>
              <wp:extent cx="5958840" cy="0"/>
              <wp:wrapNone/>
              <wp:docPr id="198" name="Shape 19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5.049999999999997pt;margin-top:71.100000000000009pt;width:469.1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1343660</wp:posOffset>
              </wp:positionH>
              <wp:positionV relativeFrom="page">
                <wp:posOffset>525145</wp:posOffset>
              </wp:positionV>
              <wp:extent cx="5486400" cy="328930"/>
              <wp:wrapNone/>
              <wp:docPr id="201" name="Shape 20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27" type="#_x0000_t202" style="position:absolute;margin-left:105.8pt;margin-top:41.350000000000001pt;width:432.pt;height:25.900000000000002pt;z-index:-1887439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03" name="Shape 20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1343660</wp:posOffset>
              </wp:positionH>
              <wp:positionV relativeFrom="page">
                <wp:posOffset>525145</wp:posOffset>
              </wp:positionV>
              <wp:extent cx="5486400" cy="328930"/>
              <wp:wrapNone/>
              <wp:docPr id="206" name="Shape 206"/>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32" type="#_x0000_t202" style="position:absolute;margin-left:105.8pt;margin-top:41.350000000000001pt;width:432.pt;height:25.900000000000002pt;z-index:-18874390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08" name="Shape 20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832485</wp:posOffset>
              </wp:positionH>
              <wp:positionV relativeFrom="page">
                <wp:posOffset>567690</wp:posOffset>
              </wp:positionV>
              <wp:extent cx="5943600" cy="332105"/>
              <wp:wrapNone/>
              <wp:docPr id="211" name="Shape 211"/>
              <a:graphic xmlns:a="http://schemas.openxmlformats.org/drawingml/2006/main">
                <a:graphicData uri="http://schemas.microsoft.com/office/word/2010/wordprocessingShape">
                  <wps:wsp>
                    <wps:cNvSpPr txBox="1"/>
                    <wps:spPr>
                      <a:xfrm>
                        <a:ext cx="5943600" cy="33210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336"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37" type="#_x0000_t202" style="position:absolute;margin-left:65.549999999999997pt;margin-top:44.700000000000003pt;width:468.pt;height:26.150000000000002pt;z-index:-18874390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tabs>
                        <w:tab w:pos="9336"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 xml:space="preserve">■"/ </w:t>
                    </w:r>
                    <w:r>
                      <w:rPr>
                        <w:rFonts w:ascii="SimHei" w:eastAsia="SimHei" w:hAnsi="SimHei" w:cs="SimHei"/>
                        <w:color w:val="2F418C"/>
                        <w:spacing w:val="0"/>
                        <w:w w:val="100"/>
                        <w:position w:val="0"/>
                        <w:sz w:val="30"/>
                        <w:szCs w:val="30"/>
                      </w:rPr>
                      <w:t>心"…</w:t>
                    </w:r>
                    <w:r>
                      <w:rPr>
                        <w:rFonts w:ascii="SimHei" w:eastAsia="SimHei" w:hAnsi="SimHei" w:cs="SimHei"/>
                        <w:color w:val="2F418C"/>
                        <w:spacing w:val="0"/>
                        <w:w w:val="100"/>
                        <w:position w:val="0"/>
                        <w:sz w:val="30"/>
                        <w:szCs w:val="30"/>
                      </w:rPr>
                      <w:t>f</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902970</wp:posOffset>
              </wp:positionV>
              <wp:extent cx="5958840" cy="0"/>
              <wp:wrapNone/>
              <wp:docPr id="213" name="Shape 21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5.049999999999997pt;margin-top:71.100000000000009pt;width:469.1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1268095</wp:posOffset>
              </wp:positionH>
              <wp:positionV relativeFrom="page">
                <wp:posOffset>764540</wp:posOffset>
              </wp:positionV>
              <wp:extent cx="5547995" cy="134620"/>
              <wp:wrapNone/>
              <wp:docPr id="217" name="Shape 217"/>
              <a:graphic xmlns:a="http://schemas.openxmlformats.org/drawingml/2006/main">
                <a:graphicData uri="http://schemas.microsoft.com/office/word/2010/wordprocessingShape">
                  <wps:wsp>
                    <wps:cNvSpPr txBox="1"/>
                    <wps:spPr>
                      <a:xfrm>
                        <a:ext cx="5547995" cy="134620"/>
                      </a:xfrm>
                      <a:prstGeom prst="rect"/>
                      <a:noFill/>
                    </wps:spPr>
                    <wps:txbx>
                      <w:txbxContent>
                        <w:p>
                          <w:pPr>
                            <w:pStyle w:val="Style70"/>
                            <w:keepNext w:val="0"/>
                            <w:keepLines w:val="0"/>
                            <w:widowControl w:val="0"/>
                            <w:shd w:val="clear" w:color="auto" w:fill="auto"/>
                            <w:tabs>
                              <w:tab w:pos="8737" w:val="right"/>
                            </w:tabs>
                            <w:bidi w:val="0"/>
                            <w:spacing w:before="0" w:after="0" w:line="240" w:lineRule="auto"/>
                            <w:ind w:left="0" w:right="0" w:firstLine="0"/>
                            <w:jc w:val="left"/>
                          </w:pPr>
                          <w:r>
                            <w:rPr>
                              <w:color w:val="2F418C"/>
                              <w:spacing w:val="0"/>
                              <w:w w:val="100"/>
                              <w:position w:val="0"/>
                              <w:sz w:val="9"/>
                              <w:szCs w:val="9"/>
                            </w:rPr>
                            <w:t>■</w:t>
                          </w:r>
                          <w:r>
                            <w:rPr>
                              <w:color w:val="989CB4"/>
                              <w:spacing w:val="0"/>
                              <w:w w:val="100"/>
                              <w:position w:val="0"/>
                              <w:sz w:val="9"/>
                              <w:szCs w:val="9"/>
                            </w:rPr>
                            <w:t>线境</w:t>
                          </w:r>
                          <w:r>
                            <w:rPr>
                              <w:color w:val="7A7A7A"/>
                              <w:spacing w:val="0"/>
                              <w:w w:val="100"/>
                              <w:position w:val="0"/>
                              <w:sz w:val="9"/>
                              <w:szCs w:val="9"/>
                            </w:rPr>
                            <w:t>-</w:t>
                          </w:r>
                          <w:r>
                            <w:rPr>
                              <w:color w:val="989CB4"/>
                              <w:spacing w:val="0"/>
                              <w:w w:val="100"/>
                              <w:position w:val="0"/>
                              <w:sz w:val="9"/>
                              <w:szCs w:val="9"/>
                            </w:rPr>
                            <w:t>材料</w:t>
                          </w:r>
                          <w:r>
                            <w:rPr>
                              <w:color w:val="7A7A7A"/>
                              <w:spacing w:val="0"/>
                              <w:w w:val="100"/>
                              <w:position w:val="0"/>
                              <w:sz w:val="9"/>
                              <w:szCs w:val="9"/>
                            </w:rPr>
                            <w:t>-</w:t>
                          </w:r>
                          <w:r>
                            <w:rPr>
                              <w:color w:val="989CB4"/>
                              <w:spacing w:val="0"/>
                              <w:w w:val="100"/>
                              <w:position w:val="0"/>
                              <w:sz w:val="9"/>
                              <w:szCs w:val="9"/>
                            </w:rPr>
                            <w:t>能海</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3" type="#_x0000_t202" style="position:absolute;margin-left:99.850000000000009pt;margin-top:60.200000000000003pt;width:436.85000000000002pt;height:10.6pt;z-index:-18874389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37" w:val="right"/>
                      </w:tabs>
                      <w:bidi w:val="0"/>
                      <w:spacing w:before="0" w:after="0" w:line="240" w:lineRule="auto"/>
                      <w:ind w:left="0" w:right="0" w:firstLine="0"/>
                      <w:jc w:val="left"/>
                    </w:pPr>
                    <w:r>
                      <w:rPr>
                        <w:color w:val="2F418C"/>
                        <w:spacing w:val="0"/>
                        <w:w w:val="100"/>
                        <w:position w:val="0"/>
                        <w:sz w:val="9"/>
                        <w:szCs w:val="9"/>
                      </w:rPr>
                      <w:t>■</w:t>
                    </w:r>
                    <w:r>
                      <w:rPr>
                        <w:color w:val="989CB4"/>
                        <w:spacing w:val="0"/>
                        <w:w w:val="100"/>
                        <w:position w:val="0"/>
                        <w:sz w:val="9"/>
                        <w:szCs w:val="9"/>
                      </w:rPr>
                      <w:t>线境</w:t>
                    </w:r>
                    <w:r>
                      <w:rPr>
                        <w:color w:val="7A7A7A"/>
                        <w:spacing w:val="0"/>
                        <w:w w:val="100"/>
                        <w:position w:val="0"/>
                        <w:sz w:val="9"/>
                        <w:szCs w:val="9"/>
                      </w:rPr>
                      <w:t>-</w:t>
                    </w:r>
                    <w:r>
                      <w:rPr>
                        <w:color w:val="989CB4"/>
                        <w:spacing w:val="0"/>
                        <w:w w:val="100"/>
                        <w:position w:val="0"/>
                        <w:sz w:val="9"/>
                        <w:szCs w:val="9"/>
                      </w:rPr>
                      <w:t>材料</w:t>
                    </w:r>
                    <w:r>
                      <w:rPr>
                        <w:color w:val="7A7A7A"/>
                        <w:spacing w:val="0"/>
                        <w:w w:val="100"/>
                        <w:position w:val="0"/>
                        <w:sz w:val="9"/>
                        <w:szCs w:val="9"/>
                      </w:rPr>
                      <w:t>-</w:t>
                    </w:r>
                    <w:r>
                      <w:rPr>
                        <w:color w:val="989CB4"/>
                        <w:spacing w:val="0"/>
                        <w:w w:val="100"/>
                        <w:position w:val="0"/>
                        <w:sz w:val="9"/>
                        <w:szCs w:val="9"/>
                      </w:rPr>
                      <w:t>能海</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863600</wp:posOffset>
              </wp:positionH>
              <wp:positionV relativeFrom="page">
                <wp:posOffset>904875</wp:posOffset>
              </wp:positionV>
              <wp:extent cx="5959475" cy="0"/>
              <wp:wrapNone/>
              <wp:docPr id="219" name="Shape 219"/>
              <a:graphic xmlns:a="http://schemas.openxmlformats.org/drawingml/2006/main">
                <a:graphicData uri="http://schemas.microsoft.com/office/word/2010/wordprocessingShape">
                  <wps:wsp>
                    <wps:cNvCnPr/>
                    <wps:spPr>
                      <a:xfrm>
                        <a:ext cx="5959475" cy="0"/>
                      </a:xfrm>
                      <a:prstGeom prst="straightConnector1"/>
                      <a:ln w="12700">
                        <a:solidFill/>
                      </a:ln>
                    </wps:spPr>
                    <wps:bodyPr/>
                  </wps:wsp>
                </a:graphicData>
              </a:graphic>
            </wp:anchor>
          </w:drawing>
        </mc:Choice>
        <mc:Fallback>
          <w:pict>
            <v:shape o:spt="32" o:oned="true" path="m,l21600,21600e" style="position:absolute;margin-left:68.pt;margin-top:71.25pt;width:469.2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1268095</wp:posOffset>
              </wp:positionH>
              <wp:positionV relativeFrom="page">
                <wp:posOffset>764540</wp:posOffset>
              </wp:positionV>
              <wp:extent cx="5547995" cy="134620"/>
              <wp:wrapNone/>
              <wp:docPr id="222" name="Shape 222"/>
              <a:graphic xmlns:a="http://schemas.openxmlformats.org/drawingml/2006/main">
                <a:graphicData uri="http://schemas.microsoft.com/office/word/2010/wordprocessingShape">
                  <wps:wsp>
                    <wps:cNvSpPr txBox="1"/>
                    <wps:spPr>
                      <a:xfrm>
                        <a:ext cx="5547995" cy="134620"/>
                      </a:xfrm>
                      <a:prstGeom prst="rect"/>
                      <a:noFill/>
                    </wps:spPr>
                    <wps:txbx>
                      <w:txbxContent>
                        <w:p>
                          <w:pPr>
                            <w:pStyle w:val="Style70"/>
                            <w:keepNext w:val="0"/>
                            <w:keepLines w:val="0"/>
                            <w:widowControl w:val="0"/>
                            <w:shd w:val="clear" w:color="auto" w:fill="auto"/>
                            <w:tabs>
                              <w:tab w:pos="8737" w:val="right"/>
                            </w:tabs>
                            <w:bidi w:val="0"/>
                            <w:spacing w:before="0" w:after="0" w:line="240" w:lineRule="auto"/>
                            <w:ind w:left="0" w:right="0" w:firstLine="0"/>
                            <w:jc w:val="left"/>
                          </w:pPr>
                          <w:r>
                            <w:rPr>
                              <w:color w:val="2F418C"/>
                              <w:spacing w:val="0"/>
                              <w:w w:val="100"/>
                              <w:position w:val="0"/>
                              <w:sz w:val="9"/>
                              <w:szCs w:val="9"/>
                            </w:rPr>
                            <w:t>■</w:t>
                          </w:r>
                          <w:r>
                            <w:rPr>
                              <w:color w:val="989CB4"/>
                              <w:spacing w:val="0"/>
                              <w:w w:val="100"/>
                              <w:position w:val="0"/>
                              <w:sz w:val="9"/>
                              <w:szCs w:val="9"/>
                            </w:rPr>
                            <w:t>线境</w:t>
                          </w:r>
                          <w:r>
                            <w:rPr>
                              <w:color w:val="7A7A7A"/>
                              <w:spacing w:val="0"/>
                              <w:w w:val="100"/>
                              <w:position w:val="0"/>
                              <w:sz w:val="9"/>
                              <w:szCs w:val="9"/>
                            </w:rPr>
                            <w:t>-</w:t>
                          </w:r>
                          <w:r>
                            <w:rPr>
                              <w:color w:val="989CB4"/>
                              <w:spacing w:val="0"/>
                              <w:w w:val="100"/>
                              <w:position w:val="0"/>
                              <w:sz w:val="9"/>
                              <w:szCs w:val="9"/>
                            </w:rPr>
                            <w:t>材料</w:t>
                          </w:r>
                          <w:r>
                            <w:rPr>
                              <w:color w:val="7A7A7A"/>
                              <w:spacing w:val="0"/>
                              <w:w w:val="100"/>
                              <w:position w:val="0"/>
                              <w:sz w:val="9"/>
                              <w:szCs w:val="9"/>
                            </w:rPr>
                            <w:t>-</w:t>
                          </w:r>
                          <w:r>
                            <w:rPr>
                              <w:color w:val="989CB4"/>
                              <w:spacing w:val="0"/>
                              <w:w w:val="100"/>
                              <w:position w:val="0"/>
                              <w:sz w:val="9"/>
                              <w:szCs w:val="9"/>
                            </w:rPr>
                            <w:t>能海</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8" type="#_x0000_t202" style="position:absolute;margin-left:99.850000000000009pt;margin-top:60.200000000000003pt;width:436.85000000000002pt;height:10.6pt;z-index:-18874389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37" w:val="right"/>
                      </w:tabs>
                      <w:bidi w:val="0"/>
                      <w:spacing w:before="0" w:after="0" w:line="240" w:lineRule="auto"/>
                      <w:ind w:left="0" w:right="0" w:firstLine="0"/>
                      <w:jc w:val="left"/>
                    </w:pPr>
                    <w:r>
                      <w:rPr>
                        <w:color w:val="2F418C"/>
                        <w:spacing w:val="0"/>
                        <w:w w:val="100"/>
                        <w:position w:val="0"/>
                        <w:sz w:val="9"/>
                        <w:szCs w:val="9"/>
                      </w:rPr>
                      <w:t>■</w:t>
                    </w:r>
                    <w:r>
                      <w:rPr>
                        <w:color w:val="989CB4"/>
                        <w:spacing w:val="0"/>
                        <w:w w:val="100"/>
                        <w:position w:val="0"/>
                        <w:sz w:val="9"/>
                        <w:szCs w:val="9"/>
                      </w:rPr>
                      <w:t>线境</w:t>
                    </w:r>
                    <w:r>
                      <w:rPr>
                        <w:color w:val="7A7A7A"/>
                        <w:spacing w:val="0"/>
                        <w:w w:val="100"/>
                        <w:position w:val="0"/>
                        <w:sz w:val="9"/>
                        <w:szCs w:val="9"/>
                      </w:rPr>
                      <w:t>-</w:t>
                    </w:r>
                    <w:r>
                      <w:rPr>
                        <w:color w:val="989CB4"/>
                        <w:spacing w:val="0"/>
                        <w:w w:val="100"/>
                        <w:position w:val="0"/>
                        <w:sz w:val="9"/>
                        <w:szCs w:val="9"/>
                      </w:rPr>
                      <w:t>材料</w:t>
                    </w:r>
                    <w:r>
                      <w:rPr>
                        <w:color w:val="7A7A7A"/>
                        <w:spacing w:val="0"/>
                        <w:w w:val="100"/>
                        <w:position w:val="0"/>
                        <w:sz w:val="9"/>
                        <w:szCs w:val="9"/>
                      </w:rPr>
                      <w:t>-</w:t>
                    </w:r>
                    <w:r>
                      <w:rPr>
                        <w:color w:val="989CB4"/>
                        <w:spacing w:val="0"/>
                        <w:w w:val="100"/>
                        <w:position w:val="0"/>
                        <w:sz w:val="9"/>
                        <w:szCs w:val="9"/>
                      </w:rPr>
                      <w:t>能海</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863600</wp:posOffset>
              </wp:positionH>
              <wp:positionV relativeFrom="page">
                <wp:posOffset>904875</wp:posOffset>
              </wp:positionV>
              <wp:extent cx="5959475" cy="0"/>
              <wp:wrapNone/>
              <wp:docPr id="224" name="Shape 224"/>
              <a:graphic xmlns:a="http://schemas.openxmlformats.org/drawingml/2006/main">
                <a:graphicData uri="http://schemas.microsoft.com/office/word/2010/wordprocessingShape">
                  <wps:wsp>
                    <wps:cNvCnPr/>
                    <wps:spPr>
                      <a:xfrm>
                        <a:ext cx="5959475" cy="0"/>
                      </a:xfrm>
                      <a:prstGeom prst="straightConnector1"/>
                      <a:ln w="12700">
                        <a:solidFill/>
                      </a:ln>
                    </wps:spPr>
                    <wps:bodyPr/>
                  </wps:wsp>
                </a:graphicData>
              </a:graphic>
            </wp:anchor>
          </w:drawing>
        </mc:Choice>
        <mc:Fallback>
          <w:pict>
            <v:shape o:spt="32" o:oned="true" path="m,l21600,21600e" style="position:absolute;margin-left:68.pt;margin-top:71.25pt;width:469.2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1343660</wp:posOffset>
              </wp:positionH>
              <wp:positionV relativeFrom="page">
                <wp:posOffset>525145</wp:posOffset>
              </wp:positionV>
              <wp:extent cx="5486400" cy="328930"/>
              <wp:wrapNone/>
              <wp:docPr id="227" name="Shape 227"/>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53" type="#_x0000_t202" style="position:absolute;margin-left:105.8pt;margin-top:41.350000000000001pt;width:432.pt;height:25.900000000000002pt;z-index:-1887438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29" name="Shape 229"/>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1343660</wp:posOffset>
              </wp:positionH>
              <wp:positionV relativeFrom="page">
                <wp:posOffset>525145</wp:posOffset>
              </wp:positionV>
              <wp:extent cx="5486400" cy="328930"/>
              <wp:wrapNone/>
              <wp:docPr id="232" name="Shape 232"/>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58" type="#_x0000_t202" style="position:absolute;margin-left:105.8pt;margin-top:41.350000000000001pt;width:432.pt;height:25.900000000000002pt;z-index:-18874388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34" name="Shape 234"/>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1343660</wp:posOffset>
              </wp:positionH>
              <wp:positionV relativeFrom="page">
                <wp:posOffset>525145</wp:posOffset>
              </wp:positionV>
              <wp:extent cx="5486400" cy="328930"/>
              <wp:wrapNone/>
              <wp:docPr id="237" name="Shape 237"/>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63" type="#_x0000_t202" style="position:absolute;margin-left:105.8pt;margin-top:41.350000000000001pt;width:432.pt;height:25.900000000000002pt;z-index:-18874388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39" name="Shape 239"/>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1278255</wp:posOffset>
              </wp:positionH>
              <wp:positionV relativeFrom="page">
                <wp:posOffset>570230</wp:posOffset>
              </wp:positionV>
              <wp:extent cx="5550535" cy="328930"/>
              <wp:wrapNone/>
              <wp:docPr id="242" name="Shape 242"/>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68" type="#_x0000_t202" style="position:absolute;margin-left:100.65000000000001pt;margin-top:44.899999999999999pt;width:437.05000000000001pt;height:25.900000000000002pt;z-index:-18874387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244" name="Shape 244"/>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1270000</wp:posOffset>
              </wp:positionH>
              <wp:positionV relativeFrom="page">
                <wp:posOffset>570230</wp:posOffset>
              </wp:positionV>
              <wp:extent cx="5550535" cy="328930"/>
              <wp:wrapNone/>
              <wp:docPr id="18" name="Shape 18"/>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44" type="#_x0000_t202" style="position:absolute;margin-left:100.pt;margin-top:44.899999999999999pt;width:437.05000000000001pt;height:25.900000000000002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870585</wp:posOffset>
              </wp:positionH>
              <wp:positionV relativeFrom="page">
                <wp:posOffset>902970</wp:posOffset>
              </wp:positionV>
              <wp:extent cx="5958840" cy="0"/>
              <wp:wrapNone/>
              <wp:docPr id="20" name="Shape 20"/>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8.549999999999997pt;margin-top:71.100000000000009pt;width:469.19999999999999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1343660</wp:posOffset>
              </wp:positionH>
              <wp:positionV relativeFrom="page">
                <wp:posOffset>525145</wp:posOffset>
              </wp:positionV>
              <wp:extent cx="5486400" cy="328930"/>
              <wp:wrapNone/>
              <wp:docPr id="247" name="Shape 247"/>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73" type="#_x0000_t202" style="position:absolute;margin-left:105.8pt;margin-top:41.350000000000001pt;width:432.pt;height:25.900000000000002pt;z-index:-1887438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49" name="Shape 249"/>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1343660</wp:posOffset>
              </wp:positionH>
              <wp:positionV relativeFrom="page">
                <wp:posOffset>525145</wp:posOffset>
              </wp:positionV>
              <wp:extent cx="5486400" cy="328930"/>
              <wp:wrapNone/>
              <wp:docPr id="252" name="Shape 252"/>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78" type="#_x0000_t202" style="position:absolute;margin-left:105.8pt;margin-top:41.350000000000001pt;width:432.pt;height:25.900000000000002pt;z-index:-18874387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54" name="Shape 254"/>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1555750</wp:posOffset>
              </wp:positionH>
              <wp:positionV relativeFrom="page">
                <wp:posOffset>579755</wp:posOffset>
              </wp:positionV>
              <wp:extent cx="987425" cy="289560"/>
              <wp:wrapNone/>
              <wp:docPr id="257" name="Shape 257"/>
              <a:graphic xmlns:a="http://schemas.openxmlformats.org/drawingml/2006/main">
                <a:graphicData uri="http://schemas.microsoft.com/office/word/2010/wordprocessingShape">
                  <wps:wsp>
                    <wps:cNvSpPr txBox="1"/>
                    <wps:spPr>
                      <a:xfrm>
                        <a:ext cx="987425" cy="2895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wps:txbx>
                    <wps:bodyPr wrap="none" lIns="0" tIns="0" rIns="0" bIns="0">
                      <a:spAutoFit/>
                    </wps:bodyPr>
                  </wps:wsp>
                </a:graphicData>
              </a:graphic>
            </wp:anchor>
          </w:drawing>
        </mc:Choice>
        <mc:Fallback>
          <w:pict>
            <v:shape id="_x0000_s1283" type="#_x0000_t202" style="position:absolute;margin-left:122.5pt;margin-top:45.649999999999999pt;width:77.75pt;height:22.800000000000001pt;z-index:-18874386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4615815</wp:posOffset>
              </wp:positionH>
              <wp:positionV relativeFrom="page">
                <wp:posOffset>793115</wp:posOffset>
              </wp:positionV>
              <wp:extent cx="2212975" cy="106680"/>
              <wp:wrapNone/>
              <wp:docPr id="259" name="Shape 259"/>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5" type="#_x0000_t202" style="position:absolute;margin-left:363.44999999999999pt;margin-top:62.450000000000003pt;width:174.25pt;height:8.4000000000000004pt;z-index:-18874386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261" name="Shape 261"/>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1555750</wp:posOffset>
              </wp:positionH>
              <wp:positionV relativeFrom="page">
                <wp:posOffset>579755</wp:posOffset>
              </wp:positionV>
              <wp:extent cx="987425" cy="289560"/>
              <wp:wrapNone/>
              <wp:docPr id="264" name="Shape 264"/>
              <a:graphic xmlns:a="http://schemas.openxmlformats.org/drawingml/2006/main">
                <a:graphicData uri="http://schemas.microsoft.com/office/word/2010/wordprocessingShape">
                  <wps:wsp>
                    <wps:cNvSpPr txBox="1"/>
                    <wps:spPr>
                      <a:xfrm>
                        <a:ext cx="987425" cy="2895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wps:txbx>
                    <wps:bodyPr wrap="none" lIns="0" tIns="0" rIns="0" bIns="0">
                      <a:spAutoFit/>
                    </wps:bodyPr>
                  </wps:wsp>
                </a:graphicData>
              </a:graphic>
            </wp:anchor>
          </w:drawing>
        </mc:Choice>
        <mc:Fallback>
          <w:pict>
            <v:shape id="_x0000_s1290" type="#_x0000_t202" style="position:absolute;margin-left:122.5pt;margin-top:45.649999999999999pt;width:77.75pt;height:22.800000000000001pt;z-index:-18874386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4615815</wp:posOffset>
              </wp:positionH>
              <wp:positionV relativeFrom="page">
                <wp:posOffset>793115</wp:posOffset>
              </wp:positionV>
              <wp:extent cx="2212975" cy="106680"/>
              <wp:wrapNone/>
              <wp:docPr id="266" name="Shape 266"/>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2" type="#_x0000_t202" style="position:absolute;margin-left:363.44999999999999pt;margin-top:62.450000000000003pt;width:174.25pt;height:8.4000000000000004pt;z-index:-18874385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268" name="Shape 26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1343660</wp:posOffset>
              </wp:positionH>
              <wp:positionV relativeFrom="page">
                <wp:posOffset>525145</wp:posOffset>
              </wp:positionV>
              <wp:extent cx="5486400" cy="328930"/>
              <wp:wrapNone/>
              <wp:docPr id="271" name="Shape 271"/>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97" type="#_x0000_t202" style="position:absolute;margin-left:105.8pt;margin-top:41.350000000000001pt;width:432.pt;height:25.900000000000002pt;z-index:-1887438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73" name="Shape 27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1343660</wp:posOffset>
              </wp:positionH>
              <wp:positionV relativeFrom="page">
                <wp:posOffset>525145</wp:posOffset>
              </wp:positionV>
              <wp:extent cx="5486400" cy="328930"/>
              <wp:wrapNone/>
              <wp:docPr id="276" name="Shape 276"/>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02" type="#_x0000_t202" style="position:absolute;margin-left:105.8pt;margin-top:41.350000000000001pt;width:432.pt;height:25.900000000000002pt;z-index:-1887438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78" name="Shape 27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1278255</wp:posOffset>
              </wp:positionH>
              <wp:positionV relativeFrom="page">
                <wp:posOffset>570230</wp:posOffset>
              </wp:positionV>
              <wp:extent cx="5550535" cy="328930"/>
              <wp:wrapNone/>
              <wp:docPr id="281" name="Shape 281"/>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7" type="#_x0000_t202" style="position:absolute;margin-left:100.65000000000001pt;margin-top:44.899999999999999pt;width:437.05000000000001pt;height:25.900000000000002pt;z-index:-18874384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283" name="Shape 283"/>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1278255</wp:posOffset>
              </wp:positionH>
              <wp:positionV relativeFrom="page">
                <wp:posOffset>570230</wp:posOffset>
              </wp:positionV>
              <wp:extent cx="5550535" cy="328930"/>
              <wp:wrapNone/>
              <wp:docPr id="286" name="Shape 286"/>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12" type="#_x0000_t202" style="position:absolute;margin-left:100.65000000000001pt;margin-top:44.899999999999999pt;width:437.05000000000001pt;height:25.900000000000002pt;z-index:-18874384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288" name="Shape 288"/>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1343660</wp:posOffset>
              </wp:positionH>
              <wp:positionV relativeFrom="page">
                <wp:posOffset>525145</wp:posOffset>
              </wp:positionV>
              <wp:extent cx="5486400" cy="328930"/>
              <wp:wrapNone/>
              <wp:docPr id="295" name="Shape 29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21" type="#_x0000_t202" style="position:absolute;margin-left:105.8pt;margin-top:41.350000000000001pt;width:432.pt;height:25.900000000000002pt;z-index:-1887438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297" name="Shape 29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1343660</wp:posOffset>
              </wp:positionH>
              <wp:positionV relativeFrom="page">
                <wp:posOffset>525145</wp:posOffset>
              </wp:positionV>
              <wp:extent cx="5486400" cy="328930"/>
              <wp:wrapNone/>
              <wp:docPr id="300" name="Shape 30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26" type="#_x0000_t202" style="position:absolute;margin-left:105.8pt;margin-top:41.350000000000001pt;width:432.pt;height:25.900000000000002pt;z-index:-1887438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02" name="Shape 30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1270000</wp:posOffset>
              </wp:positionH>
              <wp:positionV relativeFrom="page">
                <wp:posOffset>570230</wp:posOffset>
              </wp:positionV>
              <wp:extent cx="5550535" cy="328930"/>
              <wp:wrapNone/>
              <wp:docPr id="23" name="Shape 23"/>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49" type="#_x0000_t202" style="position:absolute;margin-left:100.pt;margin-top:44.899999999999999pt;width:437.05000000000001pt;height:25.900000000000002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81" w:val="right"/>
                        <w:tab w:pos="8741" w:val="right"/>
                      </w:tabs>
                      <w:bidi w:val="0"/>
                      <w:spacing w:before="0" w:after="0" w:line="240" w:lineRule="auto"/>
                      <w:ind w:left="0" w:right="0" w:firstLine="0"/>
                      <w:jc w:val="left"/>
                      <w:rPr>
                        <w:sz w:val="18"/>
                        <w:szCs w:val="18"/>
                      </w:rPr>
                    </w:pPr>
                    <w:r>
                      <w:rPr>
                        <w:rFonts w:ascii="SimHei" w:eastAsia="SimHei" w:hAnsi="SimHei" w:cs="SimHei"/>
                        <w:color w:val="2F418C"/>
                        <w:spacing w:val="0"/>
                        <w:w w:val="100"/>
                        <w:position w:val="0"/>
                        <w:sz w:val="30"/>
                        <w:szCs w:val="30"/>
                      </w:rPr>
                      <w:t>矿万马股份</w:t>
                      <w:tab/>
                    </w:r>
                    <w:r>
                      <w:rPr>
                        <w:rFonts w:ascii="SimSun" w:eastAsia="SimSun" w:hAnsi="SimSun" w:cs="SimSun"/>
                        <w:color w:val="7F839D"/>
                        <w:spacing w:val="0"/>
                        <w:w w:val="100"/>
                        <w:position w:val="0"/>
                        <w:sz w:val="9"/>
                        <w:szCs w:val="9"/>
                      </w:rPr>
                      <w:t>线</w:t>
                    </w:r>
                    <w:r>
                      <w:rPr>
                        <w:rFonts w:ascii="SimSun" w:eastAsia="SimSun" w:hAnsi="SimSun" w:cs="SimSun"/>
                        <w:color w:val="989CB4"/>
                        <w:spacing w:val="0"/>
                        <w:w w:val="100"/>
                        <w:position w:val="0"/>
                        <w:sz w:val="9"/>
                        <w:szCs w:val="9"/>
                      </w:rPr>
                      <w:t>■绳-</w:t>
                    </w:r>
                    <w:r>
                      <w:rPr>
                        <w:rFonts w:ascii="SimSun" w:eastAsia="SimSun" w:hAnsi="SimSun" w:cs="SimSun"/>
                        <w:color w:val="7F839D"/>
                        <w:spacing w:val="0"/>
                        <w:w w:val="100"/>
                        <w:position w:val="0"/>
                        <w:sz w:val="9"/>
                        <w:szCs w:val="9"/>
                      </w:rPr>
                      <w:t>材料-</w:t>
                    </w:r>
                    <w:r>
                      <w:rPr>
                        <w:rFonts w:ascii="SimSun" w:eastAsia="SimSun" w:hAnsi="SimSun" w:cs="SimSun"/>
                        <w:color w:val="989CB4"/>
                        <w:spacing w:val="0"/>
                        <w:w w:val="100"/>
                        <w:position w:val="0"/>
                        <w:sz w:val="9"/>
                        <w:szCs w:val="9"/>
                      </w:rPr>
                      <w:t>能源</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870585</wp:posOffset>
              </wp:positionH>
              <wp:positionV relativeFrom="page">
                <wp:posOffset>902970</wp:posOffset>
              </wp:positionV>
              <wp:extent cx="5958840" cy="0"/>
              <wp:wrapNone/>
              <wp:docPr id="25" name="Shape 25"/>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8.549999999999997pt;margin-top:71.100000000000009pt;width:469.19999999999999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1343660</wp:posOffset>
              </wp:positionH>
              <wp:positionV relativeFrom="page">
                <wp:posOffset>525145</wp:posOffset>
              </wp:positionV>
              <wp:extent cx="5486400" cy="328930"/>
              <wp:wrapNone/>
              <wp:docPr id="305" name="Shape 30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31" type="#_x0000_t202" style="position:absolute;margin-left:105.8pt;margin-top:41.350000000000001pt;width:432.pt;height:25.900000000000002pt;z-index:-1887438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07" name="Shape 30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1278255</wp:posOffset>
              </wp:positionH>
              <wp:positionV relativeFrom="page">
                <wp:posOffset>570230</wp:posOffset>
              </wp:positionV>
              <wp:extent cx="5550535" cy="328930"/>
              <wp:wrapNone/>
              <wp:docPr id="310" name="Shape 31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36" type="#_x0000_t202" style="position:absolute;margin-left:100.65000000000001pt;margin-top:44.899999999999999pt;width:437.05000000000001pt;height:25.900000000000002pt;z-index:-18874382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312" name="Shape 31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932180</wp:posOffset>
              </wp:positionH>
              <wp:positionV relativeFrom="page">
                <wp:posOffset>765810</wp:posOffset>
              </wp:positionV>
              <wp:extent cx="5946775" cy="133985"/>
              <wp:wrapNone/>
              <wp:docPr id="315" name="Shape 31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41" type="#_x0000_t202" style="position:absolute;margin-left:73.400000000000006pt;margin-top:60.300000000000004pt;width:468.25pt;height:10.550000000000001pt;z-index:-18874382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929005</wp:posOffset>
              </wp:positionH>
              <wp:positionV relativeFrom="page">
                <wp:posOffset>902970</wp:posOffset>
              </wp:positionV>
              <wp:extent cx="5958840" cy="0"/>
              <wp:wrapNone/>
              <wp:docPr id="317" name="Shape 31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3.150000000000006pt;margin-top:71.100000000000009pt;width:469.19999999999999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932180</wp:posOffset>
              </wp:positionH>
              <wp:positionV relativeFrom="page">
                <wp:posOffset>765810</wp:posOffset>
              </wp:positionV>
              <wp:extent cx="5946775" cy="133985"/>
              <wp:wrapNone/>
              <wp:docPr id="320" name="Shape 320"/>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46" type="#_x0000_t202" style="position:absolute;margin-left:73.400000000000006pt;margin-top:60.300000000000004pt;width:468.25pt;height:10.550000000000001pt;z-index:-18874381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929005</wp:posOffset>
              </wp:positionH>
              <wp:positionV relativeFrom="page">
                <wp:posOffset>902970</wp:posOffset>
              </wp:positionV>
              <wp:extent cx="5958840" cy="0"/>
              <wp:wrapNone/>
              <wp:docPr id="322" name="Shape 32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3.150000000000006pt;margin-top:71.100000000000009pt;width:469.19999999999999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932180</wp:posOffset>
              </wp:positionH>
              <wp:positionV relativeFrom="page">
                <wp:posOffset>765810</wp:posOffset>
              </wp:positionV>
              <wp:extent cx="5946775" cy="133985"/>
              <wp:wrapNone/>
              <wp:docPr id="325" name="Shape 32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51" type="#_x0000_t202" style="position:absolute;margin-left:73.400000000000006pt;margin-top:60.300000000000004pt;width:468.25pt;height:10.550000000000001pt;z-index:-18874381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929005</wp:posOffset>
              </wp:positionH>
              <wp:positionV relativeFrom="page">
                <wp:posOffset>902970</wp:posOffset>
              </wp:positionV>
              <wp:extent cx="5958840" cy="0"/>
              <wp:wrapNone/>
              <wp:docPr id="327" name="Shape 32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3.150000000000006pt;margin-top:71.100000000000009pt;width:469.19999999999999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932180</wp:posOffset>
              </wp:positionH>
              <wp:positionV relativeFrom="page">
                <wp:posOffset>765810</wp:posOffset>
              </wp:positionV>
              <wp:extent cx="5946775" cy="133985"/>
              <wp:wrapNone/>
              <wp:docPr id="330" name="Shape 330"/>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56" type="#_x0000_t202" style="position:absolute;margin-left:73.400000000000006pt;margin-top:60.300000000000004pt;width:468.25pt;height:10.550000000000001pt;z-index:-18874381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929005</wp:posOffset>
              </wp:positionH>
              <wp:positionV relativeFrom="page">
                <wp:posOffset>902970</wp:posOffset>
              </wp:positionV>
              <wp:extent cx="5958840" cy="0"/>
              <wp:wrapNone/>
              <wp:docPr id="332" name="Shape 33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3.150000000000006pt;margin-top:71.100000000000009pt;width:469.19999999999999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1343660</wp:posOffset>
              </wp:positionH>
              <wp:positionV relativeFrom="page">
                <wp:posOffset>525145</wp:posOffset>
              </wp:positionV>
              <wp:extent cx="5486400" cy="328930"/>
              <wp:wrapNone/>
              <wp:docPr id="335" name="Shape 33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61" type="#_x0000_t202" style="position:absolute;margin-left:105.8pt;margin-top:41.350000000000001pt;width:432.pt;height:25.900000000000002pt;z-index:-18874380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37" name="Shape 33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1343660</wp:posOffset>
              </wp:positionH>
              <wp:positionV relativeFrom="page">
                <wp:posOffset>525145</wp:posOffset>
              </wp:positionV>
              <wp:extent cx="5486400" cy="328930"/>
              <wp:wrapNone/>
              <wp:docPr id="340" name="Shape 34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66" type="#_x0000_t202" style="position:absolute;margin-left:105.8pt;margin-top:41.350000000000001pt;width:432.pt;height:25.900000000000002pt;z-index:-18874380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42" name="Shape 34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1278255</wp:posOffset>
              </wp:positionH>
              <wp:positionV relativeFrom="page">
                <wp:posOffset>570230</wp:posOffset>
              </wp:positionV>
              <wp:extent cx="5550535" cy="328930"/>
              <wp:wrapNone/>
              <wp:docPr id="345" name="Shape 345"/>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1" type="#_x0000_t202" style="position:absolute;margin-left:100.65000000000001pt;margin-top:44.899999999999999pt;width:437.05000000000001pt;height:25.900000000000002pt;z-index:-18874379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347" name="Shape 34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1278255</wp:posOffset>
              </wp:positionH>
              <wp:positionV relativeFrom="page">
                <wp:posOffset>570230</wp:posOffset>
              </wp:positionV>
              <wp:extent cx="5550535" cy="328930"/>
              <wp:wrapNone/>
              <wp:docPr id="350" name="Shape 35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6" type="#_x0000_t202" style="position:absolute;margin-left:100.65000000000001pt;margin-top:44.899999999999999pt;width:437.05000000000001pt;height:25.900000000000002pt;z-index:-18874379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352" name="Shape 35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1343660</wp:posOffset>
              </wp:positionH>
              <wp:positionV relativeFrom="page">
                <wp:posOffset>525145</wp:posOffset>
              </wp:positionV>
              <wp:extent cx="5486400" cy="328930"/>
              <wp:wrapNone/>
              <wp:docPr id="28" name="Shape 28"/>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54" type="#_x0000_t202" style="position:absolute;margin-left:105.8pt;margin-top:41.350000000000001pt;width:432.pt;height:25.900000000000002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0" name="Shape 30"/>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1343660</wp:posOffset>
              </wp:positionH>
              <wp:positionV relativeFrom="page">
                <wp:posOffset>525145</wp:posOffset>
              </wp:positionV>
              <wp:extent cx="5486400" cy="328930"/>
              <wp:wrapNone/>
              <wp:docPr id="355" name="Shape 35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81" type="#_x0000_t202" style="position:absolute;margin-left:105.8pt;margin-top:41.350000000000001pt;width:432.pt;height:25.900000000000002pt;z-index:-1887437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57" name="Shape 35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910590</wp:posOffset>
              </wp:positionH>
              <wp:positionV relativeFrom="page">
                <wp:posOffset>765810</wp:posOffset>
              </wp:positionV>
              <wp:extent cx="5946775" cy="133985"/>
              <wp:wrapNone/>
              <wp:docPr id="360" name="Shape 360"/>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6" type="#_x0000_t202" style="position:absolute;margin-left:71.700000000000003pt;margin-top:60.300000000000004pt;width:468.25pt;height:10.550000000000001pt;z-index:-18874378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907415</wp:posOffset>
              </wp:positionH>
              <wp:positionV relativeFrom="page">
                <wp:posOffset>902970</wp:posOffset>
              </wp:positionV>
              <wp:extent cx="5958840" cy="0"/>
              <wp:wrapNone/>
              <wp:docPr id="362" name="Shape 36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450000000000003pt;margin-top:71.100000000000009pt;width:469.19999999999999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910590</wp:posOffset>
              </wp:positionH>
              <wp:positionV relativeFrom="page">
                <wp:posOffset>765810</wp:posOffset>
              </wp:positionV>
              <wp:extent cx="5946775" cy="133985"/>
              <wp:wrapNone/>
              <wp:docPr id="365" name="Shape 36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1" type="#_x0000_t202" style="position:absolute;margin-left:71.700000000000003pt;margin-top:60.300000000000004pt;width:468.25pt;height:10.550000000000001pt;z-index:-18874378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907415</wp:posOffset>
              </wp:positionH>
              <wp:positionV relativeFrom="page">
                <wp:posOffset>902970</wp:posOffset>
              </wp:positionV>
              <wp:extent cx="5958840" cy="0"/>
              <wp:wrapNone/>
              <wp:docPr id="367" name="Shape 36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450000000000003pt;margin-top:71.100000000000009pt;width:469.19999999999999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1343660</wp:posOffset>
              </wp:positionH>
              <wp:positionV relativeFrom="page">
                <wp:posOffset>525145</wp:posOffset>
              </wp:positionV>
              <wp:extent cx="5486400" cy="328930"/>
              <wp:wrapNone/>
              <wp:docPr id="370" name="Shape 37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396" type="#_x0000_t202" style="position:absolute;margin-left:105.8pt;margin-top:41.350000000000001pt;width:432.pt;height:25.900000000000002pt;z-index:-1887437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72" name="Shape 37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1343660</wp:posOffset>
              </wp:positionH>
              <wp:positionV relativeFrom="page">
                <wp:posOffset>525145</wp:posOffset>
              </wp:positionV>
              <wp:extent cx="5486400" cy="328930"/>
              <wp:wrapNone/>
              <wp:docPr id="375" name="Shape 37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01" type="#_x0000_t202" style="position:absolute;margin-left:105.8pt;margin-top:41.350000000000001pt;width:432.pt;height:25.900000000000002pt;z-index:-1887437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77" name="Shape 37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1343660</wp:posOffset>
              </wp:positionH>
              <wp:positionV relativeFrom="page">
                <wp:posOffset>525145</wp:posOffset>
              </wp:positionV>
              <wp:extent cx="5486400" cy="328930"/>
              <wp:wrapNone/>
              <wp:docPr id="380" name="Shape 38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06" type="#_x0000_t202" style="position:absolute;margin-left:105.8pt;margin-top:41.350000000000001pt;width:432.pt;height:25.900000000000002pt;z-index:-18874377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82" name="Shape 38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1343660</wp:posOffset>
              </wp:positionH>
              <wp:positionV relativeFrom="page">
                <wp:posOffset>525145</wp:posOffset>
              </wp:positionV>
              <wp:extent cx="5486400" cy="328930"/>
              <wp:wrapNone/>
              <wp:docPr id="385" name="Shape 38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11" type="#_x0000_t202" style="position:absolute;margin-left:105.8pt;margin-top:41.350000000000001pt;width:432.pt;height:25.900000000000002pt;z-index:-1887437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87" name="Shape 38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1278255</wp:posOffset>
              </wp:positionH>
              <wp:positionV relativeFrom="page">
                <wp:posOffset>570230</wp:posOffset>
              </wp:positionV>
              <wp:extent cx="5550535" cy="328930"/>
              <wp:wrapNone/>
              <wp:docPr id="390" name="Shape 39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6" type="#_x0000_t202" style="position:absolute;margin-left:100.65000000000001pt;margin-top:44.899999999999999pt;width:437.05000000000001pt;height:25.900000000000002pt;z-index:-18874376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392" name="Shape 39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909955</wp:posOffset>
              </wp:positionH>
              <wp:positionV relativeFrom="page">
                <wp:posOffset>765810</wp:posOffset>
              </wp:positionV>
              <wp:extent cx="5946775" cy="133985"/>
              <wp:wrapNone/>
              <wp:docPr id="395" name="Shape 39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1" type="#_x0000_t202" style="position:absolute;margin-left:71.650000000000006pt;margin-top:60.300000000000004pt;width:468.25pt;height:10.550000000000001pt;z-index:-18874375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906780</wp:posOffset>
              </wp:positionH>
              <wp:positionV relativeFrom="page">
                <wp:posOffset>902970</wp:posOffset>
              </wp:positionV>
              <wp:extent cx="5958840" cy="0"/>
              <wp:wrapNone/>
              <wp:docPr id="397" name="Shape 39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400000000000006pt;margin-top:71.100000000000009pt;width:469.19999999999999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909955</wp:posOffset>
              </wp:positionH>
              <wp:positionV relativeFrom="page">
                <wp:posOffset>765810</wp:posOffset>
              </wp:positionV>
              <wp:extent cx="5946775" cy="133985"/>
              <wp:wrapNone/>
              <wp:docPr id="400" name="Shape 400"/>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6" type="#_x0000_t202" style="position:absolute;margin-left:71.650000000000006pt;margin-top:60.300000000000004pt;width:468.25pt;height:10.550000000000001pt;z-index:-18874375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906780</wp:posOffset>
              </wp:positionH>
              <wp:positionV relativeFrom="page">
                <wp:posOffset>902970</wp:posOffset>
              </wp:positionV>
              <wp:extent cx="5958840" cy="0"/>
              <wp:wrapNone/>
              <wp:docPr id="402" name="Shape 40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400000000000006pt;margin-top:71.100000000000009pt;width:469.1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1343660</wp:posOffset>
              </wp:positionH>
              <wp:positionV relativeFrom="page">
                <wp:posOffset>525145</wp:posOffset>
              </wp:positionV>
              <wp:extent cx="5486400" cy="328930"/>
              <wp:wrapNone/>
              <wp:docPr id="33" name="Shape 33"/>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59" type="#_x0000_t202" style="position:absolute;margin-left:105.8pt;margin-top:41.350000000000001pt;width:432.pt;height:25.900000000000002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35" name="Shape 35"/>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909955</wp:posOffset>
              </wp:positionH>
              <wp:positionV relativeFrom="page">
                <wp:posOffset>765810</wp:posOffset>
              </wp:positionV>
              <wp:extent cx="5946775" cy="133985"/>
              <wp:wrapNone/>
              <wp:docPr id="405" name="Shape 40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1" type="#_x0000_t202" style="position:absolute;margin-left:71.650000000000006pt;margin-top:60.300000000000004pt;width:468.25pt;height:10.550000000000001pt;z-index:-18874375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906780</wp:posOffset>
              </wp:positionH>
              <wp:positionV relativeFrom="page">
                <wp:posOffset>902970</wp:posOffset>
              </wp:positionV>
              <wp:extent cx="5958840" cy="0"/>
              <wp:wrapNone/>
              <wp:docPr id="407" name="Shape 40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71.400000000000006pt;margin-top:71.100000000000009pt;width:469.19999999999999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1343660</wp:posOffset>
              </wp:positionH>
              <wp:positionV relativeFrom="page">
                <wp:posOffset>525145</wp:posOffset>
              </wp:positionV>
              <wp:extent cx="5486400" cy="328930"/>
              <wp:wrapNone/>
              <wp:docPr id="410" name="Shape 41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36" type="#_x0000_t202" style="position:absolute;margin-left:105.8pt;margin-top:41.350000000000001pt;width:432.pt;height:25.900000000000002pt;z-index:-1887437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12" name="Shape 41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1343660</wp:posOffset>
              </wp:positionH>
              <wp:positionV relativeFrom="page">
                <wp:posOffset>525145</wp:posOffset>
              </wp:positionV>
              <wp:extent cx="5486400" cy="328930"/>
              <wp:wrapNone/>
              <wp:docPr id="415" name="Shape 41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41" type="#_x0000_t202" style="position:absolute;margin-left:105.8pt;margin-top:41.350000000000001pt;width:432.pt;height:25.900000000000002pt;z-index:-1887437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17" name="Shape 41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1343660</wp:posOffset>
              </wp:positionH>
              <wp:positionV relativeFrom="page">
                <wp:posOffset>525145</wp:posOffset>
              </wp:positionV>
              <wp:extent cx="5486400" cy="328930"/>
              <wp:wrapNone/>
              <wp:docPr id="420" name="Shape 42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46" type="#_x0000_t202" style="position:absolute;margin-left:105.8pt;margin-top:41.350000000000001pt;width:432.pt;height:25.900000000000002pt;z-index:-1887437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22" name="Shape 42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1283335</wp:posOffset>
              </wp:positionH>
              <wp:positionV relativeFrom="page">
                <wp:posOffset>570230</wp:posOffset>
              </wp:positionV>
              <wp:extent cx="5550535" cy="328930"/>
              <wp:wrapNone/>
              <wp:docPr id="425" name="Shape 425"/>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1" type="#_x0000_t202" style="position:absolute;margin-left:101.05pt;margin-top:44.899999999999999pt;width:437.05000000000001pt;height:25.900000000000002pt;z-index:-18874373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27" name="Shape 42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1283335</wp:posOffset>
              </wp:positionH>
              <wp:positionV relativeFrom="page">
                <wp:posOffset>570230</wp:posOffset>
              </wp:positionV>
              <wp:extent cx="5550535" cy="328930"/>
              <wp:wrapNone/>
              <wp:docPr id="430" name="Shape 43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6" type="#_x0000_t202" style="position:absolute;margin-left:101.05pt;margin-top:44.899999999999999pt;width:437.05000000000001pt;height:25.900000000000002pt;z-index:-18874373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32" name="Shape 43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1343660</wp:posOffset>
              </wp:positionH>
              <wp:positionV relativeFrom="page">
                <wp:posOffset>525145</wp:posOffset>
              </wp:positionV>
              <wp:extent cx="5486400" cy="328930"/>
              <wp:wrapNone/>
              <wp:docPr id="435" name="Shape 43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61" type="#_x0000_t202" style="position:absolute;margin-left:105.8pt;margin-top:41.350000000000001pt;width:432.pt;height:25.900000000000002pt;z-index:-1887437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37" name="Shape 43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1283335</wp:posOffset>
              </wp:positionH>
              <wp:positionV relativeFrom="page">
                <wp:posOffset>570230</wp:posOffset>
              </wp:positionV>
              <wp:extent cx="5550535" cy="328930"/>
              <wp:wrapNone/>
              <wp:docPr id="440" name="Shape 44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6" type="#_x0000_t202" style="position:absolute;margin-left:101.05pt;margin-top:44.899999999999999pt;width:437.05000000000001pt;height:25.900000000000002pt;z-index:-18874372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42" name="Shape 44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1283335</wp:posOffset>
              </wp:positionH>
              <wp:positionV relativeFrom="page">
                <wp:posOffset>570230</wp:posOffset>
              </wp:positionV>
              <wp:extent cx="5550535" cy="328930"/>
              <wp:wrapNone/>
              <wp:docPr id="445" name="Shape 445"/>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1" type="#_x0000_t202" style="position:absolute;margin-left:101.05pt;margin-top:44.899999999999999pt;width:437.05000000000001pt;height:25.900000000000002pt;z-index:-18874371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47" name="Shape 44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1283335</wp:posOffset>
              </wp:positionH>
              <wp:positionV relativeFrom="page">
                <wp:posOffset>570230</wp:posOffset>
              </wp:positionV>
              <wp:extent cx="5550535" cy="328930"/>
              <wp:wrapNone/>
              <wp:docPr id="450" name="Shape 45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6" type="#_x0000_t202" style="position:absolute;margin-left:101.05pt;margin-top:44.899999999999999pt;width:437.05000000000001pt;height:25.900000000000002pt;z-index:-18874371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52" name="Shape 45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1556385</wp:posOffset>
              </wp:positionH>
              <wp:positionV relativeFrom="page">
                <wp:posOffset>579755</wp:posOffset>
              </wp:positionV>
              <wp:extent cx="5273040" cy="320040"/>
              <wp:wrapNone/>
              <wp:docPr id="38" name="Shape 38"/>
              <a:graphic xmlns:a="http://schemas.openxmlformats.org/drawingml/2006/main">
                <a:graphicData uri="http://schemas.microsoft.com/office/word/2010/wordprocessingShape">
                  <wps:wsp>
                    <wps:cNvSpPr txBox="1"/>
                    <wps:spPr>
                      <a:xfrm>
                        <a:ext cx="527304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64" type="#_x0000_t202" style="position:absolute;margin-left:122.55pt;margin-top:45.649999999999999pt;width:415.19999999999999pt;height:25.199999999999999pt;z-index:-1887440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075" w:val="right"/>
                        <w:tab w:pos="807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902970</wp:posOffset>
              </wp:positionV>
              <wp:extent cx="5958840" cy="0"/>
              <wp:wrapNone/>
              <wp:docPr id="40" name="Shape 40"/>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25pt;margin-top:71.100000000000009pt;width:469.19999999999999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883920</wp:posOffset>
              </wp:positionH>
              <wp:positionV relativeFrom="page">
                <wp:posOffset>765810</wp:posOffset>
              </wp:positionV>
              <wp:extent cx="5946775" cy="133985"/>
              <wp:wrapNone/>
              <wp:docPr id="455" name="Shape 455"/>
              <a:graphic xmlns:a="http://schemas.openxmlformats.org/drawingml/2006/main">
                <a:graphicData uri="http://schemas.microsoft.com/office/word/2010/wordprocessingShape">
                  <wps:wsp>
                    <wps:cNvSpPr txBox="1"/>
                    <wps:spPr>
                      <a:xfrm>
                        <a:ext cx="5946775" cy="133985"/>
                      </a:xfrm>
                      <a:prstGeom prst="rect"/>
                      <a:noFill/>
                    </wps:spPr>
                    <wps:txbx>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1" type="#_x0000_t202" style="position:absolute;margin-left:69.600000000000009pt;margin-top:60.300000000000004pt;width:468.25pt;height:10.550000000000001pt;z-index:-18874371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2386" w:val="right"/>
                        <w:tab w:pos="9365" w:val="right"/>
                      </w:tabs>
                      <w:bidi w:val="0"/>
                      <w:spacing w:before="0" w:after="0" w:line="240" w:lineRule="auto"/>
                      <w:ind w:left="0" w:right="0" w:firstLine="0"/>
                      <w:jc w:val="left"/>
                    </w:pPr>
                    <w:r>
                      <w:rPr>
                        <w:color w:val="2F418C"/>
                        <w:spacing w:val="0"/>
                        <w:w w:val="100"/>
                        <w:position w:val="0"/>
                        <w:sz w:val="9"/>
                        <w:szCs w:val="9"/>
                      </w:rPr>
                      <w:t>■■ ■■</w:t>
                      <w:tab/>
                    </w:r>
                    <w:r>
                      <w:rPr>
                        <w:color w:val="7F839D"/>
                        <w:spacing w:val="0"/>
                        <w:w w:val="100"/>
                        <w:position w:val="0"/>
                        <w:sz w:val="9"/>
                        <w:szCs w:val="9"/>
                      </w:rPr>
                      <w:t>级城-材料-能源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902970</wp:posOffset>
              </wp:positionV>
              <wp:extent cx="5958840" cy="0"/>
              <wp:wrapNone/>
              <wp:docPr id="457" name="Shape 45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400000000000006pt;margin-top:71.100000000000009pt;width:469.19999999999999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1283335</wp:posOffset>
              </wp:positionH>
              <wp:positionV relativeFrom="page">
                <wp:posOffset>570230</wp:posOffset>
              </wp:positionV>
              <wp:extent cx="5550535" cy="328930"/>
              <wp:wrapNone/>
              <wp:docPr id="460" name="Shape 46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6" type="#_x0000_t202" style="position:absolute;margin-left:101.05pt;margin-top:44.899999999999999pt;width:437.05000000000001pt;height:25.900000000000002pt;z-index:-18874370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62" name="Shape 46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1283335</wp:posOffset>
              </wp:positionH>
              <wp:positionV relativeFrom="page">
                <wp:posOffset>570230</wp:posOffset>
              </wp:positionV>
              <wp:extent cx="5550535" cy="328930"/>
              <wp:wrapNone/>
              <wp:docPr id="465" name="Shape 465"/>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1" type="#_x0000_t202" style="position:absolute;margin-left:101.05pt;margin-top:44.899999999999999pt;width:437.05000000000001pt;height:25.900000000000002pt;z-index:-18874370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67" name="Shape 46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1343660</wp:posOffset>
              </wp:positionH>
              <wp:positionV relativeFrom="page">
                <wp:posOffset>525145</wp:posOffset>
              </wp:positionV>
              <wp:extent cx="5486400" cy="328930"/>
              <wp:wrapNone/>
              <wp:docPr id="470" name="Shape 47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496" type="#_x0000_t202" style="position:absolute;margin-left:105.8pt;margin-top:41.350000000000001pt;width:432.pt;height:25.900000000000002pt;z-index:-18874369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72" name="Shape 47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1343660</wp:posOffset>
              </wp:positionH>
              <wp:positionV relativeFrom="page">
                <wp:posOffset>525145</wp:posOffset>
              </wp:positionV>
              <wp:extent cx="5486400" cy="328930"/>
              <wp:wrapNone/>
              <wp:docPr id="475" name="Shape 47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01" type="#_x0000_t202" style="position:absolute;margin-left:105.8pt;margin-top:41.350000000000001pt;width:432.pt;height:25.900000000000002pt;z-index:-18874369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77" name="Shape 47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1343660</wp:posOffset>
              </wp:positionH>
              <wp:positionV relativeFrom="page">
                <wp:posOffset>525145</wp:posOffset>
              </wp:positionV>
              <wp:extent cx="5486400" cy="328930"/>
              <wp:wrapNone/>
              <wp:docPr id="480" name="Shape 48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06" type="#_x0000_t202" style="position:absolute;margin-left:105.8pt;margin-top:41.350000000000001pt;width:432.pt;height:25.900000000000002pt;z-index:-1887436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82" name="Shape 48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1283335</wp:posOffset>
              </wp:positionH>
              <wp:positionV relativeFrom="page">
                <wp:posOffset>570230</wp:posOffset>
              </wp:positionV>
              <wp:extent cx="5550535" cy="328930"/>
              <wp:wrapNone/>
              <wp:docPr id="485" name="Shape 485"/>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1" type="#_x0000_t202" style="position:absolute;margin-left:101.05pt;margin-top:44.899999999999999pt;width:437.05000000000001pt;height:25.900000000000002pt;z-index:-18874368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87" name="Shape 48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1283335</wp:posOffset>
              </wp:positionH>
              <wp:positionV relativeFrom="page">
                <wp:posOffset>570230</wp:posOffset>
              </wp:positionV>
              <wp:extent cx="5550535" cy="328930"/>
              <wp:wrapNone/>
              <wp:docPr id="490" name="Shape 490"/>
              <a:graphic xmlns:a="http://schemas.openxmlformats.org/drawingml/2006/main">
                <a:graphicData uri="http://schemas.microsoft.com/office/word/2010/wordprocessingShape">
                  <wps:wsp>
                    <wps:cNvSpPr txBox="1"/>
                    <wps:spPr>
                      <a:xfrm>
                        <a:ext cx="5550535" cy="328930"/>
                      </a:xfrm>
                      <a:prstGeom prst="rect"/>
                      <a:noFill/>
                    </wps:spPr>
                    <wps:txbx>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6" type="#_x0000_t202" style="position:absolute;margin-left:101.05pt;margin-top:44.899999999999999pt;width:437.05000000000001pt;height:25.900000000000002pt;z-index:-18874368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781" w:val="right"/>
                        <w:tab w:pos="8741" w:val="right"/>
                      </w:tabs>
                      <w:bidi w:val="0"/>
                      <w:spacing w:before="0" w:after="0" w:line="240" w:lineRule="auto"/>
                      <w:ind w:left="0" w:right="0" w:firstLine="0"/>
                      <w:jc w:val="left"/>
                    </w:pPr>
                    <w:r>
                      <w:rPr>
                        <w:rFonts w:ascii="SimHei" w:eastAsia="SimHei" w:hAnsi="SimHei" w:cs="SimHei"/>
                        <w:color w:val="2F418C"/>
                        <w:spacing w:val="0"/>
                        <w:w w:val="100"/>
                        <w:position w:val="0"/>
                        <w:sz w:val="30"/>
                        <w:szCs w:val="30"/>
                      </w:rPr>
                      <w:t>矿万马股份</w:t>
                      <w:tab/>
                    </w:r>
                    <w:r>
                      <w:rPr>
                        <w:color w:val="7F839D"/>
                        <w:spacing w:val="0"/>
                        <w:w w:val="100"/>
                        <w:position w:val="0"/>
                        <w:sz w:val="9"/>
                        <w:szCs w:val="9"/>
                      </w:rPr>
                      <w:t>线</w:t>
                    </w:r>
                    <w:r>
                      <w:rPr>
                        <w:color w:val="989CB4"/>
                        <w:spacing w:val="0"/>
                        <w:w w:val="100"/>
                        <w:position w:val="0"/>
                        <w:sz w:val="9"/>
                        <w:szCs w:val="9"/>
                      </w:rPr>
                      <w:t>■绳-</w:t>
                    </w:r>
                    <w:r>
                      <w:rPr>
                        <w:color w:val="7F839D"/>
                        <w:spacing w:val="0"/>
                        <w:w w:val="100"/>
                        <w:position w:val="0"/>
                        <w:sz w:val="9"/>
                        <w:szCs w:val="9"/>
                      </w:rPr>
                      <w:t>材料-</w:t>
                    </w:r>
                    <w:r>
                      <w:rPr>
                        <w:color w:val="989CB4"/>
                        <w:spacing w:val="0"/>
                        <w:w w:val="100"/>
                        <w:position w:val="0"/>
                        <w:sz w:val="9"/>
                        <w:szCs w:val="9"/>
                      </w:rPr>
                      <w:t>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902970</wp:posOffset>
              </wp:positionV>
              <wp:extent cx="5958840" cy="0"/>
              <wp:wrapNone/>
              <wp:docPr id="492" name="Shape 49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600000000000009pt;margin-top:71.100000000000009pt;width:469.19999999999999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1343660</wp:posOffset>
              </wp:positionH>
              <wp:positionV relativeFrom="page">
                <wp:posOffset>525145</wp:posOffset>
              </wp:positionV>
              <wp:extent cx="5486400" cy="328930"/>
              <wp:wrapNone/>
              <wp:docPr id="495" name="Shape 495"/>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21" type="#_x0000_t202" style="position:absolute;margin-left:105.8pt;margin-top:41.350000000000001pt;width:432.pt;height:25.900000000000002pt;z-index:-1887436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497" name="Shape 497"/>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1343660</wp:posOffset>
              </wp:positionH>
              <wp:positionV relativeFrom="page">
                <wp:posOffset>525145</wp:posOffset>
              </wp:positionV>
              <wp:extent cx="5486400" cy="328930"/>
              <wp:wrapNone/>
              <wp:docPr id="500" name="Shape 500"/>
              <a:graphic xmlns:a="http://schemas.openxmlformats.org/drawingml/2006/main">
                <a:graphicData uri="http://schemas.microsoft.com/office/word/2010/wordprocessingShape">
                  <wps:wsp>
                    <wps:cNvSpPr txBox="1"/>
                    <wps:spPr>
                      <a:xfrm>
                        <a:ext cx="5486400" cy="3289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526" type="#_x0000_t202" style="position:absolute;margin-left:105.8pt;margin-top:41.350000000000001pt;width:432.pt;height:25.900000000000002pt;z-index:-1887436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2F418C"/>
                        <w:spacing w:val="0"/>
                        <w:w w:val="100"/>
                        <w:position w:val="0"/>
                        <w:sz w:val="26"/>
                        <w:szCs w:val="26"/>
                      </w:rPr>
                      <w:t>♦</w:t>
                    </w:r>
                    <w:r>
                      <w:rPr>
                        <w:rFonts w:ascii="SimHei" w:eastAsia="SimHei" w:hAnsi="SimHei" w:cs="SimHei"/>
                        <w:color w:val="2F418C"/>
                        <w:spacing w:val="0"/>
                        <w:w w:val="100"/>
                        <w:position w:val="0"/>
                        <w:sz w:val="30"/>
                        <w:szCs w:val="30"/>
                      </w:rPr>
                      <w:t>万马股份</w:t>
                    </w:r>
                  </w:p>
                  <w:p>
                    <w:pPr>
                      <w:pStyle w:val="Style4"/>
                      <w:keepNext w:val="0"/>
                      <w:keepLines w:val="0"/>
                      <w:widowControl w:val="0"/>
                      <w:shd w:val="clear" w:color="auto" w:fill="auto"/>
                      <w:tabs>
                        <w:tab w:pos="1138" w:val="right"/>
                        <w:tab w:pos="8054"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w:t>
                    </w:r>
                    <w:r>
                      <w:rPr>
                        <w:rFonts w:ascii="SimSun" w:eastAsia="SimSun" w:hAnsi="SimSun" w:cs="SimSun"/>
                        <w:color w:val="000000"/>
                        <w:spacing w:val="0"/>
                        <w:w w:val="100"/>
                        <w:position w:val="0"/>
                        <w:sz w:val="18"/>
                        <w:szCs w:val="18"/>
                      </w:rPr>
                      <w:t>•</w:t>
                      <w:tab/>
                      <w:t>,</w:t>
                    </w:r>
                    <w:r>
                      <w:rPr>
                        <w:rFonts w:ascii="SimSun" w:eastAsia="SimSun" w:hAnsi="SimSun" w:cs="SimSun"/>
                        <w:color w:val="000000"/>
                        <w:spacing w:val="0"/>
                        <w:w w:val="100"/>
                        <w:position w:val="0"/>
                        <w:sz w:val="18"/>
                        <w:szCs w:val="18"/>
                      </w:rPr>
                      <w:t>5</w:t>
                      <w:tab/>
                      <w:t>浙江万马股份有限公司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902970</wp:posOffset>
              </wp:positionV>
              <wp:extent cx="5958840" cy="0"/>
              <wp:wrapNone/>
              <wp:docPr id="502" name="Shape 502"/>
              <a:graphic xmlns:a="http://schemas.openxmlformats.org/drawingml/2006/main">
                <a:graphicData uri="http://schemas.microsoft.com/office/word/2010/wordprocessingShape">
                  <wps:wsp>
                    <wps:cNvCnPr/>
                    <wps:spPr>
                      <a:xfrm>
                        <a:ext cx="5958840" cy="0"/>
                      </a:xfrm>
                      <a:prstGeom prst="straightConnector1"/>
                      <a:ln w="12700">
                        <a:solidFill/>
                      </a:ln>
                    </wps:spPr>
                    <wps:bodyPr/>
                  </wps:wsp>
                </a:graphicData>
              </a:graphic>
            </wp:anchor>
          </w:drawing>
        </mc:Choice>
        <mc:Fallback>
          <w:pict>
            <v:shape o:spt="32" o:oned="true" path="m,l21600,21600e" style="position:absolute;margin-left:69.350000000000009pt;margin-top:71.100000000000009pt;width:469.1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val="0"/>
      <w:bCs w:val="0"/>
      <w:i w:val="0"/>
      <w:iCs w:val="0"/>
      <w:smallCaps w:val="0"/>
      <w:strike w:val="0"/>
      <w:color w:val="074C86"/>
      <w:sz w:val="72"/>
      <w:szCs w:val="7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val="0"/>
      <w:bCs w:val="0"/>
      <w:i w:val="0"/>
      <w:iCs w:val="0"/>
      <w:smallCaps w:val="0"/>
      <w:strike w:val="0"/>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 (3)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图片标题_"/>
    <w:basedOn w:val="DefaultParagraphFont"/>
    <w:link w:val="Style56"/>
    <w:rPr>
      <w:rFonts w:ascii="SimSun" w:eastAsia="SimSun" w:hAnsi="SimSun" w:cs="SimSun"/>
      <w:b/>
      <w:bCs/>
      <w:i w:val="0"/>
      <w:iCs w:val="0"/>
      <w:smallCaps w:val="0"/>
      <w:strike w:val="0"/>
      <w:sz w:val="16"/>
      <w:szCs w:val="16"/>
      <w:u w:val="none"/>
      <w:shd w:val="clear" w:color="auto" w:fill="auto"/>
    </w:rPr>
  </w:style>
  <w:style w:type="character" w:customStyle="1" w:styleId="CharStyle60">
    <w:name w:val="标题 #4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8"/>
      <w:szCs w:val="18"/>
      <w:u w:val="none"/>
      <w:shd w:val="clear" w:color="auto" w:fill="auto"/>
    </w:rPr>
  </w:style>
  <w:style w:type="character" w:customStyle="1" w:styleId="CharStyle85">
    <w:name w:val="其他 (3)_"/>
    <w:basedOn w:val="DefaultParagraphFont"/>
    <w:link w:val="Style84"/>
    <w:rPr>
      <w:rFonts w:ascii="SimSun" w:eastAsia="SimSun" w:hAnsi="SimSun" w:cs="SimSun"/>
      <w:b w:val="0"/>
      <w:bCs w:val="0"/>
      <w:i w:val="0"/>
      <w:iCs w:val="0"/>
      <w:smallCaps w:val="0"/>
      <w:strike w:val="0"/>
      <w:sz w:val="18"/>
      <w:szCs w:val="18"/>
      <w:u w:val="none"/>
      <w:shd w:val="clear" w:color="auto" w:fill="auto"/>
    </w:rPr>
  </w:style>
  <w:style w:type="character" w:customStyle="1" w:styleId="CharStyle88">
    <w:name w:val="正文文本 (7)_"/>
    <w:basedOn w:val="DefaultParagraphFont"/>
    <w:link w:val="Style87"/>
    <w:rPr>
      <w:rFonts w:ascii="Times New Roman" w:eastAsia="Times New Roman" w:hAnsi="Times New Roman" w:cs="Times New Roman"/>
      <w:b w:val="0"/>
      <w:bCs w:val="0"/>
      <w:i/>
      <w:iCs/>
      <w:smallCaps w:val="0"/>
      <w:strike w:val="0"/>
      <w:color w:val="2F418C"/>
      <w:sz w:val="106"/>
      <w:szCs w:val="106"/>
      <w:u w:val="none"/>
      <w:shd w:val="clear" w:color="auto" w:fill="auto"/>
    </w:rPr>
  </w:style>
  <w:style w:type="character" w:customStyle="1" w:styleId="CharStyle105">
    <w:name w:val="正文文本 (8)_"/>
    <w:basedOn w:val="DefaultParagraphFont"/>
    <w:link w:val="Style10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9">
    <w:name w:val="标题 #5_"/>
    <w:basedOn w:val="DefaultParagraphFont"/>
    <w:link w:val="Style108"/>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after="460"/>
      <w:jc w:val="center"/>
    </w:pPr>
    <w:rPr>
      <w:rFonts w:ascii="SimHei" w:eastAsia="SimHei" w:hAnsi="SimHei" w:cs="SimHei"/>
      <w:b w:val="0"/>
      <w:bCs w:val="0"/>
      <w:i w:val="0"/>
      <w:iCs w:val="0"/>
      <w:smallCaps w:val="0"/>
      <w:strike w:val="0"/>
      <w:color w:val="074C86"/>
      <w:sz w:val="72"/>
      <w:szCs w:val="7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4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140" w:line="468" w:lineRule="exact"/>
      <w:ind w:firstLine="440"/>
    </w:pPr>
    <w:rPr>
      <w:rFonts w:ascii="SimSun" w:eastAsia="SimSun" w:hAnsi="SimSun" w:cs="SimSun"/>
      <w:b w:val="0"/>
      <w:bCs w:val="0"/>
      <w:i w:val="0"/>
      <w:iCs w:val="0"/>
      <w:smallCaps w:val="0"/>
      <w:strike w:val="0"/>
      <w:u w:val="none"/>
      <w:shd w:val="clear" w:color="auto" w:fill="auto"/>
    </w:rPr>
  </w:style>
  <w:style w:type="paragraph" w:customStyle="1" w:styleId="Style17">
    <w:name w:val="目录"/>
    <w:basedOn w:val="Normal"/>
    <w:link w:val="CharStyle18"/>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2"/>
    <w:basedOn w:val="Normal"/>
    <w:link w:val="CharStyle27"/>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3)"/>
    <w:basedOn w:val="Normal"/>
    <w:link w:val="CharStyle32"/>
    <w:pPr>
      <w:widowControl w:val="0"/>
      <w:shd w:val="clear" w:color="auto" w:fill="auto"/>
      <w:spacing w:after="140" w:line="312"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3"/>
    <w:basedOn w:val="Normal"/>
    <w:link w:val="CharStyle35"/>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w:basedOn w:val="Normal"/>
    <w:link w:val="CharStyle39"/>
    <w:pPr>
      <w:widowControl w:val="0"/>
      <w:shd w:val="clear" w:color="auto" w:fill="auto"/>
      <w:spacing w:after="1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图片标题"/>
    <w:basedOn w:val="Normal"/>
    <w:link w:val="CharStyle57"/>
    <w:pPr>
      <w:widowControl w:val="0"/>
      <w:shd w:val="clear" w:color="auto" w:fill="auto"/>
    </w:pPr>
    <w:rPr>
      <w:rFonts w:ascii="SimSun" w:eastAsia="SimSun" w:hAnsi="SimSun" w:cs="SimSun"/>
      <w:b/>
      <w:bCs/>
      <w:i w:val="0"/>
      <w:iCs w:val="0"/>
      <w:smallCaps w:val="0"/>
      <w:strike w:val="0"/>
      <w:sz w:val="16"/>
      <w:szCs w:val="16"/>
      <w:u w:val="none"/>
      <w:shd w:val="clear" w:color="auto" w:fill="auto"/>
    </w:rPr>
  </w:style>
  <w:style w:type="paragraph" w:customStyle="1" w:styleId="Style59">
    <w:name w:val="标题 #4"/>
    <w:basedOn w:val="Normal"/>
    <w:link w:val="CharStyle60"/>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4">
    <w:name w:val="其他 (3)"/>
    <w:basedOn w:val="Normal"/>
    <w:link w:val="CharStyle85"/>
    <w:pPr>
      <w:widowControl w:val="0"/>
      <w:shd w:val="clear" w:color="auto" w:fill="auto"/>
      <w:spacing w:before="8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87">
    <w:name w:val="正文文本 (7)"/>
    <w:basedOn w:val="Normal"/>
    <w:link w:val="CharStyle88"/>
    <w:pPr>
      <w:widowControl w:val="0"/>
      <w:shd w:val="clear" w:color="auto" w:fill="auto"/>
      <w:spacing w:after="80"/>
      <w:ind w:firstLine="220"/>
    </w:pPr>
    <w:rPr>
      <w:rFonts w:ascii="Times New Roman" w:eastAsia="Times New Roman" w:hAnsi="Times New Roman" w:cs="Times New Roman"/>
      <w:b w:val="0"/>
      <w:bCs w:val="0"/>
      <w:i/>
      <w:iCs/>
      <w:smallCaps w:val="0"/>
      <w:strike w:val="0"/>
      <w:color w:val="2F418C"/>
      <w:sz w:val="106"/>
      <w:szCs w:val="106"/>
      <w:u w:val="none"/>
      <w:shd w:val="clear" w:color="auto" w:fill="auto"/>
    </w:rPr>
  </w:style>
  <w:style w:type="paragraph" w:customStyle="1" w:styleId="Style104">
    <w:name w:val="正文文本 (8)"/>
    <w:basedOn w:val="Normal"/>
    <w:link w:val="CharStyle105"/>
    <w:pPr>
      <w:widowControl w:val="0"/>
      <w:shd w:val="clear" w:color="auto" w:fill="auto"/>
      <w:spacing w:after="1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8">
    <w:name w:val="标题 #5"/>
    <w:basedOn w:val="Normal"/>
    <w:link w:val="CharStyle10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header" Target="header5.xml"/><Relationship Id="rId18" Type="http://schemas.openxmlformats.org/officeDocument/2006/relationships/footer" Target="footer3.xml"/><Relationship Id="rId19" Type="http://schemas.openxmlformats.org/officeDocument/2006/relationships/header" Target="header6.xml"/><Relationship Id="rId20" Type="http://schemas.openxmlformats.org/officeDocument/2006/relationships/footer" Target="footer4.xml"/><Relationship Id="rId21" Type="http://schemas.openxmlformats.org/officeDocument/2006/relationships/header" Target="header7.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footer" Target="footer6.xml"/><Relationship Id="rId25" Type="http://schemas.openxmlformats.org/officeDocument/2006/relationships/header" Target="header9.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footer" Target="footer8.xml"/><Relationship Id="rId29" Type="http://schemas.openxmlformats.org/officeDocument/2006/relationships/header" Target="header11.xml"/><Relationship Id="rId30" Type="http://schemas.openxmlformats.org/officeDocument/2006/relationships/footer" Target="footer9.xml"/><Relationship Id="rId31" Type="http://schemas.openxmlformats.org/officeDocument/2006/relationships/header" Target="header12.xml"/><Relationship Id="rId32" Type="http://schemas.openxmlformats.org/officeDocument/2006/relationships/footer" Target="footer10.xml"/><Relationship Id="rId33" Type="http://schemas.openxmlformats.org/officeDocument/2006/relationships/header" Target="header13.xml"/><Relationship Id="rId34" Type="http://schemas.openxmlformats.org/officeDocument/2006/relationships/footer" Target="footer11.xml"/><Relationship Id="rId35" Type="http://schemas.openxmlformats.org/officeDocument/2006/relationships/header" Target="header14.xml"/><Relationship Id="rId36" Type="http://schemas.openxmlformats.org/officeDocument/2006/relationships/footer" Target="footer12.xml"/><Relationship Id="rId37" Type="http://schemas.openxmlformats.org/officeDocument/2006/relationships/image" Target="media/image4.jpeg"/><Relationship Id="rId38" Type="http://schemas.openxmlformats.org/officeDocument/2006/relationships/image" Target="media/image4.jpeg" TargetMode="Externa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header" Target="header16.xml"/><Relationship Id="rId42" Type="http://schemas.openxmlformats.org/officeDocument/2006/relationships/footer" Target="footer14.xml"/><Relationship Id="rId43" Type="http://schemas.openxmlformats.org/officeDocument/2006/relationships/image" Target="media/image5.jpeg"/><Relationship Id="rId44" Type="http://schemas.openxmlformats.org/officeDocument/2006/relationships/image" Target="media/image5.jpeg" TargetMode="External"/><Relationship Id="rId45" Type="http://schemas.openxmlformats.org/officeDocument/2006/relationships/image" Target="media/image6.jpeg"/><Relationship Id="rId46" Type="http://schemas.openxmlformats.org/officeDocument/2006/relationships/image" Target="media/image6.jpeg" TargetMode="External"/><Relationship Id="rId47" Type="http://schemas.openxmlformats.org/officeDocument/2006/relationships/header" Target="header17.xml"/><Relationship Id="rId48" Type="http://schemas.openxmlformats.org/officeDocument/2006/relationships/footer" Target="footer15.xml"/><Relationship Id="rId49" Type="http://schemas.openxmlformats.org/officeDocument/2006/relationships/header" Target="header18.xml"/><Relationship Id="rId50" Type="http://schemas.openxmlformats.org/officeDocument/2006/relationships/footer" Target="footer16.xml"/><Relationship Id="rId51" Type="http://schemas.openxmlformats.org/officeDocument/2006/relationships/header" Target="header19.xml"/><Relationship Id="rId52" Type="http://schemas.openxmlformats.org/officeDocument/2006/relationships/footer" Target="footer17.xml"/><Relationship Id="rId53" Type="http://schemas.openxmlformats.org/officeDocument/2006/relationships/header" Target="header20.xml"/><Relationship Id="rId54" Type="http://schemas.openxmlformats.org/officeDocument/2006/relationships/footer" Target="footer18.xml"/><Relationship Id="rId55" Type="http://schemas.openxmlformats.org/officeDocument/2006/relationships/header" Target="header21.xml"/><Relationship Id="rId56" Type="http://schemas.openxmlformats.org/officeDocument/2006/relationships/footer" Target="footer19.xml"/><Relationship Id="rId57" Type="http://schemas.openxmlformats.org/officeDocument/2006/relationships/header" Target="header22.xml"/><Relationship Id="rId58" Type="http://schemas.openxmlformats.org/officeDocument/2006/relationships/footer" Target="footer20.xml"/><Relationship Id="rId59" Type="http://schemas.openxmlformats.org/officeDocument/2006/relationships/header" Target="header23.xml"/><Relationship Id="rId60" Type="http://schemas.openxmlformats.org/officeDocument/2006/relationships/footer" Target="footer21.xml"/><Relationship Id="rId61" Type="http://schemas.openxmlformats.org/officeDocument/2006/relationships/header" Target="header24.xml"/><Relationship Id="rId62" Type="http://schemas.openxmlformats.org/officeDocument/2006/relationships/footer" Target="footer22.xml"/><Relationship Id="rId63" Type="http://schemas.openxmlformats.org/officeDocument/2006/relationships/header" Target="header25.xml"/><Relationship Id="rId64" Type="http://schemas.openxmlformats.org/officeDocument/2006/relationships/footer" Target="footer23.xml"/><Relationship Id="rId65" Type="http://schemas.openxmlformats.org/officeDocument/2006/relationships/header" Target="header26.xml"/><Relationship Id="rId66" Type="http://schemas.openxmlformats.org/officeDocument/2006/relationships/footer" Target="footer24.xml"/><Relationship Id="rId67" Type="http://schemas.openxmlformats.org/officeDocument/2006/relationships/header" Target="header27.xml"/><Relationship Id="rId68" Type="http://schemas.openxmlformats.org/officeDocument/2006/relationships/footer" Target="footer25.xml"/><Relationship Id="rId69" Type="http://schemas.openxmlformats.org/officeDocument/2006/relationships/header" Target="header28.xml"/><Relationship Id="rId70" Type="http://schemas.openxmlformats.org/officeDocument/2006/relationships/footer" Target="footer26.xml"/><Relationship Id="rId71" Type="http://schemas.openxmlformats.org/officeDocument/2006/relationships/header" Target="header29.xml"/><Relationship Id="rId72" Type="http://schemas.openxmlformats.org/officeDocument/2006/relationships/footer" Target="footer27.xml"/><Relationship Id="rId73" Type="http://schemas.openxmlformats.org/officeDocument/2006/relationships/header" Target="header30.xml"/><Relationship Id="rId74" Type="http://schemas.openxmlformats.org/officeDocument/2006/relationships/footer" Target="footer28.xml"/><Relationship Id="rId75" Type="http://schemas.openxmlformats.org/officeDocument/2006/relationships/header" Target="header31.xml"/><Relationship Id="rId76" Type="http://schemas.openxmlformats.org/officeDocument/2006/relationships/footer" Target="footer29.xml"/><Relationship Id="rId77" Type="http://schemas.openxmlformats.org/officeDocument/2006/relationships/header" Target="header32.xml"/><Relationship Id="rId78" Type="http://schemas.openxmlformats.org/officeDocument/2006/relationships/footer" Target="footer30.xml"/><Relationship Id="rId79" Type="http://schemas.openxmlformats.org/officeDocument/2006/relationships/header" Target="header33.xml"/><Relationship Id="rId80" Type="http://schemas.openxmlformats.org/officeDocument/2006/relationships/footer" Target="footer31.xml"/><Relationship Id="rId81" Type="http://schemas.openxmlformats.org/officeDocument/2006/relationships/header" Target="header34.xml"/><Relationship Id="rId82" Type="http://schemas.openxmlformats.org/officeDocument/2006/relationships/footer" Target="footer32.xml"/><Relationship Id="rId83" Type="http://schemas.openxmlformats.org/officeDocument/2006/relationships/header" Target="header35.xml"/><Relationship Id="rId84" Type="http://schemas.openxmlformats.org/officeDocument/2006/relationships/footer" Target="footer33.xml"/><Relationship Id="rId85" Type="http://schemas.openxmlformats.org/officeDocument/2006/relationships/header" Target="header36.xml"/><Relationship Id="rId86" Type="http://schemas.openxmlformats.org/officeDocument/2006/relationships/footer" Target="footer34.xml"/><Relationship Id="rId87" Type="http://schemas.openxmlformats.org/officeDocument/2006/relationships/header" Target="header37.xml"/><Relationship Id="rId88" Type="http://schemas.openxmlformats.org/officeDocument/2006/relationships/footer" Target="footer35.xml"/><Relationship Id="rId89" Type="http://schemas.openxmlformats.org/officeDocument/2006/relationships/header" Target="header38.xml"/><Relationship Id="rId90" Type="http://schemas.openxmlformats.org/officeDocument/2006/relationships/footer" Target="footer36.xml"/><Relationship Id="rId91" Type="http://schemas.openxmlformats.org/officeDocument/2006/relationships/header" Target="header39.xml"/><Relationship Id="rId92" Type="http://schemas.openxmlformats.org/officeDocument/2006/relationships/footer" Target="footer37.xml"/><Relationship Id="rId93" Type="http://schemas.openxmlformats.org/officeDocument/2006/relationships/header" Target="header40.xml"/><Relationship Id="rId94" Type="http://schemas.openxmlformats.org/officeDocument/2006/relationships/footer" Target="footer38.xml"/><Relationship Id="rId95" Type="http://schemas.openxmlformats.org/officeDocument/2006/relationships/header" Target="header41.xml"/><Relationship Id="rId96" Type="http://schemas.openxmlformats.org/officeDocument/2006/relationships/footer" Target="footer39.xml"/><Relationship Id="rId97" Type="http://schemas.openxmlformats.org/officeDocument/2006/relationships/header" Target="header42.xml"/><Relationship Id="rId98" Type="http://schemas.openxmlformats.org/officeDocument/2006/relationships/footer" Target="footer40.xml"/><Relationship Id="rId99" Type="http://schemas.openxmlformats.org/officeDocument/2006/relationships/header" Target="header43.xml"/><Relationship Id="rId100" Type="http://schemas.openxmlformats.org/officeDocument/2006/relationships/footer" Target="footer41.xml"/><Relationship Id="rId101" Type="http://schemas.openxmlformats.org/officeDocument/2006/relationships/image" Target="media/image7.jpeg"/><Relationship Id="rId102" Type="http://schemas.openxmlformats.org/officeDocument/2006/relationships/image" Target="media/image7.jpeg" TargetMode="External"/><Relationship Id="rId103" Type="http://schemas.openxmlformats.org/officeDocument/2006/relationships/header" Target="header44.xml"/><Relationship Id="rId104" Type="http://schemas.openxmlformats.org/officeDocument/2006/relationships/footer" Target="footer42.xml"/><Relationship Id="rId105" Type="http://schemas.openxmlformats.org/officeDocument/2006/relationships/header" Target="header45.xml"/><Relationship Id="rId106" Type="http://schemas.openxmlformats.org/officeDocument/2006/relationships/footer" Target="footer43.xml"/><Relationship Id="rId107" Type="http://schemas.openxmlformats.org/officeDocument/2006/relationships/header" Target="header46.xml"/><Relationship Id="rId108" Type="http://schemas.openxmlformats.org/officeDocument/2006/relationships/footer" Target="footer44.xml"/><Relationship Id="rId109" Type="http://schemas.openxmlformats.org/officeDocument/2006/relationships/header" Target="header47.xml"/><Relationship Id="rId110" Type="http://schemas.openxmlformats.org/officeDocument/2006/relationships/footer" Target="footer45.xml"/><Relationship Id="rId111" Type="http://schemas.openxmlformats.org/officeDocument/2006/relationships/header" Target="header48.xml"/><Relationship Id="rId112" Type="http://schemas.openxmlformats.org/officeDocument/2006/relationships/footer" Target="footer46.xml"/><Relationship Id="rId113" Type="http://schemas.openxmlformats.org/officeDocument/2006/relationships/header" Target="header49.xml"/><Relationship Id="rId114" Type="http://schemas.openxmlformats.org/officeDocument/2006/relationships/footer" Target="footer47.xml"/><Relationship Id="rId115" Type="http://schemas.openxmlformats.org/officeDocument/2006/relationships/header" Target="header50.xml"/><Relationship Id="rId116" Type="http://schemas.openxmlformats.org/officeDocument/2006/relationships/footer" Target="footer48.xml"/><Relationship Id="rId117" Type="http://schemas.openxmlformats.org/officeDocument/2006/relationships/header" Target="header51.xml"/><Relationship Id="rId118" Type="http://schemas.openxmlformats.org/officeDocument/2006/relationships/footer" Target="footer49.xml"/><Relationship Id="rId119" Type="http://schemas.openxmlformats.org/officeDocument/2006/relationships/header" Target="header52.xml"/><Relationship Id="rId120" Type="http://schemas.openxmlformats.org/officeDocument/2006/relationships/footer" Target="footer50.xml"/><Relationship Id="rId121" Type="http://schemas.openxmlformats.org/officeDocument/2006/relationships/header" Target="header53.xml"/><Relationship Id="rId122" Type="http://schemas.openxmlformats.org/officeDocument/2006/relationships/footer" Target="footer51.xml"/><Relationship Id="rId123" Type="http://schemas.openxmlformats.org/officeDocument/2006/relationships/header" Target="header54.xml"/><Relationship Id="rId124" Type="http://schemas.openxmlformats.org/officeDocument/2006/relationships/footer" Target="footer52.xml"/><Relationship Id="rId125" Type="http://schemas.openxmlformats.org/officeDocument/2006/relationships/header" Target="header55.xml"/><Relationship Id="rId126" Type="http://schemas.openxmlformats.org/officeDocument/2006/relationships/footer" Target="footer53.xml"/><Relationship Id="rId127" Type="http://schemas.openxmlformats.org/officeDocument/2006/relationships/header" Target="header56.xml"/><Relationship Id="rId128" Type="http://schemas.openxmlformats.org/officeDocument/2006/relationships/footer" Target="footer54.xml"/><Relationship Id="rId129" Type="http://schemas.openxmlformats.org/officeDocument/2006/relationships/header" Target="header57.xml"/><Relationship Id="rId130" Type="http://schemas.openxmlformats.org/officeDocument/2006/relationships/footer" Target="footer55.xml"/><Relationship Id="rId131" Type="http://schemas.openxmlformats.org/officeDocument/2006/relationships/header" Target="header58.xml"/><Relationship Id="rId132" Type="http://schemas.openxmlformats.org/officeDocument/2006/relationships/footer" Target="footer56.xml"/><Relationship Id="rId133" Type="http://schemas.openxmlformats.org/officeDocument/2006/relationships/header" Target="header59.xml"/><Relationship Id="rId134" Type="http://schemas.openxmlformats.org/officeDocument/2006/relationships/footer" Target="footer57.xml"/><Relationship Id="rId135" Type="http://schemas.openxmlformats.org/officeDocument/2006/relationships/header" Target="header60.xml"/><Relationship Id="rId136" Type="http://schemas.openxmlformats.org/officeDocument/2006/relationships/footer" Target="footer58.xml"/><Relationship Id="rId137" Type="http://schemas.openxmlformats.org/officeDocument/2006/relationships/header" Target="header61.xml"/><Relationship Id="rId138" Type="http://schemas.openxmlformats.org/officeDocument/2006/relationships/footer" Target="footer59.xml"/><Relationship Id="rId139" Type="http://schemas.openxmlformats.org/officeDocument/2006/relationships/header" Target="header62.xml"/><Relationship Id="rId140" Type="http://schemas.openxmlformats.org/officeDocument/2006/relationships/footer" Target="footer60.xml"/><Relationship Id="rId141" Type="http://schemas.openxmlformats.org/officeDocument/2006/relationships/header" Target="header63.xml"/><Relationship Id="rId142" Type="http://schemas.openxmlformats.org/officeDocument/2006/relationships/footer" Target="footer61.xml"/><Relationship Id="rId143" Type="http://schemas.openxmlformats.org/officeDocument/2006/relationships/header" Target="header64.xml"/><Relationship Id="rId144" Type="http://schemas.openxmlformats.org/officeDocument/2006/relationships/footer" Target="footer62.xml"/><Relationship Id="rId145" Type="http://schemas.openxmlformats.org/officeDocument/2006/relationships/header" Target="header65.xml"/><Relationship Id="rId146" Type="http://schemas.openxmlformats.org/officeDocument/2006/relationships/footer" Target="footer63.xml"/><Relationship Id="rId147" Type="http://schemas.openxmlformats.org/officeDocument/2006/relationships/header" Target="header66.xml"/><Relationship Id="rId148" Type="http://schemas.openxmlformats.org/officeDocument/2006/relationships/footer" Target="footer64.xml"/><Relationship Id="rId149" Type="http://schemas.openxmlformats.org/officeDocument/2006/relationships/header" Target="header67.xml"/><Relationship Id="rId150" Type="http://schemas.openxmlformats.org/officeDocument/2006/relationships/footer" Target="footer65.xml"/><Relationship Id="rId151" Type="http://schemas.openxmlformats.org/officeDocument/2006/relationships/header" Target="header68.xml"/><Relationship Id="rId152" Type="http://schemas.openxmlformats.org/officeDocument/2006/relationships/footer" Target="footer66.xml"/><Relationship Id="rId153" Type="http://schemas.openxmlformats.org/officeDocument/2006/relationships/header" Target="header69.xml"/><Relationship Id="rId154" Type="http://schemas.openxmlformats.org/officeDocument/2006/relationships/footer" Target="footer67.xml"/><Relationship Id="rId155" Type="http://schemas.openxmlformats.org/officeDocument/2006/relationships/header" Target="header70.xml"/><Relationship Id="rId156" Type="http://schemas.openxmlformats.org/officeDocument/2006/relationships/footer" Target="footer68.xml"/><Relationship Id="rId157" Type="http://schemas.openxmlformats.org/officeDocument/2006/relationships/header" Target="header71.xml"/><Relationship Id="rId158" Type="http://schemas.openxmlformats.org/officeDocument/2006/relationships/footer" Target="footer69.xml"/><Relationship Id="rId159" Type="http://schemas.openxmlformats.org/officeDocument/2006/relationships/header" Target="header72.xml"/><Relationship Id="rId160" Type="http://schemas.openxmlformats.org/officeDocument/2006/relationships/footer" Target="footer70.xml"/><Relationship Id="rId161" Type="http://schemas.openxmlformats.org/officeDocument/2006/relationships/header" Target="header73.xml"/><Relationship Id="rId162" Type="http://schemas.openxmlformats.org/officeDocument/2006/relationships/footer" Target="footer71.xml"/><Relationship Id="rId163" Type="http://schemas.openxmlformats.org/officeDocument/2006/relationships/header" Target="header74.xml"/><Relationship Id="rId164" Type="http://schemas.openxmlformats.org/officeDocument/2006/relationships/footer" Target="footer72.xml"/><Relationship Id="rId165" Type="http://schemas.openxmlformats.org/officeDocument/2006/relationships/header" Target="header75.xml"/><Relationship Id="rId166" Type="http://schemas.openxmlformats.org/officeDocument/2006/relationships/footer" Target="footer73.xml"/><Relationship Id="rId167" Type="http://schemas.openxmlformats.org/officeDocument/2006/relationships/header" Target="header76.xml"/><Relationship Id="rId168" Type="http://schemas.openxmlformats.org/officeDocument/2006/relationships/footer" Target="footer74.xml"/><Relationship Id="rId169" Type="http://schemas.openxmlformats.org/officeDocument/2006/relationships/header" Target="header77.xml"/><Relationship Id="rId170" Type="http://schemas.openxmlformats.org/officeDocument/2006/relationships/footer" Target="footer75.xml"/><Relationship Id="rId171" Type="http://schemas.openxmlformats.org/officeDocument/2006/relationships/header" Target="header78.xml"/><Relationship Id="rId172" Type="http://schemas.openxmlformats.org/officeDocument/2006/relationships/footer" Target="footer76.xml"/><Relationship Id="rId173" Type="http://schemas.openxmlformats.org/officeDocument/2006/relationships/header" Target="header79.xml"/><Relationship Id="rId174" Type="http://schemas.openxmlformats.org/officeDocument/2006/relationships/footer" Target="footer77.xml"/><Relationship Id="rId175" Type="http://schemas.openxmlformats.org/officeDocument/2006/relationships/header" Target="header80.xml"/><Relationship Id="rId176" Type="http://schemas.openxmlformats.org/officeDocument/2006/relationships/footer" Target="footer78.xml"/><Relationship Id="rId177" Type="http://schemas.openxmlformats.org/officeDocument/2006/relationships/header" Target="header81.xml"/><Relationship Id="rId178" Type="http://schemas.openxmlformats.org/officeDocument/2006/relationships/footer" Target="footer79.xml"/><Relationship Id="rId179" Type="http://schemas.openxmlformats.org/officeDocument/2006/relationships/header" Target="header82.xml"/><Relationship Id="rId180" Type="http://schemas.openxmlformats.org/officeDocument/2006/relationships/footer" Target="footer80.xml"/><Relationship Id="rId181" Type="http://schemas.openxmlformats.org/officeDocument/2006/relationships/header" Target="header83.xml"/><Relationship Id="rId182" Type="http://schemas.openxmlformats.org/officeDocument/2006/relationships/footer" Target="footer81.xml"/><Relationship Id="rId183" Type="http://schemas.openxmlformats.org/officeDocument/2006/relationships/header" Target="header84.xml"/><Relationship Id="rId184" Type="http://schemas.openxmlformats.org/officeDocument/2006/relationships/footer" Target="footer82.xml"/><Relationship Id="rId185" Type="http://schemas.openxmlformats.org/officeDocument/2006/relationships/header" Target="header85.xml"/><Relationship Id="rId186" Type="http://schemas.openxmlformats.org/officeDocument/2006/relationships/footer" Target="footer83.xml"/><Relationship Id="rId187" Type="http://schemas.openxmlformats.org/officeDocument/2006/relationships/header" Target="header86.xml"/><Relationship Id="rId188" Type="http://schemas.openxmlformats.org/officeDocument/2006/relationships/footer" Target="footer84.xml"/><Relationship Id="rId189" Type="http://schemas.openxmlformats.org/officeDocument/2006/relationships/header" Target="header87.xml"/><Relationship Id="rId190" Type="http://schemas.openxmlformats.org/officeDocument/2006/relationships/footer" Target="footer85.xml"/><Relationship Id="rId191" Type="http://schemas.openxmlformats.org/officeDocument/2006/relationships/header" Target="header88.xml"/><Relationship Id="rId192" Type="http://schemas.openxmlformats.org/officeDocument/2006/relationships/footer" Target="footer86.xml"/><Relationship Id="rId193" Type="http://schemas.openxmlformats.org/officeDocument/2006/relationships/header" Target="header89.xml"/><Relationship Id="rId194" Type="http://schemas.openxmlformats.org/officeDocument/2006/relationships/footer" Target="footer87.xml"/><Relationship Id="rId195" Type="http://schemas.openxmlformats.org/officeDocument/2006/relationships/header" Target="header90.xml"/><Relationship Id="rId196" Type="http://schemas.openxmlformats.org/officeDocument/2006/relationships/footer" Target="footer88.xml"/><Relationship Id="rId197" Type="http://schemas.openxmlformats.org/officeDocument/2006/relationships/header" Target="header91.xml"/><Relationship Id="rId198" Type="http://schemas.openxmlformats.org/officeDocument/2006/relationships/footer" Target="footer89.xml"/><Relationship Id="rId199" Type="http://schemas.openxmlformats.org/officeDocument/2006/relationships/header" Target="header92.xml"/><Relationship Id="rId200" Type="http://schemas.openxmlformats.org/officeDocument/2006/relationships/footer" Target="footer90.xml"/><Relationship Id="rId201" Type="http://schemas.openxmlformats.org/officeDocument/2006/relationships/header" Target="header93.xml"/><Relationship Id="rId202" Type="http://schemas.openxmlformats.org/officeDocument/2006/relationships/footer" Target="footer91.xml"/><Relationship Id="rId203" Type="http://schemas.openxmlformats.org/officeDocument/2006/relationships/header" Target="header94.xml"/><Relationship Id="rId204" Type="http://schemas.openxmlformats.org/officeDocument/2006/relationships/footer" Target="footer92.xml"/><Relationship Id="rId205" Type="http://schemas.openxmlformats.org/officeDocument/2006/relationships/header" Target="header95.xml"/><Relationship Id="rId206" Type="http://schemas.openxmlformats.org/officeDocument/2006/relationships/footer" Target="footer93.xml"/><Relationship Id="rId207" Type="http://schemas.openxmlformats.org/officeDocument/2006/relationships/header" Target="header96.xml"/><Relationship Id="rId208" Type="http://schemas.openxmlformats.org/officeDocument/2006/relationships/footer" Target="footer94.xml"/><Relationship Id="rId209" Type="http://schemas.openxmlformats.org/officeDocument/2006/relationships/header" Target="header97.xml"/><Relationship Id="rId210" Type="http://schemas.openxmlformats.org/officeDocument/2006/relationships/footer" Target="footer95.xml"/><Relationship Id="rId211" Type="http://schemas.openxmlformats.org/officeDocument/2006/relationships/header" Target="header98.xml"/><Relationship Id="rId212" Type="http://schemas.openxmlformats.org/officeDocument/2006/relationships/footer" Target="footer96.xml"/><Relationship Id="rId213" Type="http://schemas.openxmlformats.org/officeDocument/2006/relationships/header" Target="header99.xml"/><Relationship Id="rId214" Type="http://schemas.openxmlformats.org/officeDocument/2006/relationships/footer" Target="footer97.xml"/><Relationship Id="rId215" Type="http://schemas.openxmlformats.org/officeDocument/2006/relationships/header" Target="header100.xml"/><Relationship Id="rId216" Type="http://schemas.openxmlformats.org/officeDocument/2006/relationships/footer" Target="footer98.xml"/><Relationship Id="rId217" Type="http://schemas.openxmlformats.org/officeDocument/2006/relationships/header" Target="header101.xml"/><Relationship Id="rId218" Type="http://schemas.openxmlformats.org/officeDocument/2006/relationships/footer" Target="footer99.xml"/><Relationship Id="rId219" Type="http://schemas.openxmlformats.org/officeDocument/2006/relationships/header" Target="header102.xml"/><Relationship Id="rId220" Type="http://schemas.openxmlformats.org/officeDocument/2006/relationships/footer" Target="footer100.xml"/><Relationship Id="rId221" Type="http://schemas.openxmlformats.org/officeDocument/2006/relationships/header" Target="header103.xml"/><Relationship Id="rId222" Type="http://schemas.openxmlformats.org/officeDocument/2006/relationships/footer" Target="footer101.xml"/><Relationship Id="rId223" Type="http://schemas.openxmlformats.org/officeDocument/2006/relationships/header" Target="header104.xml"/><Relationship Id="rId224" Type="http://schemas.openxmlformats.org/officeDocument/2006/relationships/footer" Target="footer102.xml"/><Relationship Id="rId225" Type="http://schemas.openxmlformats.org/officeDocument/2006/relationships/header" Target="header105.xml"/><Relationship Id="rId226" Type="http://schemas.openxmlformats.org/officeDocument/2006/relationships/footer" Target="footer103.xml"/><Relationship Id="rId227" Type="http://schemas.openxmlformats.org/officeDocument/2006/relationships/header" Target="header106.xml"/><Relationship Id="rId228" Type="http://schemas.openxmlformats.org/officeDocument/2006/relationships/footer" Target="footer104.xml"/><Relationship Id="rId229" Type="http://schemas.openxmlformats.org/officeDocument/2006/relationships/header" Target="header107.xml"/><Relationship Id="rId230" Type="http://schemas.openxmlformats.org/officeDocument/2006/relationships/footer" Target="footer105.xml"/><Relationship Id="rId231" Type="http://schemas.openxmlformats.org/officeDocument/2006/relationships/header" Target="header108.xml"/><Relationship Id="rId232" Type="http://schemas.openxmlformats.org/officeDocument/2006/relationships/footer" Target="footer106.xml"/><Relationship Id="rId233" Type="http://schemas.openxmlformats.org/officeDocument/2006/relationships/header" Target="header109.xml"/><Relationship Id="rId234" Type="http://schemas.openxmlformats.org/officeDocument/2006/relationships/footer" Target="footer107.xml"/><Relationship Id="rId235" Type="http://schemas.openxmlformats.org/officeDocument/2006/relationships/header" Target="header110.xml"/><Relationship Id="rId236" Type="http://schemas.openxmlformats.org/officeDocument/2006/relationships/footer" Target="footer108.xml"/><Relationship Id="rId237" Type="http://schemas.openxmlformats.org/officeDocument/2006/relationships/header" Target="header111.xml"/><Relationship Id="rId238" Type="http://schemas.openxmlformats.org/officeDocument/2006/relationships/footer" Target="footer109.xml"/><Relationship Id="rId239" Type="http://schemas.openxmlformats.org/officeDocument/2006/relationships/header" Target="header112.xml"/><Relationship Id="rId240" Type="http://schemas.openxmlformats.org/officeDocument/2006/relationships/footer" Target="footer110.xml"/><Relationship Id="rId241" Type="http://schemas.openxmlformats.org/officeDocument/2006/relationships/header" Target="header113.xml"/><Relationship Id="rId242" Type="http://schemas.openxmlformats.org/officeDocument/2006/relationships/footer" Target="footer111.xml"/><Relationship Id="rId243" Type="http://schemas.openxmlformats.org/officeDocument/2006/relationships/header" Target="header114.xml"/><Relationship Id="rId244" Type="http://schemas.openxmlformats.org/officeDocument/2006/relationships/footer" Target="footer112.xml"/><Relationship Id="rId245" Type="http://schemas.openxmlformats.org/officeDocument/2006/relationships/header" Target="header115.xml"/><Relationship Id="rId246" Type="http://schemas.openxmlformats.org/officeDocument/2006/relationships/footer" Target="footer113.xml"/><Relationship Id="rId247" Type="http://schemas.openxmlformats.org/officeDocument/2006/relationships/header" Target="header116.xml"/><Relationship Id="rId248" Type="http://schemas.openxmlformats.org/officeDocument/2006/relationships/footer" Target="footer114.xml"/><Relationship Id="rId249" Type="http://schemas.openxmlformats.org/officeDocument/2006/relationships/header" Target="header117.xml"/><Relationship Id="rId250" Type="http://schemas.openxmlformats.org/officeDocument/2006/relationships/footer" Target="footer115.xml"/><Relationship Id="rId251" Type="http://schemas.openxmlformats.org/officeDocument/2006/relationships/header" Target="header118.xml"/><Relationship Id="rId252" Type="http://schemas.openxmlformats.org/officeDocument/2006/relationships/footer" Target="footer116.xml"/><Relationship Id="rId253" Type="http://schemas.openxmlformats.org/officeDocument/2006/relationships/header" Target="header119.xml"/><Relationship Id="rId254" Type="http://schemas.openxmlformats.org/officeDocument/2006/relationships/footer" Target="footer117.xml"/><Relationship Id="rId255" Type="http://schemas.openxmlformats.org/officeDocument/2006/relationships/header" Target="header120.xml"/><Relationship Id="rId256" Type="http://schemas.openxmlformats.org/officeDocument/2006/relationships/footer" Target="footer118.xml"/><Relationship Id="rId257" Type="http://schemas.openxmlformats.org/officeDocument/2006/relationships/header" Target="header121.xml"/><Relationship Id="rId258" Type="http://schemas.openxmlformats.org/officeDocument/2006/relationships/footer" Target="footer119.xml"/><Relationship Id="rId259" Type="http://schemas.openxmlformats.org/officeDocument/2006/relationships/header" Target="header122.xml"/><Relationship Id="rId260" Type="http://schemas.openxmlformats.org/officeDocument/2006/relationships/footer" Target="footer120.xml"/><Relationship Id="rId261" Type="http://schemas.openxmlformats.org/officeDocument/2006/relationships/header" Target="header123.xml"/><Relationship Id="rId262" Type="http://schemas.openxmlformats.org/officeDocument/2006/relationships/footer" Target="footer121.xml"/><Relationship Id="rId263" Type="http://schemas.openxmlformats.org/officeDocument/2006/relationships/header" Target="header124.xml"/><Relationship Id="rId264" Type="http://schemas.openxmlformats.org/officeDocument/2006/relationships/footer" Target="footer122.xml"/><Relationship Id="rId265" Type="http://schemas.openxmlformats.org/officeDocument/2006/relationships/header" Target="header125.xml"/><Relationship Id="rId266" Type="http://schemas.openxmlformats.org/officeDocument/2006/relationships/footer" Target="footer123.xml"/><Relationship Id="rId267" Type="http://schemas.openxmlformats.org/officeDocument/2006/relationships/header" Target="header126.xml"/><Relationship Id="rId268" Type="http://schemas.openxmlformats.org/officeDocument/2006/relationships/footer" Target="footer124.xml"/><Relationship Id="rId269" Type="http://schemas.openxmlformats.org/officeDocument/2006/relationships/header" Target="header127.xml"/><Relationship Id="rId270" Type="http://schemas.openxmlformats.org/officeDocument/2006/relationships/footer" Target="footer125.xml"/><Relationship Id="rId271" Type="http://schemas.openxmlformats.org/officeDocument/2006/relationships/header" Target="header128.xml"/><Relationship Id="rId272" Type="http://schemas.openxmlformats.org/officeDocument/2006/relationships/footer" Target="footer126.xml"/><Relationship Id="rId273" Type="http://schemas.openxmlformats.org/officeDocument/2006/relationships/header" Target="header129.xml"/><Relationship Id="rId274" Type="http://schemas.openxmlformats.org/officeDocument/2006/relationships/footer" Target="footer127.xml"/><Relationship Id="rId275" Type="http://schemas.openxmlformats.org/officeDocument/2006/relationships/header" Target="header130.xml"/><Relationship Id="rId276" Type="http://schemas.openxmlformats.org/officeDocument/2006/relationships/footer" Target="footer128.xml"/><Relationship Id="rId277" Type="http://schemas.openxmlformats.org/officeDocument/2006/relationships/header" Target="header131.xml"/><Relationship Id="rId278" Type="http://schemas.openxmlformats.org/officeDocument/2006/relationships/footer" Target="footer129.xml"/><Relationship Id="rId279" Type="http://schemas.openxmlformats.org/officeDocument/2006/relationships/header" Target="header132.xml"/><Relationship Id="rId280" Type="http://schemas.openxmlformats.org/officeDocument/2006/relationships/footer" Target="footer130.xml"/><Relationship Id="rId281" Type="http://schemas.openxmlformats.org/officeDocument/2006/relationships/header" Target="header133.xml"/><Relationship Id="rId282" Type="http://schemas.openxmlformats.org/officeDocument/2006/relationships/footer" Target="footer131.xml"/><Relationship Id="rId283" Type="http://schemas.openxmlformats.org/officeDocument/2006/relationships/header" Target="header134.xml"/><Relationship Id="rId284" Type="http://schemas.openxmlformats.org/officeDocument/2006/relationships/footer" Target="footer132.xml"/><Relationship Id="rId285" Type="http://schemas.openxmlformats.org/officeDocument/2006/relationships/header" Target="header135.xml"/><Relationship Id="rId286" Type="http://schemas.openxmlformats.org/officeDocument/2006/relationships/footer" Target="footer133.xml"/><Relationship Id="rId287" Type="http://schemas.openxmlformats.org/officeDocument/2006/relationships/header" Target="header136.xml"/><Relationship Id="rId288" Type="http://schemas.openxmlformats.org/officeDocument/2006/relationships/footer" Target="footer134.xml"/><Relationship Id="rId289" Type="http://schemas.openxmlformats.org/officeDocument/2006/relationships/header" Target="header137.xml"/><Relationship Id="rId290" Type="http://schemas.openxmlformats.org/officeDocument/2006/relationships/footer" Target="footer135.xml"/><Relationship Id="rId291" Type="http://schemas.openxmlformats.org/officeDocument/2006/relationships/header" Target="header138.xml"/><Relationship Id="rId292" Type="http://schemas.openxmlformats.org/officeDocument/2006/relationships/footer" Target="footer136.xml"/></Relationships>
</file>

<file path=docProps/core.xml><?xml version="1.0" encoding="utf-8"?>
<cp:coreProperties xmlns:cp="http://schemas.openxmlformats.org/package/2006/metadata/core-properties" xmlns:dc="http://purl.org/dc/elements/1.1/">
  <dc:title/>
  <dc:subject/>
  <dc:creator>SSQ</dc:creator>
  <cp:keywords/>
</cp:coreProperties>
</file>