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spacing w:val="0"/>
          <w:w w:val="100"/>
          <w:position w:val="0"/>
        </w:rPr>
        <w:t>^^^JOIN-CHEER</w:t>
      </w:r>
      <w:bookmarkEnd w:id="0"/>
      <w:bookmarkEnd w:id="1"/>
      <w:bookmarkEnd w:id="2"/>
    </w:p>
    <w:p>
      <w:pPr>
        <w:pStyle w:val="Style8"/>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rFonts w:ascii="Arial" w:eastAsia="Arial" w:hAnsi="Arial" w:cs="Arial"/>
          <w:b/>
          <w:bCs/>
          <w:color w:val="CE1E2B"/>
          <w:spacing w:val="0"/>
          <w:w w:val="100"/>
          <w:position w:val="0"/>
          <w:sz w:val="56"/>
          <w:szCs w:val="56"/>
        </w:rPr>
        <w:t>y</w:t>
      </w:r>
      <w:r>
        <w:rPr>
          <w:spacing w:val="0"/>
          <w:w w:val="100"/>
          <w:position w:val="0"/>
        </w:rPr>
        <w:t>北京久其软件股份有限公司</w:t>
      </w:r>
      <w:bookmarkEnd w:id="3"/>
      <w:bookmarkEnd w:id="4"/>
      <w:bookmarkEnd w:id="5"/>
    </w:p>
    <w:p>
      <w:pPr>
        <w:pStyle w:val="Style11"/>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p>
      <w:pPr>
        <w:pStyle w:val="Style14"/>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3567" w:right="1107" w:bottom="3567" w:left="1107" w:header="0" w:footer="3" w:gutter="0"/>
          <w:pgNumType w:start="1"/>
          <w:cols w:space="720"/>
          <w:noEndnote/>
          <w:rtlGutter w:val="0"/>
          <w:docGrid w:linePitch="360"/>
        </w:sectP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17"/>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9"/>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9"/>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line="634"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1.80</w:t>
      </w:r>
      <w:r>
        <w:rPr>
          <w:color w:val="000000"/>
          <w:spacing w:val="0"/>
          <w:w w:val="100"/>
          <w:position w:val="0"/>
        </w:rPr>
        <w:t>元（含税），送红股</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股（含税），不以公积金转增股本。</w:t>
      </w:r>
    </w:p>
    <w:p>
      <w:pPr>
        <w:pStyle w:val="Style19"/>
        <w:keepNext w:val="0"/>
        <w:keepLines w:val="0"/>
        <w:widowControl w:val="0"/>
        <w:shd w:val="clear" w:color="auto" w:fill="auto"/>
        <w:bidi w:val="0"/>
        <w:spacing w:before="0"/>
        <w:ind w:left="0" w:right="0"/>
        <w:jc w:val="both"/>
      </w:pPr>
      <w:r>
        <w:rPr>
          <w:color w:val="000000"/>
          <w:spacing w:val="0"/>
          <w:w w:val="100"/>
          <w:position w:val="0"/>
        </w:rPr>
        <w:t>公司负责人赵福君、主管会计工作负责人邱安超及会计机构负责人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马巧红声明：保证年度报告中财务报告的真实、准确、完整。</w:t>
      </w:r>
    </w:p>
    <w:p>
      <w:pPr>
        <w:pStyle w:val="Style19"/>
        <w:keepNext w:val="0"/>
        <w:keepLines w:val="0"/>
        <w:widowControl w:val="0"/>
        <w:shd w:val="clear" w:color="auto" w:fill="auto"/>
        <w:bidi w:val="0"/>
        <w:spacing w:before="0" w:line="624" w:lineRule="exact"/>
        <w:ind w:left="0" w:right="0"/>
        <w:jc w:val="both"/>
        <w:sectPr>
          <w:headerReference w:type="default" r:id="rId7"/>
          <w:footerReference w:type="default" r:id="rId8"/>
          <w:footnotePr>
            <w:pos w:val="pageBottom"/>
            <w:numFmt w:val="decimal"/>
            <w:numRestart w:val="continuous"/>
          </w:footnotePr>
          <w:pgSz w:w="11900" w:h="16840"/>
          <w:pgMar w:top="1974" w:right="1107" w:bottom="1974" w:left="1107" w:header="0" w:footer="3" w:gutter="0"/>
          <w:cols w:space="720"/>
          <w:noEndnote/>
          <w:rtlGutter w:val="0"/>
          <w:docGrid w:linePitch="360"/>
        </w:sectPr>
      </w:pPr>
      <w:r>
        <w:rPr>
          <w:color w:val="000000"/>
          <w:spacing w:val="0"/>
          <w:w w:val="100"/>
          <w:position w:val="0"/>
        </w:rPr>
        <w:t>本报告中涉及的对公司未来年度计划及发展规划等前瞻性陈述，不构成公 司对投资者的实质承诺，请投资者注意投资风险。</w:t>
      </w:r>
    </w:p>
    <w:p>
      <w:pPr>
        <w:pStyle w:val="Style22"/>
        <w:keepNext w:val="0"/>
        <w:keepLines w:val="0"/>
        <w:widowControl w:val="0"/>
        <w:shd w:val="clear" w:color="auto" w:fill="auto"/>
        <w:bidi w:val="0"/>
        <w:spacing w:line="240" w:lineRule="auto"/>
        <w:ind w:left="0" w:right="0" w:firstLine="0"/>
        <w:jc w:val="center"/>
      </w:pPr>
      <w:r>
        <w:rPr>
          <w:color w:val="000000"/>
          <w:spacing w:val="0"/>
          <w:w w:val="100"/>
          <w:position w:val="0"/>
        </w:rPr>
        <w:t>目录</w:t>
      </w:r>
    </w:p>
    <w:p>
      <w:pPr>
        <w:pStyle w:val="Style24"/>
        <w:keepNext w:val="0"/>
        <w:keepLines w:val="0"/>
        <w:widowControl w:val="0"/>
        <w:shd w:val="clear" w:color="auto" w:fill="auto"/>
        <w:tabs>
          <w:tab w:leader="dot" w:pos="9612" w:val="right"/>
        </w:tabs>
        <w:bidi w:val="0"/>
        <w:spacing w:before="0" w:line="240" w:lineRule="auto"/>
        <w:ind w:left="0" w:right="0" w:firstLine="0"/>
        <w:jc w:val="both"/>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4"/>
            <w:szCs w:val="24"/>
          </w:rPr>
          <w:t>2</w:t>
        </w:r>
      </w:hyperlink>
    </w:p>
    <w:p>
      <w:pPr>
        <w:pStyle w:val="Style24"/>
        <w:keepNext w:val="0"/>
        <w:keepLines w:val="0"/>
        <w:widowControl w:val="0"/>
        <w:shd w:val="clear" w:color="auto" w:fill="auto"/>
        <w:tabs>
          <w:tab w:leader="dot" w:pos="9612" w:val="right"/>
        </w:tabs>
        <w:bidi w:val="0"/>
        <w:spacing w:before="0" w:line="240" w:lineRule="auto"/>
        <w:ind w:left="0" w:right="0" w:firstLine="0"/>
        <w:jc w:val="both"/>
      </w:pPr>
      <w:hyperlink w:anchor="bookmark16" w:tooltip="Current Document">
        <w:r>
          <w:rPr>
            <w:color w:val="000000"/>
            <w:spacing w:val="0"/>
            <w:w w:val="100"/>
            <w:position w:val="0"/>
            <w:sz w:val="24"/>
            <w:szCs w:val="24"/>
          </w:rPr>
          <w:t>第二节公司简介</w:t>
        </w:r>
        <w:r>
          <w:rPr>
            <w:color w:val="000000"/>
            <w:spacing w:val="0"/>
            <w:w w:val="100"/>
            <w:position w:val="0"/>
            <w:sz w:val="24"/>
            <w:szCs w:val="24"/>
          </w:rPr>
          <w:tab/>
        </w:r>
        <w:r>
          <w:rPr>
            <w:color w:val="000000"/>
            <w:spacing w:val="0"/>
            <w:w w:val="100"/>
            <w:position w:val="0"/>
            <w:sz w:val="24"/>
            <w:szCs w:val="24"/>
          </w:rPr>
          <w:t>7</w:t>
        </w:r>
      </w:hyperlink>
    </w:p>
    <w:p>
      <w:pPr>
        <w:pStyle w:val="Style24"/>
        <w:keepNext w:val="0"/>
        <w:keepLines w:val="0"/>
        <w:widowControl w:val="0"/>
        <w:shd w:val="clear" w:color="auto" w:fill="auto"/>
        <w:tabs>
          <w:tab w:leader="dot" w:pos="9612" w:val="right"/>
        </w:tabs>
        <w:bidi w:val="0"/>
        <w:spacing w:before="0" w:line="240" w:lineRule="auto"/>
        <w:ind w:left="0" w:right="0" w:firstLine="0"/>
        <w:jc w:val="both"/>
      </w:pPr>
      <w:hyperlink w:anchor="bookmark39" w:tooltip="Current Document">
        <w:r>
          <w:rPr>
            <w:color w:val="000000"/>
            <w:spacing w:val="0"/>
            <w:w w:val="100"/>
            <w:position w:val="0"/>
            <w:sz w:val="24"/>
            <w:szCs w:val="24"/>
          </w:rPr>
          <w:t>第三节会计数据和财务指标摘要</w:t>
        </w:r>
        <w:r>
          <w:rPr>
            <w:color w:val="000000"/>
            <w:spacing w:val="0"/>
            <w:w w:val="100"/>
            <w:position w:val="0"/>
            <w:sz w:val="24"/>
            <w:szCs w:val="24"/>
          </w:rPr>
          <w:tab/>
        </w:r>
        <w:r>
          <w:rPr>
            <w:color w:val="000000"/>
            <w:spacing w:val="0"/>
            <w:w w:val="100"/>
            <w:position w:val="0"/>
            <w:sz w:val="24"/>
            <w:szCs w:val="24"/>
          </w:rPr>
          <w:t>9</w:t>
        </w:r>
      </w:hyperlink>
    </w:p>
    <w:p>
      <w:pPr>
        <w:pStyle w:val="Style24"/>
        <w:keepNext w:val="0"/>
        <w:keepLines w:val="0"/>
        <w:widowControl w:val="0"/>
        <w:shd w:val="clear" w:color="auto" w:fill="auto"/>
        <w:tabs>
          <w:tab w:leader="dot" w:pos="9612" w:val="right"/>
        </w:tabs>
        <w:bidi w:val="0"/>
        <w:spacing w:before="0" w:line="240" w:lineRule="auto"/>
        <w:ind w:left="0" w:right="0" w:firstLine="0"/>
        <w:jc w:val="both"/>
      </w:pPr>
      <w:hyperlink w:anchor="bookmark49" w:tooltip="Current Document">
        <w:r>
          <w:rPr>
            <w:color w:val="000000"/>
            <w:spacing w:val="0"/>
            <w:w w:val="100"/>
            <w:position w:val="0"/>
            <w:sz w:val="24"/>
            <w:szCs w:val="24"/>
          </w:rPr>
          <w:t>第四节董事会报告</w:t>
        </w:r>
        <w:r>
          <w:rPr>
            <w:color w:val="000000"/>
            <w:spacing w:val="0"/>
            <w:w w:val="100"/>
            <w:position w:val="0"/>
            <w:sz w:val="24"/>
            <w:szCs w:val="24"/>
          </w:rPr>
          <w:tab/>
        </w:r>
        <w:r>
          <w:rPr>
            <w:color w:val="000000"/>
            <w:spacing w:val="0"/>
            <w:w w:val="100"/>
            <w:position w:val="0"/>
            <w:sz w:val="24"/>
            <w:szCs w:val="24"/>
          </w:rPr>
          <w:t>11</w:t>
        </w:r>
      </w:hyperlink>
    </w:p>
    <w:p>
      <w:pPr>
        <w:pStyle w:val="Style24"/>
        <w:keepNext w:val="0"/>
        <w:keepLines w:val="0"/>
        <w:widowControl w:val="0"/>
        <w:shd w:val="clear" w:color="auto" w:fill="auto"/>
        <w:tabs>
          <w:tab w:leader="dot" w:pos="9612" w:val="right"/>
        </w:tabs>
        <w:bidi w:val="0"/>
        <w:spacing w:before="0" w:line="240" w:lineRule="auto"/>
        <w:ind w:left="0" w:right="0" w:firstLine="0"/>
        <w:jc w:val="both"/>
      </w:pPr>
      <w:hyperlink w:anchor="bookmark182" w:tooltip="Current Document">
        <w:r>
          <w:rPr>
            <w:color w:val="000000"/>
            <w:spacing w:val="0"/>
            <w:w w:val="100"/>
            <w:position w:val="0"/>
            <w:sz w:val="24"/>
            <w:szCs w:val="24"/>
          </w:rPr>
          <w:t>第五节重要事项</w:t>
        </w:r>
        <w:r>
          <w:rPr>
            <w:color w:val="000000"/>
            <w:spacing w:val="0"/>
            <w:w w:val="100"/>
            <w:position w:val="0"/>
            <w:sz w:val="24"/>
            <w:szCs w:val="24"/>
          </w:rPr>
          <w:tab/>
        </w:r>
        <w:r>
          <w:rPr>
            <w:color w:val="000000"/>
            <w:spacing w:val="0"/>
            <w:w w:val="100"/>
            <w:position w:val="0"/>
            <w:sz w:val="24"/>
            <w:szCs w:val="24"/>
          </w:rPr>
          <w:t>28</w:t>
        </w:r>
      </w:hyperlink>
    </w:p>
    <w:p>
      <w:pPr>
        <w:pStyle w:val="Style24"/>
        <w:keepNext w:val="0"/>
        <w:keepLines w:val="0"/>
        <w:widowControl w:val="0"/>
        <w:shd w:val="clear" w:color="auto" w:fill="auto"/>
        <w:tabs>
          <w:tab w:leader="dot" w:pos="9612" w:val="right"/>
        </w:tabs>
        <w:bidi w:val="0"/>
        <w:spacing w:before="0" w:line="240" w:lineRule="auto"/>
        <w:ind w:left="0" w:right="0" w:firstLine="0"/>
        <w:jc w:val="both"/>
      </w:pPr>
      <w:hyperlink w:anchor="bookmark225"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color w:val="000000"/>
            <w:spacing w:val="0"/>
            <w:w w:val="100"/>
            <w:position w:val="0"/>
            <w:sz w:val="24"/>
            <w:szCs w:val="24"/>
          </w:rPr>
          <w:t>31</w:t>
        </w:r>
      </w:hyperlink>
    </w:p>
    <w:p>
      <w:pPr>
        <w:pStyle w:val="Style24"/>
        <w:keepNext w:val="0"/>
        <w:keepLines w:val="0"/>
        <w:widowControl w:val="0"/>
        <w:shd w:val="clear" w:color="auto" w:fill="auto"/>
        <w:tabs>
          <w:tab w:leader="dot" w:pos="9612" w:val="right"/>
        </w:tabs>
        <w:bidi w:val="0"/>
        <w:spacing w:before="0" w:line="240" w:lineRule="auto"/>
        <w:ind w:left="0" w:right="0" w:firstLine="0"/>
        <w:jc w:val="both"/>
      </w:pPr>
      <w:hyperlink w:anchor="bookmark258" w:tooltip="Current Document">
        <w:r>
          <w:rPr>
            <w:color w:val="000000"/>
            <w:spacing w:val="0"/>
            <w:w w:val="100"/>
            <w:position w:val="0"/>
            <w:sz w:val="24"/>
            <w:szCs w:val="24"/>
          </w:rPr>
          <w:t>第七节董事、监事、高级管理人员和员工情况</w:t>
        </w:r>
        <w:r>
          <w:rPr>
            <w:color w:val="000000"/>
            <w:spacing w:val="0"/>
            <w:w w:val="100"/>
            <w:position w:val="0"/>
            <w:sz w:val="24"/>
            <w:szCs w:val="24"/>
          </w:rPr>
          <w:tab/>
        </w:r>
        <w:r>
          <w:rPr>
            <w:color w:val="000000"/>
            <w:spacing w:val="0"/>
            <w:w w:val="100"/>
            <w:position w:val="0"/>
            <w:sz w:val="24"/>
            <w:szCs w:val="24"/>
          </w:rPr>
          <w:t>36</w:t>
        </w:r>
      </w:hyperlink>
    </w:p>
    <w:p>
      <w:pPr>
        <w:pStyle w:val="Style24"/>
        <w:keepNext w:val="0"/>
        <w:keepLines w:val="0"/>
        <w:widowControl w:val="0"/>
        <w:shd w:val="clear" w:color="auto" w:fill="auto"/>
        <w:tabs>
          <w:tab w:leader="dot" w:pos="9612" w:val="right"/>
        </w:tabs>
        <w:bidi w:val="0"/>
        <w:spacing w:before="0" w:line="240" w:lineRule="auto"/>
        <w:ind w:left="0" w:right="0" w:firstLine="0"/>
        <w:jc w:val="both"/>
      </w:pPr>
      <w:hyperlink w:anchor="bookmark309" w:tooltip="Current Document">
        <w:r>
          <w:rPr>
            <w:color w:val="000000"/>
            <w:spacing w:val="0"/>
            <w:w w:val="100"/>
            <w:position w:val="0"/>
            <w:sz w:val="24"/>
            <w:szCs w:val="24"/>
          </w:rPr>
          <w:t>第八节公司治理</w:t>
        </w:r>
        <w:r>
          <w:rPr>
            <w:color w:val="000000"/>
            <w:spacing w:val="0"/>
            <w:w w:val="100"/>
            <w:position w:val="0"/>
            <w:sz w:val="24"/>
            <w:szCs w:val="24"/>
          </w:rPr>
          <w:tab/>
        </w:r>
        <w:r>
          <w:rPr>
            <w:color w:val="000000"/>
            <w:spacing w:val="0"/>
            <w:w w:val="100"/>
            <w:position w:val="0"/>
            <w:sz w:val="24"/>
            <w:szCs w:val="24"/>
          </w:rPr>
          <w:t>41</w:t>
        </w:r>
      </w:hyperlink>
    </w:p>
    <w:p>
      <w:pPr>
        <w:pStyle w:val="Style24"/>
        <w:keepNext w:val="0"/>
        <w:keepLines w:val="0"/>
        <w:widowControl w:val="0"/>
        <w:shd w:val="clear" w:color="auto" w:fill="auto"/>
        <w:tabs>
          <w:tab w:leader="dot" w:pos="9612" w:val="right"/>
        </w:tabs>
        <w:bidi w:val="0"/>
        <w:spacing w:before="0" w:line="240" w:lineRule="auto"/>
        <w:ind w:left="0" w:right="0" w:firstLine="0"/>
        <w:jc w:val="both"/>
      </w:pPr>
      <w:hyperlink w:anchor="bookmark375" w:tooltip="Current Document">
        <w:r>
          <w:rPr>
            <w:color w:val="000000"/>
            <w:spacing w:val="0"/>
            <w:w w:val="100"/>
            <w:position w:val="0"/>
            <w:sz w:val="24"/>
            <w:szCs w:val="24"/>
          </w:rPr>
          <w:t>第九节内部控制</w:t>
        </w:r>
        <w:r>
          <w:rPr>
            <w:color w:val="000000"/>
            <w:spacing w:val="0"/>
            <w:w w:val="100"/>
            <w:position w:val="0"/>
            <w:sz w:val="24"/>
            <w:szCs w:val="24"/>
          </w:rPr>
          <w:tab/>
        </w:r>
        <w:r>
          <w:rPr>
            <w:color w:val="000000"/>
            <w:spacing w:val="0"/>
            <w:w w:val="100"/>
            <w:position w:val="0"/>
            <w:sz w:val="24"/>
            <w:szCs w:val="24"/>
          </w:rPr>
          <w:t>46</w:t>
        </w:r>
      </w:hyperlink>
    </w:p>
    <w:p>
      <w:pPr>
        <w:pStyle w:val="Style24"/>
        <w:keepNext w:val="0"/>
        <w:keepLines w:val="0"/>
        <w:widowControl w:val="0"/>
        <w:shd w:val="clear" w:color="auto" w:fill="auto"/>
        <w:tabs>
          <w:tab w:leader="dot" w:pos="9612" w:val="right"/>
        </w:tabs>
        <w:bidi w:val="0"/>
        <w:spacing w:before="0" w:line="240" w:lineRule="auto"/>
        <w:ind w:left="0" w:right="0" w:firstLine="0"/>
        <w:jc w:val="both"/>
      </w:pPr>
      <w:hyperlink w:anchor="bookmark407" w:tooltip="Current Document">
        <w:r>
          <w:rPr>
            <w:color w:val="000000"/>
            <w:spacing w:val="0"/>
            <w:w w:val="100"/>
            <w:position w:val="0"/>
            <w:sz w:val="24"/>
            <w:szCs w:val="24"/>
          </w:rPr>
          <w:t>第十节财务报告</w:t>
        </w:r>
        <w:r>
          <w:rPr>
            <w:color w:val="000000"/>
            <w:spacing w:val="0"/>
            <w:w w:val="100"/>
            <w:position w:val="0"/>
            <w:sz w:val="24"/>
            <w:szCs w:val="24"/>
          </w:rPr>
          <w:tab/>
        </w:r>
        <w:r>
          <w:rPr>
            <w:color w:val="000000"/>
            <w:spacing w:val="0"/>
            <w:w w:val="100"/>
            <w:position w:val="0"/>
            <w:sz w:val="24"/>
            <w:szCs w:val="24"/>
          </w:rPr>
          <w:t>49</w:t>
        </w:r>
      </w:hyperlink>
    </w:p>
    <w:p>
      <w:pPr>
        <w:pStyle w:val="Style24"/>
        <w:keepNext w:val="0"/>
        <w:keepLines w:val="0"/>
        <w:widowControl w:val="0"/>
        <w:shd w:val="clear" w:color="auto" w:fill="auto"/>
        <w:tabs>
          <w:tab w:leader="dot" w:pos="9612" w:val="right"/>
        </w:tabs>
        <w:bidi w:val="0"/>
        <w:spacing w:before="0" w:line="240" w:lineRule="auto"/>
        <w:ind w:left="0" w:right="0" w:firstLine="0"/>
        <w:jc w:val="both"/>
      </w:pPr>
      <w:hyperlink w:anchor="bookmark1260" w:tooltip="Current Document">
        <w:r>
          <w:rPr>
            <w:color w:val="000000"/>
            <w:spacing w:val="0"/>
            <w:w w:val="100"/>
            <w:position w:val="0"/>
            <w:sz w:val="24"/>
            <w:szCs w:val="24"/>
          </w:rPr>
          <w:t>第十一节 备查文件目录</w:t>
        </w:r>
        <w:r>
          <w:rPr>
            <w:color w:val="000000"/>
            <w:spacing w:val="0"/>
            <w:w w:val="100"/>
            <w:position w:val="0"/>
            <w:sz w:val="24"/>
            <w:szCs w:val="24"/>
          </w:rPr>
          <w:tab/>
        </w:r>
        <w:r>
          <w:rPr>
            <w:color w:val="000000"/>
            <w:spacing w:val="0"/>
            <w:w w:val="100"/>
            <w:position w:val="0"/>
            <w:sz w:val="24"/>
            <w:szCs w:val="24"/>
          </w:rPr>
          <w:t>128</w:t>
        </w:r>
      </w:hyperlink>
      <w:r>
        <w:br w:type="page"/>
      </w:r>
      <w:r>
        <w:fldChar w:fldCharType="end"/>
      </w:r>
    </w:p>
    <w:p>
      <w:pPr>
        <w:pStyle w:val="Style17"/>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公司、久其、久其软件</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北京久其软件股份有限公司。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海南久其</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海南久其云计算科技有限公司。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北邮中望</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北京北邮中望信息科技有限责任公司，系公司控股子公司。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DNA</w:t>
            </w:r>
            <w:r>
              <w:rPr>
                <w:color w:val="000000"/>
                <w:spacing w:val="0"/>
                <w:w w:val="100"/>
                <w:position w:val="0"/>
              </w:rPr>
              <w:t>、</w:t>
            </w:r>
            <w:r>
              <w:rPr>
                <w:rFonts w:ascii="Times New Roman" w:eastAsia="Times New Roman" w:hAnsi="Times New Roman" w:cs="Times New Roman"/>
                <w:color w:val="000000"/>
                <w:spacing w:val="0"/>
                <w:w w:val="100"/>
                <w:position w:val="0"/>
              </w:rPr>
              <w:t>D&amp;A</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Development and Application</w:t>
            </w:r>
            <w:r>
              <w:rPr>
                <w:color w:val="000000"/>
                <w:spacing w:val="0"/>
                <w:w w:val="100"/>
                <w:position w:val="0"/>
              </w:rPr>
              <w:t>研发与业务生成平台，是公司自主研发 的下一代产品开发平台，用于构建各种业务系统和解决方案的基础性 研发平台。</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BI</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Business Intelligence</w:t>
            </w:r>
            <w:r>
              <w:rPr>
                <w:color w:val="000000"/>
                <w:spacing w:val="0"/>
                <w:w w:val="100"/>
                <w:position w:val="0"/>
              </w:rPr>
              <w:t>商业智能，是基于数据仓库技术的决策支持系 统，将分散数据整合、转化和提升，并运用可视化技术以快捷直观的 方式展现分析结果，为管理决策层提供量化依据。</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GMS</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Government Management Service</w:t>
            </w:r>
            <w:r>
              <w:rPr>
                <w:color w:val="000000"/>
                <w:spacing w:val="0"/>
                <w:w w:val="100"/>
                <w:position w:val="0"/>
              </w:rPr>
              <w:t>政府监管服务，是面向中央和地方政 府主管部门提供的贯穿部门预算、预算执行、财务核算、资产管理、 部门决算、财务监管等完整的公共财政业务线的信息管理监管服务。</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GSI</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Government Statistics Information</w:t>
            </w:r>
            <w:r>
              <w:rPr>
                <w:color w:val="000000"/>
                <w:spacing w:val="0"/>
                <w:w w:val="100"/>
                <w:position w:val="0"/>
              </w:rPr>
              <w:t>政府统计信息化，是面向政府部门 构建的集政府统计元数据管理、统计体系定义、数据采集填报、数据 审核汇总、数据查询、决策分析、预测分析、动态预警等功能为一体 的统计综合数据管理信息化平台。</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GAMS</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Government Assets Management System</w:t>
            </w:r>
            <w:r>
              <w:rPr>
                <w:color w:val="000000"/>
                <w:spacing w:val="0"/>
                <w:w w:val="100"/>
                <w:position w:val="0"/>
              </w:rPr>
              <w:t>行政事业单位资产管理系统， 是以精细化管理、集成应用、动态监管为设计理念，面向行政事业单 位构建的集决策支持、动态预警、流程控制、日常管理为一体的资产 管理信息化平台。</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GMC</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Group Management Control</w:t>
            </w:r>
            <w:r>
              <w:rPr>
                <w:color w:val="000000"/>
                <w:spacing w:val="0"/>
                <w:w w:val="100"/>
                <w:position w:val="0"/>
              </w:rPr>
              <w:t>集团管控，是面向大中型企业集团构建的 针对集团型企业模式和特点的战略、运营、财务和风险四大管控领域 的产品及解决方案，重点产品涵盖全面预算、集中核算、集团资产管 理和费控等。</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FSSC</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rPr>
              <w:t>Finance Shared Service Center</w:t>
            </w:r>
            <w:r>
              <w:rPr>
                <w:color w:val="000000"/>
                <w:spacing w:val="0"/>
                <w:w w:val="100"/>
                <w:position w:val="0"/>
              </w:rPr>
              <w:t>财务共享服务中心，财务共享服务是一 种创新的作业管理模式，它对企业财务业务流程再造与标准化，通过 共享服务中心集中统一处理，达到降低成本、提升客户满意度、改进 服务质量和提升业务处理效率的目的。</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速速报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基于云平台构建的</w:t>
            </w:r>
            <w:r>
              <w:rPr>
                <w:rFonts w:ascii="Times New Roman" w:eastAsia="Times New Roman" w:hAnsi="Times New Roman" w:cs="Times New Roman"/>
                <w:color w:val="000000"/>
                <w:spacing w:val="0"/>
                <w:w w:val="100"/>
                <w:position w:val="0"/>
              </w:rPr>
              <w:t>SaaS</w:t>
            </w:r>
            <w:r>
              <w:rPr>
                <w:color w:val="000000"/>
                <w:spacing w:val="0"/>
                <w:w w:val="100"/>
                <w:position w:val="0"/>
              </w:rPr>
              <w:t>模式综合数据采集分析系统，以</w:t>
            </w:r>
            <w:r>
              <w:rPr>
                <w:rFonts w:ascii="Times New Roman" w:eastAsia="Times New Roman" w:hAnsi="Times New Roman" w:cs="Times New Roman"/>
                <w:color w:val="000000"/>
                <w:spacing w:val="0"/>
                <w:w w:val="100"/>
                <w:position w:val="0"/>
              </w:rPr>
              <w:t>Excel</w:t>
            </w:r>
            <w:r>
              <w:rPr>
                <w:color w:val="000000"/>
                <w:spacing w:val="0"/>
                <w:w w:val="100"/>
                <w:position w:val="0"/>
              </w:rPr>
              <w:t xml:space="preserve">报表、 </w:t>
            </w:r>
            <w:r>
              <w:rPr>
                <w:rFonts w:ascii="Times New Roman" w:eastAsia="Times New Roman" w:hAnsi="Times New Roman" w:cs="Times New Roman"/>
                <w:color w:val="000000"/>
                <w:spacing w:val="0"/>
                <w:w w:val="100"/>
                <w:position w:val="0"/>
              </w:rPr>
              <w:t>Word</w:t>
            </w:r>
            <w:r>
              <w:rPr>
                <w:color w:val="000000"/>
                <w:spacing w:val="0"/>
                <w:w w:val="100"/>
                <w:position w:val="0"/>
              </w:rPr>
              <w:t>文档、调查问卷、附报文档等形式进行数据采集，并提供导航 式查询、多维综合查询、统计分析表、专家分析报告等分析工具。</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哒咔考勤</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基于位置云服务的一款手机考勤应用产品，采用网络和</w:t>
            </w:r>
            <w:r>
              <w:rPr>
                <w:rFonts w:ascii="Times New Roman" w:eastAsia="Times New Roman" w:hAnsi="Times New Roman" w:cs="Times New Roman"/>
                <w:color w:val="000000"/>
                <w:spacing w:val="0"/>
                <w:w w:val="100"/>
                <w:position w:val="0"/>
              </w:rPr>
              <w:t>GPS</w:t>
            </w:r>
            <w:r>
              <w:rPr>
                <w:color w:val="000000"/>
                <w:spacing w:val="0"/>
                <w:w w:val="100"/>
                <w:position w:val="0"/>
              </w:rPr>
              <w:t>定位技 术，实现企业内外勤人员、分支机构人员的考勤、请假等管理。</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空中物流港</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利用互联网、移动通信、</w:t>
            </w:r>
            <w:r>
              <w:rPr>
                <w:color w:val="000000"/>
                <w:spacing w:val="0"/>
                <w:w w:val="100"/>
                <w:position w:val="0"/>
                <w:sz w:val="18"/>
                <w:szCs w:val="18"/>
              </w:rPr>
              <w:t>GIS</w:t>
            </w:r>
            <w:r>
              <w:rPr>
                <w:color w:val="000000"/>
                <w:spacing w:val="0"/>
                <w:w w:val="100"/>
                <w:position w:val="0"/>
              </w:rPr>
              <w:t>、</w:t>
            </w:r>
            <w:r>
              <w:rPr>
                <w:color w:val="000000"/>
                <w:spacing w:val="0"/>
                <w:w w:val="100"/>
                <w:position w:val="0"/>
                <w:sz w:val="18"/>
                <w:szCs w:val="18"/>
              </w:rPr>
              <w:t>LBS</w:t>
            </w:r>
            <w:r>
              <w:rPr>
                <w:color w:val="000000"/>
                <w:spacing w:val="0"/>
                <w:w w:val="100"/>
                <w:position w:val="0"/>
              </w:rPr>
              <w:t>等技术构建的交通运输物流公共信</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息平台，可提高传统配货交易模式的效率，实现公路运输资源的可视 化管理，打造公路运输行业的诚信体系以及建设公路运输的智能交易 平台。</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快递</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基于位置云服务推出的一款面向快递企业与快递服务使用者的调度 辅助系统，旨在提高普通民众收发快递的便捷性，以及快递公司资源 的调度效率。</w:t>
            </w:r>
          </w:p>
        </w:tc>
      </w:tr>
    </w:tbl>
    <w:p>
      <w:pPr>
        <w:sectPr>
          <w:footnotePr>
            <w:pos w:val="pageBottom"/>
            <w:numFmt w:val="decimal"/>
            <w:numRestart w:val="continuous"/>
          </w:footnotePr>
          <w:pgSz w:w="11900" w:h="16840"/>
          <w:pgMar w:top="1441" w:right="1139" w:bottom="1479" w:left="1089" w:header="0" w:footer="3" w:gutter="0"/>
          <w:cols w:space="720"/>
          <w:noEndnote/>
          <w:rtlGutter w:val="0"/>
          <w:docGrid w:linePitch="360"/>
        </w:sectPr>
      </w:pPr>
    </w:p>
    <w:p>
      <w:pPr>
        <w:pStyle w:val="Style17"/>
        <w:keepNext/>
        <w:keepLines/>
        <w:widowControl w:val="0"/>
        <w:shd w:val="clear" w:color="auto" w:fill="auto"/>
        <w:bidi w:val="0"/>
        <w:spacing w:before="0" w:after="80" w:line="240" w:lineRule="auto"/>
        <w:ind w:left="0" w:right="0" w:firstLine="0"/>
        <w:jc w:val="center"/>
      </w:pPr>
      <w:bookmarkStart w:id="12" w:name="bookmark12"/>
      <w:bookmarkStart w:id="13" w:name="bookmark13"/>
      <w:bookmarkStart w:id="14" w:name="bookmark14"/>
      <w:r>
        <w:rPr>
          <w:color w:val="000000"/>
          <w:spacing w:val="0"/>
          <w:w w:val="100"/>
          <w:position w:val="0"/>
        </w:rPr>
        <w:t>重大风险提示</w:t>
      </w:r>
      <w:bookmarkEnd w:id="12"/>
      <w:bookmarkEnd w:id="13"/>
      <w:bookmarkEnd w:id="14"/>
    </w:p>
    <w:p>
      <w:pPr>
        <w:pStyle w:val="Style19"/>
        <w:keepNext w:val="0"/>
        <w:keepLines w:val="0"/>
        <w:widowControl w:val="0"/>
        <w:shd w:val="clear" w:color="auto" w:fill="auto"/>
        <w:bidi w:val="0"/>
        <w:spacing w:before="0" w:after="0" w:line="624" w:lineRule="exact"/>
        <w:ind w:left="0" w:right="0"/>
        <w:jc w:val="both"/>
        <w:sectPr>
          <w:footnotePr>
            <w:pos w:val="pageBottom"/>
            <w:numFmt w:val="decimal"/>
            <w:numRestart w:val="continuous"/>
          </w:footnotePr>
          <w:pgSz w:w="11900" w:h="16840"/>
          <w:pgMar w:top="1930" w:right="1112" w:bottom="1930" w:left="1107" w:header="0" w:footer="3" w:gutter="0"/>
          <w:cols w:space="720"/>
          <w:noEndnote/>
          <w:rtlGutter w:val="0"/>
          <w:docGrid w:linePitch="360"/>
        </w:sectPr>
      </w:pPr>
      <w:r>
        <w:rPr>
          <w:color w:val="000000"/>
          <w:spacing w:val="0"/>
          <w:w w:val="100"/>
          <w:position w:val="0"/>
        </w:rPr>
        <w:t>公司目前尚不存在影响公司正常经营的重大风险。公司日常经营所涉及的 风险因素主要包括市场风险、人力资源风险、业绩季节性波动风险等，相关风 险因素分析已在本报告</w:t>
      </w:r>
      <w:r>
        <w:rPr>
          <w:rFonts w:ascii="Times New Roman" w:eastAsia="Times New Roman" w:hAnsi="Times New Roman" w:cs="Times New Roman"/>
          <w:color w:val="000000"/>
          <w:spacing w:val="0"/>
          <w:w w:val="100"/>
          <w:position w:val="0"/>
        </w:rPr>
        <w:t>“</w:t>
      </w:r>
      <w:r>
        <w:rPr>
          <w:color w:val="000000"/>
          <w:spacing w:val="0"/>
          <w:w w:val="100"/>
          <w:position w:val="0"/>
        </w:rPr>
        <w:t>第四节董事会报告</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部分详 细阐述，敬请广大投资者关注并注意投资风险。</w:t>
      </w:r>
    </w:p>
    <w:p>
      <w:pPr>
        <w:pStyle w:val="Style17"/>
        <w:keepNext/>
        <w:keepLines/>
        <w:widowControl w:val="0"/>
        <w:shd w:val="clear" w:color="auto" w:fill="auto"/>
        <w:bidi w:val="0"/>
        <w:spacing w:before="400" w:after="560" w:line="240" w:lineRule="auto"/>
        <w:ind w:left="0" w:right="0" w:firstLine="0"/>
        <w:jc w:val="center"/>
      </w:pPr>
      <w:bookmarkStart w:id="15" w:name="bookmark15"/>
      <w:bookmarkStart w:id="16" w:name="bookmark16"/>
      <w:bookmarkStart w:id="17" w:name="bookmark17"/>
      <w:r>
        <w:rPr>
          <w:color w:val="000000"/>
          <w:spacing w:val="0"/>
          <w:w w:val="100"/>
          <w:position w:val="0"/>
        </w:rPr>
        <w:t>第二节公司简介</w:t>
      </w:r>
      <w:bookmarkEnd w:id="15"/>
      <w:bookmarkEnd w:id="16"/>
      <w:bookmarkEnd w:id="17"/>
    </w:p>
    <w:p>
      <w:pPr>
        <w:pStyle w:val="Style31"/>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一</w:t>
      </w:r>
      <w:bookmarkEnd w:id="20"/>
      <w:r>
        <w:rPr>
          <w:color w:val="000000"/>
          <w:spacing w:val="0"/>
          <w:w w:val="100"/>
          <w:position w:val="0"/>
          <w:sz w:val="24"/>
          <w:szCs w:val="24"/>
        </w:rPr>
        <w:t>、公司信息</w:t>
      </w:r>
      <w:bookmarkEnd w:id="18"/>
      <w:bookmarkEnd w:id="19"/>
      <w:bookmarkEnd w:id="21"/>
    </w:p>
    <w:tbl>
      <w:tblPr>
        <w:tblOverlap w:val="never"/>
        <w:jc w:val="center"/>
        <w:tblLayout w:type="fixed"/>
      </w:tblPr>
      <w:tblGrid>
        <w:gridCol w:w="2285"/>
        <w:gridCol w:w="2952"/>
        <w:gridCol w:w="2160"/>
        <w:gridCol w:w="218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久其软件</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002279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久其软件</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Beijing Join-Cheer Software Co., Ltd.</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Join-Cheer</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北京市海淀区大慧寺路</w:t>
            </w:r>
            <w:r>
              <w:rPr>
                <w:rFonts w:ascii="Times New Roman" w:eastAsia="Times New Roman" w:hAnsi="Times New Roman" w:cs="Times New Roman"/>
                <w:color w:val="000000"/>
                <w:spacing w:val="0"/>
                <w:w w:val="100"/>
                <w:position w:val="0"/>
              </w:rPr>
              <w:t>5</w:t>
            </w:r>
            <w:r>
              <w:rPr>
                <w:color w:val="000000"/>
                <w:spacing w:val="0"/>
                <w:w w:val="100"/>
                <w:position w:val="0"/>
              </w:rPr>
              <w:t>号</w:t>
            </w:r>
            <w:r>
              <w:rPr>
                <w:rFonts w:ascii="Times New Roman" w:eastAsia="Times New Roman" w:hAnsi="Times New Roman" w:cs="Times New Roman"/>
                <w:color w:val="000000"/>
                <w:spacing w:val="0"/>
                <w:w w:val="100"/>
                <w:position w:val="0"/>
              </w:rPr>
              <w:t>3</w:t>
            </w:r>
            <w:r>
              <w:rPr>
                <w:color w:val="000000"/>
                <w:spacing w:val="0"/>
                <w:w w:val="100"/>
                <w:position w:val="0"/>
              </w:rPr>
              <w:t>号楼</w:t>
            </w:r>
            <w:r>
              <w:rPr>
                <w:rFonts w:ascii="Times New Roman" w:eastAsia="Times New Roman" w:hAnsi="Times New Roman" w:cs="Times New Roman"/>
                <w:color w:val="000000"/>
                <w:spacing w:val="0"/>
                <w:w w:val="100"/>
                <w:position w:val="0"/>
              </w:rPr>
              <w:t>3</w:t>
            </w:r>
            <w:r>
              <w:rPr>
                <w:color w:val="000000"/>
                <w:spacing w:val="0"/>
                <w:w w:val="100"/>
                <w:position w:val="0"/>
              </w:rPr>
              <w:t>层</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100081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北京经济技术开发区西环中路</w:t>
            </w:r>
            <w:r>
              <w:rPr>
                <w:rFonts w:ascii="Times New Roman" w:eastAsia="Times New Roman" w:hAnsi="Times New Roman" w:cs="Times New Roman"/>
                <w:color w:val="000000"/>
                <w:spacing w:val="0"/>
                <w:w w:val="100"/>
                <w:position w:val="0"/>
              </w:rPr>
              <w:t>6</w:t>
            </w:r>
            <w:r>
              <w:rPr>
                <w:color w:val="000000"/>
                <w:spacing w:val="0"/>
                <w:w w:val="100"/>
                <w:position w:val="0"/>
              </w:rPr>
              <w:t>号</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100176</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"http://www.jiuqi.com.cn" </w:instrText>
            </w:r>
            <w:r>
              <w:fldChar w:fldCharType="separate"/>
            </w:r>
            <w:r>
              <w:rPr>
                <w:rFonts w:ascii="Times New Roman" w:eastAsia="Times New Roman" w:hAnsi="Times New Roman" w:cs="Times New Roman"/>
                <w:color w:val="000000"/>
                <w:spacing w:val="0"/>
                <w:w w:val="100"/>
                <w:position w:val="0"/>
              </w:rPr>
              <w:t>www.jiuqi.com.cn</w:t>
            </w:r>
            <w:r>
              <w:fldChar w:fldCharType="end"/>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"mailto:002279@jiuqi.com.cn" </w:instrText>
            </w:r>
            <w:r>
              <w:fldChar w:fldCharType="separate"/>
            </w:r>
            <w:r>
              <w:rPr>
                <w:rFonts w:ascii="Times New Roman" w:eastAsia="Times New Roman" w:hAnsi="Times New Roman" w:cs="Times New Roman"/>
                <w:color w:val="000000"/>
                <w:spacing w:val="0"/>
                <w:w w:val="100"/>
                <w:position w:val="0"/>
              </w:rPr>
              <w:t>002279@jiuqi.com.cn</w:t>
            </w:r>
            <w:r>
              <w:fldChar w:fldCharType="end"/>
            </w:r>
          </w:p>
        </w:tc>
      </w:tr>
    </w:tbl>
    <w:p>
      <w:pPr>
        <w:widowControl w:val="0"/>
        <w:spacing w:after="299" w:line="1" w:lineRule="exact"/>
      </w:pPr>
    </w:p>
    <w:p>
      <w:pPr>
        <w:pStyle w:val="Style31"/>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二</w:t>
      </w:r>
      <w:bookmarkEnd w:id="24"/>
      <w:r>
        <w:rPr>
          <w:color w:val="000000"/>
          <w:spacing w:val="0"/>
          <w:w w:val="100"/>
          <w:position w:val="0"/>
          <w:sz w:val="24"/>
          <w:szCs w:val="24"/>
        </w:rPr>
        <w:t>、联系人和联系方式</w:t>
      </w:r>
      <w:bookmarkEnd w:id="22"/>
      <w:bookmarkEnd w:id="23"/>
      <w:bookmarkEnd w:id="25"/>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刘文佳</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北京经济技术开发区西环中路</w:t>
            </w:r>
            <w:r>
              <w:rPr>
                <w:rFonts w:ascii="Times New Roman" w:eastAsia="Times New Roman" w:hAnsi="Times New Roman" w:cs="Times New Roman"/>
                <w:color w:val="000000"/>
                <w:spacing w:val="0"/>
                <w:w w:val="100"/>
                <w:position w:val="0"/>
              </w:rPr>
              <w:t>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北京经济技术开发区西环中路</w:t>
            </w:r>
            <w:r>
              <w:rPr>
                <w:rFonts w:ascii="Times New Roman" w:eastAsia="Times New Roman" w:hAnsi="Times New Roman" w:cs="Times New Roman"/>
                <w:color w:val="000000"/>
                <w:spacing w:val="0"/>
                <w:w w:val="100"/>
                <w:position w:val="0"/>
              </w:rPr>
              <w:t>6</w:t>
            </w:r>
            <w:r>
              <w:rPr>
                <w:color w:val="000000"/>
                <w:spacing w:val="0"/>
                <w:w w:val="100"/>
                <w:position w:val="0"/>
              </w:rPr>
              <w:t>号</w:t>
            </w:r>
          </w:p>
        </w:tc>
      </w:tr>
      <w:tr>
        <w:trPr>
          <w:trHeight w:val="403"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010-58022988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010-88551199</w:t>
            </w:r>
          </w:p>
        </w:tc>
      </w:tr>
      <w:tr>
        <w:trPr>
          <w:trHeight w:val="403"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010-58022897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010-58022897</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"mailto:whx@jiuqi.com.cn" </w:instrText>
            </w:r>
            <w:r>
              <w:fldChar w:fldCharType="separate"/>
            </w:r>
            <w:r>
              <w:rPr>
                <w:rFonts w:ascii="Times New Roman" w:eastAsia="Times New Roman" w:hAnsi="Times New Roman" w:cs="Times New Roman"/>
                <w:color w:val="000000"/>
                <w:spacing w:val="0"/>
                <w:w w:val="100"/>
                <w:position w:val="0"/>
              </w:rPr>
              <w:t>whx@jiuqi.com.cn</w:t>
            </w:r>
            <w:r>
              <w:fldChar w:fldCharType="end"/>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"mailto:liuwenjia@jiuqi.com.cn" </w:instrText>
            </w:r>
            <w:r>
              <w:fldChar w:fldCharType="separate"/>
            </w:r>
            <w:r>
              <w:rPr>
                <w:rFonts w:ascii="Times New Roman" w:eastAsia="Times New Roman" w:hAnsi="Times New Roman" w:cs="Times New Roman"/>
                <w:color w:val="000000"/>
                <w:spacing w:val="0"/>
                <w:w w:val="100"/>
                <w:position w:val="0"/>
              </w:rPr>
              <w:t>liuwenjia@jiuqi.com.cn</w:t>
            </w:r>
            <w:r>
              <w:fldChar w:fldCharType="end"/>
            </w:r>
          </w:p>
        </w:tc>
      </w:tr>
    </w:tbl>
    <w:p>
      <w:pPr>
        <w:widowControl w:val="0"/>
        <w:spacing w:after="299" w:line="1" w:lineRule="exact"/>
      </w:pPr>
    </w:p>
    <w:p>
      <w:pPr>
        <w:pStyle w:val="Style31"/>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三</w:t>
      </w:r>
      <w:bookmarkEnd w:id="28"/>
      <w:r>
        <w:rPr>
          <w:color w:val="000000"/>
          <w:spacing w:val="0"/>
          <w:w w:val="100"/>
          <w:position w:val="0"/>
          <w:sz w:val="24"/>
          <w:szCs w:val="24"/>
        </w:rPr>
        <w:t>、信息披露及备置地点</w:t>
      </w:r>
      <w:bookmarkEnd w:id="26"/>
      <w:bookmarkEnd w:id="27"/>
      <w:bookmarkEnd w:id="29"/>
    </w:p>
    <w:tbl>
      <w:tblPr>
        <w:tblOverlap w:val="never"/>
        <w:jc w:val="center"/>
        <w:tblLayout w:type="fixed"/>
      </w:tblPr>
      <w:tblGrid>
        <w:gridCol w:w="3730"/>
        <w:gridCol w:w="5851"/>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董事会办公室</w:t>
            </w:r>
          </w:p>
        </w:tc>
      </w:tr>
    </w:tbl>
    <w:p>
      <w:pPr>
        <w:spacing w:lineRule="exact" w:line="1"/>
        <w:rPr>
          <w:sz w:val="2"/>
          <w:szCs w:val="2"/>
        </w:rPr>
      </w:pPr>
      <w:r>
        <w:br w:type="page"/>
      </w:r>
    </w:p>
    <w:p>
      <w:pPr>
        <w:pStyle w:val="Style31"/>
        <w:keepNext/>
        <w:keepLines/>
        <w:widowControl w:val="0"/>
        <w:shd w:val="clear" w:color="auto" w:fill="auto"/>
        <w:bidi w:val="0"/>
        <w:spacing w:before="0" w:after="32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四</w:t>
      </w:r>
      <w:bookmarkEnd w:id="32"/>
      <w:r>
        <w:rPr>
          <w:color w:val="000000"/>
          <w:spacing w:val="0"/>
          <w:w w:val="100"/>
          <w:position w:val="0"/>
          <w:sz w:val="24"/>
          <w:szCs w:val="24"/>
        </w:rPr>
        <w:t>、注册变更情况</w:t>
      </w:r>
      <w:bookmarkEnd w:id="30"/>
      <w:bookmarkEnd w:id="31"/>
      <w:bookmarkEnd w:id="33"/>
    </w:p>
    <w:tbl>
      <w:tblPr>
        <w:tblOverlap w:val="never"/>
        <w:jc w:val="center"/>
        <w:tblLayout w:type="fixed"/>
      </w:tblPr>
      <w:tblGrid>
        <w:gridCol w:w="1598"/>
        <w:gridCol w:w="1594"/>
        <w:gridCol w:w="1594"/>
        <w:gridCol w:w="1594"/>
        <w:gridCol w:w="1594"/>
        <w:gridCol w:w="160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企业法人营业执照</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北京市工商行政管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1101082079853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110108717724268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71772426-8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北京市工商行政管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110000000798536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110108717724268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71772426-8</w:t>
            </w:r>
          </w:p>
        </w:tc>
      </w:tr>
      <w:tr>
        <w:trPr>
          <w:trHeight w:val="710"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五</w:t>
      </w:r>
      <w:bookmarkEnd w:id="36"/>
      <w:r>
        <w:rPr>
          <w:color w:val="000000"/>
          <w:spacing w:val="0"/>
          <w:w w:val="100"/>
          <w:position w:val="0"/>
          <w:sz w:val="24"/>
          <w:szCs w:val="24"/>
        </w:rPr>
        <w:t>、其他有关资料</w:t>
      </w:r>
      <w:bookmarkEnd w:id="34"/>
      <w:bookmarkEnd w:id="35"/>
      <w:bookmarkEnd w:id="37"/>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北京市西城区北三环中路</w:t>
            </w:r>
            <w:r>
              <w:rPr>
                <w:rFonts w:ascii="Times New Roman" w:eastAsia="Times New Roman" w:hAnsi="Times New Roman" w:cs="Times New Roman"/>
                <w:color w:val="000000"/>
                <w:spacing w:val="0"/>
                <w:w w:val="100"/>
                <w:position w:val="0"/>
              </w:rPr>
              <w:t>29</w:t>
            </w:r>
            <w:r>
              <w:rPr>
                <w:color w:val="000000"/>
                <w:spacing w:val="0"/>
                <w:w w:val="100"/>
                <w:position w:val="0"/>
              </w:rPr>
              <w:t>号院茅台大厦</w:t>
            </w:r>
            <w:r>
              <w:rPr>
                <w:rFonts w:ascii="Times New Roman" w:eastAsia="Times New Roman" w:hAnsi="Times New Roman" w:cs="Times New Roman"/>
                <w:color w:val="000000"/>
                <w:spacing w:val="0"/>
                <w:w w:val="100"/>
                <w:position w:val="0"/>
              </w:rPr>
              <w:t>28</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陈勇波、隋振涛</w:t>
            </w:r>
          </w:p>
        </w:tc>
      </w:tr>
    </w:tbl>
    <w:p>
      <w:pPr>
        <w:pStyle w:val="Style35"/>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2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7"/>
        <w:keepNext/>
        <w:keepLines/>
        <w:widowControl w:val="0"/>
        <w:shd w:val="clear" w:color="auto" w:fill="auto"/>
        <w:bidi w:val="0"/>
        <w:spacing w:before="0" w:after="540" w:line="240" w:lineRule="auto"/>
        <w:ind w:left="0" w:right="0" w:firstLine="0"/>
        <w:jc w:val="center"/>
      </w:pPr>
      <w:bookmarkStart w:id="38" w:name="bookmark38"/>
      <w:bookmarkStart w:id="39" w:name="bookmark39"/>
      <w:bookmarkStart w:id="40" w:name="bookmark40"/>
      <w:r>
        <w:rPr>
          <w:color w:val="000000"/>
          <w:spacing w:val="0"/>
          <w:w w:val="100"/>
          <w:position w:val="0"/>
        </w:rPr>
        <w:t>第三节会计数据和财务指标摘要</w:t>
      </w:r>
      <w:bookmarkEnd w:id="38"/>
      <w:bookmarkEnd w:id="39"/>
      <w:bookmarkEnd w:id="40"/>
    </w:p>
    <w:p>
      <w:pPr>
        <w:pStyle w:val="Style31"/>
        <w:keepNext/>
        <w:keepLines/>
        <w:widowControl w:val="0"/>
        <w:shd w:val="clear" w:color="auto" w:fill="auto"/>
        <w:bidi w:val="0"/>
        <w:spacing w:before="0" w:after="220" w:line="240" w:lineRule="auto"/>
        <w:ind w:left="0" w:right="0" w:firstLine="240"/>
        <w:jc w:val="left"/>
      </w:pPr>
      <w:bookmarkStart w:id="41" w:name="bookmark41"/>
      <w:bookmarkStart w:id="42" w:name="bookmark42"/>
      <w:bookmarkStart w:id="43" w:name="bookmark43"/>
      <w:r>
        <w:rPr>
          <w:color w:val="000000"/>
          <w:spacing w:val="0"/>
          <w:w w:val="100"/>
          <w:position w:val="0"/>
          <w:sz w:val="24"/>
          <w:szCs w:val="24"/>
        </w:rPr>
        <w:t>、主要会计数据和财务指标</w:t>
      </w:r>
      <w:bookmarkEnd w:id="41"/>
      <w:bookmarkEnd w:id="42"/>
      <w:bookmarkEnd w:id="43"/>
    </w:p>
    <w:p>
      <w:pPr>
        <w:pStyle w:val="Style35"/>
        <w:keepNext w:val="0"/>
        <w:keepLines w:val="0"/>
        <w:widowControl w:val="0"/>
        <w:shd w:val="clear" w:color="auto" w:fill="auto"/>
        <w:bidi w:val="0"/>
        <w:spacing w:before="0" w:after="60" w:line="355"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tbl>
      <w:tblPr>
        <w:tblOverlap w:val="never"/>
        <w:jc w:val="center"/>
        <w:tblLayout w:type="fixed"/>
      </w:tblPr>
      <w:tblGrid>
        <w:gridCol w:w="2621"/>
        <w:gridCol w:w="1738"/>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289,545,451.00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247,321,193.27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241,258,375.38</w:t>
            </w: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120" w:line="240" w:lineRule="auto"/>
              <w:ind w:left="0" w:right="0" w:firstLine="0"/>
              <w:jc w:val="left"/>
            </w:pPr>
            <w:r>
              <w:rPr>
                <w:color w:val="000000"/>
                <w:spacing w:val="0"/>
                <w:w w:val="100"/>
                <w:position w:val="0"/>
              </w:rPr>
              <w:t>归属于上市公司股东的净利润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59,433,902.96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19,533,232.88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204.27%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61,391,651.91</w:t>
            </w: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归属于上市公司股东的扣除非经</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53,195,549.02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10,212,494.95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420.89%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58,638,404.30</w:t>
            </w:r>
          </w:p>
        </w:tc>
      </w:tr>
      <w:tr>
        <w:trPr>
          <w:trHeight w:val="710"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120" w:line="240" w:lineRule="auto"/>
              <w:ind w:left="0" w:right="0" w:firstLine="0"/>
              <w:jc w:val="left"/>
            </w:pPr>
            <w:r>
              <w:rPr>
                <w:color w:val="000000"/>
                <w:spacing w:val="0"/>
                <w:w w:val="100"/>
                <w:position w:val="0"/>
              </w:rPr>
              <w:t>经营活动产生的现金流量净额</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72,100,949.70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42,588,215.80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38,663,922.40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0.3381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0.1111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204.32%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0.3492</w:t>
            </w:r>
          </w:p>
        </w:tc>
      </w:tr>
      <w:tr>
        <w:trPr>
          <w:trHeight w:val="403"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1200" w:right="0" w:firstLine="0"/>
              <w:jc w:val="both"/>
            </w:pPr>
            <w:r>
              <w:rPr>
                <w:rFonts w:ascii="Times New Roman" w:eastAsia="Times New Roman" w:hAnsi="Times New Roman" w:cs="Times New Roman"/>
                <w:color w:val="000000"/>
                <w:spacing w:val="0"/>
                <w:w w:val="100"/>
                <w:position w:val="0"/>
              </w:rPr>
              <w:t>0.3381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1220" w:right="0" w:firstLine="0"/>
              <w:jc w:val="both"/>
            </w:pPr>
            <w:r>
              <w:rPr>
                <w:rFonts w:ascii="Times New Roman" w:eastAsia="Times New Roman" w:hAnsi="Times New Roman" w:cs="Times New Roman"/>
                <w:color w:val="000000"/>
                <w:spacing w:val="0"/>
                <w:w w:val="100"/>
                <w:position w:val="0"/>
              </w:rPr>
              <w:t>0.1111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1060" w:right="0" w:firstLine="0"/>
              <w:jc w:val="both"/>
            </w:pPr>
            <w:r>
              <w:rPr>
                <w:rFonts w:ascii="Times New Roman" w:eastAsia="Times New Roman" w:hAnsi="Times New Roman" w:cs="Times New Roman"/>
                <w:color w:val="000000"/>
                <w:spacing w:val="0"/>
                <w:w w:val="100"/>
                <w:position w:val="0"/>
              </w:rPr>
              <w:t>204.32%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0.3492</w:t>
            </w:r>
          </w:p>
        </w:tc>
      </w:tr>
      <w:tr>
        <w:trPr>
          <w:trHeight w:val="403"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1200" w:right="0" w:firstLine="0"/>
              <w:jc w:val="both"/>
            </w:pPr>
            <w:r>
              <w:rPr>
                <w:rFonts w:ascii="Times New Roman" w:eastAsia="Times New Roman" w:hAnsi="Times New Roman" w:cs="Times New Roman"/>
                <w:color w:val="000000"/>
                <w:spacing w:val="0"/>
                <w:w w:val="100"/>
                <w:position w:val="0"/>
              </w:rPr>
              <w:t>8.66%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2.98%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1240" w:right="0" w:firstLine="0"/>
              <w:jc w:val="both"/>
            </w:pPr>
            <w:r>
              <w:rPr>
                <w:rFonts w:ascii="Times New Roman" w:eastAsia="Times New Roman" w:hAnsi="Times New Roman" w:cs="Times New Roman"/>
                <w:color w:val="000000"/>
                <w:spacing w:val="0"/>
                <w:w w:val="100"/>
                <w:position w:val="0"/>
              </w:rPr>
              <w:t>5.68%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9.65%</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本年末比上年末增减</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762,322,892.11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705,336,516.06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691,628,579.03</w:t>
            </w:r>
          </w:p>
        </w:tc>
      </w:tr>
      <w:tr>
        <w:trPr>
          <w:trHeight w:val="725"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80" w:after="120" w:line="240" w:lineRule="auto"/>
              <w:ind w:left="0" w:right="0" w:firstLine="0"/>
              <w:jc w:val="left"/>
            </w:pPr>
            <w:r>
              <w:rPr>
                <w:color w:val="000000"/>
                <w:spacing w:val="0"/>
                <w:w w:val="100"/>
                <w:position w:val="0"/>
              </w:rPr>
              <w:t>归属于上市公司股东的净资产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708,750,252.99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666,895,880.53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657,509,612.32</w:t>
            </w:r>
          </w:p>
        </w:tc>
      </w:tr>
    </w:tbl>
    <w:p>
      <w:pPr>
        <w:widowControl w:val="0"/>
        <w:spacing w:after="299" w:line="1" w:lineRule="exact"/>
      </w:pPr>
    </w:p>
    <w:p>
      <w:pPr>
        <w:pStyle w:val="Style31"/>
        <w:keepNext/>
        <w:keepLines/>
        <w:widowControl w:val="0"/>
        <w:shd w:val="clear" w:color="auto" w:fill="auto"/>
        <w:bidi w:val="0"/>
        <w:spacing w:before="0" w:after="36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rPr>
        <w:t>二</w:t>
      </w:r>
      <w:bookmarkEnd w:id="46"/>
      <w:r>
        <w:rPr>
          <w:color w:val="000000"/>
          <w:spacing w:val="0"/>
          <w:w w:val="100"/>
          <w:position w:val="0"/>
          <w:sz w:val="24"/>
          <w:szCs w:val="24"/>
        </w:rPr>
        <w:t>、非经常性损益项目及金额</w:t>
      </w:r>
      <w:bookmarkEnd w:id="44"/>
      <w:bookmarkEnd w:id="45"/>
      <w:bookmarkEnd w:id="47"/>
    </w:p>
    <w:p>
      <w:pPr>
        <w:pStyle w:val="Style33"/>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2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280"/>
              <w:jc w:val="left"/>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280"/>
              <w:jc w:val="left"/>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c>
          <w:tcPr>
            <w:tcBorders>
              <w:top w:val="single" w:sz="4"/>
              <w:left w:val="single" w:sz="4"/>
              <w:right w:val="single" w:sz="4"/>
            </w:tcBorders>
            <w:shd w:val="clear" w:color="auto" w:fill="D3D3D3"/>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-842,430.01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-115,149.45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-56,783.66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2,303,946.16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8,918,765.00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3,231,600.00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3,024,949.20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824,383.56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公司报告期内购买的 信托产品的投资收益 及预计收益。</w:t>
            </w:r>
          </w:p>
        </w:tc>
      </w:tr>
      <w:tr>
        <w:trPr>
          <w:trHeight w:val="682"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除同公司正常经营业务相关的有效套期保 值业务外，持有交易性金融资产、交易性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3,345,119.03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849,521.91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公司报告期内购买的 银行理财产品、资管</w:t>
            </w:r>
          </w:p>
        </w:tc>
      </w:tr>
    </w:tbl>
    <w:p>
      <w:pPr>
        <w:spacing w:lineRule="exact" w:line="1"/>
        <w:rPr>
          <w:sz w:val="2"/>
          <w:szCs w:val="2"/>
        </w:rPr>
      </w:pPr>
      <w:r>
        <w:br w:type="page"/>
      </w:r>
    </w:p>
    <w:tbl>
      <w:tblPr>
        <w:tblOverlap w:val="never"/>
        <w:jc w:val="center"/>
        <w:tblLayout w:type="fixed"/>
      </w:tblPr>
      <w:tblGrid>
        <w:gridCol w:w="3298"/>
        <w:gridCol w:w="1522"/>
        <w:gridCol w:w="1522"/>
        <w:gridCol w:w="1522"/>
        <w:gridCol w:w="1718"/>
      </w:tblGrid>
      <w:tr>
        <w:trPr>
          <w:trHeight w:val="989"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产品的投资收益及预 计收益。</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-702,174.68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29,599.44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-37,593.51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873,431.80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1,173,188.49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325,668.99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17,623.96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13,194.04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58,306.23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6,238,353.94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9,320,737.93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2,753,247.61</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5"/>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35"/>
        <w:keepNext w:val="0"/>
        <w:keepLines w:val="0"/>
        <w:widowControl w:val="0"/>
        <w:shd w:val="clear" w:color="auto" w:fill="auto"/>
        <w:bidi w:val="0"/>
        <w:spacing w:before="0" w:after="0"/>
        <w:ind w:left="0" w:right="0" w:firstLine="0"/>
        <w:jc w:val="both"/>
        <w:sectPr>
          <w:footnotePr>
            <w:pos w:val="pageBottom"/>
            <w:numFmt w:val="decimal"/>
            <w:numRestart w:val="continuous"/>
          </w:footnotePr>
          <w:pgSz w:w="11900" w:h="16840"/>
          <w:pgMar w:top="1441" w:right="1126" w:bottom="1590" w:left="1092"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keepLines/>
        <w:widowControl w:val="0"/>
        <w:shd w:val="clear" w:color="auto" w:fill="auto"/>
        <w:bidi w:val="0"/>
        <w:spacing w:before="540" w:after="520" w:line="240" w:lineRule="auto"/>
        <w:ind w:left="0" w:right="0" w:firstLine="0"/>
        <w:jc w:val="center"/>
      </w:pPr>
      <w:bookmarkStart w:id="48" w:name="bookmark48"/>
      <w:bookmarkStart w:id="49" w:name="bookmark49"/>
      <w:bookmarkStart w:id="50" w:name="bookmark50"/>
      <w:r>
        <w:rPr>
          <w:color w:val="000000"/>
          <w:spacing w:val="0"/>
          <w:w w:val="100"/>
          <w:position w:val="0"/>
        </w:rPr>
        <w:t>第四节董事会报告</w:t>
      </w:r>
      <w:bookmarkEnd w:id="48"/>
      <w:bookmarkEnd w:id="49"/>
      <w:bookmarkEnd w:id="50"/>
    </w:p>
    <w:p>
      <w:pPr>
        <w:pStyle w:val="Style31"/>
        <w:keepNext/>
        <w:keepLines/>
        <w:widowControl w:val="0"/>
        <w:shd w:val="clear" w:color="auto" w:fill="auto"/>
        <w:tabs>
          <w:tab w:pos="481" w:val="left"/>
        </w:tabs>
        <w:bidi w:val="0"/>
        <w:spacing w:before="0" w:after="260" w:line="240" w:lineRule="auto"/>
        <w:ind w:left="0" w:right="0" w:firstLine="0"/>
        <w:jc w:val="both"/>
      </w:pPr>
      <w:bookmarkStart w:id="51" w:name="bookmark51"/>
      <w:bookmarkStart w:id="52" w:name="bookmark52"/>
      <w:bookmarkStart w:id="53" w:name="bookmark53"/>
      <w:bookmarkStart w:id="54" w:name="bookmark54"/>
      <w:r>
        <w:rPr>
          <w:color w:val="000000"/>
          <w:spacing w:val="0"/>
          <w:w w:val="100"/>
          <w:position w:val="0"/>
          <w:sz w:val="24"/>
          <w:szCs w:val="24"/>
        </w:rPr>
        <w:t>一</w:t>
      </w:r>
      <w:bookmarkEnd w:id="53"/>
      <w:r>
        <w:rPr>
          <w:color w:val="000000"/>
          <w:spacing w:val="0"/>
          <w:w w:val="100"/>
          <w:position w:val="0"/>
          <w:sz w:val="24"/>
          <w:szCs w:val="24"/>
        </w:rPr>
        <w:t>、</w:t>
        <w:tab/>
        <w:t>概述</w:t>
      </w:r>
      <w:bookmarkEnd w:id="51"/>
      <w:bookmarkEnd w:id="52"/>
      <w:bookmarkEnd w:id="54"/>
    </w:p>
    <w:p>
      <w:pPr>
        <w:pStyle w:val="Style35"/>
        <w:keepNext w:val="0"/>
        <w:keepLines w:val="0"/>
        <w:widowControl w:val="0"/>
        <w:shd w:val="clear" w:color="auto" w:fill="auto"/>
        <w:bidi w:val="0"/>
        <w:spacing w:before="0" w:after="340" w:line="310" w:lineRule="exact"/>
        <w:ind w:left="0" w:right="0"/>
        <w:jc w:val="both"/>
      </w:pPr>
      <w:r>
        <w:rPr>
          <w:color w:val="000000"/>
          <w:spacing w:val="0"/>
          <w:w w:val="100"/>
          <w:position w:val="0"/>
        </w:rPr>
        <w:t xml:space="preserve">根据公司发展战略，以年度经营目标为导向，公司在报告期内紧抓经营计划的落实与执行，积极探索市场模式、开辟客 户资源，业务拓展得以稳步推进；并且在项目一体化监管措施有力保障下，客户引导能力和解决方案交付能力得到提升，进 一步巩固了公司的市场竞争优势。公司以优化人才结构、提升人均贡献率为目标的人力资源增效举措效果显著，相关成本及 费用支出得到控制，企业人均产出效率进一步提升，扭转了 </w:t>
      </w:r>
      <w:r>
        <w:rPr>
          <w:rFonts w:ascii="Times New Roman" w:eastAsia="Times New Roman" w:hAnsi="Times New Roman" w:cs="Times New Roman"/>
          <w:color w:val="000000"/>
          <w:spacing w:val="0"/>
          <w:w w:val="100"/>
          <w:position w:val="0"/>
        </w:rPr>
        <w:t>2012</w:t>
      </w:r>
      <w:r>
        <w:rPr>
          <w:color w:val="000000"/>
          <w:spacing w:val="0"/>
          <w:w w:val="100"/>
          <w:position w:val="0"/>
        </w:rPr>
        <w:t>年度净利润下滑的不利局面，实现了业绩的恢复性增长。报 告期全年，公司共实现营业收入</w:t>
      </w:r>
      <w:r>
        <w:rPr>
          <w:rFonts w:ascii="Times New Roman" w:eastAsia="Times New Roman" w:hAnsi="Times New Roman" w:cs="Times New Roman"/>
          <w:color w:val="000000"/>
          <w:spacing w:val="0"/>
          <w:w w:val="100"/>
          <w:position w:val="0"/>
        </w:rPr>
        <w:t>28,954.55</w:t>
      </w:r>
      <w:r>
        <w:rPr>
          <w:color w:val="000000"/>
          <w:spacing w:val="0"/>
          <w:w w:val="100"/>
          <w:position w:val="0"/>
        </w:rPr>
        <w:t>万元，同比增长</w:t>
      </w:r>
      <w:r>
        <w:rPr>
          <w:rFonts w:ascii="Times New Roman" w:eastAsia="Times New Roman" w:hAnsi="Times New Roman" w:cs="Times New Roman"/>
          <w:color w:val="000000"/>
          <w:spacing w:val="0"/>
          <w:w w:val="100"/>
          <w:position w:val="0"/>
        </w:rPr>
        <w:t>17.07%</w:t>
      </w:r>
      <w:r>
        <w:rPr>
          <w:color w:val="000000"/>
          <w:spacing w:val="0"/>
          <w:w w:val="100"/>
          <w:position w:val="0"/>
        </w:rPr>
        <w:t>，实现利润总额</w:t>
      </w:r>
      <w:r>
        <w:rPr>
          <w:rFonts w:ascii="Times New Roman" w:eastAsia="Times New Roman" w:hAnsi="Times New Roman" w:cs="Times New Roman"/>
          <w:color w:val="000000"/>
          <w:spacing w:val="0"/>
          <w:w w:val="100"/>
          <w:position w:val="0"/>
        </w:rPr>
        <w:t>6,334.6</w:t>
      </w:r>
      <w:r>
        <w:rPr>
          <w:rFonts w:ascii="Times New Roman" w:eastAsia="Times New Roman" w:hAnsi="Times New Roman" w:cs="Times New Roman"/>
          <w:color w:val="000000"/>
          <w:spacing w:val="0"/>
          <w:w w:val="100"/>
          <w:position w:val="0"/>
        </w:rPr>
        <w:t>1</w:t>
      </w:r>
      <w:r>
        <w:rPr>
          <w:color w:val="000000"/>
          <w:spacing w:val="0"/>
          <w:w w:val="100"/>
          <w:position w:val="0"/>
        </w:rPr>
        <w:t>万元，同比增长</w:t>
      </w:r>
      <w:r>
        <w:rPr>
          <w:rFonts w:ascii="Times New Roman" w:eastAsia="Times New Roman" w:hAnsi="Times New Roman" w:cs="Times New Roman"/>
          <w:color w:val="000000"/>
          <w:spacing w:val="0"/>
          <w:w w:val="100"/>
          <w:position w:val="0"/>
        </w:rPr>
        <w:t>181.88%</w:t>
      </w:r>
      <w:r>
        <w:rPr>
          <w:color w:val="000000"/>
          <w:spacing w:val="0"/>
          <w:w w:val="100"/>
          <w:position w:val="0"/>
        </w:rPr>
        <w:t>，归属于 上市公司股东的净利润</w:t>
      </w:r>
      <w:r>
        <w:rPr>
          <w:rFonts w:ascii="Times New Roman" w:eastAsia="Times New Roman" w:hAnsi="Times New Roman" w:cs="Times New Roman"/>
          <w:color w:val="000000"/>
          <w:spacing w:val="0"/>
          <w:w w:val="100"/>
          <w:position w:val="0"/>
        </w:rPr>
        <w:t>5,943.39</w:t>
      </w:r>
      <w:r>
        <w:rPr>
          <w:color w:val="000000"/>
          <w:spacing w:val="0"/>
          <w:w w:val="100"/>
          <w:position w:val="0"/>
        </w:rPr>
        <w:t>万元，同比增长</w:t>
      </w:r>
      <w:r>
        <w:rPr>
          <w:rFonts w:ascii="Times New Roman" w:eastAsia="Times New Roman" w:hAnsi="Times New Roman" w:cs="Times New Roman"/>
          <w:color w:val="000000"/>
          <w:spacing w:val="0"/>
          <w:w w:val="100"/>
          <w:position w:val="0"/>
        </w:rPr>
        <w:t>204.27%</w:t>
      </w:r>
      <w:r>
        <w:rPr>
          <w:color w:val="000000"/>
          <w:spacing w:val="0"/>
          <w:w w:val="100"/>
          <w:position w:val="0"/>
        </w:rPr>
        <w:t>。</w:t>
      </w:r>
    </w:p>
    <w:p>
      <w:pPr>
        <w:pStyle w:val="Style31"/>
        <w:keepNext/>
        <w:keepLines/>
        <w:widowControl w:val="0"/>
        <w:shd w:val="clear" w:color="auto" w:fill="auto"/>
        <w:tabs>
          <w:tab w:pos="481" w:val="left"/>
        </w:tabs>
        <w:bidi w:val="0"/>
        <w:spacing w:before="0" w:after="340" w:line="240" w:lineRule="auto"/>
        <w:ind w:left="0" w:right="0" w:firstLine="0"/>
        <w:jc w:val="both"/>
      </w:pPr>
      <w:bookmarkStart w:id="55" w:name="bookmark55"/>
      <w:bookmarkStart w:id="56" w:name="bookmark56"/>
      <w:bookmarkStart w:id="57" w:name="bookmark57"/>
      <w:bookmarkStart w:id="58" w:name="bookmark58"/>
      <w:r>
        <w:rPr>
          <w:color w:val="000000"/>
          <w:spacing w:val="0"/>
          <w:w w:val="100"/>
          <w:position w:val="0"/>
          <w:sz w:val="24"/>
          <w:szCs w:val="24"/>
        </w:rPr>
        <w:t>二</w:t>
      </w:r>
      <w:bookmarkEnd w:id="57"/>
      <w:r>
        <w:rPr>
          <w:color w:val="000000"/>
          <w:spacing w:val="0"/>
          <w:w w:val="100"/>
          <w:position w:val="0"/>
          <w:sz w:val="24"/>
          <w:szCs w:val="24"/>
        </w:rPr>
        <w:t>、</w:t>
        <w:tab/>
        <w:t>主营业务分析</w:t>
      </w:r>
      <w:bookmarkEnd w:id="55"/>
      <w:bookmarkEnd w:id="56"/>
      <w:bookmarkEnd w:id="58"/>
    </w:p>
    <w:p>
      <w:pPr>
        <w:pStyle w:val="Style40"/>
        <w:keepNext/>
        <w:keepLines/>
        <w:widowControl w:val="0"/>
        <w:shd w:val="clear" w:color="auto" w:fill="auto"/>
        <w:bidi w:val="0"/>
        <w:spacing w:before="0" w:after="260" w:line="240" w:lineRule="auto"/>
        <w:ind w:left="0" w:right="0" w:firstLine="0"/>
        <w:jc w:val="both"/>
      </w:pPr>
      <w:bookmarkStart w:id="59" w:name="bookmark59"/>
      <w:bookmarkStart w:id="60" w:name="bookmark60"/>
      <w:bookmarkStart w:id="61" w:name="bookmark61"/>
      <w:bookmarkStart w:id="62" w:name="bookmark62"/>
      <w:r>
        <w:rPr>
          <w:rFonts w:ascii="Times New Roman" w:eastAsia="Times New Roman" w:hAnsi="Times New Roman" w:cs="Times New Roman"/>
          <w:color w:val="000000"/>
          <w:spacing w:val="0"/>
          <w:w w:val="100"/>
          <w:position w:val="0"/>
        </w:rPr>
        <w:t>1</w:t>
      </w:r>
      <w:bookmarkEnd w:id="61"/>
      <w:r>
        <w:rPr>
          <w:color w:val="000000"/>
          <w:spacing w:val="0"/>
          <w:w w:val="100"/>
          <w:position w:val="0"/>
        </w:rPr>
        <w:t>、概述</w:t>
      </w:r>
      <w:bookmarkEnd w:id="59"/>
      <w:bookmarkEnd w:id="60"/>
      <w:bookmarkEnd w:id="62"/>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报告期，公司主营业务继续围绕面向政府客户的电子政务业务，以及面向企业客户的集团管控业务展开。随着国家</w:t>
      </w:r>
      <w:r>
        <w:rPr>
          <w:rFonts w:ascii="Times New Roman" w:eastAsia="Times New Roman" w:hAnsi="Times New Roman" w:cs="Times New Roman"/>
          <w:color w:val="000000"/>
          <w:spacing w:val="0"/>
          <w:w w:val="100"/>
          <w:position w:val="0"/>
        </w:rPr>
        <w:t>“</w:t>
      </w:r>
      <w:r>
        <w:rPr>
          <w:color w:val="000000"/>
          <w:spacing w:val="0"/>
          <w:w w:val="100"/>
          <w:position w:val="0"/>
        </w:rPr>
        <w:t>十 二五</w:t>
      </w:r>
      <w:r>
        <w:rPr>
          <w:rFonts w:ascii="Times New Roman" w:eastAsia="Times New Roman" w:hAnsi="Times New Roman" w:cs="Times New Roman"/>
          <w:color w:val="000000"/>
          <w:spacing w:val="0"/>
          <w:w w:val="100"/>
          <w:position w:val="0"/>
        </w:rPr>
        <w:t>”</w:t>
      </w:r>
      <w:r>
        <w:rPr>
          <w:color w:val="000000"/>
          <w:spacing w:val="0"/>
          <w:w w:val="100"/>
          <w:position w:val="0"/>
        </w:rPr>
        <w:t>发展规划的贯彻落实，为提升政府效能而不断深化的政府信息化建设，以及大型企业集团内部控制工作的持续推进， 为公司电子政务和集团管控业务发展带来了良好的市场机遇。</w:t>
      </w:r>
    </w:p>
    <w:p>
      <w:pPr>
        <w:pStyle w:val="Style35"/>
        <w:keepNext w:val="0"/>
        <w:keepLines w:val="0"/>
        <w:widowControl w:val="0"/>
        <w:shd w:val="clear" w:color="auto" w:fill="auto"/>
        <w:bidi w:val="0"/>
        <w:spacing w:before="0" w:after="40" w:line="314" w:lineRule="exact"/>
        <w:ind w:left="0" w:right="0"/>
        <w:jc w:val="both"/>
      </w:pPr>
      <w:r>
        <w:rPr>
          <w:color w:val="000000"/>
          <w:spacing w:val="0"/>
          <w:w w:val="100"/>
          <w:position w:val="0"/>
        </w:rPr>
        <w:t>报告期，公司电子政务业务以</w:t>
      </w:r>
      <w:r>
        <w:rPr>
          <w:rFonts w:ascii="Times New Roman" w:eastAsia="Times New Roman" w:hAnsi="Times New Roman" w:cs="Times New Roman"/>
          <w:color w:val="000000"/>
          <w:spacing w:val="0"/>
          <w:w w:val="100"/>
          <w:position w:val="0"/>
        </w:rPr>
        <w:t>GSI</w:t>
      </w:r>
      <w:r>
        <w:rPr>
          <w:color w:val="000000"/>
          <w:spacing w:val="0"/>
          <w:w w:val="100"/>
          <w:position w:val="0"/>
        </w:rPr>
        <w:t>政府统计和</w:t>
      </w:r>
      <w:r>
        <w:rPr>
          <w:rFonts w:ascii="Times New Roman" w:eastAsia="Times New Roman" w:hAnsi="Times New Roman" w:cs="Times New Roman"/>
          <w:color w:val="000000"/>
          <w:spacing w:val="0"/>
          <w:w w:val="100"/>
          <w:position w:val="0"/>
        </w:rPr>
        <w:t>GAMS</w:t>
      </w:r>
      <w:r>
        <w:rPr>
          <w:color w:val="000000"/>
          <w:spacing w:val="0"/>
          <w:w w:val="100"/>
          <w:position w:val="0"/>
        </w:rPr>
        <w:t>资产管理为先导，在深入挖掘中央政府市场需求的基础上，踏实推 进地方政府客户市场布局工作，获得良好成效，电子政务业务在报告期内实现收入</w:t>
      </w:r>
      <w:r>
        <w:rPr>
          <w:rFonts w:ascii="Times New Roman" w:eastAsia="Times New Roman" w:hAnsi="Times New Roman" w:cs="Times New Roman"/>
          <w:color w:val="000000"/>
          <w:spacing w:val="0"/>
          <w:w w:val="100"/>
          <w:position w:val="0"/>
        </w:rPr>
        <w:t>1.5</w:t>
      </w:r>
      <w:r>
        <w:rPr>
          <w:rFonts w:ascii="Times New Roman" w:eastAsia="Times New Roman" w:hAnsi="Times New Roman" w:cs="Times New Roman"/>
          <w:color w:val="000000"/>
          <w:spacing w:val="0"/>
          <w:w w:val="100"/>
          <w:position w:val="0"/>
        </w:rPr>
        <w:t>1</w:t>
      </w:r>
      <w:r>
        <w:rPr>
          <w:color w:val="000000"/>
          <w:spacing w:val="0"/>
          <w:w w:val="100"/>
          <w:position w:val="0"/>
        </w:rPr>
        <w:t>亿元，较上年增长</w:t>
      </w:r>
      <w:r>
        <w:rPr>
          <w:rFonts w:ascii="Times New Roman" w:eastAsia="Times New Roman" w:hAnsi="Times New Roman" w:cs="Times New Roman"/>
          <w:color w:val="000000"/>
          <w:spacing w:val="0"/>
          <w:w w:val="100"/>
          <w:position w:val="0"/>
        </w:rPr>
        <w:t>36.20%</w:t>
      </w:r>
      <w:r>
        <w:rPr>
          <w:color w:val="000000"/>
          <w:spacing w:val="0"/>
          <w:w w:val="100"/>
          <w:position w:val="0"/>
        </w:rPr>
        <w:t>；同时，本 着突破创新的发展理念，以独特的管控视角和先进的产品技术为依托，公司集团管控各项业务在报告期通过项目实践得到了 不断完善和提升，本报告期实现收入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.28</w:t>
      </w:r>
      <w:r>
        <w:rPr>
          <w:color w:val="000000"/>
          <w:spacing w:val="0"/>
          <w:w w:val="100"/>
          <w:position w:val="0"/>
        </w:rPr>
        <w:t>亿元，较上年增长</w:t>
      </w:r>
      <w:r>
        <w:rPr>
          <w:rFonts w:ascii="Times New Roman" w:eastAsia="Times New Roman" w:hAnsi="Times New Roman" w:cs="Times New Roman"/>
          <w:color w:val="000000"/>
          <w:spacing w:val="0"/>
          <w:w w:val="100"/>
          <w:position w:val="0"/>
        </w:rPr>
        <w:t>0.84%</w:t>
      </w:r>
      <w:r>
        <w:rPr>
          <w:color w:val="000000"/>
          <w:spacing w:val="0"/>
          <w:w w:val="100"/>
          <w:position w:val="0"/>
        </w:rPr>
        <w:t>。</w:t>
      </w:r>
    </w:p>
    <w:p>
      <w:pPr>
        <w:pStyle w:val="Style35"/>
        <w:keepNext w:val="0"/>
        <w:keepLines w:val="0"/>
        <w:widowControl w:val="0"/>
        <w:shd w:val="clear" w:color="auto" w:fill="auto"/>
        <w:bidi w:val="0"/>
        <w:spacing w:before="0" w:after="40" w:line="314" w:lineRule="exact"/>
        <w:ind w:left="0" w:right="0" w:firstLine="0"/>
        <w:jc w:val="left"/>
      </w:pPr>
      <w:r>
        <w:rPr>
          <w:b/>
          <w:bCs/>
          <w:color w:val="000000"/>
          <w:spacing w:val="0"/>
          <w:w w:val="100"/>
          <w:position w:val="0"/>
        </w:rPr>
        <w:t>公司回顾总结前期披露的发展战略和经营计划在报告期内的进展情况</w:t>
      </w:r>
    </w:p>
    <w:p>
      <w:pPr>
        <w:pStyle w:val="Style35"/>
        <w:keepNext w:val="0"/>
        <w:keepLines w:val="0"/>
        <w:widowControl w:val="0"/>
        <w:shd w:val="clear" w:color="auto" w:fill="auto"/>
        <w:bidi w:val="0"/>
        <w:spacing w:before="0" w:after="260" w:line="317" w:lineRule="exact"/>
        <w:ind w:left="0" w:right="0"/>
        <w:jc w:val="both"/>
      </w:pPr>
      <w:r>
        <w:rPr>
          <w:color w:val="000000"/>
          <w:spacing w:val="0"/>
          <w:w w:val="100"/>
          <w:position w:val="0"/>
        </w:rPr>
        <w:t>报告期，公司着眼于年初的经营目标，切实落实并执行好与经营计划相关的各项工作，本着</w:t>
      </w:r>
      <w:r>
        <w:rPr>
          <w:rFonts w:ascii="Times New Roman" w:eastAsia="Times New Roman" w:hAnsi="Times New Roman" w:cs="Times New Roman"/>
          <w:color w:val="000000"/>
          <w:spacing w:val="0"/>
          <w:w w:val="100"/>
          <w:position w:val="0"/>
        </w:rPr>
        <w:t>“</w:t>
      </w:r>
      <w:r>
        <w:rPr>
          <w:color w:val="000000"/>
          <w:spacing w:val="0"/>
          <w:w w:val="100"/>
          <w:position w:val="0"/>
        </w:rPr>
        <w:t>树目标抓绩效、降成本提 效能、争创新促发展</w:t>
      </w:r>
      <w:r>
        <w:rPr>
          <w:rFonts w:ascii="Times New Roman" w:eastAsia="Times New Roman" w:hAnsi="Times New Roman" w:cs="Times New Roman"/>
          <w:color w:val="000000"/>
          <w:spacing w:val="0"/>
          <w:w w:val="100"/>
          <w:position w:val="0"/>
        </w:rPr>
        <w:t>”</w:t>
      </w:r>
      <w:r>
        <w:rPr>
          <w:color w:val="000000"/>
          <w:spacing w:val="0"/>
          <w:w w:val="100"/>
          <w:position w:val="0"/>
        </w:rPr>
        <w:t>的工作思路，在外部市场拓展、技术产品研发、项目监控及人员增效方面均取得了一定成效。</w:t>
      </w:r>
    </w:p>
    <w:p>
      <w:pPr>
        <w:pStyle w:val="Style35"/>
        <w:keepNext w:val="0"/>
        <w:keepLines w:val="0"/>
        <w:widowControl w:val="0"/>
        <w:shd w:val="clear" w:color="auto" w:fill="auto"/>
        <w:bidi w:val="0"/>
        <w:spacing w:before="0" w:after="0" w:line="314" w:lineRule="exact"/>
        <w:ind w:left="0" w:right="0" w:firstLine="0"/>
        <w:jc w:val="both"/>
      </w:pPr>
      <w:bookmarkStart w:id="63" w:name="bookmark63"/>
      <w:r>
        <w:rPr>
          <w:b/>
          <w:bCs/>
          <w:color w:val="000000"/>
          <w:spacing w:val="0"/>
          <w:w w:val="100"/>
          <w:position w:val="0"/>
        </w:rPr>
        <w:t>（</w:t>
      </w:r>
      <w:bookmarkEnd w:id="63"/>
      <w:r>
        <w:rPr>
          <w:rFonts w:ascii="Times New Roman" w:eastAsia="Times New Roman" w:hAnsi="Times New Roman" w:cs="Times New Roman"/>
          <w:b/>
          <w:bCs/>
          <w:color w:val="000000"/>
          <w:spacing w:val="0"/>
          <w:w w:val="100"/>
          <w:position w:val="0"/>
          <w:sz w:val="17"/>
          <w:szCs w:val="17"/>
        </w:rPr>
        <w:t>1</w:t>
      </w:r>
      <w:r>
        <w:rPr>
          <w:b/>
          <w:bCs/>
          <w:color w:val="000000"/>
          <w:spacing w:val="0"/>
          <w:w w:val="100"/>
          <w:position w:val="0"/>
        </w:rPr>
        <w:t>）主要业务开展情况</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为进一步夯实客户基础、巩固市场优势，公司坚持聚焦重点行业、重点业务、重点客户和重点项目，并结合多元化市场 需求，着力强化销售布局，积极探索市场模式，深入发掘业务潜质，开辟客户市场资源，并通过重塑传统业务、培育前景业 务、打造精品工程、树立标杆项目，以及提升对大型集成项目咨询、管理和实施的能力，在市场竞争的激流中抓住机遇。</w:t>
      </w:r>
    </w:p>
    <w:p>
      <w:pPr>
        <w:pStyle w:val="Style35"/>
        <w:keepNext w:val="0"/>
        <w:keepLines w:val="0"/>
        <w:widowControl w:val="0"/>
        <w:numPr>
          <w:ilvl w:val="0"/>
          <w:numId w:val="1"/>
        </w:numPr>
        <w:shd w:val="clear" w:color="auto" w:fill="auto"/>
        <w:tabs>
          <w:tab w:pos="425" w:val="left"/>
        </w:tabs>
        <w:bidi w:val="0"/>
        <w:spacing w:before="0" w:after="0" w:line="314" w:lineRule="exact"/>
        <w:ind w:left="0" w:right="0" w:firstLine="0"/>
        <w:jc w:val="left"/>
      </w:pPr>
      <w:bookmarkStart w:id="64" w:name="bookmark64"/>
      <w:bookmarkEnd w:id="64"/>
      <w:r>
        <w:rPr>
          <w:b/>
          <w:bCs/>
          <w:color w:val="000000"/>
          <w:spacing w:val="0"/>
          <w:w w:val="100"/>
          <w:position w:val="0"/>
        </w:rPr>
        <w:t>电子政务业务</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报告期，公司电子政务业务依然以</w:t>
      </w:r>
      <w:r>
        <w:rPr>
          <w:rFonts w:ascii="Times New Roman" w:eastAsia="Times New Roman" w:hAnsi="Times New Roman" w:cs="Times New Roman"/>
          <w:color w:val="000000"/>
          <w:spacing w:val="0"/>
          <w:w w:val="100"/>
          <w:position w:val="0"/>
        </w:rPr>
        <w:t>GAMS</w:t>
      </w:r>
      <w:r>
        <w:rPr>
          <w:color w:val="000000"/>
          <w:spacing w:val="0"/>
          <w:w w:val="100"/>
          <w:position w:val="0"/>
        </w:rPr>
        <w:t>行政事业单位资产管理、</w:t>
      </w:r>
      <w:r>
        <w:rPr>
          <w:rFonts w:ascii="Times New Roman" w:eastAsia="Times New Roman" w:hAnsi="Times New Roman" w:cs="Times New Roman"/>
          <w:color w:val="000000"/>
          <w:spacing w:val="0"/>
          <w:w w:val="100"/>
          <w:position w:val="0"/>
        </w:rPr>
        <w:t>GMS</w:t>
      </w:r>
      <w:r>
        <w:rPr>
          <w:color w:val="000000"/>
          <w:spacing w:val="0"/>
          <w:w w:val="100"/>
          <w:position w:val="0"/>
        </w:rPr>
        <w:t>政府监管服务及</w:t>
      </w:r>
      <w:r>
        <w:rPr>
          <w:rFonts w:ascii="Times New Roman" w:eastAsia="Times New Roman" w:hAnsi="Times New Roman" w:cs="Times New Roman"/>
          <w:color w:val="000000"/>
          <w:spacing w:val="0"/>
          <w:w w:val="100"/>
          <w:position w:val="0"/>
        </w:rPr>
        <w:t>GSI</w:t>
      </w:r>
      <w:r>
        <w:rPr>
          <w:color w:val="000000"/>
          <w:spacing w:val="0"/>
          <w:w w:val="100"/>
          <w:position w:val="0"/>
        </w:rPr>
        <w:t>政府统计为核心继续深入发 展。公司承建的财政部</w:t>
      </w:r>
      <w:r>
        <w:rPr>
          <w:rFonts w:ascii="Times New Roman" w:eastAsia="Times New Roman" w:hAnsi="Times New Roman" w:cs="Times New Roman"/>
          <w:color w:val="000000"/>
          <w:spacing w:val="0"/>
          <w:w w:val="100"/>
          <w:position w:val="0"/>
        </w:rPr>
        <w:t>GAMS</w:t>
      </w:r>
      <w:r>
        <w:rPr>
          <w:color w:val="000000"/>
          <w:spacing w:val="0"/>
          <w:w w:val="100"/>
          <w:position w:val="0"/>
        </w:rPr>
        <w:t>升级改造项目于报告期末推出了全国推广版本，根据财政部发文要求，预计</w:t>
      </w:r>
      <w:r>
        <w:rPr>
          <w:rFonts w:ascii="Times New Roman" w:eastAsia="Times New Roman" w:hAnsi="Times New Roman" w:cs="Times New Roman"/>
          <w:color w:val="000000"/>
          <w:spacing w:val="0"/>
          <w:w w:val="100"/>
          <w:position w:val="0"/>
        </w:rPr>
        <w:t>2014</w:t>
      </w:r>
      <w:r>
        <w:rPr>
          <w:color w:val="000000"/>
          <w:spacing w:val="0"/>
          <w:w w:val="100"/>
          <w:position w:val="0"/>
        </w:rPr>
        <w:t>年将展开全国 范围内的升级推广工作，同时还实现与金财大平台等其他公共财政系统的对接，提升了资产管理系统在公共财政应用领域的 地位。通过完善预算、核算、决算业务的协同性，久其</w:t>
      </w:r>
      <w:r>
        <w:rPr>
          <w:rFonts w:ascii="Times New Roman" w:eastAsia="Times New Roman" w:hAnsi="Times New Roman" w:cs="Times New Roman"/>
          <w:color w:val="000000"/>
          <w:spacing w:val="0"/>
          <w:w w:val="100"/>
          <w:position w:val="0"/>
        </w:rPr>
        <w:t>GMS</w:t>
      </w:r>
      <w:r>
        <w:rPr>
          <w:color w:val="000000"/>
          <w:spacing w:val="0"/>
          <w:w w:val="100"/>
          <w:position w:val="0"/>
        </w:rPr>
        <w:t>一体化应用在民航、海关、法院、国资委及银监会等项目中展 现出了良好成效。随着政府统计业务市场需求的增长，依托公司在统计业务方面的优势地位，久其</w:t>
      </w:r>
      <w:r>
        <w:rPr>
          <w:rFonts w:ascii="Times New Roman" w:eastAsia="Times New Roman" w:hAnsi="Times New Roman" w:cs="Times New Roman"/>
          <w:color w:val="000000"/>
          <w:spacing w:val="0"/>
          <w:w w:val="100"/>
          <w:position w:val="0"/>
        </w:rPr>
        <w:t>GSI</w:t>
      </w:r>
      <w:r>
        <w:rPr>
          <w:color w:val="000000"/>
          <w:spacing w:val="0"/>
          <w:w w:val="100"/>
          <w:position w:val="0"/>
          <w:sz w:val="18"/>
          <w:szCs w:val="18"/>
        </w:rPr>
        <w:t>S</w:t>
      </w:r>
      <w:r>
        <w:rPr>
          <w:color w:val="000000"/>
          <w:spacing w:val="0"/>
          <w:w w:val="100"/>
          <w:position w:val="0"/>
        </w:rPr>
        <w:t>在财政、民政、交 通、水利、体育、教育、工商、文化、测绘、残联、林业、法院、国防科工等领域得到了广泛应用，并树立了良好的客户口 碑。基于久其</w:t>
      </w:r>
      <w:r>
        <w:rPr>
          <w:rFonts w:ascii="Times New Roman" w:eastAsia="Times New Roman" w:hAnsi="Times New Roman" w:cs="Times New Roman"/>
          <w:color w:val="000000"/>
          <w:spacing w:val="0"/>
          <w:w w:val="100"/>
          <w:position w:val="0"/>
        </w:rPr>
        <w:t>GSI</w:t>
      </w:r>
      <w:r>
        <w:rPr>
          <w:color w:val="000000"/>
          <w:spacing w:val="0"/>
          <w:w w:val="100"/>
          <w:position w:val="0"/>
        </w:rPr>
        <w:t>和</w:t>
      </w:r>
      <w:r>
        <w:rPr>
          <w:rFonts w:ascii="Times New Roman" w:eastAsia="Times New Roman" w:hAnsi="Times New Roman" w:cs="Times New Roman"/>
          <w:color w:val="000000"/>
          <w:spacing w:val="0"/>
          <w:w w:val="100"/>
          <w:position w:val="0"/>
        </w:rPr>
        <w:t>BI</w:t>
      </w:r>
      <w:r>
        <w:rPr>
          <w:color w:val="000000"/>
          <w:spacing w:val="0"/>
          <w:w w:val="100"/>
          <w:position w:val="0"/>
        </w:rPr>
        <w:t>产品的快速发展，公司在报告期与教育、卫生等行业部门分别合作构建了统计分析与决策支持系统， 将大数据技术与商业智能理念融入电子政务业务中，以促进政府部门的管理创新与价值提升。</w:t>
      </w:r>
    </w:p>
    <w:p>
      <w:pPr>
        <w:pStyle w:val="Style35"/>
        <w:keepNext w:val="0"/>
        <w:keepLines w:val="0"/>
        <w:widowControl w:val="0"/>
        <w:numPr>
          <w:ilvl w:val="0"/>
          <w:numId w:val="1"/>
        </w:numPr>
        <w:shd w:val="clear" w:color="auto" w:fill="auto"/>
        <w:tabs>
          <w:tab w:pos="425" w:val="left"/>
        </w:tabs>
        <w:bidi w:val="0"/>
        <w:spacing w:before="0" w:after="0" w:line="314" w:lineRule="exact"/>
        <w:ind w:left="0" w:right="0" w:firstLine="0"/>
        <w:jc w:val="left"/>
      </w:pPr>
      <w:bookmarkStart w:id="65" w:name="bookmark65"/>
      <w:bookmarkEnd w:id="65"/>
      <w:r>
        <w:rPr>
          <w:b/>
          <w:bCs/>
          <w:color w:val="000000"/>
          <w:spacing w:val="0"/>
          <w:w w:val="100"/>
          <w:position w:val="0"/>
        </w:rPr>
        <w:t>集团管控业务</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始终专注于企业集团高端应用的久其</w:t>
      </w:r>
      <w:r>
        <w:rPr>
          <w:rFonts w:ascii="Times New Roman" w:eastAsia="Times New Roman" w:hAnsi="Times New Roman" w:cs="Times New Roman"/>
          <w:color w:val="000000"/>
          <w:spacing w:val="0"/>
          <w:w w:val="100"/>
          <w:position w:val="0"/>
        </w:rPr>
        <w:t>GMC</w:t>
      </w:r>
      <w:r>
        <w:rPr>
          <w:color w:val="000000"/>
          <w:spacing w:val="0"/>
          <w:w w:val="100"/>
          <w:position w:val="0"/>
        </w:rPr>
        <w:t>在报告期继续推进产品和解决方案改进提升工作。作为久其</w:t>
      </w:r>
      <w:r>
        <w:rPr>
          <w:rFonts w:ascii="Times New Roman" w:eastAsia="Times New Roman" w:hAnsi="Times New Roman" w:cs="Times New Roman"/>
          <w:color w:val="000000"/>
          <w:spacing w:val="0"/>
          <w:w w:val="100"/>
          <w:position w:val="0"/>
        </w:rPr>
        <w:t>GMC</w:t>
      </w:r>
      <w:r>
        <w:rPr>
          <w:color w:val="000000"/>
          <w:spacing w:val="0"/>
          <w:w w:val="100"/>
          <w:position w:val="0"/>
        </w:rPr>
        <w:t xml:space="preserve">核心解决方 案，全面预算整体解决方案在报告期更趋于成熟，在通信、建筑施工等行业均有精细化预算管理的深度应用；基于私有云应 </w:t>
      </w:r>
      <w:r>
        <w:rPr>
          <w:color w:val="000000"/>
          <w:spacing w:val="0"/>
          <w:w w:val="100"/>
          <w:position w:val="0"/>
        </w:rPr>
        <w:t>用的网上报账及</w:t>
      </w:r>
      <w:r>
        <w:rPr>
          <w:rFonts w:ascii="Times New Roman" w:eastAsia="Times New Roman" w:hAnsi="Times New Roman" w:cs="Times New Roman"/>
          <w:color w:val="000000"/>
          <w:spacing w:val="0"/>
          <w:w w:val="100"/>
          <w:position w:val="0"/>
        </w:rPr>
        <w:t>FSS C</w:t>
      </w:r>
      <w:r>
        <w:rPr>
          <w:color w:val="000000"/>
          <w:spacing w:val="0"/>
          <w:w w:val="100"/>
          <w:position w:val="0"/>
        </w:rPr>
        <w:t>财务共享服务中心解决方案在建筑施工、化工、商贸、保险金融等大型企业集团项目中良好应用，已 形成较强的市场竞争力；集中核算解决方案在报告期采用对传统业务重构创新的方式逐步向战略财务解决方案转变，旨在支 撑更加灵活多样的业务需求。</w:t>
      </w:r>
    </w:p>
    <w:p>
      <w:pPr>
        <w:pStyle w:val="Style35"/>
        <w:keepNext w:val="0"/>
        <w:keepLines w:val="0"/>
        <w:widowControl w:val="0"/>
        <w:numPr>
          <w:ilvl w:val="0"/>
          <w:numId w:val="1"/>
        </w:numPr>
        <w:shd w:val="clear" w:color="auto" w:fill="auto"/>
        <w:bidi w:val="0"/>
        <w:spacing w:before="0" w:after="0" w:line="314" w:lineRule="exact"/>
        <w:ind w:left="0" w:right="0" w:firstLine="0"/>
        <w:jc w:val="both"/>
      </w:pPr>
      <w:bookmarkStart w:id="66" w:name="bookmark66"/>
      <w:bookmarkEnd w:id="66"/>
      <w:r>
        <w:rPr>
          <w:b/>
          <w:bCs/>
          <w:color w:val="000000"/>
          <w:spacing w:val="0"/>
          <w:w w:val="100"/>
          <w:position w:val="0"/>
        </w:rPr>
        <w:t>云计算业务</w:t>
      </w:r>
    </w:p>
    <w:p>
      <w:pPr>
        <w:pStyle w:val="Style35"/>
        <w:keepNext w:val="0"/>
        <w:keepLines w:val="0"/>
        <w:widowControl w:val="0"/>
        <w:shd w:val="clear" w:color="auto" w:fill="auto"/>
        <w:bidi w:val="0"/>
        <w:spacing w:before="0" w:after="300" w:line="314" w:lineRule="exact"/>
        <w:ind w:left="0" w:right="0"/>
        <w:jc w:val="both"/>
      </w:pPr>
      <w:r>
        <w:rPr>
          <w:color w:val="000000"/>
          <w:spacing w:val="0"/>
          <w:w w:val="100"/>
          <w:position w:val="0"/>
        </w:rPr>
        <w:t>报告期，公司立足市场需求，紧随技术与行业发展趋势，对现有的云计算产品和方案进行梳理整合，逐步明确了公司云 计算业务的发展定位，并积极布局移动互联业务。除公司报表云产品</w:t>
      </w:r>
      <w:r>
        <w:rPr>
          <w:rFonts w:ascii="Times New Roman" w:eastAsia="Times New Roman" w:hAnsi="Times New Roman" w:cs="Times New Roman"/>
          <w:color w:val="000000"/>
          <w:spacing w:val="0"/>
          <w:w w:val="100"/>
          <w:position w:val="0"/>
        </w:rPr>
        <w:t>“</w:t>
      </w:r>
      <w:r>
        <w:rPr>
          <w:color w:val="000000"/>
          <w:spacing w:val="0"/>
          <w:w w:val="100"/>
          <w:position w:val="0"/>
        </w:rPr>
        <w:t>速速报</w:t>
      </w:r>
      <w:r>
        <w:rPr>
          <w:rFonts w:ascii="Times New Roman" w:eastAsia="Times New Roman" w:hAnsi="Times New Roman" w:cs="Times New Roman"/>
          <w:color w:val="000000"/>
          <w:spacing w:val="0"/>
          <w:w w:val="100"/>
          <w:position w:val="0"/>
        </w:rPr>
        <w:t>”</w:t>
      </w:r>
      <w:r>
        <w:rPr>
          <w:color w:val="000000"/>
          <w:spacing w:val="0"/>
          <w:w w:val="100"/>
          <w:position w:val="0"/>
        </w:rPr>
        <w:t>在报告期协助财政部完成全国数十万事业单位 的公务用车清查工作外，控股子公司海南久其也在报告期推出了基于位置云服务的</w:t>
      </w:r>
      <w:r>
        <w:rPr>
          <w:rFonts w:ascii="Times New Roman" w:eastAsia="Times New Roman" w:hAnsi="Times New Roman" w:cs="Times New Roman"/>
          <w:color w:val="000000"/>
          <w:spacing w:val="0"/>
          <w:w w:val="100"/>
          <w:position w:val="0"/>
        </w:rPr>
        <w:t>“</w:t>
      </w:r>
      <w:r>
        <w:rPr>
          <w:color w:val="000000"/>
          <w:spacing w:val="0"/>
          <w:w w:val="100"/>
          <w:position w:val="0"/>
        </w:rPr>
        <w:t>哒咔考勤</w:t>
      </w:r>
      <w:r>
        <w:rPr>
          <w:rFonts w:ascii="Times New Roman" w:eastAsia="Times New Roman" w:hAnsi="Times New Roman" w:cs="Times New Roman"/>
          <w:color w:val="000000"/>
          <w:spacing w:val="0"/>
          <w:w w:val="100"/>
          <w:position w:val="0"/>
        </w:rPr>
        <w:t>”</w:t>
      </w:r>
      <w:r>
        <w:rPr>
          <w:color w:val="000000"/>
          <w:spacing w:val="0"/>
          <w:w w:val="100"/>
          <w:position w:val="0"/>
        </w:rPr>
        <w:t>产品，并凭借该产品荣获</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年度中国位置服务软件金牛奖七本着</w:t>
      </w:r>
      <w:r>
        <w:rPr>
          <w:rFonts w:ascii="Times New Roman" w:eastAsia="Times New Roman" w:hAnsi="Times New Roman" w:cs="Times New Roman"/>
          <w:color w:val="000000"/>
          <w:spacing w:val="0"/>
          <w:w w:val="100"/>
          <w:position w:val="0"/>
        </w:rPr>
        <w:t>“</w:t>
      </w:r>
      <w:r>
        <w:rPr>
          <w:color w:val="000000"/>
          <w:spacing w:val="0"/>
          <w:w w:val="100"/>
          <w:position w:val="0"/>
        </w:rPr>
        <w:t>科技改变物流模式、信息引领智慧出行</w:t>
      </w:r>
      <w:r>
        <w:rPr>
          <w:rFonts w:ascii="Times New Roman" w:eastAsia="Times New Roman" w:hAnsi="Times New Roman" w:cs="Times New Roman"/>
          <w:color w:val="000000"/>
          <w:spacing w:val="0"/>
          <w:w w:val="100"/>
          <w:position w:val="0"/>
        </w:rPr>
        <w:t>”</w:t>
      </w:r>
      <w:r>
        <w:rPr>
          <w:color w:val="000000"/>
          <w:spacing w:val="0"/>
          <w:w w:val="100"/>
          <w:position w:val="0"/>
        </w:rPr>
        <w:t>建设宗旨，海南久其积极推进智慧物流信息 化的建设，报告期内与海南省交通运输厅信息中心合作建设的</w:t>
      </w:r>
      <w:r>
        <w:rPr>
          <w:rFonts w:ascii="Times New Roman" w:eastAsia="Times New Roman" w:hAnsi="Times New Roman" w:cs="Times New Roman"/>
          <w:color w:val="000000"/>
          <w:spacing w:val="0"/>
          <w:w w:val="100"/>
          <w:position w:val="0"/>
        </w:rPr>
        <w:t>“</w:t>
      </w:r>
      <w:r>
        <w:rPr>
          <w:color w:val="000000"/>
          <w:spacing w:val="0"/>
          <w:w w:val="100"/>
          <w:position w:val="0"/>
        </w:rPr>
        <w:t>空中物流港</w:t>
      </w:r>
      <w:r>
        <w:rPr>
          <w:rFonts w:ascii="Times New Roman" w:eastAsia="Times New Roman" w:hAnsi="Times New Roman" w:cs="Times New Roman"/>
          <w:color w:val="000000"/>
          <w:spacing w:val="0"/>
          <w:w w:val="100"/>
          <w:position w:val="0"/>
        </w:rPr>
        <w:t>”</w:t>
      </w:r>
      <w:r>
        <w:rPr>
          <w:color w:val="000000"/>
          <w:spacing w:val="0"/>
          <w:w w:val="100"/>
          <w:position w:val="0"/>
        </w:rPr>
        <w:t>项目已投入开发，一期项目建成后将实现海南交 通运输厅对道路货运车辆和物流企业动态经营状况的可视化管理，初步构建海南省虚拟公路物流港双向互动交易模式，加速 海南省交通运输物流信息化发展，该项目是交通运输部重点科研项目“物流公共信息平台关键技术研究与应用示范”的示范 工程，示范成功后将向其他省市进行推广应用。此外，根据海南省邮政管理局对快递行业的监管需求，海南久其推出了一款 基于位置云服务的</w:t>
      </w:r>
      <w:r>
        <w:rPr>
          <w:rFonts w:ascii="Times New Roman" w:eastAsia="Times New Roman" w:hAnsi="Times New Roman" w:cs="Times New Roman"/>
          <w:color w:val="000000"/>
          <w:spacing w:val="0"/>
          <w:w w:val="100"/>
          <w:position w:val="0"/>
        </w:rPr>
        <w:t>“</w:t>
      </w:r>
      <w:r>
        <w:rPr>
          <w:color w:val="000000"/>
          <w:spacing w:val="0"/>
          <w:w w:val="100"/>
          <w:position w:val="0"/>
          <w:sz w:val="18"/>
          <w:szCs w:val="18"/>
        </w:rPr>
        <w:t>e</w:t>
      </w:r>
      <w:r>
        <w:rPr>
          <w:color w:val="000000"/>
          <w:spacing w:val="0"/>
          <w:w w:val="100"/>
          <w:position w:val="0"/>
        </w:rPr>
        <w:t>快递</w:t>
      </w:r>
      <w:r>
        <w:rPr>
          <w:rFonts w:ascii="Times New Roman" w:eastAsia="Times New Roman" w:hAnsi="Times New Roman" w:cs="Times New Roman"/>
          <w:color w:val="000000"/>
          <w:spacing w:val="0"/>
          <w:w w:val="100"/>
          <w:position w:val="0"/>
        </w:rPr>
        <w:t>”</w:t>
      </w:r>
      <w:r>
        <w:rPr>
          <w:color w:val="000000"/>
          <w:spacing w:val="0"/>
          <w:w w:val="100"/>
          <w:position w:val="0"/>
        </w:rPr>
        <w:t>产品，该产品是面向快递企业与使用快递服务的普通民众的一款调度辅助系统，以促进快递收发 的便捷性及高效性，目前该产品市场推广相关工作已经展开。</w:t>
      </w:r>
    </w:p>
    <w:p>
      <w:pPr>
        <w:pStyle w:val="Style35"/>
        <w:keepNext w:val="0"/>
        <w:keepLines w:val="0"/>
        <w:widowControl w:val="0"/>
        <w:shd w:val="clear" w:color="auto" w:fill="auto"/>
        <w:tabs>
          <w:tab w:pos="390" w:val="left"/>
        </w:tabs>
        <w:bidi w:val="0"/>
        <w:spacing w:before="0" w:after="0" w:line="312" w:lineRule="exact"/>
        <w:ind w:left="0" w:right="0" w:firstLine="0"/>
        <w:jc w:val="left"/>
      </w:pPr>
      <w:bookmarkStart w:id="67" w:name="bookmark67"/>
      <w:r>
        <w:rPr>
          <w:b/>
          <w:bCs/>
          <w:color w:val="000000"/>
          <w:spacing w:val="0"/>
          <w:w w:val="100"/>
          <w:position w:val="0"/>
        </w:rPr>
        <w:t>（</w:t>
      </w:r>
      <w:bookmarkEnd w:id="67"/>
      <w:r>
        <w:rPr>
          <w:rFonts w:ascii="Times New Roman" w:eastAsia="Times New Roman" w:hAnsi="Times New Roman" w:cs="Times New Roman"/>
          <w:b/>
          <w:bCs/>
          <w:color w:val="000000"/>
          <w:spacing w:val="0"/>
          <w:w w:val="100"/>
          <w:position w:val="0"/>
          <w:sz w:val="17"/>
          <w:szCs w:val="17"/>
        </w:rPr>
        <w:t>2</w:t>
      </w:r>
      <w:r>
        <w:rPr>
          <w:b/>
          <w:bCs/>
          <w:color w:val="000000"/>
          <w:spacing w:val="0"/>
          <w:w w:val="100"/>
          <w:position w:val="0"/>
        </w:rPr>
        <w:t>）</w:t>
        <w:tab/>
        <w:t>产品平台研发情况</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为了更好地支撑市场拓展，保障项目和解决方案的交付，公司在报告期继续加强产品研发和质量管理方面的工作，落实 推进软件交付过程改进计划，强化了版本管理策略、交付管理流程，在提升研发生产效率的同时，切实抓好产品质量检验专 项工作；全面展开项目实施需求改进工作，稳步加快项目交付进度。</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公司自主研发的久其</w:t>
      </w:r>
      <w:r>
        <w:rPr>
          <w:rFonts w:ascii="Times New Roman" w:eastAsia="Times New Roman" w:hAnsi="Times New Roman" w:cs="Times New Roman"/>
          <w:color w:val="000000"/>
          <w:spacing w:val="0"/>
          <w:w w:val="100"/>
          <w:position w:val="0"/>
        </w:rPr>
        <w:t>DNA</w:t>
      </w:r>
      <w:r>
        <w:rPr>
          <w:color w:val="000000"/>
          <w:spacing w:val="0"/>
          <w:w w:val="100"/>
          <w:position w:val="0"/>
        </w:rPr>
        <w:t>是支撑公司主要业务的研发平台，报告期，久其</w:t>
      </w:r>
      <w:r>
        <w:rPr>
          <w:rFonts w:ascii="Times New Roman" w:eastAsia="Times New Roman" w:hAnsi="Times New Roman" w:cs="Times New Roman"/>
          <w:color w:val="000000"/>
          <w:spacing w:val="0"/>
          <w:w w:val="100"/>
          <w:position w:val="0"/>
        </w:rPr>
        <w:t>DNA</w:t>
      </w:r>
      <w:r>
        <w:rPr>
          <w:color w:val="000000"/>
          <w:spacing w:val="0"/>
          <w:w w:val="100"/>
          <w:position w:val="0"/>
        </w:rPr>
        <w:t xml:space="preserve">不断更新完善，其功能性、开放性和安 全性逐渐增强，稳定性和执行效率大幅提升，并且通过提升工作流组件、开发移动终端产品等，有效强化了 </w:t>
      </w:r>
      <w:r>
        <w:rPr>
          <w:rFonts w:ascii="Times New Roman" w:eastAsia="Times New Roman" w:hAnsi="Times New Roman" w:cs="Times New Roman"/>
          <w:color w:val="000000"/>
          <w:spacing w:val="0"/>
          <w:w w:val="100"/>
          <w:position w:val="0"/>
        </w:rPr>
        <w:t>DNA</w:t>
      </w:r>
      <w:r>
        <w:rPr>
          <w:color w:val="000000"/>
          <w:spacing w:val="0"/>
          <w:w w:val="100"/>
          <w:position w:val="0"/>
        </w:rPr>
        <w:t xml:space="preserve">平台的产 品研发能力和业务支撑能力。此外，通过深入与数据库厂商的技术合作，拓展了 </w:t>
      </w:r>
      <w:r>
        <w:rPr>
          <w:rFonts w:ascii="Times New Roman" w:eastAsia="Times New Roman" w:hAnsi="Times New Roman" w:cs="Times New Roman"/>
          <w:color w:val="000000"/>
          <w:spacing w:val="0"/>
          <w:w w:val="100"/>
          <w:position w:val="0"/>
        </w:rPr>
        <w:t>DNA</w:t>
      </w:r>
      <w:r>
        <w:rPr>
          <w:color w:val="000000"/>
          <w:spacing w:val="0"/>
          <w:w w:val="100"/>
          <w:position w:val="0"/>
        </w:rPr>
        <w:t>平台支持不同厂商数据库的能力，同 时公司也开始面向外部研发团队提供</w:t>
      </w:r>
      <w:r>
        <w:rPr>
          <w:rFonts w:ascii="Times New Roman" w:eastAsia="Times New Roman" w:hAnsi="Times New Roman" w:cs="Times New Roman"/>
          <w:color w:val="000000"/>
          <w:spacing w:val="0"/>
          <w:w w:val="100"/>
          <w:position w:val="0"/>
        </w:rPr>
        <w:t>DNA</w:t>
      </w:r>
      <w:r>
        <w:rPr>
          <w:color w:val="000000"/>
          <w:spacing w:val="0"/>
          <w:w w:val="100"/>
          <w:position w:val="0"/>
        </w:rPr>
        <w:t>平台及相关培训和支持服务，为久其</w:t>
      </w:r>
      <w:r>
        <w:rPr>
          <w:rFonts w:ascii="Times New Roman" w:eastAsia="Times New Roman" w:hAnsi="Times New Roman" w:cs="Times New Roman"/>
          <w:color w:val="000000"/>
          <w:spacing w:val="0"/>
          <w:w w:val="100"/>
          <w:position w:val="0"/>
        </w:rPr>
        <w:t>DNA</w:t>
      </w:r>
      <w:r>
        <w:rPr>
          <w:color w:val="000000"/>
          <w:spacing w:val="0"/>
          <w:w w:val="100"/>
          <w:position w:val="0"/>
        </w:rPr>
        <w:t>在业内的成长与发展打好基础。</w:t>
      </w:r>
    </w:p>
    <w:p>
      <w:pPr>
        <w:pStyle w:val="Style35"/>
        <w:keepNext w:val="0"/>
        <w:keepLines w:val="0"/>
        <w:widowControl w:val="0"/>
        <w:shd w:val="clear" w:color="auto" w:fill="auto"/>
        <w:bidi w:val="0"/>
        <w:spacing w:before="0" w:after="300" w:line="312" w:lineRule="exact"/>
        <w:ind w:left="0" w:right="0"/>
        <w:jc w:val="left"/>
      </w:pPr>
      <w:r>
        <w:rPr>
          <w:color w:val="000000"/>
          <w:spacing w:val="0"/>
          <w:w w:val="100"/>
          <w:position w:val="0"/>
        </w:rPr>
        <w:t>报告期，久其报表完成了两代产品的整合升级，优化了报表体系的设计和部署，实现了完整的多主线统计、多数据版本、 多工作底稿方案、增量部署等新的功能和特征，大大拓展了报表产品线的应用领域，并且通过交通、军工等领域大型项目的 实施落地，为未来的市场推广奠定了良好的基础。久其</w:t>
      </w:r>
      <w:r>
        <w:rPr>
          <w:rFonts w:ascii="Times New Roman" w:eastAsia="Times New Roman" w:hAnsi="Times New Roman" w:cs="Times New Roman"/>
          <w:color w:val="000000"/>
          <w:spacing w:val="0"/>
          <w:w w:val="100"/>
          <w:position w:val="0"/>
        </w:rPr>
        <w:t>BI</w:t>
      </w:r>
      <w:r>
        <w:rPr>
          <w:color w:val="000000"/>
          <w:spacing w:val="0"/>
          <w:w w:val="100"/>
          <w:position w:val="0"/>
        </w:rPr>
        <w:t>以用户需求和市场热点为导向，在基于地理位置的</w:t>
      </w:r>
      <w:r>
        <w:rPr>
          <w:rFonts w:ascii="Times New Roman" w:eastAsia="Times New Roman" w:hAnsi="Times New Roman" w:cs="Times New Roman"/>
          <w:color w:val="000000"/>
          <w:spacing w:val="0"/>
          <w:w w:val="100"/>
          <w:position w:val="0"/>
        </w:rPr>
        <w:t>GIS</w:t>
      </w:r>
      <w:r>
        <w:rPr>
          <w:color w:val="000000"/>
          <w:spacing w:val="0"/>
          <w:w w:val="100"/>
          <w:position w:val="0"/>
        </w:rPr>
        <w:t>分析、移动 应用、自动化分析报告、</w:t>
      </w:r>
      <w:r>
        <w:rPr>
          <w:rFonts w:ascii="Times New Roman" w:eastAsia="Times New Roman" w:hAnsi="Times New Roman" w:cs="Times New Roman"/>
          <w:color w:val="000000"/>
          <w:spacing w:val="0"/>
          <w:w w:val="100"/>
          <w:position w:val="0"/>
        </w:rPr>
        <w:t>Hadoop</w:t>
      </w:r>
      <w:r>
        <w:rPr>
          <w:color w:val="000000"/>
          <w:spacing w:val="0"/>
          <w:w w:val="100"/>
          <w:position w:val="0"/>
        </w:rPr>
        <w:t>数据抽取整合等领域重点发力，取得了较大突破，提升了公司</w:t>
      </w:r>
      <w:r>
        <w:rPr>
          <w:rFonts w:ascii="Times New Roman" w:eastAsia="Times New Roman" w:hAnsi="Times New Roman" w:cs="Times New Roman"/>
          <w:color w:val="000000"/>
          <w:spacing w:val="0"/>
          <w:w w:val="100"/>
          <w:position w:val="0"/>
        </w:rPr>
        <w:t>BI</w:t>
      </w:r>
      <w:r>
        <w:rPr>
          <w:color w:val="000000"/>
          <w:spacing w:val="0"/>
          <w:w w:val="100"/>
          <w:position w:val="0"/>
        </w:rPr>
        <w:t>产品平台的用户体验和复 杂</w:t>
      </w:r>
      <w:r>
        <w:rPr>
          <w:rFonts w:ascii="Times New Roman" w:eastAsia="Times New Roman" w:hAnsi="Times New Roman" w:cs="Times New Roman"/>
          <w:color w:val="000000"/>
          <w:spacing w:val="0"/>
          <w:w w:val="100"/>
          <w:position w:val="0"/>
        </w:rPr>
        <w:t>IT</w:t>
      </w:r>
      <w:r>
        <w:rPr>
          <w:color w:val="000000"/>
          <w:spacing w:val="0"/>
          <w:w w:val="100"/>
          <w:position w:val="0"/>
        </w:rPr>
        <w:t>环境的集成能力，有效支撑教育、电信、交通和工程建设等多个领域的大型项目落地推广。当前</w:t>
      </w:r>
      <w:r>
        <w:rPr>
          <w:rFonts w:ascii="Times New Roman" w:eastAsia="Times New Roman" w:hAnsi="Times New Roman" w:cs="Times New Roman"/>
          <w:color w:val="000000"/>
          <w:spacing w:val="0"/>
          <w:w w:val="100"/>
          <w:position w:val="0"/>
        </w:rPr>
        <w:t>IT</w:t>
      </w:r>
      <w:r>
        <w:rPr>
          <w:color w:val="000000"/>
          <w:spacing w:val="0"/>
          <w:w w:val="100"/>
          <w:position w:val="0"/>
        </w:rPr>
        <w:t>技术正朝着云计算、 大数据、移动互联等方向迅猛发展，应公司发展战略要求，报告期末公司对组织机构进行优化调整，基于报表与商业智能两 个产品线组建了大数据事业部，借助公司在报表领域多年的市场优势和在商业智能领域的产品技术优势，为政府和企业集团 管理各种规模的业务数据提供全方位的大数据解决方案。</w:t>
      </w:r>
    </w:p>
    <w:p>
      <w:pPr>
        <w:pStyle w:val="Style35"/>
        <w:keepNext w:val="0"/>
        <w:keepLines w:val="0"/>
        <w:widowControl w:val="0"/>
        <w:shd w:val="clear" w:color="auto" w:fill="auto"/>
        <w:tabs>
          <w:tab w:pos="390" w:val="left"/>
        </w:tabs>
        <w:bidi w:val="0"/>
        <w:spacing w:before="0" w:after="0" w:line="312" w:lineRule="exact"/>
        <w:ind w:left="0" w:right="0" w:firstLine="0"/>
        <w:jc w:val="left"/>
      </w:pPr>
      <w:bookmarkStart w:id="68" w:name="bookmark68"/>
      <w:r>
        <w:rPr>
          <w:b/>
          <w:bCs/>
          <w:color w:val="000000"/>
          <w:spacing w:val="0"/>
          <w:w w:val="100"/>
          <w:position w:val="0"/>
        </w:rPr>
        <w:t>（</w:t>
      </w:r>
      <w:bookmarkEnd w:id="68"/>
      <w:r>
        <w:rPr>
          <w:rFonts w:ascii="Times New Roman" w:eastAsia="Times New Roman" w:hAnsi="Times New Roman" w:cs="Times New Roman"/>
          <w:b/>
          <w:bCs/>
          <w:color w:val="000000"/>
          <w:spacing w:val="0"/>
          <w:w w:val="100"/>
          <w:position w:val="0"/>
          <w:sz w:val="17"/>
          <w:szCs w:val="17"/>
        </w:rPr>
        <w:t>3</w:t>
      </w:r>
      <w:r>
        <w:rPr>
          <w:b/>
          <w:bCs/>
          <w:color w:val="000000"/>
          <w:spacing w:val="0"/>
          <w:w w:val="100"/>
          <w:position w:val="0"/>
        </w:rPr>
        <w:t>）</w:t>
        <w:tab/>
        <w:t>项目监管工作情况</w:t>
      </w:r>
    </w:p>
    <w:p>
      <w:pPr>
        <w:pStyle w:val="Style35"/>
        <w:keepNext w:val="0"/>
        <w:keepLines w:val="0"/>
        <w:widowControl w:val="0"/>
        <w:shd w:val="clear" w:color="auto" w:fill="auto"/>
        <w:bidi w:val="0"/>
        <w:spacing w:before="0" w:after="300" w:line="312" w:lineRule="exact"/>
        <w:ind w:left="0" w:right="0"/>
        <w:jc w:val="both"/>
      </w:pPr>
      <w:r>
        <w:rPr>
          <w:color w:val="000000"/>
          <w:spacing w:val="0"/>
          <w:w w:val="100"/>
          <w:position w:val="0"/>
        </w:rPr>
        <w:t>公司主营业务主要以面向客户的定制化软件开发项目的方式展开。报告期，公司深入贯彻落实一体化项目监管措施，继 续完善销售、售前、开发、实施、验收、维护等项目各环节的管理控制，切实保障项目进展，有效支撑了年度业绩目标的达 成。通过加强项目立项及售后维保管理，以及建立项目变更管理机制，及时有效应对可能发生的项目风险。对项目问题的处 理措施由集中排查和专项治理逐渐向定期化、日常化转变，通过项目跟踪反馈机制，及时发现项目延期或疑难问题情况，并 采用专题讨论会的方式制定可行的解决方案或计划，全力确保项目进展。同时启动了项目实施效率改进工作，并推出了实施 与研发项目一体化激励制度，旨在进一步强化前后台的协同性，促进公司整体项目交付能力的不断提升。</w:t>
      </w:r>
    </w:p>
    <w:p>
      <w:pPr>
        <w:pStyle w:val="Style35"/>
        <w:keepNext w:val="0"/>
        <w:keepLines w:val="0"/>
        <w:widowControl w:val="0"/>
        <w:shd w:val="clear" w:color="auto" w:fill="auto"/>
        <w:tabs>
          <w:tab w:pos="390" w:val="left"/>
        </w:tabs>
        <w:bidi w:val="0"/>
        <w:spacing w:before="0" w:after="0" w:line="314" w:lineRule="exact"/>
        <w:ind w:left="0" w:right="0" w:firstLine="0"/>
        <w:jc w:val="left"/>
      </w:pPr>
      <w:bookmarkStart w:id="69" w:name="bookmark69"/>
      <w:r>
        <w:rPr>
          <w:b/>
          <w:bCs/>
          <w:color w:val="000000"/>
          <w:spacing w:val="0"/>
          <w:w w:val="100"/>
          <w:position w:val="0"/>
        </w:rPr>
        <w:t>（</w:t>
      </w:r>
      <w:bookmarkEnd w:id="69"/>
      <w:r>
        <w:rPr>
          <w:rFonts w:ascii="Times New Roman" w:eastAsia="Times New Roman" w:hAnsi="Times New Roman" w:cs="Times New Roman"/>
          <w:b/>
          <w:bCs/>
          <w:color w:val="000000"/>
          <w:spacing w:val="0"/>
          <w:w w:val="100"/>
          <w:position w:val="0"/>
          <w:sz w:val="17"/>
          <w:szCs w:val="17"/>
        </w:rPr>
        <w:t>4</w:t>
      </w:r>
      <w:r>
        <w:rPr>
          <w:b/>
          <w:bCs/>
          <w:color w:val="000000"/>
          <w:spacing w:val="0"/>
          <w:w w:val="100"/>
          <w:position w:val="0"/>
        </w:rPr>
        <w:t>）</w:t>
        <w:tab/>
        <w:t>人力资源管理及增效工作情况</w:t>
      </w:r>
    </w:p>
    <w:p>
      <w:pPr>
        <w:pStyle w:val="Style35"/>
        <w:keepNext w:val="0"/>
        <w:keepLines w:val="0"/>
        <w:widowControl w:val="0"/>
        <w:shd w:val="clear" w:color="auto" w:fill="auto"/>
        <w:bidi w:val="0"/>
        <w:spacing w:before="0" w:after="40" w:line="314" w:lineRule="exact"/>
        <w:ind w:left="0" w:right="0"/>
        <w:jc w:val="both"/>
      </w:pPr>
      <w:r>
        <w:rPr>
          <w:color w:val="000000"/>
          <w:spacing w:val="0"/>
          <w:w w:val="100"/>
          <w:position w:val="0"/>
        </w:rPr>
        <w:t xml:space="preserve">提高人均产出对软件企业增效具有关键意义，同时也是公司人力资源战略的重要目标。报告期初，公司结合发展战略和 经营管理需求启动了 </w:t>
      </w:r>
      <w:r>
        <w:rPr>
          <w:rFonts w:ascii="Times New Roman" w:eastAsia="Times New Roman" w:hAnsi="Times New Roman" w:cs="Times New Roman"/>
          <w:color w:val="000000"/>
          <w:spacing w:val="0"/>
          <w:w w:val="100"/>
          <w:position w:val="0"/>
        </w:rPr>
        <w:t>“</w:t>
      </w:r>
      <w:r>
        <w:rPr>
          <w:color w:val="000000"/>
          <w:spacing w:val="0"/>
          <w:w w:val="100"/>
          <w:position w:val="0"/>
        </w:rPr>
        <w:t>人员优化</w:t>
      </w:r>
      <w:r>
        <w:rPr>
          <w:rFonts w:ascii="Times New Roman" w:eastAsia="Times New Roman" w:hAnsi="Times New Roman" w:cs="Times New Roman"/>
          <w:color w:val="000000"/>
          <w:spacing w:val="0"/>
          <w:w w:val="100"/>
          <w:position w:val="0"/>
        </w:rPr>
        <w:t>”</w:t>
      </w:r>
      <w:r>
        <w:rPr>
          <w:color w:val="000000"/>
          <w:spacing w:val="0"/>
          <w:w w:val="100"/>
          <w:position w:val="0"/>
        </w:rPr>
        <w:t xml:space="preserve">工作，通过调整优化人员结构、提升人员工作技能、规范人员借调管理、提升人员复用性、 下放人事管理权限、提高人员招聘门槛、积极引进高级人才、加强培训体系建设、改进绩效激励机制等举措，在实现人均产 </w:t>
      </w:r>
      <w:r>
        <w:rPr>
          <w:color w:val="000000"/>
          <w:spacing w:val="0"/>
          <w:w w:val="100"/>
          <w:position w:val="0"/>
        </w:rPr>
        <w:t>出提升的同时，亦使公司人力成本及相关费用增长得到了有效控制。</w:t>
      </w:r>
    </w:p>
    <w:p>
      <w:pPr>
        <w:pStyle w:val="Style35"/>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以上的差异原因</w:t>
      </w:r>
    </w:p>
    <w:p>
      <w:pPr>
        <w:pStyle w:val="Style35"/>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260" w:line="240" w:lineRule="auto"/>
        <w:ind w:left="0" w:right="0" w:firstLine="0"/>
        <w:jc w:val="left"/>
      </w:pPr>
      <w:bookmarkStart w:id="70" w:name="bookmark70"/>
      <w:bookmarkStart w:id="71" w:name="bookmark71"/>
      <w:bookmarkStart w:id="72" w:name="bookmark72"/>
      <w:bookmarkStart w:id="73" w:name="bookmark73"/>
      <w:r>
        <w:rPr>
          <w:rFonts w:ascii="Times New Roman" w:eastAsia="Times New Roman" w:hAnsi="Times New Roman" w:cs="Times New Roman"/>
          <w:color w:val="000000"/>
          <w:spacing w:val="0"/>
          <w:w w:val="100"/>
          <w:position w:val="0"/>
        </w:rPr>
        <w:t>2</w:t>
      </w:r>
      <w:bookmarkEnd w:id="72"/>
      <w:r>
        <w:rPr>
          <w:color w:val="000000"/>
          <w:spacing w:val="0"/>
          <w:w w:val="100"/>
          <w:position w:val="0"/>
        </w:rPr>
        <w:t>、收入</w:t>
      </w:r>
      <w:bookmarkEnd w:id="70"/>
      <w:bookmarkEnd w:id="71"/>
      <w:bookmarkEnd w:id="73"/>
    </w:p>
    <w:p>
      <w:pPr>
        <w:pStyle w:val="Style35"/>
        <w:keepNext w:val="0"/>
        <w:keepLines w:val="0"/>
        <w:widowControl w:val="0"/>
        <w:shd w:val="clear" w:color="auto" w:fill="auto"/>
        <w:bidi w:val="0"/>
        <w:spacing w:before="0" w:after="40" w:line="310" w:lineRule="exact"/>
        <w:ind w:left="0" w:right="0" w:firstLine="0"/>
        <w:jc w:val="left"/>
      </w:pPr>
      <w:r>
        <w:rPr>
          <w:color w:val="000000"/>
          <w:spacing w:val="0"/>
          <w:w w:val="100"/>
          <w:position w:val="0"/>
        </w:rPr>
        <w:t>说明</w:t>
      </w:r>
    </w:p>
    <w:p>
      <w:pPr>
        <w:pStyle w:val="Style35"/>
        <w:keepNext w:val="0"/>
        <w:keepLines w:val="0"/>
        <w:widowControl w:val="0"/>
        <w:shd w:val="clear" w:color="auto" w:fill="auto"/>
        <w:bidi w:val="0"/>
        <w:spacing w:before="0" w:after="40" w:line="310" w:lineRule="exact"/>
        <w:ind w:left="0" w:right="0" w:firstLine="460"/>
        <w:jc w:val="left"/>
      </w:pPr>
      <w:r>
        <w:rPr>
          <w:color w:val="000000"/>
          <w:spacing w:val="0"/>
          <w:w w:val="100"/>
          <w:position w:val="0"/>
        </w:rPr>
        <w:t>本报告期，公司主营业务拓展稳步推进，全年实现营业收入</w:t>
      </w:r>
      <w:r>
        <w:rPr>
          <w:rFonts w:ascii="Times New Roman" w:eastAsia="Times New Roman" w:hAnsi="Times New Roman" w:cs="Times New Roman"/>
          <w:color w:val="000000"/>
          <w:spacing w:val="0"/>
          <w:w w:val="100"/>
          <w:position w:val="0"/>
        </w:rPr>
        <w:t>28,954.55</w:t>
      </w:r>
      <w:r>
        <w:rPr>
          <w:color w:val="000000"/>
          <w:spacing w:val="0"/>
          <w:w w:val="100"/>
          <w:position w:val="0"/>
        </w:rPr>
        <w:t>万元，其中主营业务收入</w:t>
      </w:r>
      <w:r>
        <w:rPr>
          <w:rFonts w:ascii="Times New Roman" w:eastAsia="Times New Roman" w:hAnsi="Times New Roman" w:cs="Times New Roman"/>
          <w:color w:val="000000"/>
          <w:spacing w:val="0"/>
          <w:w w:val="100"/>
          <w:position w:val="0"/>
        </w:rPr>
        <w:t>28,877.45</w:t>
      </w:r>
      <w:r>
        <w:rPr>
          <w:color w:val="000000"/>
          <w:spacing w:val="0"/>
          <w:w w:val="100"/>
          <w:position w:val="0"/>
        </w:rPr>
        <w:t>万元，较上年 增长</w:t>
      </w:r>
      <w:r>
        <w:rPr>
          <w:rFonts w:ascii="Times New Roman" w:eastAsia="Times New Roman" w:hAnsi="Times New Roman" w:cs="Times New Roman"/>
          <w:color w:val="000000"/>
          <w:spacing w:val="0"/>
          <w:w w:val="100"/>
          <w:position w:val="0"/>
        </w:rPr>
        <w:t>17.12%</w:t>
      </w:r>
      <w:r>
        <w:rPr>
          <w:color w:val="000000"/>
          <w:spacing w:val="0"/>
          <w:w w:val="100"/>
          <w:position w:val="0"/>
        </w:rPr>
        <w:t>。分行业看，其中电子政务业务收入</w:t>
      </w:r>
      <w:r>
        <w:rPr>
          <w:rFonts w:ascii="Times New Roman" w:eastAsia="Times New Roman" w:hAnsi="Times New Roman" w:cs="Times New Roman"/>
          <w:color w:val="000000"/>
          <w:spacing w:val="0"/>
          <w:w w:val="100"/>
          <w:position w:val="0"/>
        </w:rPr>
        <w:t>15,117.91</w:t>
      </w:r>
      <w:r>
        <w:rPr>
          <w:color w:val="000000"/>
          <w:spacing w:val="0"/>
          <w:w w:val="100"/>
          <w:position w:val="0"/>
        </w:rPr>
        <w:t>万元，同比增长</w:t>
      </w:r>
      <w:r>
        <w:rPr>
          <w:rFonts w:ascii="Times New Roman" w:eastAsia="Times New Roman" w:hAnsi="Times New Roman" w:cs="Times New Roman"/>
          <w:color w:val="000000"/>
          <w:spacing w:val="0"/>
          <w:w w:val="100"/>
          <w:position w:val="0"/>
        </w:rPr>
        <w:t xml:space="preserve">36.20% </w:t>
      </w:r>
      <w:r>
        <w:rPr>
          <w:color w:val="000000"/>
          <w:spacing w:val="0"/>
          <w:w w:val="100"/>
          <w:position w:val="0"/>
        </w:rPr>
        <w:t>；集团管控业务收入</w:t>
      </w:r>
      <w:r>
        <w:rPr>
          <w:rFonts w:ascii="Times New Roman" w:eastAsia="Times New Roman" w:hAnsi="Times New Roman" w:cs="Times New Roman"/>
          <w:color w:val="000000"/>
          <w:spacing w:val="0"/>
          <w:w w:val="100"/>
          <w:position w:val="0"/>
        </w:rPr>
        <w:t>12,795.53</w:t>
      </w:r>
      <w:r>
        <w:rPr>
          <w:color w:val="000000"/>
          <w:spacing w:val="0"/>
          <w:w w:val="100"/>
          <w:position w:val="0"/>
        </w:rPr>
        <w:t>万元，同比 增长</w:t>
      </w:r>
      <w:r>
        <w:rPr>
          <w:rFonts w:ascii="Times New Roman" w:eastAsia="Times New Roman" w:hAnsi="Times New Roman" w:cs="Times New Roman"/>
          <w:color w:val="000000"/>
          <w:spacing w:val="0"/>
          <w:w w:val="100"/>
          <w:position w:val="0"/>
        </w:rPr>
        <w:t>0.84%</w:t>
      </w:r>
      <w:r>
        <w:rPr>
          <w:color w:val="000000"/>
          <w:spacing w:val="0"/>
          <w:w w:val="100"/>
          <w:position w:val="0"/>
        </w:rPr>
        <w:t>；中小企业业务收入</w:t>
      </w:r>
      <w:r>
        <w:rPr>
          <w:rFonts w:ascii="Times New Roman" w:eastAsia="Times New Roman" w:hAnsi="Times New Roman" w:cs="Times New Roman"/>
          <w:color w:val="000000"/>
          <w:spacing w:val="0"/>
          <w:w w:val="100"/>
          <w:position w:val="0"/>
        </w:rPr>
        <w:t>964.01</w:t>
      </w:r>
      <w:r>
        <w:rPr>
          <w:color w:val="000000"/>
          <w:spacing w:val="0"/>
          <w:w w:val="100"/>
          <w:position w:val="0"/>
        </w:rPr>
        <w:t>万元，同比增长</w:t>
      </w:r>
      <w:r>
        <w:rPr>
          <w:rFonts w:ascii="Times New Roman" w:eastAsia="Times New Roman" w:hAnsi="Times New Roman" w:cs="Times New Roman"/>
          <w:color w:val="000000"/>
          <w:spacing w:val="0"/>
          <w:w w:val="100"/>
          <w:position w:val="0"/>
        </w:rPr>
        <w:t>11.29%</w:t>
      </w:r>
      <w:r>
        <w:rPr>
          <w:color w:val="000000"/>
          <w:spacing w:val="0"/>
          <w:w w:val="100"/>
          <w:position w:val="0"/>
        </w:rPr>
        <w:t>。分产品看，其中软件销售收入</w:t>
      </w:r>
      <w:r>
        <w:rPr>
          <w:rFonts w:ascii="Times New Roman" w:eastAsia="Times New Roman" w:hAnsi="Times New Roman" w:cs="Times New Roman"/>
          <w:color w:val="000000"/>
          <w:spacing w:val="0"/>
          <w:w w:val="100"/>
          <w:position w:val="0"/>
        </w:rPr>
        <w:t>16,853.33</w:t>
      </w:r>
      <w:r>
        <w:rPr>
          <w:color w:val="000000"/>
          <w:spacing w:val="0"/>
          <w:w w:val="100"/>
          <w:position w:val="0"/>
        </w:rPr>
        <w:t>万元，同比增长</w:t>
      </w:r>
      <w:r>
        <w:rPr>
          <w:rFonts w:ascii="Times New Roman" w:eastAsia="Times New Roman" w:hAnsi="Times New Roman" w:cs="Times New Roman"/>
          <w:color w:val="000000"/>
          <w:spacing w:val="0"/>
          <w:w w:val="100"/>
          <w:position w:val="0"/>
        </w:rPr>
        <w:t>16.76%</w:t>
      </w:r>
      <w:r>
        <w:rPr>
          <w:color w:val="000000"/>
          <w:spacing w:val="0"/>
          <w:w w:val="100"/>
          <w:position w:val="0"/>
        </w:rPr>
        <w:t>； 技术服务收入</w:t>
      </w:r>
      <w:r>
        <w:rPr>
          <w:rFonts w:ascii="Times New Roman" w:eastAsia="Times New Roman" w:hAnsi="Times New Roman" w:cs="Times New Roman"/>
          <w:color w:val="000000"/>
          <w:spacing w:val="0"/>
          <w:w w:val="100"/>
          <w:position w:val="0"/>
        </w:rPr>
        <w:t>11,797.16</w:t>
      </w:r>
      <w:r>
        <w:rPr>
          <w:color w:val="000000"/>
          <w:spacing w:val="0"/>
          <w:w w:val="100"/>
          <w:position w:val="0"/>
        </w:rPr>
        <w:t>万元，同比增长</w:t>
      </w:r>
      <w:r>
        <w:rPr>
          <w:rFonts w:ascii="Times New Roman" w:eastAsia="Times New Roman" w:hAnsi="Times New Roman" w:cs="Times New Roman"/>
          <w:color w:val="000000"/>
          <w:spacing w:val="0"/>
          <w:w w:val="100"/>
          <w:position w:val="0"/>
        </w:rPr>
        <w:t>18.37%</w:t>
      </w:r>
      <w:r>
        <w:rPr>
          <w:color w:val="000000"/>
          <w:spacing w:val="0"/>
          <w:w w:val="100"/>
          <w:position w:val="0"/>
        </w:rPr>
        <w:t>；硬件销售收入</w:t>
      </w:r>
      <w:r>
        <w:rPr>
          <w:rFonts w:ascii="Times New Roman" w:eastAsia="Times New Roman" w:hAnsi="Times New Roman" w:cs="Times New Roman"/>
          <w:color w:val="000000"/>
          <w:spacing w:val="0"/>
          <w:w w:val="100"/>
          <w:position w:val="0"/>
        </w:rPr>
        <w:t>226.96</w:t>
      </w:r>
      <w:r>
        <w:rPr>
          <w:color w:val="000000"/>
          <w:spacing w:val="0"/>
          <w:w w:val="100"/>
          <w:position w:val="0"/>
        </w:rPr>
        <w:t>万元，同比减少</w:t>
      </w:r>
      <w:r>
        <w:rPr>
          <w:rFonts w:ascii="Times New Roman" w:eastAsia="Times New Roman" w:hAnsi="Times New Roman" w:cs="Times New Roman"/>
          <w:color w:val="000000"/>
          <w:spacing w:val="0"/>
          <w:w w:val="100"/>
          <w:position w:val="0"/>
        </w:rPr>
        <w:t>10.83%</w:t>
      </w:r>
      <w:r>
        <w:rPr>
          <w:color w:val="000000"/>
          <w:spacing w:val="0"/>
          <w:w w:val="100"/>
          <w:position w:val="0"/>
        </w:rPr>
        <w:t>。</w:t>
      </w:r>
    </w:p>
    <w:p>
      <w:pPr>
        <w:pStyle w:val="Style35"/>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公司实物销售收入是否大于劳务收入</w:t>
      </w:r>
    </w:p>
    <w:p>
      <w:pPr>
        <w:pStyle w:val="Style3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公司重大的在手订单情况</w:t>
      </w:r>
    </w:p>
    <w:p>
      <w:pPr>
        <w:pStyle w:val="Style3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公司报告期内产品或服务发生重大变化或调整有关情况</w:t>
      </w:r>
    </w:p>
    <w:p>
      <w:pPr>
        <w:pStyle w:val="Style3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58"/>
        <w:gridCol w:w="5323"/>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34,067,106.42</w:t>
            </w:r>
          </w:p>
        </w:tc>
      </w:tr>
      <w:tr>
        <w:trPr>
          <w:trHeight w:val="413"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11.77%</w:t>
            </w:r>
          </w:p>
        </w:tc>
      </w:tr>
    </w:tbl>
    <w:p>
      <w:pPr>
        <w:widowControl w:val="0"/>
        <w:spacing w:after="3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806"/>
        <w:gridCol w:w="3298"/>
        <w:gridCol w:w="2323"/>
        <w:gridCol w:w="315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8,906,489.10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3.08%</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7,520,566.04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2.07%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5,860,051.28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2.02%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5,780,000.00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34,067,106.42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3</w:t>
      </w:r>
      <w:bookmarkEnd w:id="76"/>
      <w:r>
        <w:rPr>
          <w:color w:val="000000"/>
          <w:spacing w:val="0"/>
          <w:w w:val="100"/>
          <w:position w:val="0"/>
        </w:rPr>
        <w:t>、成本</w:t>
      </w:r>
      <w:bookmarkEnd w:id="74"/>
      <w:bookmarkEnd w:id="75"/>
      <w:bookmarkEnd w:id="77"/>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占营业成本比重</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占营业成本比重</w:t>
            </w:r>
          </w:p>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电子政务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3,737,821.88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5,220,045.00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-28.39%</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3"/>
      </w:tblGrid>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集团管控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3,234,015.90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3,367,459.38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863,035.91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538,361.25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60.31%</w:t>
            </w:r>
          </w:p>
        </w:tc>
      </w:tr>
      <w:tr>
        <w:trPr>
          <w:trHeight w:val="41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380"/>
              <w:jc w:val="both"/>
            </w:pPr>
            <w:r>
              <w:rPr>
                <w:rFonts w:ascii="Times New Roman" w:eastAsia="Times New Roman" w:hAnsi="Times New Roman" w:cs="Times New Roman"/>
                <w:color w:val="000000"/>
                <w:spacing w:val="0"/>
                <w:w w:val="100"/>
                <w:position w:val="0"/>
              </w:rPr>
              <w:t>7,834,873.69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380"/>
              <w:jc w:val="left"/>
            </w:pPr>
            <w:r>
              <w:rPr>
                <w:rFonts w:ascii="Times New Roman" w:eastAsia="Times New Roman" w:hAnsi="Times New Roman" w:cs="Times New Roman"/>
                <w:color w:val="000000"/>
                <w:spacing w:val="0"/>
                <w:w w:val="100"/>
                <w:position w:val="0"/>
              </w:rPr>
              <w:t>9,125,865.63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-14.15%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9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占营业成本比重</w:t>
            </w:r>
          </w:p>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占营业成本比重</w:t>
            </w:r>
          </w:p>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1,377,426.93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1,626,208.96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2,151,657.67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2,292,690.21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25.12%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4,305,789.09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5,206,966.46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57.06%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-17.31%</w:t>
            </w:r>
          </w:p>
        </w:tc>
      </w:tr>
      <w:tr>
        <w:trPr>
          <w:trHeight w:val="40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7,834,873.69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9,125,865.63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35"/>
        <w:keepNext w:val="0"/>
        <w:keepLines w:val="0"/>
        <w:widowControl w:val="0"/>
        <w:shd w:val="clear" w:color="auto" w:fill="auto"/>
        <w:bidi w:val="0"/>
        <w:spacing w:before="0" w:after="0" w:line="317" w:lineRule="exact"/>
        <w:ind w:left="0" w:right="0" w:firstLine="360"/>
        <w:jc w:val="left"/>
      </w:pPr>
      <w:r>
        <w:rPr>
          <w:color w:val="000000"/>
          <w:spacing w:val="0"/>
          <w:w w:val="100"/>
          <w:position w:val="0"/>
        </w:rPr>
        <w:t>软件企业的人工工资主要体现在管理费用和销售费用中，营业成本主要由光盘、印刷品等原材料、硬件商品及服务外包 费用构成。</w:t>
      </w:r>
    </w:p>
    <w:p>
      <w:pPr>
        <w:pStyle w:val="Style35"/>
        <w:keepNext w:val="0"/>
        <w:keepLines w:val="0"/>
        <w:widowControl w:val="0"/>
        <w:shd w:val="clear" w:color="auto" w:fill="auto"/>
        <w:bidi w:val="0"/>
        <w:spacing w:before="0" w:line="317" w:lineRule="exact"/>
        <w:ind w:left="0" w:right="0" w:firstLine="0"/>
        <w:jc w:val="left"/>
      </w:pPr>
      <w:r>
        <w:rPr>
          <w:color w:val="000000"/>
          <w:spacing w:val="0"/>
          <w:w w:val="100"/>
          <w:position w:val="0"/>
        </w:rPr>
        <w:t>公司主要供应商情况</w:t>
      </w:r>
    </w:p>
    <w:tbl>
      <w:tblPr>
        <w:tblOverlap w:val="never"/>
        <w:jc w:val="center"/>
        <w:tblLayout w:type="fixed"/>
      </w:tblPr>
      <w:tblGrid>
        <w:gridCol w:w="4258"/>
        <w:gridCol w:w="5323"/>
      </w:tblGrid>
      <w:tr>
        <w:trPr>
          <w:trHeight w:val="40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2,802,644.84</w:t>
            </w:r>
          </w:p>
        </w:tc>
      </w:tr>
      <w:tr>
        <w:trPr>
          <w:trHeight w:val="408"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23.41%</w:t>
            </w:r>
          </w:p>
        </w:tc>
      </w:tr>
    </w:tbl>
    <w:p>
      <w:pPr>
        <w:widowControl w:val="0"/>
        <w:spacing w:after="99" w:line="1" w:lineRule="exact"/>
      </w:pPr>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pStyle w:val="Style3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36"/>
        <w:gridCol w:w="3168"/>
        <w:gridCol w:w="2323"/>
        <w:gridCol w:w="315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769,230.79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6.43%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613,207.53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5.12%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524,528.28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4.38%</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461,538.24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3.86%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434,140.00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3.62%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2,802,644.84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23.41%</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78" w:name="bookmark78"/>
      <w:bookmarkStart w:id="79" w:name="bookmark79"/>
      <w:bookmarkStart w:id="80" w:name="bookmark80"/>
      <w:bookmarkStart w:id="81" w:name="bookmark81"/>
      <w:r>
        <w:rPr>
          <w:rFonts w:ascii="Times New Roman" w:eastAsia="Times New Roman" w:hAnsi="Times New Roman" w:cs="Times New Roman"/>
          <w:color w:val="000000"/>
          <w:spacing w:val="0"/>
          <w:w w:val="100"/>
          <w:position w:val="0"/>
        </w:rPr>
        <w:t>4</w:t>
      </w:r>
      <w:bookmarkEnd w:id="80"/>
      <w:r>
        <w:rPr>
          <w:color w:val="000000"/>
          <w:spacing w:val="0"/>
          <w:w w:val="100"/>
          <w:position w:val="0"/>
        </w:rPr>
        <w:t>、费用</w:t>
      </w:r>
      <w:bookmarkEnd w:id="78"/>
      <w:bookmarkEnd w:id="79"/>
      <w:bookmarkEnd w:id="8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6"/>
        <w:gridCol w:w="1877"/>
        <w:gridCol w:w="1699"/>
        <w:gridCol w:w="1560"/>
        <w:gridCol w:w="2986"/>
      </w:tblGrid>
      <w:tr>
        <w:trPr>
          <w:trHeight w:val="667"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120" w:line="240" w:lineRule="auto"/>
              <w:ind w:left="1180" w:right="0" w:firstLine="0"/>
              <w:jc w:val="left"/>
            </w:pPr>
            <w:r>
              <w:rPr>
                <w:color w:val="000000"/>
                <w:spacing w:val="0"/>
                <w:w w:val="100"/>
                <w:position w:val="0"/>
              </w:rPr>
              <w:t>项</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增减幅度超过</w:t>
            </w:r>
            <w:r>
              <w:rPr>
                <w:rFonts w:ascii="Times New Roman" w:eastAsia="Times New Roman" w:hAnsi="Times New Roman" w:cs="Times New Roman"/>
                <w:color w:val="000000"/>
                <w:spacing w:val="0"/>
                <w:w w:val="100"/>
                <w:position w:val="0"/>
              </w:rPr>
              <w:t>30%</w:t>
            </w:r>
            <w:r>
              <w:rPr>
                <w:color w:val="000000"/>
                <w:spacing w:val="0"/>
                <w:w w:val="100"/>
                <w:position w:val="0"/>
              </w:rPr>
              <w:t>的原因说明</w:t>
            </w:r>
          </w:p>
        </w:tc>
      </w:tr>
      <w:tr>
        <w:trPr>
          <w:trHeight w:val="350"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22,057,660.82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23,553,136.22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204,184,074.84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205,666,721.72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27"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财务费用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-3,226,552.73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-5,870,785.57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55"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所得税费用</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4,231,965.37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3,288,209.50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536"/>
        <w:gridCol w:w="1877"/>
        <w:gridCol w:w="1699"/>
        <w:gridCol w:w="1560"/>
        <w:gridCol w:w="2986"/>
      </w:tblGrid>
      <w:tr>
        <w:trPr>
          <w:trHeight w:val="442"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227,247,148.30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560"/>
              <w:jc w:val="left"/>
            </w:pPr>
            <w:r>
              <w:rPr>
                <w:rFonts w:ascii="Times New Roman" w:eastAsia="Times New Roman" w:hAnsi="Times New Roman" w:cs="Times New Roman"/>
                <w:color w:val="000000"/>
                <w:spacing w:val="0"/>
                <w:w w:val="100"/>
                <w:position w:val="0"/>
              </w:rPr>
              <w:t>226,637,281.87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619" w:line="1" w:lineRule="exact"/>
      </w:pPr>
    </w:p>
    <w:p>
      <w:pPr>
        <w:pStyle w:val="Style40"/>
        <w:keepNext/>
        <w:keepLines/>
        <w:widowControl w:val="0"/>
        <w:shd w:val="clear" w:color="auto" w:fill="auto"/>
        <w:bidi w:val="0"/>
        <w:spacing w:before="0" w:after="300" w:line="240" w:lineRule="auto"/>
        <w:ind w:left="0" w:right="0" w:firstLine="0"/>
        <w:jc w:val="left"/>
      </w:pPr>
      <w:bookmarkStart w:id="82" w:name="bookmark82"/>
      <w:bookmarkStart w:id="83" w:name="bookmark83"/>
      <w:bookmarkStart w:id="84" w:name="bookmark84"/>
      <w:bookmarkStart w:id="85" w:name="bookmark85"/>
      <w:r>
        <w:rPr>
          <w:rFonts w:ascii="Times New Roman" w:eastAsia="Times New Roman" w:hAnsi="Times New Roman" w:cs="Times New Roman"/>
          <w:color w:val="000000"/>
          <w:spacing w:val="0"/>
          <w:w w:val="100"/>
          <w:position w:val="0"/>
        </w:rPr>
        <w:t>5</w:t>
      </w:r>
      <w:bookmarkEnd w:id="84"/>
      <w:r>
        <w:rPr>
          <w:color w:val="000000"/>
          <w:spacing w:val="0"/>
          <w:w w:val="100"/>
          <w:position w:val="0"/>
        </w:rPr>
        <w:t>、研发支出</w:t>
      </w:r>
      <w:bookmarkEnd w:id="82"/>
      <w:bookmarkEnd w:id="83"/>
      <w:bookmarkEnd w:id="85"/>
    </w:p>
    <w:p>
      <w:pPr>
        <w:pStyle w:val="Style35"/>
        <w:keepNext w:val="0"/>
        <w:keepLines w:val="0"/>
        <w:widowControl w:val="0"/>
        <w:shd w:val="clear" w:color="auto" w:fill="auto"/>
        <w:bidi w:val="0"/>
        <w:spacing w:before="0" w:after="120" w:line="305" w:lineRule="exact"/>
        <w:ind w:left="0" w:right="0"/>
        <w:jc w:val="both"/>
      </w:pPr>
      <w:r>
        <w:rPr>
          <w:color w:val="000000"/>
          <w:spacing w:val="0"/>
          <w:w w:val="100"/>
          <w:position w:val="0"/>
        </w:rPr>
        <w:t>公司高度重视自主研发能力的持续提升，报告期内公司继续加大研发投入力度，在技术和产品上不断实现新的突破，进 一步丰富完善了公司产品线，提升了公司产品竞争力。本报告期内，公司研发支出主要用于全面预算、财务共享服务中心、 基于</w:t>
      </w:r>
      <w:r>
        <w:rPr>
          <w:rFonts w:ascii="Times New Roman" w:eastAsia="Times New Roman" w:hAnsi="Times New Roman" w:cs="Times New Roman"/>
          <w:color w:val="000000"/>
          <w:spacing w:val="0"/>
          <w:w w:val="100"/>
          <w:position w:val="0"/>
        </w:rPr>
        <w:t>JAVA</w:t>
      </w:r>
      <w:r>
        <w:rPr>
          <w:color w:val="000000"/>
          <w:spacing w:val="0"/>
          <w:w w:val="100"/>
          <w:position w:val="0"/>
        </w:rPr>
        <w:t>的电子政务平台、久其</w:t>
      </w:r>
      <w:r>
        <w:rPr>
          <w:rFonts w:ascii="Times New Roman" w:eastAsia="Times New Roman" w:hAnsi="Times New Roman" w:cs="Times New Roman"/>
          <w:color w:val="000000"/>
          <w:spacing w:val="0"/>
          <w:w w:val="100"/>
          <w:position w:val="0"/>
        </w:rPr>
        <w:t>GMS</w:t>
      </w:r>
      <w:r>
        <w:rPr>
          <w:color w:val="000000"/>
          <w:spacing w:val="0"/>
          <w:w w:val="100"/>
          <w:position w:val="0"/>
        </w:rPr>
        <w:t>政府管理服务平台等项目。</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9"/>
        <w:gridCol w:w="2016"/>
        <w:gridCol w:w="1560"/>
        <w:gridCol w:w="2563"/>
      </w:tblGrid>
      <w:tr>
        <w:trPr>
          <w:trHeight w:val="360"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27"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80"/>
              <w:jc w:val="left"/>
            </w:pPr>
            <w:r>
              <w:rPr>
                <w:rFonts w:ascii="Times New Roman" w:eastAsia="Times New Roman" w:hAnsi="Times New Roman" w:cs="Times New Roman"/>
                <w:color w:val="000000"/>
                <w:spacing w:val="0"/>
                <w:w w:val="100"/>
                <w:position w:val="0"/>
              </w:rPr>
              <w:t>116,267,716.95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106,131,652.28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w:t>
            </w:r>
          </w:p>
        </w:tc>
      </w:tr>
      <w:tr>
        <w:trPr>
          <w:trHeight w:val="427"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其中：资本化的研发支出（元）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60"/>
              <w:jc w:val="both"/>
            </w:pPr>
            <w:r>
              <w:rPr>
                <w:rFonts w:ascii="Times New Roman" w:eastAsia="Times New Roman" w:hAnsi="Times New Roman" w:cs="Times New Roman"/>
                <w:color w:val="000000"/>
                <w:spacing w:val="0"/>
                <w:w w:val="100"/>
                <w:position w:val="0"/>
              </w:rPr>
              <w:t>10,922,501.32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500"/>
              <w:jc w:val="left"/>
            </w:pPr>
            <w:r>
              <w:rPr>
                <w:rFonts w:ascii="Times New Roman" w:eastAsia="Times New Roman" w:hAnsi="Times New Roman" w:cs="Times New Roman"/>
                <w:color w:val="000000"/>
                <w:spacing w:val="0"/>
                <w:w w:val="100"/>
                <w:position w:val="0"/>
              </w:rPr>
              <w:t>11,607,863.52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-5.90%</w:t>
            </w:r>
          </w:p>
        </w:tc>
      </w:tr>
      <w:tr>
        <w:trPr>
          <w:trHeight w:val="422"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费用化的研发支出（元）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80"/>
              <w:jc w:val="left"/>
            </w:pPr>
            <w:r>
              <w:rPr>
                <w:rFonts w:ascii="Times New Roman" w:eastAsia="Times New Roman" w:hAnsi="Times New Roman" w:cs="Times New Roman"/>
                <w:color w:val="000000"/>
                <w:spacing w:val="0"/>
                <w:w w:val="100"/>
                <w:position w:val="0"/>
              </w:rPr>
              <w:t>105,345,215.63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500"/>
              <w:jc w:val="left"/>
            </w:pPr>
            <w:r>
              <w:rPr>
                <w:rFonts w:ascii="Times New Roman" w:eastAsia="Times New Roman" w:hAnsi="Times New Roman" w:cs="Times New Roman"/>
                <w:color w:val="000000"/>
                <w:spacing w:val="0"/>
                <w:w w:val="100"/>
                <w:position w:val="0"/>
              </w:rPr>
              <w:t>94,523,788.76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11.45%</w:t>
            </w:r>
          </w:p>
        </w:tc>
      </w:tr>
      <w:tr>
        <w:trPr>
          <w:trHeight w:val="427"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研发支出总额占净资产比例（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1440" w:right="0" w:firstLine="0"/>
              <w:jc w:val="left"/>
            </w:pPr>
            <w:r>
              <w:rPr>
                <w:rFonts w:ascii="Times New Roman" w:eastAsia="Times New Roman" w:hAnsi="Times New Roman" w:cs="Times New Roman"/>
                <w:color w:val="000000"/>
                <w:spacing w:val="0"/>
                <w:w w:val="100"/>
                <w:position w:val="0"/>
              </w:rPr>
              <w:t>16.38%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15.88%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437"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研发支出总额占营业收入比例（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1440" w:right="0" w:firstLine="0"/>
              <w:jc w:val="left"/>
            </w:pPr>
            <w:r>
              <w:rPr>
                <w:rFonts w:ascii="Times New Roman" w:eastAsia="Times New Roman" w:hAnsi="Times New Roman" w:cs="Times New Roman"/>
                <w:color w:val="000000"/>
                <w:spacing w:val="0"/>
                <w:w w:val="100"/>
                <w:position w:val="0"/>
              </w:rPr>
              <w:t>40.16%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42.91%</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-2.75%</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86" w:name="bookmark86"/>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6</w:t>
      </w:r>
      <w:bookmarkEnd w:id="88"/>
      <w:r>
        <w:rPr>
          <w:color w:val="000000"/>
          <w:spacing w:val="0"/>
          <w:w w:val="100"/>
          <w:position w:val="0"/>
        </w:rPr>
        <w:t>、现金流</w:t>
      </w:r>
      <w:bookmarkEnd w:id="86"/>
      <w:bookmarkEnd w:id="87"/>
      <w:bookmarkEnd w:id="89"/>
    </w:p>
    <w:p>
      <w:pPr>
        <w:pStyle w:val="Style33"/>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306,443,741.79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275,220,826.74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234,342,792.09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232,632,610.94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w:t>
            </w:r>
          </w:p>
        </w:tc>
      </w:tr>
      <w:tr>
        <w:trPr>
          <w:trHeight w:val="71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72,100,949.70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42,588,215.80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352,594,217.15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28,532,184.37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1,135.78%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409,769,718.98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157,193,548.93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160.68%</w:t>
            </w:r>
          </w:p>
        </w:tc>
      </w:tr>
      <w:tr>
        <w:trPr>
          <w:trHeight w:val="710"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-57,175,501.83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-128,661,364.56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17,659,530.50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21,974,413.20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-19.64%</w:t>
            </w: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-17,659,530.50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-21,974,413.20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-2,734,082.63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-108,047,561.96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35"/>
        <w:keepNext w:val="0"/>
        <w:keepLines w:val="0"/>
        <w:widowControl w:val="0"/>
        <w:shd w:val="clear" w:color="auto" w:fill="auto"/>
        <w:bidi w:val="0"/>
        <w:spacing w:before="0" w:after="120" w:line="319"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tabs>
          <w:tab w:pos="344" w:val="left"/>
        </w:tabs>
        <w:bidi w:val="0"/>
        <w:spacing w:before="0" w:after="0" w:line="319" w:lineRule="exact"/>
        <w:ind w:left="0" w:right="0" w:firstLine="0"/>
        <w:jc w:val="left"/>
      </w:pPr>
      <w:bookmarkStart w:id="90" w:name="bookmark90"/>
      <w:r>
        <w:rPr>
          <w:rFonts w:ascii="Times New Roman" w:eastAsia="Times New Roman" w:hAnsi="Times New Roman" w:cs="Times New Roman"/>
          <w:color w:val="000000"/>
          <w:spacing w:val="0"/>
          <w:w w:val="100"/>
          <w:position w:val="0"/>
        </w:rPr>
        <w:t>1</w:t>
      </w:r>
      <w:bookmarkEnd w:id="90"/>
      <w:r>
        <w:rPr>
          <w:color w:val="000000"/>
          <w:spacing w:val="0"/>
          <w:w w:val="100"/>
          <w:position w:val="0"/>
        </w:rPr>
        <w:t>、</w:t>
        <w:tab/>
        <w:t>经营活动产生的现金流量净额较上年同期增长</w:t>
      </w:r>
      <w:r>
        <w:rPr>
          <w:rFonts w:ascii="Times New Roman" w:eastAsia="Times New Roman" w:hAnsi="Times New Roman" w:cs="Times New Roman"/>
          <w:color w:val="000000"/>
          <w:spacing w:val="0"/>
          <w:w w:val="100"/>
          <w:position w:val="0"/>
        </w:rPr>
        <w:t>69.30%</w:t>
      </w:r>
      <w:r>
        <w:rPr>
          <w:color w:val="000000"/>
          <w:spacing w:val="0"/>
          <w:w w:val="100"/>
          <w:position w:val="0"/>
        </w:rPr>
        <w:t>，主要原因是本期公司市场拓展良好、项目监管有力，销售商品、 提供劳务收到的现金较上年同期增加；</w:t>
      </w:r>
    </w:p>
    <w:p>
      <w:pPr>
        <w:pStyle w:val="Style35"/>
        <w:keepNext w:val="0"/>
        <w:keepLines w:val="0"/>
        <w:widowControl w:val="0"/>
        <w:shd w:val="clear" w:color="auto" w:fill="auto"/>
        <w:tabs>
          <w:tab w:pos="354" w:val="left"/>
        </w:tabs>
        <w:bidi w:val="0"/>
        <w:spacing w:before="0" w:after="0" w:line="319" w:lineRule="exact"/>
        <w:ind w:left="0" w:right="0" w:firstLine="0"/>
        <w:jc w:val="left"/>
      </w:pPr>
      <w:bookmarkStart w:id="91" w:name="bookmark91"/>
      <w:r>
        <w:rPr>
          <w:rFonts w:ascii="Times New Roman" w:eastAsia="Times New Roman" w:hAnsi="Times New Roman" w:cs="Times New Roman"/>
          <w:color w:val="000000"/>
          <w:spacing w:val="0"/>
          <w:w w:val="100"/>
          <w:position w:val="0"/>
        </w:rPr>
        <w:t>2</w:t>
      </w:r>
      <w:bookmarkEnd w:id="91"/>
      <w:r>
        <w:rPr>
          <w:color w:val="000000"/>
          <w:spacing w:val="0"/>
          <w:w w:val="100"/>
          <w:position w:val="0"/>
        </w:rPr>
        <w:t>、</w:t>
        <w:tab/>
        <w:t>投资活动现金流入小计较上年同期增长</w:t>
      </w:r>
      <w:r>
        <w:rPr>
          <w:rFonts w:ascii="Times New Roman" w:eastAsia="Times New Roman" w:hAnsi="Times New Roman" w:cs="Times New Roman"/>
          <w:color w:val="000000"/>
          <w:spacing w:val="0"/>
          <w:w w:val="100"/>
          <w:position w:val="0"/>
        </w:rPr>
        <w:t>1135.78%</w:t>
      </w:r>
      <w:r>
        <w:rPr>
          <w:color w:val="000000"/>
          <w:spacing w:val="0"/>
          <w:w w:val="100"/>
          <w:position w:val="0"/>
        </w:rPr>
        <w:t>,主要原因是本期公司购买的银行理财产品及信托产品中已到期的产品 增加，公司收回了本金及利息；</w:t>
      </w:r>
    </w:p>
    <w:p>
      <w:pPr>
        <w:pStyle w:val="Style35"/>
        <w:keepNext w:val="0"/>
        <w:keepLines w:val="0"/>
        <w:widowControl w:val="0"/>
        <w:shd w:val="clear" w:color="auto" w:fill="auto"/>
        <w:tabs>
          <w:tab w:pos="354" w:val="left"/>
        </w:tabs>
        <w:bidi w:val="0"/>
        <w:spacing w:before="0" w:after="300" w:line="319" w:lineRule="exact"/>
        <w:ind w:left="0" w:right="0" w:firstLine="0"/>
        <w:jc w:val="left"/>
      </w:pPr>
      <w:bookmarkStart w:id="92" w:name="bookmark92"/>
      <w:r>
        <w:rPr>
          <w:rFonts w:ascii="Times New Roman" w:eastAsia="Times New Roman" w:hAnsi="Times New Roman" w:cs="Times New Roman"/>
          <w:color w:val="000000"/>
          <w:spacing w:val="0"/>
          <w:w w:val="100"/>
          <w:position w:val="0"/>
        </w:rPr>
        <w:t>3</w:t>
      </w:r>
      <w:bookmarkEnd w:id="92"/>
      <w:r>
        <w:rPr>
          <w:color w:val="000000"/>
          <w:spacing w:val="0"/>
          <w:w w:val="100"/>
          <w:position w:val="0"/>
        </w:rPr>
        <w:t>、</w:t>
        <w:tab/>
        <w:t>投资活动现金流出小计较上年同期增长</w:t>
      </w:r>
      <w:r>
        <w:rPr>
          <w:rFonts w:ascii="Times New Roman" w:eastAsia="Times New Roman" w:hAnsi="Times New Roman" w:cs="Times New Roman"/>
          <w:color w:val="000000"/>
          <w:spacing w:val="0"/>
          <w:w w:val="100"/>
          <w:position w:val="0"/>
        </w:rPr>
        <w:t>160.68%</w:t>
      </w:r>
      <w:r>
        <w:rPr>
          <w:color w:val="000000"/>
          <w:spacing w:val="0"/>
          <w:w w:val="100"/>
          <w:position w:val="0"/>
        </w:rPr>
        <w:t>，主要原因是本期公司购买的银行理财产品及信托产品增加。</w:t>
      </w:r>
      <w:r>
        <w:br w:type="page"/>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报告期内公司经营活动的现金流量与本年度净利润存在重大差异的原因说明</w:t>
      </w:r>
    </w:p>
    <w:p>
      <w:pPr>
        <w:pStyle w:val="Style3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sz w:val="24"/>
          <w:szCs w:val="24"/>
        </w:rPr>
        <w:t>三</w:t>
      </w:r>
      <w:bookmarkEnd w:id="95"/>
      <w:r>
        <w:rPr>
          <w:color w:val="000000"/>
          <w:spacing w:val="0"/>
          <w:w w:val="100"/>
          <w:position w:val="0"/>
          <w:sz w:val="24"/>
          <w:szCs w:val="24"/>
        </w:rPr>
        <w:t>、主营业务构成情况</w:t>
      </w:r>
      <w:bookmarkEnd w:id="93"/>
      <w:bookmarkEnd w:id="94"/>
      <w:bookmarkEnd w:id="9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3"/>
        <w:gridCol w:w="1368"/>
        <w:gridCol w:w="1368"/>
        <w:gridCol w:w="1368"/>
        <w:gridCol w:w="137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right"/>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right"/>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电子政务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151,179,089.32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3,737,821.88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97.53%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集团管控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127,955,313.53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3,234,015.90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中小企业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9,640,089.30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863,035.91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288,774,492.15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7,834,873.69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0.99%</w:t>
            </w: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168,533,263.63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1,377,426.93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2,269,606.87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2,151,657.67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117,971,621.65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4,305,789.09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w:t>
            </w:r>
          </w:p>
        </w:tc>
      </w:tr>
      <w:tr>
        <w:trPr>
          <w:trHeight w:val="41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00"/>
              <w:jc w:val="both"/>
            </w:pPr>
            <w:r>
              <w:rPr>
                <w:rFonts w:ascii="Times New Roman" w:eastAsia="Times New Roman" w:hAnsi="Times New Roman" w:cs="Times New Roman"/>
                <w:color w:val="000000"/>
                <w:spacing w:val="0"/>
                <w:w w:val="100"/>
                <w:position w:val="0"/>
              </w:rPr>
              <w:t>288,774,492.15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380"/>
              <w:jc w:val="both"/>
            </w:pPr>
            <w:r>
              <w:rPr>
                <w:rFonts w:ascii="Times New Roman" w:eastAsia="Times New Roman" w:hAnsi="Times New Roman" w:cs="Times New Roman"/>
                <w:color w:val="000000"/>
                <w:spacing w:val="0"/>
                <w:w w:val="100"/>
                <w:position w:val="0"/>
              </w:rPr>
              <w:t>7,834,873.69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780"/>
              <w:jc w:val="both"/>
            </w:pPr>
            <w:r>
              <w:rPr>
                <w:rFonts w:ascii="Times New Roman" w:eastAsia="Times New Roman" w:hAnsi="Times New Roman" w:cs="Times New Roman"/>
                <w:color w:val="000000"/>
                <w:spacing w:val="0"/>
                <w:w w:val="100"/>
                <w:position w:val="0"/>
              </w:rPr>
              <w:t>97.29%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17.12%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-14.15%</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0.99%</w:t>
            </w:r>
          </w:p>
        </w:tc>
      </w:tr>
    </w:tbl>
    <w:p>
      <w:pPr>
        <w:pStyle w:val="Style35"/>
        <w:keepNext w:val="0"/>
        <w:keepLines w:val="0"/>
        <w:widowControl w:val="0"/>
        <w:shd w:val="clear" w:color="auto" w:fill="auto"/>
        <w:bidi w:val="0"/>
        <w:spacing w:before="0" w:after="0" w:line="346" w:lineRule="exact"/>
        <w:ind w:left="0" w:right="0" w:firstLine="0"/>
        <w:jc w:val="left"/>
      </w:pPr>
      <w:r>
        <w:rPr>
          <w:color w:val="000000"/>
          <w:spacing w:val="0"/>
          <w:w w:val="100"/>
          <w:position w:val="0"/>
        </w:rPr>
        <w:t>上述软件销售、硬件销售及技术服务的收入中均包含公司系统集成项目的收入。</w:t>
      </w:r>
    </w:p>
    <w:p>
      <w:pPr>
        <w:pStyle w:val="Style35"/>
        <w:keepNext w:val="0"/>
        <w:keepLines w:val="0"/>
        <w:widowControl w:val="0"/>
        <w:shd w:val="clear" w:color="auto" w:fill="auto"/>
        <w:bidi w:val="0"/>
        <w:spacing w:before="0" w:after="34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sz w:val="24"/>
          <w:szCs w:val="24"/>
        </w:rPr>
        <w:t>四</w:t>
      </w:r>
      <w:bookmarkEnd w:id="99"/>
      <w:r>
        <w:rPr>
          <w:color w:val="000000"/>
          <w:spacing w:val="0"/>
          <w:w w:val="100"/>
          <w:position w:val="0"/>
          <w:sz w:val="24"/>
          <w:szCs w:val="24"/>
        </w:rPr>
        <w:t>、资产、负债状况分析</w:t>
      </w:r>
      <w:bookmarkEnd w:id="100"/>
      <w:bookmarkEnd w:id="97"/>
      <w:bookmarkEnd w:id="98"/>
    </w:p>
    <w:p>
      <w:pPr>
        <w:pStyle w:val="Style40"/>
        <w:keepNext/>
        <w:keepLines/>
        <w:widowControl w:val="0"/>
        <w:shd w:val="clear" w:color="auto" w:fill="auto"/>
        <w:bidi w:val="0"/>
        <w:spacing w:before="0" w:after="340" w:line="240" w:lineRule="auto"/>
        <w:ind w:left="0" w:right="0" w:firstLine="0"/>
        <w:jc w:val="left"/>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1</w:t>
      </w:r>
      <w:bookmarkEnd w:id="103"/>
      <w:r>
        <w:rPr>
          <w:color w:val="000000"/>
          <w:spacing w:val="0"/>
          <w:w w:val="100"/>
          <w:position w:val="0"/>
        </w:rPr>
        <w:t>、资产项目重大变动情况</w:t>
      </w:r>
      <w:bookmarkEnd w:id="101"/>
      <w:bookmarkEnd w:id="102"/>
      <w:bookmarkEnd w:id="10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25"/>
        <w:gridCol w:w="446"/>
        <w:gridCol w:w="686"/>
        <w:gridCol w:w="1416"/>
        <w:gridCol w:w="1138"/>
        <w:gridCol w:w="1272"/>
        <w:gridCol w:w="192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gridSpan w:val="2"/>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比重增减（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37"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7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例</w:t>
            </w:r>
          </w:p>
        </w:tc>
        <w:tc>
          <w:tcPr>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234,712,889.08</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231,128,801.80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67,084,987.90</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61,047,578.77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1,210,750.04</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519,813.04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71,305,706.12</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73,092,382.31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146,655,804.41</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154,792,553.98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1,871,701.00</w:t>
            </w:r>
          </w:p>
        </w:tc>
        <w:tc>
          <w:tcPr>
            <w:gridSpan w:val="2"/>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0.25%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1,871,701.00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0.27%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40"/>
        <w:keepNext/>
        <w:keepLines/>
        <w:widowControl w:val="0"/>
        <w:shd w:val="clear" w:color="auto" w:fill="auto"/>
        <w:bidi w:val="0"/>
        <w:spacing w:before="0" w:after="36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2</w:t>
      </w:r>
      <w:bookmarkEnd w:id="107"/>
      <w:r>
        <w:rPr>
          <w:color w:val="000000"/>
          <w:spacing w:val="0"/>
          <w:w w:val="100"/>
          <w:position w:val="0"/>
        </w:rPr>
        <w:t>、以公允价值计量的资产和负债</w:t>
      </w:r>
      <w:bookmarkEnd w:id="105"/>
      <w:bookmarkEnd w:id="106"/>
      <w:bookmarkEnd w:id="10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133"/>
        <w:gridCol w:w="1133"/>
        <w:gridCol w:w="1421"/>
        <w:gridCol w:w="878"/>
        <w:gridCol w:w="1195"/>
        <w:gridCol w:w="1195"/>
        <w:gridCol w:w="1205"/>
      </w:tblGrid>
      <w:tr>
        <w:trPr>
          <w:trHeight w:val="437"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计入权益的累计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本期购买金额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本期出售金额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期末数</w:t>
            </w:r>
          </w:p>
        </w:tc>
      </w:tr>
      <w:tr>
        <w:trPr>
          <w:trHeight w:val="28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公允价值变动</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的减值</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1651"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0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 量且其变动计入 当期损益的金融 资产（不含衍生金 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70,685,791.77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102,583.41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788,375.18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327,000,000.00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80,788,375.18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70,685,791.77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102,583.41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788,375.18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327,000,000.00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80,788,375.18</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70,685,791.77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102,583.41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788,375.18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327,000,000.00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80,788,375.18</w:t>
            </w:r>
          </w:p>
        </w:tc>
      </w:tr>
      <w:tr>
        <w:trPr>
          <w:trHeight w:val="413"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31"/>
        <w:keepNext/>
        <w:keepLines/>
        <w:widowControl w:val="0"/>
        <w:shd w:val="clear" w:color="auto" w:fill="auto"/>
        <w:bidi w:val="0"/>
        <w:spacing w:before="0" w:after="28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sz w:val="24"/>
          <w:szCs w:val="24"/>
        </w:rPr>
        <w:t>五</w:t>
      </w:r>
      <w:bookmarkEnd w:id="111"/>
      <w:r>
        <w:rPr>
          <w:color w:val="000000"/>
          <w:spacing w:val="0"/>
          <w:w w:val="100"/>
          <w:position w:val="0"/>
          <w:sz w:val="24"/>
          <w:szCs w:val="24"/>
        </w:rPr>
        <w:t>、核心竞争力分析</w:t>
      </w:r>
      <w:bookmarkEnd w:id="109"/>
      <w:bookmarkEnd w:id="110"/>
      <w:bookmarkEnd w:id="112"/>
    </w:p>
    <w:p>
      <w:pPr>
        <w:pStyle w:val="Style35"/>
        <w:keepNext w:val="0"/>
        <w:keepLines w:val="0"/>
        <w:widowControl w:val="0"/>
        <w:shd w:val="clear" w:color="auto" w:fill="auto"/>
        <w:tabs>
          <w:tab w:pos="500" w:val="left"/>
        </w:tabs>
        <w:bidi w:val="0"/>
        <w:spacing w:before="0" w:after="0" w:line="314" w:lineRule="exact"/>
        <w:ind w:left="0" w:right="0" w:firstLine="0"/>
        <w:jc w:val="left"/>
      </w:pPr>
      <w:bookmarkStart w:id="113" w:name="bookmark113"/>
      <w:r>
        <w:rPr>
          <w:color w:val="000000"/>
          <w:spacing w:val="0"/>
          <w:w w:val="100"/>
          <w:position w:val="0"/>
        </w:rPr>
        <w:t>（</w:t>
      </w:r>
      <w:bookmarkEnd w:id="113"/>
      <w:r>
        <w:rPr>
          <w:color w:val="000000"/>
          <w:spacing w:val="0"/>
          <w:w w:val="100"/>
          <w:position w:val="0"/>
        </w:rPr>
        <w:t>一）</w:t>
        <w:tab/>
        <w:t>自主创新的技术研发实力</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公司历来重视自主创新，秉承柔性软件研发理念，依托自主研发的核心技术平台，为政府部门和企业集团信息化建设提 供产品、解决方案及咨询服务。其中，公司研发的面向企业级应用的开发、运行、部署、管理平台</w:t>
      </w:r>
      <w:r>
        <w:rPr>
          <w:color w:val="000000"/>
          <w:spacing w:val="0"/>
          <w:w w:val="100"/>
          <w:position w:val="0"/>
        </w:rPr>
        <w:t>一</w:t>
      </w:r>
      <w:r>
        <w:rPr>
          <w:color w:val="000000"/>
          <w:spacing w:val="0"/>
          <w:w w:val="100"/>
          <w:position w:val="0"/>
        </w:rPr>
        <w:t>久其</w:t>
      </w:r>
      <w:r>
        <w:rPr>
          <w:rFonts w:ascii="Times New Roman" w:eastAsia="Times New Roman" w:hAnsi="Times New Roman" w:cs="Times New Roman"/>
          <w:color w:val="000000"/>
          <w:spacing w:val="0"/>
          <w:w w:val="100"/>
          <w:position w:val="0"/>
        </w:rPr>
        <w:t>DNA</w:t>
      </w:r>
      <w:r>
        <w:rPr>
          <w:color w:val="000000"/>
          <w:spacing w:val="0"/>
          <w:w w:val="100"/>
          <w:position w:val="0"/>
        </w:rPr>
        <w:t>经过不断 发展完善，能够构建面向</w:t>
      </w:r>
      <w:r>
        <w:rPr>
          <w:rFonts w:ascii="Times New Roman" w:eastAsia="Times New Roman" w:hAnsi="Times New Roman" w:cs="Times New Roman"/>
          <w:color w:val="000000"/>
          <w:spacing w:val="0"/>
          <w:w w:val="100"/>
          <w:position w:val="0"/>
        </w:rPr>
        <w:t>SOA</w:t>
      </w:r>
      <w:r>
        <w:rPr>
          <w:color w:val="000000"/>
          <w:spacing w:val="0"/>
          <w:w w:val="100"/>
          <w:position w:val="0"/>
        </w:rPr>
        <w:t>、</w:t>
      </w:r>
      <w:r>
        <w:rPr>
          <w:color w:val="000000"/>
          <w:spacing w:val="0"/>
          <w:w w:val="100"/>
          <w:position w:val="0"/>
        </w:rPr>
        <w:t>电子政务网络、商务智能、企业</w:t>
      </w:r>
      <w:r>
        <w:rPr>
          <w:rFonts w:ascii="Times New Roman" w:eastAsia="Times New Roman" w:hAnsi="Times New Roman" w:cs="Times New Roman"/>
          <w:color w:val="000000"/>
          <w:spacing w:val="0"/>
          <w:w w:val="100"/>
          <w:position w:val="0"/>
        </w:rPr>
        <w:t>ERP</w:t>
      </w:r>
      <w:r>
        <w:rPr>
          <w:color w:val="000000"/>
          <w:spacing w:val="0"/>
          <w:w w:val="100"/>
          <w:position w:val="0"/>
        </w:rPr>
        <w:t>等多种业务应用，并可通过成熟的、通用化的应用组件 配置实现应用程序的各项功能，目前公司已借助久其</w:t>
      </w:r>
      <w:r>
        <w:rPr>
          <w:rFonts w:ascii="Times New Roman" w:eastAsia="Times New Roman" w:hAnsi="Times New Roman" w:cs="Times New Roman"/>
          <w:color w:val="000000"/>
          <w:spacing w:val="0"/>
          <w:w w:val="100"/>
          <w:position w:val="0"/>
        </w:rPr>
        <w:t>DNA</w:t>
      </w:r>
      <w:r>
        <w:rPr>
          <w:color w:val="000000"/>
          <w:spacing w:val="0"/>
          <w:w w:val="100"/>
          <w:position w:val="0"/>
        </w:rPr>
        <w:t>平台支撑了多套解决方案及多款产品。</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公司坚持对技术创新和产品研发的投入，报告期末研发支出</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.16</w:t>
      </w:r>
      <w:r>
        <w:rPr>
          <w:color w:val="000000"/>
          <w:spacing w:val="0"/>
          <w:w w:val="100"/>
          <w:position w:val="0"/>
        </w:rPr>
        <w:t>亿元，较上年增长</w:t>
      </w:r>
      <w:r>
        <w:rPr>
          <w:rFonts w:ascii="Times New Roman" w:eastAsia="Times New Roman" w:hAnsi="Times New Roman" w:cs="Times New Roman"/>
          <w:color w:val="000000"/>
          <w:spacing w:val="0"/>
          <w:w w:val="100"/>
          <w:position w:val="0"/>
        </w:rPr>
        <w:t>9.55%</w:t>
      </w:r>
      <w:r>
        <w:rPr>
          <w:color w:val="000000"/>
          <w:spacing w:val="0"/>
          <w:w w:val="100"/>
          <w:position w:val="0"/>
        </w:rPr>
        <w:t>,千余人的技术团队为公司业 务创新和市场拓展提供了强有力的支撑，构筑了公司发展的坚实基础。</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公司是国家高新技术企业，并自</w:t>
      </w:r>
      <w:r>
        <w:rPr>
          <w:rFonts w:ascii="Times New Roman" w:eastAsia="Times New Roman" w:hAnsi="Times New Roman" w:cs="Times New Roman"/>
          <w:color w:val="000000"/>
          <w:spacing w:val="0"/>
          <w:w w:val="100"/>
          <w:position w:val="0"/>
        </w:rPr>
        <w:t>2006</w:t>
      </w:r>
      <w:r>
        <w:rPr>
          <w:color w:val="000000"/>
          <w:spacing w:val="0"/>
          <w:w w:val="100"/>
          <w:position w:val="0"/>
        </w:rPr>
        <w:t>年起连续八年被认定为国家规划布局内重点软件企业。截至报告期末，公司共拥有 软件著作权</w:t>
      </w:r>
      <w:r>
        <w:rPr>
          <w:rFonts w:ascii="Times New Roman" w:eastAsia="Times New Roman" w:hAnsi="Times New Roman" w:cs="Times New Roman"/>
          <w:color w:val="000000"/>
          <w:spacing w:val="0"/>
          <w:w w:val="100"/>
          <w:position w:val="0"/>
        </w:rPr>
        <w:t>199</w:t>
      </w:r>
      <w:r>
        <w:rPr>
          <w:color w:val="000000"/>
          <w:spacing w:val="0"/>
          <w:w w:val="100"/>
          <w:position w:val="0"/>
        </w:rPr>
        <w:t>项，累计申请发明专利</w:t>
      </w:r>
      <w:r>
        <w:rPr>
          <w:rFonts w:ascii="Times New Roman" w:eastAsia="Times New Roman" w:hAnsi="Times New Roman" w:cs="Times New Roman"/>
          <w:color w:val="000000"/>
          <w:spacing w:val="0"/>
          <w:w w:val="100"/>
          <w:position w:val="0"/>
        </w:rPr>
        <w:t>11</w:t>
      </w:r>
      <w:r>
        <w:rPr>
          <w:color w:val="000000"/>
          <w:spacing w:val="0"/>
          <w:w w:val="100"/>
          <w:position w:val="0"/>
        </w:rPr>
        <w:t>项，公司自主研发的各类产品多次入选国家火炬计划项目、国家重点新产品计划项 目等。公司作为信息技术服务标准工作组</w:t>
      </w:r>
      <w:r>
        <w:rPr>
          <w:color w:val="000000"/>
          <w:spacing w:val="0"/>
          <w:w w:val="100"/>
          <w:position w:val="0"/>
        </w:rPr>
        <w:t>（</w:t>
      </w:r>
      <w:r>
        <w:rPr>
          <w:rFonts w:ascii="Times New Roman" w:eastAsia="Times New Roman" w:hAnsi="Times New Roman" w:cs="Times New Roman"/>
          <w:color w:val="000000"/>
          <w:spacing w:val="0"/>
          <w:w w:val="100"/>
          <w:position w:val="0"/>
        </w:rPr>
        <w:t>ITSS</w:t>
      </w:r>
      <w:r>
        <w:rPr>
          <w:color w:val="000000"/>
          <w:spacing w:val="0"/>
          <w:w w:val="100"/>
          <w:position w:val="0"/>
        </w:rPr>
        <w:t>）</w:t>
      </w:r>
      <w:r>
        <w:rPr>
          <w:color w:val="000000"/>
          <w:spacing w:val="0"/>
          <w:w w:val="100"/>
          <w:position w:val="0"/>
        </w:rPr>
        <w:t>的全权成员单位，参与了国标《信息技术服务治理第</w:t>
      </w:r>
      <w:r>
        <w:rPr>
          <w:rFonts w:ascii="Times New Roman" w:eastAsia="Times New Roman" w:hAnsi="Times New Roman" w:cs="Times New Roman"/>
          <w:color w:val="000000"/>
          <w:spacing w:val="0"/>
          <w:w w:val="100"/>
          <w:position w:val="0"/>
        </w:rPr>
        <w:t>1</w:t>
      </w:r>
      <w:r>
        <w:rPr>
          <w:color w:val="000000"/>
          <w:spacing w:val="0"/>
          <w:w w:val="100"/>
          <w:position w:val="0"/>
        </w:rPr>
        <w:t>部分：通用规范》 的编写工作。</w:t>
      </w:r>
    </w:p>
    <w:p>
      <w:pPr>
        <w:pStyle w:val="Style35"/>
        <w:keepNext w:val="0"/>
        <w:keepLines w:val="0"/>
        <w:widowControl w:val="0"/>
        <w:shd w:val="clear" w:color="auto" w:fill="auto"/>
        <w:bidi w:val="0"/>
        <w:spacing w:before="0" w:after="280" w:line="314" w:lineRule="exact"/>
        <w:ind w:left="0" w:right="0"/>
        <w:jc w:val="both"/>
      </w:pPr>
      <w:r>
        <w:rPr>
          <w:color w:val="000000"/>
          <w:spacing w:val="0"/>
          <w:w w:val="100"/>
          <w:position w:val="0"/>
        </w:rPr>
        <w:t>自</w:t>
      </w:r>
      <w:r>
        <w:rPr>
          <w:rFonts w:ascii="Times New Roman" w:eastAsia="Times New Roman" w:hAnsi="Times New Roman" w:cs="Times New Roman"/>
          <w:color w:val="000000"/>
          <w:spacing w:val="0"/>
          <w:w w:val="100"/>
          <w:position w:val="0"/>
        </w:rPr>
        <w:t>2001</w:t>
      </w:r>
      <w:r>
        <w:rPr>
          <w:color w:val="000000"/>
          <w:spacing w:val="0"/>
          <w:w w:val="100"/>
          <w:position w:val="0"/>
        </w:rPr>
        <w:t>年至报告期末，公司共承担国家和地方政府资金支持专项</w:t>
      </w:r>
      <w:r>
        <w:rPr>
          <w:rFonts w:ascii="Times New Roman" w:eastAsia="Times New Roman" w:hAnsi="Times New Roman" w:cs="Times New Roman"/>
          <w:color w:val="000000"/>
          <w:spacing w:val="0"/>
          <w:w w:val="100"/>
          <w:position w:val="0"/>
        </w:rPr>
        <w:t>28</w:t>
      </w:r>
      <w:r>
        <w:rPr>
          <w:color w:val="000000"/>
          <w:spacing w:val="0"/>
          <w:w w:val="100"/>
          <w:position w:val="0"/>
        </w:rPr>
        <w:t>项，其中，本报告期内，公司承建的智慧</w:t>
      </w:r>
      <w:r>
        <w:rPr>
          <w:rFonts w:ascii="Times New Roman" w:eastAsia="Times New Roman" w:hAnsi="Times New Roman" w:cs="Times New Roman"/>
          <w:color w:val="000000"/>
          <w:spacing w:val="0"/>
          <w:w w:val="100"/>
          <w:position w:val="0"/>
        </w:rPr>
        <w:t>“</w:t>
      </w:r>
      <w:r>
        <w:rPr>
          <w:color w:val="000000"/>
          <w:spacing w:val="0"/>
          <w:w w:val="100"/>
          <w:position w:val="0"/>
        </w:rPr>
        <w:t>物流港</w:t>
      </w:r>
      <w:r>
        <w:rPr>
          <w:rFonts w:ascii="Times New Roman" w:eastAsia="Times New Roman" w:hAnsi="Times New Roman" w:cs="Times New Roman"/>
          <w:color w:val="000000"/>
          <w:spacing w:val="0"/>
          <w:w w:val="100"/>
          <w:position w:val="0"/>
        </w:rPr>
        <w:t xml:space="preserve">” </w:t>
      </w:r>
      <w:r>
        <w:rPr>
          <w:color w:val="000000"/>
          <w:spacing w:val="0"/>
          <w:w w:val="100"/>
          <w:position w:val="0"/>
        </w:rPr>
        <w:t>研发与示范应用、小微企业经营管理信息化云服务平台分别获得海南省重大科技项目、海南省电子信息产业发展专项的资金 支持。</w:t>
      </w:r>
    </w:p>
    <w:p>
      <w:pPr>
        <w:pStyle w:val="Style35"/>
        <w:keepNext w:val="0"/>
        <w:keepLines w:val="0"/>
        <w:widowControl w:val="0"/>
        <w:shd w:val="clear" w:color="auto" w:fill="auto"/>
        <w:tabs>
          <w:tab w:pos="500" w:val="left"/>
        </w:tabs>
        <w:bidi w:val="0"/>
        <w:spacing w:before="0" w:after="0" w:line="314" w:lineRule="exact"/>
        <w:ind w:left="0" w:right="0" w:firstLine="0"/>
        <w:jc w:val="left"/>
      </w:pPr>
      <w:bookmarkStart w:id="114" w:name="bookmark114"/>
      <w:r>
        <w:rPr>
          <w:color w:val="000000"/>
          <w:spacing w:val="0"/>
          <w:w w:val="100"/>
          <w:position w:val="0"/>
        </w:rPr>
        <w:t>（</w:t>
      </w:r>
      <w:bookmarkEnd w:id="114"/>
      <w:r>
        <w:rPr>
          <w:color w:val="000000"/>
          <w:spacing w:val="0"/>
          <w:w w:val="100"/>
          <w:position w:val="0"/>
        </w:rPr>
        <w:t>二）</w:t>
        <w:tab/>
        <w:t>品牌、市场及资质优势</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公司长期致力于为政府部门和企业集团提供咨询及信息化管理解决方案，研究设计开发的产品及解决方案在财政、国资、 统计、民政、交通、通信、金融、建筑、冶金、军工、能源、化工、旅游和商贸等多个领域发挥着重要作用，树立了良好的 品牌知名度和美誉度，拥有良好的客户资源和市场优势地位。</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公司拥有北京市著名商标，是</w:t>
      </w:r>
      <w:r>
        <w:rPr>
          <w:rFonts w:ascii="Times New Roman" w:eastAsia="Times New Roman" w:hAnsi="Times New Roman" w:cs="Times New Roman"/>
          <w:color w:val="000000"/>
          <w:spacing w:val="0"/>
          <w:w w:val="100"/>
          <w:position w:val="0"/>
        </w:rPr>
        <w:t>2005</w:t>
      </w:r>
      <w:r>
        <w:rPr>
          <w:color w:val="000000"/>
          <w:spacing w:val="0"/>
          <w:w w:val="100"/>
          <w:position w:val="0"/>
        </w:rPr>
        <w:t>年中国电子政务</w:t>
      </w:r>
      <w:r>
        <w:rPr>
          <w:rFonts w:ascii="Times New Roman" w:eastAsia="Times New Roman" w:hAnsi="Times New Roman" w:cs="Times New Roman"/>
          <w:color w:val="000000"/>
          <w:spacing w:val="0"/>
          <w:w w:val="100"/>
          <w:position w:val="0"/>
        </w:rPr>
        <w:t>IT10</w:t>
      </w:r>
      <w:r>
        <w:rPr>
          <w:rFonts w:ascii="Times New Roman" w:eastAsia="Times New Roman" w:hAnsi="Times New Roman" w:cs="Times New Roman"/>
          <w:color w:val="000000"/>
          <w:spacing w:val="0"/>
          <w:w w:val="100"/>
          <w:position w:val="0"/>
        </w:rPr>
        <w:t>0</w:t>
      </w:r>
      <w:r>
        <w:rPr>
          <w:color w:val="000000"/>
          <w:spacing w:val="0"/>
          <w:w w:val="100"/>
          <w:position w:val="0"/>
        </w:rPr>
        <w:t>强企业、</w:t>
      </w:r>
      <w:r>
        <w:rPr>
          <w:rFonts w:ascii="Times New Roman" w:eastAsia="Times New Roman" w:hAnsi="Times New Roman" w:cs="Times New Roman"/>
          <w:color w:val="000000"/>
          <w:spacing w:val="0"/>
          <w:w w:val="100"/>
          <w:position w:val="0"/>
        </w:rPr>
        <w:t>2006</w:t>
      </w:r>
      <w:r>
        <w:rPr>
          <w:color w:val="000000"/>
          <w:spacing w:val="0"/>
          <w:w w:val="100"/>
          <w:position w:val="0"/>
        </w:rPr>
        <w:t>年中国最具品牌价值中小企业</w:t>
      </w:r>
      <w:r>
        <w:rPr>
          <w:rFonts w:ascii="Times New Roman" w:eastAsia="Times New Roman" w:hAnsi="Times New Roman" w:cs="Times New Roman"/>
          <w:color w:val="000000"/>
          <w:spacing w:val="0"/>
          <w:w w:val="100"/>
          <w:position w:val="0"/>
        </w:rPr>
        <w:t>100</w:t>
      </w:r>
      <w:r>
        <w:rPr>
          <w:color w:val="000000"/>
          <w:spacing w:val="0"/>
          <w:w w:val="100"/>
          <w:position w:val="0"/>
        </w:rPr>
        <w:t>强企业、</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年中国报表管理软件市场年度成功企业、</w:t>
      </w:r>
      <w:r>
        <w:rPr>
          <w:rFonts w:ascii="Times New Roman" w:eastAsia="Times New Roman" w:hAnsi="Times New Roman" w:cs="Times New Roman"/>
          <w:color w:val="000000"/>
          <w:spacing w:val="0"/>
          <w:w w:val="100"/>
          <w:position w:val="0"/>
        </w:rPr>
        <w:t>2008</w:t>
      </w:r>
      <w:r>
        <w:rPr>
          <w:color w:val="000000"/>
          <w:spacing w:val="0"/>
          <w:w w:val="100"/>
          <w:position w:val="0"/>
        </w:rPr>
        <w:t xml:space="preserve">年中国软件生产力年度风云榜最具发展潜力企业＞ </w:t>
      </w:r>
      <w:r>
        <w:rPr>
          <w:rFonts w:ascii="Times New Roman" w:eastAsia="Times New Roman" w:hAnsi="Times New Roman" w:cs="Times New Roman"/>
          <w:color w:val="000000"/>
          <w:spacing w:val="0"/>
          <w:w w:val="100"/>
          <w:position w:val="0"/>
        </w:rPr>
        <w:t>2009</w:t>
      </w:r>
      <w:r>
        <w:rPr>
          <w:color w:val="000000"/>
          <w:spacing w:val="0"/>
          <w:w w:val="100"/>
          <w:position w:val="0"/>
        </w:rPr>
        <w:t>年中国财务管理软件市 场年度成长最快企业、</w:t>
      </w:r>
      <w:r>
        <w:rPr>
          <w:rFonts w:ascii="Times New Roman" w:eastAsia="Times New Roman" w:hAnsi="Times New Roman" w:cs="Times New Roman"/>
          <w:color w:val="000000"/>
          <w:spacing w:val="0"/>
          <w:w w:val="100"/>
          <w:position w:val="0"/>
        </w:rPr>
        <w:t>2010</w:t>
      </w:r>
      <w:r>
        <w:rPr>
          <w:color w:val="000000"/>
          <w:spacing w:val="0"/>
          <w:w w:val="100"/>
          <w:position w:val="0"/>
        </w:rPr>
        <w:t>年和</w:t>
      </w:r>
      <w:r>
        <w:rPr>
          <w:rFonts w:ascii="Times New Roman" w:eastAsia="Times New Roman" w:hAnsi="Times New Roman" w:cs="Times New Roman"/>
          <w:color w:val="000000"/>
          <w:spacing w:val="0"/>
          <w:w w:val="100"/>
          <w:position w:val="0"/>
        </w:rPr>
        <w:t>2011</w:t>
      </w:r>
      <w:r>
        <w:rPr>
          <w:color w:val="000000"/>
          <w:spacing w:val="0"/>
          <w:w w:val="100"/>
          <w:position w:val="0"/>
        </w:rPr>
        <w:t>年的北京市经信委软件和信息服务业</w:t>
      </w:r>
      <w:r>
        <w:rPr>
          <w:rFonts w:ascii="Times New Roman" w:eastAsia="Times New Roman" w:hAnsi="Times New Roman" w:cs="Times New Roman"/>
          <w:color w:val="000000"/>
          <w:spacing w:val="0"/>
          <w:w w:val="100"/>
          <w:position w:val="0"/>
        </w:rPr>
        <w:t>“</w:t>
      </w:r>
      <w:r>
        <w:rPr>
          <w:color w:val="000000"/>
          <w:spacing w:val="0"/>
          <w:w w:val="100"/>
          <w:position w:val="0"/>
        </w:rPr>
        <w:t>四个一批</w:t>
      </w:r>
      <w:r>
        <w:rPr>
          <w:rFonts w:ascii="Times New Roman" w:eastAsia="Times New Roman" w:hAnsi="Times New Roman" w:cs="Times New Roman"/>
          <w:color w:val="000000"/>
          <w:spacing w:val="0"/>
          <w:w w:val="100"/>
          <w:position w:val="0"/>
        </w:rPr>
        <w:t>”</w:t>
      </w:r>
      <w:r>
        <w:rPr>
          <w:color w:val="000000"/>
          <w:spacing w:val="0"/>
          <w:w w:val="100"/>
          <w:position w:val="0"/>
        </w:rPr>
        <w:t>工程企业、</w:t>
      </w:r>
      <w:r>
        <w:rPr>
          <w:rFonts w:ascii="Times New Roman" w:eastAsia="Times New Roman" w:hAnsi="Times New Roman" w:cs="Times New Roman"/>
          <w:color w:val="000000"/>
          <w:spacing w:val="0"/>
          <w:w w:val="100"/>
          <w:position w:val="0"/>
        </w:rPr>
        <w:t>2011</w:t>
      </w:r>
      <w:r>
        <w:rPr>
          <w:color w:val="000000"/>
          <w:spacing w:val="0"/>
          <w:w w:val="100"/>
          <w:position w:val="0"/>
        </w:rPr>
        <w:t>年中关村国家自主创新 示范区创新示范百强企业、</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年中国软件行业（集团管控软件）领军企业和公共财政管理软件服务满意度第一企业，以及 </w:t>
      </w:r>
      <w:r>
        <w:rPr>
          <w:color w:val="000000"/>
          <w:spacing w:val="0"/>
          <w:w w:val="100"/>
          <w:position w:val="0"/>
        </w:rPr>
        <w:t>集团管理软件用户推荐品牌，几十项荣誉见证了公司十余年的发展历程与经营成果，彰显了公司在行业领域内的优势地位。</w:t>
      </w:r>
    </w:p>
    <w:p>
      <w:pPr>
        <w:pStyle w:val="Style35"/>
        <w:keepNext w:val="0"/>
        <w:keepLines w:val="0"/>
        <w:widowControl w:val="0"/>
        <w:shd w:val="clear" w:color="auto" w:fill="auto"/>
        <w:bidi w:val="0"/>
        <w:spacing w:before="0" w:after="320" w:line="317" w:lineRule="exact"/>
        <w:ind w:left="0" w:right="0"/>
        <w:jc w:val="both"/>
      </w:pPr>
      <w:r>
        <w:rPr>
          <w:color w:val="000000"/>
          <w:spacing w:val="0"/>
          <w:w w:val="100"/>
          <w:position w:val="0"/>
        </w:rPr>
        <w:t>资质是衡量软件企业综合业务实力的一个重要标准，公司通过了</w:t>
      </w:r>
      <w:r>
        <w:rPr>
          <w:rFonts w:ascii="Times New Roman" w:eastAsia="Times New Roman" w:hAnsi="Times New Roman" w:cs="Times New Roman"/>
          <w:color w:val="000000"/>
          <w:spacing w:val="0"/>
          <w:w w:val="100"/>
          <w:position w:val="0"/>
        </w:rPr>
        <w:t>IS090012000</w:t>
      </w:r>
      <w:r>
        <w:rPr>
          <w:color w:val="000000"/>
          <w:spacing w:val="0"/>
          <w:w w:val="100"/>
          <w:position w:val="0"/>
        </w:rPr>
        <w:t>质量管理体系认证和</w:t>
      </w:r>
      <w:r>
        <w:rPr>
          <w:rFonts w:ascii="Times New Roman" w:eastAsia="Times New Roman" w:hAnsi="Times New Roman" w:cs="Times New Roman"/>
          <w:color w:val="000000"/>
          <w:spacing w:val="0"/>
          <w:w w:val="100"/>
          <w:position w:val="0"/>
        </w:rPr>
        <w:t>CMMIL3</w:t>
      </w:r>
      <w:r>
        <w:rPr>
          <w:color w:val="000000"/>
          <w:spacing w:val="0"/>
          <w:w w:val="100"/>
          <w:position w:val="0"/>
        </w:rPr>
        <w:t>软件能力成 熟度模型认证，公司的控股子公司拥有涉及国家秘密的计算机信息系统集成软件开发单项资质，公司在报告期又先后获得国 家信息安全服务资质（安全工程类一级）和计算机信息系统集成壹级资质，并启动了</w:t>
      </w:r>
      <w:r>
        <w:rPr>
          <w:rFonts w:ascii="Times New Roman" w:eastAsia="Times New Roman" w:hAnsi="Times New Roman" w:cs="Times New Roman"/>
          <w:color w:val="000000"/>
          <w:spacing w:val="0"/>
          <w:w w:val="100"/>
          <w:position w:val="0"/>
        </w:rPr>
        <w:t>CMMIL5</w:t>
      </w:r>
      <w:r>
        <w:rPr>
          <w:color w:val="000000"/>
          <w:spacing w:val="0"/>
          <w:w w:val="100"/>
          <w:position w:val="0"/>
        </w:rPr>
        <w:t>软件能力成熟度模型认证有关 工作，进一步夯实了公司的基础管理，促进公司的市场竞争优势的提升。</w:t>
      </w:r>
    </w:p>
    <w:p>
      <w:pPr>
        <w:pStyle w:val="Style35"/>
        <w:keepNext w:val="0"/>
        <w:keepLines w:val="0"/>
        <w:widowControl w:val="0"/>
        <w:shd w:val="clear" w:color="auto" w:fill="auto"/>
        <w:bidi w:val="0"/>
        <w:spacing w:before="0" w:after="0" w:line="312" w:lineRule="exact"/>
        <w:ind w:left="0" w:right="0" w:firstLine="0"/>
        <w:jc w:val="left"/>
      </w:pPr>
      <w:bookmarkStart w:id="115" w:name="bookmark115"/>
      <w:r>
        <w:rPr>
          <w:color w:val="000000"/>
          <w:spacing w:val="0"/>
          <w:w w:val="100"/>
          <w:position w:val="0"/>
        </w:rPr>
        <w:t>（</w:t>
      </w:r>
      <w:bookmarkEnd w:id="115"/>
      <w:r>
        <w:rPr>
          <w:color w:val="000000"/>
          <w:spacing w:val="0"/>
          <w:w w:val="100"/>
          <w:position w:val="0"/>
        </w:rPr>
        <w:t>三）体系化与产品化的服务优势</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服务提升软件价值，公司始终本着及时、专业、真诚的服务宗旨，不断通过研发创新、项目实施、解决方案咨询来提升 </w:t>
      </w:r>
      <w:r>
        <w:rPr>
          <w:rFonts w:ascii="Times New Roman" w:eastAsia="Times New Roman" w:hAnsi="Times New Roman" w:cs="Times New Roman"/>
          <w:color w:val="000000"/>
          <w:spacing w:val="0"/>
          <w:w w:val="100"/>
          <w:position w:val="0"/>
        </w:rPr>
        <w:t>IT</w:t>
      </w:r>
      <w:r>
        <w:rPr>
          <w:color w:val="000000"/>
          <w:spacing w:val="0"/>
          <w:w w:val="100"/>
          <w:position w:val="0"/>
        </w:rPr>
        <w:t>服务的价值。公司凭借成熟专业的研发、服务和咨询团队，构建起集业务规划、系统设计、软件开发、系统集成、运维保 障等一体化的</w:t>
      </w:r>
      <w:r>
        <w:rPr>
          <w:rFonts w:ascii="Times New Roman" w:eastAsia="Times New Roman" w:hAnsi="Times New Roman" w:cs="Times New Roman"/>
          <w:color w:val="000000"/>
          <w:spacing w:val="0"/>
          <w:w w:val="100"/>
          <w:position w:val="0"/>
        </w:rPr>
        <w:t>IT</w:t>
      </w:r>
      <w:r>
        <w:rPr>
          <w:color w:val="000000"/>
          <w:spacing w:val="0"/>
          <w:w w:val="100"/>
          <w:position w:val="0"/>
        </w:rPr>
        <w:t>服务体系，推出久其一站式专业服务解决方案，并通过呼叫中心、定期巡检、远程诊断、现场响应、外派常 驻以及技术培训等多种形式为用户提供高品质服务。公司在全国三十余个地区设立了分支机构，并实行标准化的规范管理， 形成了覆盖范围广、服务体系化的服务网络，能够及时、高效响应各地用户本地化服务需求。</w:t>
      </w:r>
    </w:p>
    <w:p>
      <w:pPr>
        <w:pStyle w:val="Style35"/>
        <w:keepNext w:val="0"/>
        <w:keepLines w:val="0"/>
        <w:widowControl w:val="0"/>
        <w:shd w:val="clear" w:color="auto" w:fill="auto"/>
        <w:bidi w:val="0"/>
        <w:spacing w:before="0" w:after="360" w:line="312" w:lineRule="exact"/>
        <w:ind w:left="0" w:right="0"/>
        <w:jc w:val="both"/>
      </w:pPr>
      <w:r>
        <w:rPr>
          <w:color w:val="000000"/>
          <w:spacing w:val="0"/>
          <w:w w:val="100"/>
          <w:position w:val="0"/>
        </w:rPr>
        <w:t>同时为了更好地向客户提供个性化、定制化的服务，保障服务质量，公司通过规范服务标准和流程，对服务进行定价、 评估与考核，即服务产品化。服务产品化的不断完善能够实现项目交付效率的提高，用户体验和满意度的提升，从而增强市 场竞争力。</w:t>
      </w:r>
    </w:p>
    <w:p>
      <w:pPr>
        <w:pStyle w:val="Style31"/>
        <w:keepNext/>
        <w:keepLines/>
        <w:widowControl w:val="0"/>
        <w:shd w:val="clear" w:color="auto" w:fill="auto"/>
        <w:bidi w:val="0"/>
        <w:spacing w:before="0" w:after="32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sz w:val="24"/>
          <w:szCs w:val="24"/>
        </w:rPr>
        <w:t>六</w:t>
      </w:r>
      <w:bookmarkEnd w:id="118"/>
      <w:r>
        <w:rPr>
          <w:color w:val="000000"/>
          <w:spacing w:val="0"/>
          <w:w w:val="100"/>
          <w:position w:val="0"/>
          <w:sz w:val="24"/>
          <w:szCs w:val="24"/>
        </w:rPr>
        <w:t>、投资状况分析</w:t>
      </w:r>
      <w:bookmarkEnd w:id="116"/>
      <w:bookmarkEnd w:id="117"/>
      <w:bookmarkEnd w:id="119"/>
    </w:p>
    <w:p>
      <w:pPr>
        <w:pStyle w:val="Style40"/>
        <w:keepNext/>
        <w:keepLines/>
        <w:widowControl w:val="0"/>
        <w:shd w:val="clear" w:color="auto" w:fill="auto"/>
        <w:bidi w:val="0"/>
        <w:spacing w:before="0" w:after="320" w:line="240" w:lineRule="auto"/>
        <w:ind w:left="0" w:right="0" w:firstLine="0"/>
        <w:jc w:val="left"/>
      </w:pPr>
      <w:bookmarkStart w:id="120" w:name="bookmark120"/>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rPr>
        <w:t>1</w:t>
      </w:r>
      <w:bookmarkEnd w:id="122"/>
      <w:r>
        <w:rPr>
          <w:color w:val="000000"/>
          <w:spacing w:val="0"/>
          <w:w w:val="100"/>
          <w:position w:val="0"/>
        </w:rPr>
        <w:t>、对外股权投资情况</w:t>
      </w:r>
      <w:bookmarkEnd w:id="120"/>
      <w:bookmarkEnd w:id="121"/>
      <w:bookmarkEnd w:id="123"/>
    </w:p>
    <w:p>
      <w:pPr>
        <w:pStyle w:val="Style40"/>
        <w:keepNext/>
        <w:keepLines/>
        <w:widowControl w:val="0"/>
        <w:shd w:val="clear" w:color="auto" w:fill="auto"/>
        <w:bidi w:val="0"/>
        <w:spacing w:before="0" w:after="320" w:line="240" w:lineRule="auto"/>
        <w:ind w:left="0" w:right="0" w:firstLine="140"/>
        <w:jc w:val="both"/>
      </w:pPr>
      <w:bookmarkStart w:id="120" w:name="bookmark120"/>
      <w:bookmarkStart w:id="121" w:name="bookmark121"/>
      <w:bookmarkStart w:id="124" w:name="bookmark124"/>
      <w:bookmarkStart w:id="125" w:name="bookmark125"/>
      <w:r>
        <w:rPr>
          <w:rFonts w:ascii="Times New Roman" w:eastAsia="Times New Roman" w:hAnsi="Times New Roman" w:cs="Times New Roman"/>
          <w:color w:val="000000"/>
          <w:spacing w:val="0"/>
          <w:w w:val="100"/>
          <w:position w:val="0"/>
        </w:rPr>
        <w:t>（</w:t>
      </w:r>
      <w:bookmarkEnd w:id="124"/>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20"/>
      <w:bookmarkEnd w:id="121"/>
      <w:bookmarkEnd w:id="125"/>
    </w:p>
    <w:tbl>
      <w:tblPr>
        <w:tblOverlap w:val="never"/>
        <w:jc w:val="center"/>
        <w:tblLayout w:type="fixed"/>
      </w:tblPr>
      <w:tblGrid>
        <w:gridCol w:w="3192"/>
        <w:gridCol w:w="3187"/>
        <w:gridCol w:w="3202"/>
      </w:tblGrid>
      <w:tr>
        <w:trPr>
          <w:trHeight w:val="408"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6,352,500.00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98"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上市公司占被投资公司权益比例（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left"/>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2</w:t>
      </w:r>
      <w:bookmarkEnd w:id="128"/>
      <w:r>
        <w:rPr>
          <w:color w:val="000000"/>
          <w:spacing w:val="0"/>
          <w:w w:val="100"/>
          <w:position w:val="0"/>
        </w:rPr>
        <w:t>、委托理财、衍生品投资和委托贷款情况</w:t>
      </w:r>
      <w:bookmarkEnd w:id="126"/>
      <w:bookmarkEnd w:id="127"/>
      <w:bookmarkEnd w:id="129"/>
    </w:p>
    <w:p>
      <w:pPr>
        <w:pStyle w:val="Style40"/>
        <w:keepNext/>
        <w:keepLines/>
        <w:widowControl w:val="0"/>
        <w:shd w:val="clear" w:color="auto" w:fill="auto"/>
        <w:bidi w:val="0"/>
        <w:spacing w:before="0" w:after="360" w:line="240" w:lineRule="auto"/>
        <w:ind w:left="0" w:right="0" w:firstLine="140"/>
        <w:jc w:val="both"/>
      </w:pPr>
      <w:bookmarkStart w:id="126" w:name="bookmark126"/>
      <w:bookmarkStart w:id="127" w:name="bookmark127"/>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126"/>
      <w:bookmarkEnd w:id="127"/>
      <w:bookmarkEnd w:id="13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97"/>
        <w:gridCol w:w="624"/>
        <w:gridCol w:w="710"/>
        <w:gridCol w:w="850"/>
        <w:gridCol w:w="706"/>
        <w:gridCol w:w="994"/>
        <w:gridCol w:w="850"/>
        <w:gridCol w:w="850"/>
        <w:gridCol w:w="854"/>
        <w:gridCol w:w="850"/>
        <w:gridCol w:w="696"/>
        <w:gridCol w:w="802"/>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委托理</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终止日期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预计收 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报告期实 际损益金 额</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中融信托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122.99</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民生银行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23.42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w:t>
            </w:r>
          </w:p>
        </w:tc>
      </w:tr>
    </w:tbl>
    <w:p>
      <w:pPr>
        <w:spacing w:lineRule="exact" w:line="1"/>
        <w:rPr>
          <w:sz w:val="2"/>
          <w:szCs w:val="2"/>
        </w:rPr>
      </w:pPr>
      <w:r>
        <w:br w:type="page"/>
      </w:r>
    </w:p>
    <w:tbl>
      <w:tblPr>
        <w:tblOverlap w:val="never"/>
        <w:jc w:val="center"/>
        <w:tblLayout w:type="fixed"/>
      </w:tblPr>
      <w:tblGrid>
        <w:gridCol w:w="797"/>
        <w:gridCol w:w="624"/>
        <w:gridCol w:w="710"/>
        <w:gridCol w:w="850"/>
        <w:gridCol w:w="706"/>
        <w:gridCol w:w="994"/>
        <w:gridCol w:w="850"/>
        <w:gridCol w:w="850"/>
        <w:gridCol w:w="854"/>
        <w:gridCol w:w="850"/>
        <w:gridCol w:w="696"/>
        <w:gridCol w:w="802"/>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14.79</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29.33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29.33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10.85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12.58</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23.44</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19.49</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21.91</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10.84</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14.96</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14.25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17.04</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17.33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浮动利率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w:t>
            </w:r>
          </w:p>
        </w:tc>
      </w:tr>
    </w:tbl>
    <w:p>
      <w:pPr>
        <w:spacing w:lineRule="exact" w:line="1"/>
        <w:rPr>
          <w:sz w:val="2"/>
          <w:szCs w:val="2"/>
        </w:rPr>
      </w:pPr>
      <w:r>
        <w:br w:type="page"/>
      </w:r>
    </w:p>
    <w:tbl>
      <w:tblPr>
        <w:tblOverlap w:val="never"/>
        <w:jc w:val="center"/>
        <w:tblLayout w:type="fixed"/>
      </w:tblPr>
      <w:tblGrid>
        <w:gridCol w:w="797"/>
        <w:gridCol w:w="624"/>
        <w:gridCol w:w="710"/>
        <w:gridCol w:w="850"/>
        <w:gridCol w:w="706"/>
        <w:gridCol w:w="994"/>
        <w:gridCol w:w="850"/>
        <w:gridCol w:w="850"/>
        <w:gridCol w:w="854"/>
        <w:gridCol w:w="850"/>
        <w:gridCol w:w="696"/>
        <w:gridCol w:w="802"/>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中融信托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179.51</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资管产品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资管产品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21.31</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3,300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29.15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w:t>
            </w:r>
          </w:p>
        </w:tc>
      </w:tr>
      <w:tr>
        <w:trPr>
          <w:trHeight w:val="403" w:hRule="exact"/>
        </w:trPr>
        <w:tc>
          <w:tcPr>
            <w:gridSpan w:val="4"/>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49,700</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1,284.02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637.02</w:t>
            </w:r>
          </w:p>
        </w:tc>
      </w:tr>
      <w:tr>
        <w:trPr>
          <w:trHeight w:val="403"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398" w:hRule="exact"/>
        </w:trPr>
        <w:tc>
          <w:tcPr>
            <w:gridSpan w:val="4"/>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8"/>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4"/>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委托理财审批董事会公告披露日期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r>
              <w:rPr>
                <w:color w:val="000000"/>
                <w:spacing w:val="0"/>
                <w:w w:val="100"/>
                <w:position w:val="0"/>
              </w:rPr>
              <w:t>）</w:t>
            </w:r>
          </w:p>
        </w:tc>
        <w:tc>
          <w:tcPr>
            <w:gridSpan w:val="8"/>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403" w:hRule="exact"/>
        </w:trPr>
        <w:tc>
          <w:tcPr>
            <w:gridSpan w:val="4"/>
            <w:vMerge/>
            <w:tcBorders>
              <w:left w:val="single" w:sz="4"/>
            </w:tcBorders>
            <w:shd w:val="clear" w:color="auto" w:fill="FFFFFF"/>
            <w:vAlign w:val="center"/>
          </w:tcPr>
          <w:p>
            <w:pPr/>
          </w:p>
        </w:tc>
        <w:tc>
          <w:tcPr>
            <w:gridSpan w:val="8"/>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r>
      <w:tr>
        <w:trPr>
          <w:trHeight w:val="403" w:hRule="exact"/>
        </w:trPr>
        <w:tc>
          <w:tcPr>
            <w:gridSpan w:val="4"/>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委托理财审批股东会公告披露日期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r>
              <w:rPr>
                <w:color w:val="000000"/>
                <w:spacing w:val="0"/>
                <w:w w:val="100"/>
                <w:position w:val="0"/>
              </w:rPr>
              <w:t>）</w:t>
            </w:r>
          </w:p>
        </w:tc>
        <w:tc>
          <w:tcPr>
            <w:gridSpan w:val="8"/>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r>
      <w:tr>
        <w:trPr>
          <w:trHeight w:val="408" w:hRule="exact"/>
        </w:trPr>
        <w:tc>
          <w:tcPr>
            <w:gridSpan w:val="4"/>
            <w:vMerge/>
            <w:tcBorders>
              <w:left w:val="single" w:sz="4"/>
              <w:bottom w:val="single" w:sz="4"/>
            </w:tcBorders>
            <w:shd w:val="clear" w:color="auto" w:fill="FFFFFF"/>
            <w:vAlign w:val="center"/>
          </w:tcPr>
          <w:p>
            <w:pPr/>
          </w:p>
        </w:tc>
        <w:tc>
          <w:tcPr>
            <w:gridSpan w:val="8"/>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3</w:t>
      </w:r>
      <w:bookmarkEnd w:id="134"/>
      <w:r>
        <w:rPr>
          <w:color w:val="000000"/>
          <w:spacing w:val="0"/>
          <w:w w:val="100"/>
          <w:position w:val="0"/>
        </w:rPr>
        <w:t>、募集资金使用情况</w:t>
      </w:r>
      <w:bookmarkEnd w:id="132"/>
      <w:bookmarkEnd w:id="133"/>
      <w:bookmarkEnd w:id="135"/>
    </w:p>
    <w:p>
      <w:pPr>
        <w:pStyle w:val="Style40"/>
        <w:keepNext/>
        <w:keepLines/>
        <w:widowControl w:val="0"/>
        <w:shd w:val="clear" w:color="auto" w:fill="auto"/>
        <w:bidi w:val="0"/>
        <w:spacing w:before="0" w:after="320" w:line="240" w:lineRule="auto"/>
        <w:ind w:left="0" w:right="0" w:firstLine="0"/>
        <w:jc w:val="left"/>
      </w:pPr>
      <w:bookmarkStart w:id="132" w:name="bookmark132"/>
      <w:bookmarkStart w:id="133" w:name="bookmark133"/>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32"/>
      <w:bookmarkEnd w:id="133"/>
      <w:bookmarkEnd w:id="137"/>
    </w:p>
    <w:p>
      <w:pPr>
        <w:pStyle w:val="Style33"/>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4104"/>
        <w:gridCol w:w="5477"/>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38,712.68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37,949.54</w:t>
            </w:r>
          </w:p>
        </w:tc>
      </w:tr>
      <w:tr>
        <w:trPr>
          <w:trHeight w:val="403"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公司五个募集资金投资项目已于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月底全部投入完成并结项，节余部分募集资金已经公司第四届董事会第十次会 议审批通过后永久补充公司流动资金。截至报告期末，用于购买分支机构办公场所的超额募集资金尚未使用完毕，仍存放 于募集资金专户进行管理。</w:t>
            </w:r>
          </w:p>
        </w:tc>
      </w:tr>
    </w:tbl>
    <w:p>
      <w:pPr>
        <w:spacing w:lineRule="exact" w:line="1"/>
        <w:rPr>
          <w:sz w:val="2"/>
          <w:szCs w:val="2"/>
        </w:rPr>
      </w:pPr>
      <w:r>
        <w:br w:type="page"/>
      </w:r>
    </w:p>
    <w:p>
      <w:pPr>
        <w:pStyle w:val="Style40"/>
        <w:keepNext/>
        <w:keepLines/>
        <w:widowControl w:val="0"/>
        <w:shd w:val="clear" w:color="auto" w:fill="auto"/>
        <w:bidi w:val="0"/>
        <w:spacing w:before="0" w:after="36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38"/>
      <w:bookmarkEnd w:id="139"/>
      <w:bookmarkEnd w:id="14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1"/>
        <w:gridCol w:w="782"/>
        <w:gridCol w:w="778"/>
        <w:gridCol w:w="782"/>
        <w:gridCol w:w="778"/>
        <w:gridCol w:w="778"/>
        <w:gridCol w:w="782"/>
        <w:gridCol w:w="922"/>
        <w:gridCol w:w="854"/>
        <w:gridCol w:w="566"/>
        <w:gridCol w:w="787"/>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98" w:lineRule="exact"/>
              <w:ind w:left="0" w:right="0" w:firstLine="0"/>
              <w:jc w:val="center"/>
            </w:pPr>
            <w:r>
              <w:rPr>
                <w:color w:val="000000"/>
                <w:spacing w:val="0"/>
                <w:w w:val="100"/>
                <w:position w:val="0"/>
              </w:rPr>
              <w:t>调整后投 资总额</w:t>
            </w:r>
          </w:p>
          <w:p>
            <w:pPr>
              <w:pStyle w:val="Style27"/>
              <w:keepNext w:val="0"/>
              <w:keepLines w:val="0"/>
              <w:widowControl w:val="0"/>
              <w:shd w:val="clear" w:color="auto" w:fill="auto"/>
              <w:bidi w:val="0"/>
              <w:spacing w:before="0" w:after="0" w:line="346"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60" w:line="326" w:lineRule="exact"/>
              <w:ind w:left="0" w:right="0" w:firstLine="0"/>
              <w:jc w:val="both"/>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7"/>
              <w:keepNext w:val="0"/>
              <w:keepLines w:val="0"/>
              <w:widowControl w:val="0"/>
              <w:shd w:val="clear" w:color="auto" w:fill="auto"/>
              <w:bidi w:val="0"/>
              <w:spacing w:before="0" w:after="0" w:line="379"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both"/>
            </w:pPr>
            <w:r>
              <w:rPr>
                <w:color w:val="000000"/>
                <w:spacing w:val="0"/>
                <w:w w:val="100"/>
                <w:position w:val="0"/>
              </w:rPr>
              <w:t>项目达到 预定可使 用状态日</w:t>
            </w:r>
          </w:p>
          <w:p>
            <w:pPr>
              <w:pStyle w:val="Style27"/>
              <w:keepNext w:val="0"/>
              <w:keepLines w:val="0"/>
              <w:widowControl w:val="0"/>
              <w:shd w:val="clear" w:color="auto" w:fill="auto"/>
              <w:bidi w:val="0"/>
              <w:spacing w:before="0" w:after="0" w:line="319" w:lineRule="exact"/>
              <w:ind w:left="0" w:right="0" w:firstLine="360"/>
              <w:jc w:val="both"/>
            </w:pPr>
            <w:r>
              <w:rPr>
                <w:color w:val="000000"/>
                <w:spacing w:val="0"/>
                <w:w w:val="100"/>
                <w:position w:val="0"/>
              </w:rPr>
              <w:t>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 实现的效 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项目可行 性是否发 生重大变 化</w:t>
            </w:r>
          </w:p>
        </w:tc>
      </w:tr>
      <w:tr>
        <w:trPr>
          <w:trHeight w:val="398" w:hRule="exact"/>
        </w:trPr>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、行政事业单位资产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管理系统项目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7,970.9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7,970.9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7,445.11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、久其</w:t>
            </w:r>
            <w:r>
              <w:rPr>
                <w:i/>
                <w:iCs/>
                <w:color w:val="000000"/>
                <w:spacing w:val="0"/>
                <w:w w:val="100"/>
                <w:position w:val="0"/>
              </w:rPr>
              <w:t>D&amp;A</w:t>
            </w:r>
            <w:r>
              <w:rPr>
                <w:color w:val="000000"/>
                <w:spacing w:val="0"/>
                <w:w w:val="100"/>
                <w:position w:val="0"/>
              </w:rPr>
              <w:t>研发与 业务生成平台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5,915.9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5,915.9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5,504.02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10,290.33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、政府直补一卡（折） 通管理信息系统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3,444.63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85.94%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、决算报表大厅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2,552.3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2,552.3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2,421.73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1,909.66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、久其商业智能套件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w:t>
            </w:r>
            <w:r>
              <w:rPr>
                <w:rFonts w:ascii="Times New Roman" w:eastAsia="Times New Roman" w:hAnsi="Times New Roman" w:cs="Times New Roman"/>
                <w:color w:val="000000"/>
                <w:spacing w:val="0"/>
                <w:w w:val="100"/>
                <w:position w:val="0"/>
              </w:rPr>
              <w:t>BI</w:t>
            </w:r>
            <w:r>
              <w:rPr>
                <w:color w:val="000000"/>
                <w:spacing w:val="0"/>
                <w:w w:val="100"/>
                <w:position w:val="0"/>
              </w:rPr>
              <w:t>套件）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1,401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1,401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1,224.45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2,271.99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、节余补充流动资金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21,848.1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21,848.1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22,246.67</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16,565.55</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r>
      <w:tr>
        <w:trPr>
          <w:trHeight w:val="398" w:hRule="exact"/>
        </w:trPr>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对深圳市拜特科技股 份有限公司投资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对广东同望科技股份</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4,995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4,995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4,995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总部购买办公场所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1,957.07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1,957.07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1,957.07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分支机构购买办公场 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归还银行贷款（如有）</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17,052.07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17,052.07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15,702.87</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-178.67</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38,900.17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38,900.17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37,949.54</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16,386.88</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政府直补一卡（折）通管理信息系统未达到预计收益主要原因为受市场环境和需求变化影响，该产 品的业务拓展不佳，收益未达预期。</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771"/>
        <w:gridCol w:w="7810"/>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58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公司使用超额募集资金</w:t>
            </w:r>
            <w:r>
              <w:rPr>
                <w:rFonts w:ascii="Times New Roman" w:eastAsia="Times New Roman" w:hAnsi="Times New Roman" w:cs="Times New Roman"/>
                <w:color w:val="000000"/>
                <w:spacing w:val="0"/>
                <w:w w:val="100"/>
                <w:position w:val="0"/>
              </w:rPr>
              <w:t>5,000.00</w:t>
            </w:r>
            <w:r>
              <w:rPr>
                <w:color w:val="000000"/>
                <w:spacing w:val="0"/>
                <w:w w:val="100"/>
                <w:position w:val="0"/>
              </w:rPr>
              <w:t>万元归还公司银行借款，并按照有关规定履行了审批程序和信息披 露义务；公司使用超额募集资金</w:t>
            </w:r>
            <w:r>
              <w:rPr>
                <w:rFonts w:ascii="Times New Roman" w:eastAsia="Times New Roman" w:hAnsi="Times New Roman" w:cs="Times New Roman"/>
                <w:color w:val="000000"/>
                <w:spacing w:val="0"/>
                <w:w w:val="100"/>
                <w:position w:val="0"/>
              </w:rPr>
              <w:t>2,100.00</w:t>
            </w:r>
            <w:r>
              <w:rPr>
                <w:color w:val="000000"/>
                <w:spacing w:val="0"/>
                <w:w w:val="100"/>
                <w:position w:val="0"/>
              </w:rPr>
              <w:t>万元，对深圳市拜特科技股份有限公司进行投资，并按照 有关规定履行了审批程序和信息披露义务；公司使用超额募集资金</w:t>
            </w:r>
            <w:r>
              <w:rPr>
                <w:rFonts w:ascii="Times New Roman" w:eastAsia="Times New Roman" w:hAnsi="Times New Roman" w:cs="Times New Roman"/>
                <w:color w:val="000000"/>
                <w:spacing w:val="0"/>
                <w:w w:val="100"/>
                <w:position w:val="0"/>
              </w:rPr>
              <w:t>1,957.07</w:t>
            </w:r>
            <w:r>
              <w:rPr>
                <w:color w:val="000000"/>
                <w:spacing w:val="0"/>
                <w:w w:val="100"/>
                <w:position w:val="0"/>
              </w:rPr>
              <w:t>万元购置位于北京市西 城区西直门内南小街国英一号</w:t>
            </w:r>
            <w:r>
              <w:rPr>
                <w:rFonts w:ascii="Times New Roman" w:eastAsia="Times New Roman" w:hAnsi="Times New Roman" w:cs="Times New Roman"/>
                <w:color w:val="000000"/>
                <w:spacing w:val="0"/>
                <w:w w:val="100"/>
                <w:position w:val="0"/>
              </w:rPr>
              <w:t>1102</w:t>
            </w:r>
            <w:r>
              <w:rPr>
                <w:color w:val="000000"/>
                <w:spacing w:val="0"/>
                <w:w w:val="100"/>
                <w:position w:val="0"/>
              </w:rPr>
              <w:t>室作为办公场所，并按照有关规定履行了审批程序和信息披露义 务；公司使用超额募集资金</w:t>
            </w:r>
            <w:r>
              <w:rPr>
                <w:rFonts w:ascii="Times New Roman" w:eastAsia="Times New Roman" w:hAnsi="Times New Roman" w:cs="Times New Roman"/>
                <w:color w:val="000000"/>
                <w:spacing w:val="0"/>
                <w:w w:val="100"/>
                <w:position w:val="0"/>
              </w:rPr>
              <w:t>4,995.00</w:t>
            </w:r>
            <w:r>
              <w:rPr>
                <w:color w:val="000000"/>
                <w:spacing w:val="0"/>
                <w:w w:val="100"/>
                <w:position w:val="0"/>
              </w:rPr>
              <w:t>万元，对广东同望科技股份有限公司投资，并按照有关规定履 行了审批程序和信息披露义务；公司使用超募资金合计不超过</w:t>
            </w:r>
            <w:r>
              <w:rPr>
                <w:rFonts w:ascii="Times New Roman" w:eastAsia="Times New Roman" w:hAnsi="Times New Roman" w:cs="Times New Roman"/>
                <w:color w:val="000000"/>
                <w:spacing w:val="0"/>
                <w:w w:val="100"/>
                <w:position w:val="0"/>
              </w:rPr>
              <w:t>3,000</w:t>
            </w:r>
            <w:r>
              <w:rPr>
                <w:color w:val="000000"/>
                <w:spacing w:val="0"/>
                <w:w w:val="100"/>
                <w:position w:val="0"/>
              </w:rPr>
              <w:t>万元购置分支机构办公场所， 并按照有关规定履行了审批程序和信息披露义务，截至报告期末，公司已在深圳、贵阳、济南、拉 萨、海南、呼和浩特购置办公场所。</w:t>
            </w: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公司置换预先已投入募集资金投资项目的自筹资金</w:t>
            </w:r>
            <w:r>
              <w:rPr>
                <w:rFonts w:ascii="Times New Roman" w:eastAsia="Times New Roman" w:hAnsi="Times New Roman" w:cs="Times New Roman"/>
                <w:color w:val="000000"/>
                <w:spacing w:val="0"/>
                <w:w w:val="100"/>
                <w:position w:val="0"/>
              </w:rPr>
              <w:t>4,092.36</w:t>
            </w:r>
            <w:r>
              <w:rPr>
                <w:color w:val="000000"/>
                <w:spacing w:val="0"/>
                <w:w w:val="100"/>
                <w:position w:val="0"/>
              </w:rPr>
              <w:t>万元，已经大信会计师事务所有限公司 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日出具的大信核字</w:t>
            </w:r>
            <w:r>
              <w:rPr>
                <w:rFonts w:ascii="Times New Roman" w:eastAsia="Times New Roman" w:hAnsi="Times New Roman" w:cs="Times New Roman"/>
                <w:color w:val="000000"/>
                <w:spacing w:val="0"/>
                <w:w w:val="100"/>
                <w:position w:val="0"/>
              </w:rPr>
              <w:t>［2009］</w:t>
            </w:r>
            <w:r>
              <w:rPr>
                <w:color w:val="000000"/>
                <w:spacing w:val="0"/>
                <w:w w:val="100"/>
                <w:position w:val="0"/>
              </w:rPr>
              <w:t>第</w:t>
            </w:r>
            <w:r>
              <w:rPr>
                <w:rFonts w:ascii="Times New Roman" w:eastAsia="Times New Roman" w:hAnsi="Times New Roman" w:cs="Times New Roman"/>
                <w:color w:val="000000"/>
                <w:spacing w:val="0"/>
                <w:w w:val="100"/>
                <w:position w:val="0"/>
              </w:rPr>
              <w:t>1-0666</w:t>
            </w:r>
            <w:r>
              <w:rPr>
                <w:color w:val="000000"/>
                <w:spacing w:val="0"/>
                <w:w w:val="100"/>
                <w:position w:val="0"/>
              </w:rPr>
              <w:t>号专项审核报告审核，并按照有关规定履行了 审批程序和信息披露义务。</w:t>
            </w: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项目实施出现募集资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行政事业单位资产管理系统项目结余募集资金</w:t>
            </w:r>
            <w:r>
              <w:rPr>
                <w:rFonts w:ascii="Times New Roman" w:eastAsia="Times New Roman" w:hAnsi="Times New Roman" w:cs="Times New Roman"/>
                <w:color w:val="000000"/>
                <w:spacing w:val="0"/>
                <w:w w:val="100"/>
                <w:position w:val="0"/>
              </w:rPr>
              <w:t>525.79</w:t>
            </w:r>
            <w:r>
              <w:rPr>
                <w:color w:val="000000"/>
                <w:spacing w:val="0"/>
                <w:w w:val="100"/>
                <w:position w:val="0"/>
              </w:rPr>
              <w:t>万元，久其</w:t>
            </w:r>
            <w:r>
              <w:rPr>
                <w:rFonts w:ascii="Times New Roman" w:eastAsia="Times New Roman" w:hAnsi="Times New Roman" w:cs="Times New Roman"/>
                <w:color w:val="000000"/>
                <w:spacing w:val="0"/>
                <w:w w:val="100"/>
                <w:position w:val="0"/>
              </w:rPr>
              <w:t>D&amp;A</w:t>
            </w:r>
            <w:r>
              <w:rPr>
                <w:color w:val="000000"/>
                <w:spacing w:val="0"/>
                <w:w w:val="100"/>
                <w:position w:val="0"/>
              </w:rPr>
              <w:t>研发与业务生成平台项目结 余募集资金</w:t>
            </w:r>
            <w:r>
              <w:rPr>
                <w:rFonts w:ascii="Times New Roman" w:eastAsia="Times New Roman" w:hAnsi="Times New Roman" w:cs="Times New Roman"/>
                <w:color w:val="000000"/>
                <w:spacing w:val="0"/>
                <w:w w:val="100"/>
                <w:position w:val="0"/>
              </w:rPr>
              <w:t>411.88</w:t>
            </w:r>
            <w:r>
              <w:rPr>
                <w:color w:val="000000"/>
                <w:spacing w:val="0"/>
                <w:w w:val="100"/>
                <w:position w:val="0"/>
              </w:rPr>
              <w:t>万元，政府直补一卡（折）通管理信息系统项目结余募集资金</w:t>
            </w:r>
            <w:r>
              <w:rPr>
                <w:rFonts w:ascii="Times New Roman" w:eastAsia="Times New Roman" w:hAnsi="Times New Roman" w:cs="Times New Roman"/>
                <w:color w:val="000000"/>
                <w:spacing w:val="0"/>
                <w:w w:val="100"/>
                <w:position w:val="0"/>
              </w:rPr>
              <w:t>563.37</w:t>
            </w:r>
            <w:r>
              <w:rPr>
                <w:color w:val="000000"/>
                <w:spacing w:val="0"/>
                <w:w w:val="100"/>
                <w:position w:val="0"/>
              </w:rPr>
              <w:t>万元，决算 报表大厅项目结余募集资金</w:t>
            </w:r>
            <w:r>
              <w:rPr>
                <w:rFonts w:ascii="Times New Roman" w:eastAsia="Times New Roman" w:hAnsi="Times New Roman" w:cs="Times New Roman"/>
                <w:color w:val="000000"/>
                <w:spacing w:val="0"/>
                <w:w w:val="100"/>
                <w:position w:val="0"/>
              </w:rPr>
              <w:t>130.57</w:t>
            </w:r>
            <w:r>
              <w:rPr>
                <w:color w:val="000000"/>
                <w:spacing w:val="0"/>
                <w:w w:val="100"/>
                <w:position w:val="0"/>
              </w:rPr>
              <w:t>万元，久其商业智能套件（久其</w:t>
            </w:r>
            <w:r>
              <w:rPr>
                <w:rFonts w:ascii="Times New Roman" w:eastAsia="Times New Roman" w:hAnsi="Times New Roman" w:cs="Times New Roman"/>
                <w:color w:val="000000"/>
                <w:spacing w:val="0"/>
                <w:w w:val="100"/>
                <w:position w:val="0"/>
              </w:rPr>
              <w:t>BI</w:t>
            </w:r>
            <w:r>
              <w:rPr>
                <w:color w:val="000000"/>
                <w:spacing w:val="0"/>
                <w:w w:val="100"/>
                <w:position w:val="0"/>
              </w:rPr>
              <w:t>套件）项目结余募集资金</w:t>
            </w:r>
            <w:r>
              <w:rPr>
                <w:rFonts w:ascii="Times New Roman" w:eastAsia="Times New Roman" w:hAnsi="Times New Roman" w:cs="Times New Roman"/>
                <w:color w:val="000000"/>
                <w:spacing w:val="0"/>
                <w:w w:val="100"/>
                <w:position w:val="0"/>
              </w:rPr>
              <w:t xml:space="preserve">176.55 </w:t>
            </w:r>
            <w:r>
              <w:rPr>
                <w:color w:val="000000"/>
                <w:spacing w:val="0"/>
                <w:w w:val="100"/>
                <w:position w:val="0"/>
              </w:rPr>
              <w:t>万元，均为项目实施过程中实施了严格的成本控制。</w:t>
            </w:r>
          </w:p>
        </w:tc>
      </w:tr>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公司第四届董事会第十次会议、第四届监事会第九次会议审议通过了《关于将节余募集资金永久补 充流动资金的议案》。同意将五个募集资金投资项目的节余资金</w:t>
            </w:r>
            <w:r>
              <w:rPr>
                <w:rFonts w:ascii="Times New Roman" w:eastAsia="Times New Roman" w:hAnsi="Times New Roman" w:cs="Times New Roman"/>
                <w:color w:val="000000"/>
                <w:spacing w:val="0"/>
                <w:w w:val="100"/>
                <w:position w:val="0"/>
              </w:rPr>
              <w:t>2,206.73</w:t>
            </w:r>
            <w:r>
              <w:rPr>
                <w:color w:val="000000"/>
                <w:spacing w:val="0"/>
                <w:w w:val="100"/>
                <w:position w:val="0"/>
              </w:rPr>
              <w:t>万元（截至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日，含利息收入</w:t>
            </w:r>
            <w:r>
              <w:rPr>
                <w:rFonts w:ascii="Times New Roman" w:eastAsia="Times New Roman" w:hAnsi="Times New Roman" w:cs="Times New Roman"/>
                <w:color w:val="000000"/>
                <w:spacing w:val="0"/>
                <w:w w:val="100"/>
                <w:position w:val="0"/>
              </w:rPr>
              <w:t>398.57</w:t>
            </w:r>
            <w:r>
              <w:rPr>
                <w:color w:val="000000"/>
                <w:spacing w:val="0"/>
                <w:w w:val="100"/>
                <w:position w:val="0"/>
              </w:rPr>
              <w:t>万元）永久补充公司流动资金，公司保荐机构申银万国证券股份有限公司 对此发表了同意实施的核查意见。尚未使用的超额募集资金仍在募集资金专户管理。</w:t>
            </w:r>
          </w:p>
        </w:tc>
      </w:tr>
      <w:tr>
        <w:trPr>
          <w:trHeight w:val="10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4</w:t>
      </w:r>
      <w:bookmarkEnd w:id="144"/>
      <w:r>
        <w:rPr>
          <w:color w:val="000000"/>
          <w:spacing w:val="0"/>
          <w:w w:val="100"/>
          <w:position w:val="0"/>
        </w:rPr>
        <w:t>、主要子公司、参股公司分析</w:t>
      </w:r>
      <w:bookmarkEnd w:id="142"/>
      <w:bookmarkEnd w:id="143"/>
      <w:bookmarkEnd w:id="145"/>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主要子公司、参股公司情况</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850"/>
        <w:gridCol w:w="850"/>
        <w:gridCol w:w="1133"/>
        <w:gridCol w:w="994"/>
        <w:gridCol w:w="994"/>
        <w:gridCol w:w="994"/>
        <w:gridCol w:w="989"/>
        <w:gridCol w:w="854"/>
        <w:gridCol w:w="782"/>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所处行业</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主要产品或</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净利润</w:t>
            </w:r>
          </w:p>
        </w:tc>
      </w:tr>
    </w:tbl>
    <w:p>
      <w:pPr>
        <w:spacing w:lineRule="exact" w:line="1"/>
        <w:rPr>
          <w:sz w:val="2"/>
          <w:szCs w:val="2"/>
        </w:rPr>
      </w:pPr>
      <w:r>
        <w:br w:type="page"/>
      </w:r>
    </w:p>
    <w:tbl>
      <w:tblPr>
        <w:tblOverlap w:val="never"/>
        <w:jc w:val="center"/>
        <w:tblLayout w:type="fixed"/>
      </w:tblPr>
      <w:tblGrid>
        <w:gridCol w:w="1138"/>
        <w:gridCol w:w="850"/>
        <w:gridCol w:w="850"/>
        <w:gridCol w:w="1133"/>
        <w:gridCol w:w="994"/>
        <w:gridCol w:w="994"/>
        <w:gridCol w:w="994"/>
        <w:gridCol w:w="989"/>
        <w:gridCol w:w="854"/>
        <w:gridCol w:w="78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北京久其政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电子政务领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both"/>
            </w:pPr>
            <w:r>
              <w:rPr>
                <w:color w:val="000000"/>
                <w:spacing w:val="0"/>
                <w:w w:val="100"/>
                <w:position w:val="0"/>
              </w:rPr>
              <w:t>务软件股份</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子公司</w:t>
            </w:r>
          </w:p>
        </w:tc>
        <w:tc>
          <w:tcPr>
            <w:tcBorders>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both"/>
            </w:pPr>
            <w:r>
              <w:rPr>
                <w:color w:val="000000"/>
                <w:spacing w:val="0"/>
                <w:w w:val="100"/>
                <w:position w:val="0"/>
              </w:rPr>
              <w:t>息技术服</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域信息化系 统开发与服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32,000,000.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57,014,722.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48,773,884.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32,437,454.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8,502,429.</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8,096,713</w:t>
            </w:r>
          </w:p>
        </w:tc>
      </w:tr>
      <w:tr>
        <w:trPr>
          <w:trHeight w:val="149"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color w:val="000000"/>
                <w:spacing w:val="0"/>
                <w:w w:val="100"/>
                <w:position w:val="0"/>
              </w:rPr>
              <w:t>有限公司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both"/>
            </w:pPr>
            <w:r>
              <w:rPr>
                <w:color w:val="000000"/>
                <w:spacing w:val="0"/>
                <w:w w:val="100"/>
                <w:position w:val="0"/>
              </w:rPr>
              <w:t>务业</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r>
      <w:tr>
        <w:trPr>
          <w:trHeight w:val="43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both"/>
            </w:pPr>
            <w:r>
              <w:rPr>
                <w:color w:val="000000"/>
                <w:spacing w:val="0"/>
                <w:w w:val="100"/>
                <w:position w:val="0"/>
              </w:rPr>
              <w:t>西安久其软 件有限公司</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 息技术服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软件开发与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3,823,824.6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2,813,323.3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3,055,266.7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-126,106.1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-137,601.</w:t>
            </w:r>
          </w:p>
        </w:tc>
      </w:tr>
      <w:tr>
        <w:trPr>
          <w:trHeight w:val="43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color w:val="000000"/>
                <w:spacing w:val="0"/>
                <w:w w:val="100"/>
                <w:position w:val="0"/>
              </w:rPr>
              <w:t>务业</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r>
      <w:tr>
        <w:trPr>
          <w:trHeight w:val="278"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上海久其软</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子公司</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3,000,000.0</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6,805,511.9</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6,183,407.4</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3,328,135.6</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-545,671.6</w:t>
            </w: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-406,537.</w:t>
            </w:r>
          </w:p>
        </w:tc>
      </w:tr>
      <w:tr>
        <w:trPr>
          <w:trHeight w:val="144" w:hRule="exact"/>
        </w:trPr>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件有限公司</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息技术服</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color w:val="000000"/>
                <w:spacing w:val="0"/>
                <w:w w:val="100"/>
                <w:position w:val="0"/>
              </w:rPr>
              <w:t>务业</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r>
      <w:tr>
        <w:trPr>
          <w:trHeight w:val="59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both"/>
            </w:pPr>
            <w:r>
              <w:rPr>
                <w:color w:val="000000"/>
                <w:spacing w:val="0"/>
                <w:w w:val="100"/>
                <w:position w:val="0"/>
              </w:rPr>
              <w:t>成都久其软 件有限公司</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 息技术服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软件开发与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3,298,809.6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2,722,381.8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1,464,379.1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-423,313.5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-433,710.</w:t>
            </w:r>
          </w:p>
        </w:tc>
      </w:tr>
      <w:tr>
        <w:trPr>
          <w:trHeight w:val="43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both"/>
            </w:pPr>
            <w:r>
              <w:rPr>
                <w:color w:val="000000"/>
                <w:spacing w:val="0"/>
                <w:w w:val="100"/>
                <w:position w:val="0"/>
              </w:rPr>
              <w:t>务业</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r>
      <w:tr>
        <w:trPr>
          <w:trHeight w:val="59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both"/>
            </w:pPr>
            <w:r>
              <w:rPr>
                <w:color w:val="000000"/>
                <w:spacing w:val="0"/>
                <w:w w:val="100"/>
                <w:position w:val="0"/>
              </w:rPr>
              <w:t>广东久其软 件有限公司</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 息技术服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软件开发与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5,277,843.0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4,733,573.8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3,457,142.2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-191,996.4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-35,147.5</w:t>
            </w:r>
          </w:p>
        </w:tc>
      </w:tr>
      <w:tr>
        <w:trPr>
          <w:trHeight w:val="43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both"/>
            </w:pPr>
            <w:r>
              <w:rPr>
                <w:color w:val="000000"/>
                <w:spacing w:val="0"/>
                <w:w w:val="100"/>
                <w:position w:val="0"/>
              </w:rPr>
              <w:t>务业</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59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新疆久其科</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 息技术服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软件开发与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2,182,510.4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1,949,431.3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1,919,521.3</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-13,489.51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-16,505.0</w:t>
            </w: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color w:val="000000"/>
                <w:spacing w:val="0"/>
                <w:w w:val="100"/>
                <w:position w:val="0"/>
              </w:rPr>
              <w:t>务业</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283"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重庆久其软</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子公司</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10,885,519.</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8,193,545.0</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2,681,000.5</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503,917.7</w:t>
            </w: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504,064.2</w:t>
            </w:r>
          </w:p>
        </w:tc>
      </w:tr>
      <w:tr>
        <w:trPr>
          <w:trHeight w:val="144" w:hRule="exact"/>
        </w:trPr>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件有限公司</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息技术服</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color w:val="000000"/>
                <w:spacing w:val="0"/>
                <w:w w:val="100"/>
                <w:position w:val="0"/>
              </w:rPr>
              <w:t>务业</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36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北京北邮中</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通信领域管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望信息科技 有限责任公</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理信息化系 统开发与服</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573,857.84</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-4,300,933.3</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4,675,323.8</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-2,110,481</w:t>
            </w: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-2,079,73</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息技术服</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w:t>
            </w: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务业</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海南久其云</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云计算产品</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5,000,000.0</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3,639,366.1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1,826,612.3</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-4,644,700</w:t>
            </w:r>
          </w:p>
        </w:tc>
        <w:tc>
          <w:tcPr>
            <w:vMerge w:val="restart"/>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-3,732,38</w:t>
            </w:r>
          </w:p>
        </w:tc>
      </w:tr>
      <w:tr>
        <w:trPr>
          <w:trHeight w:val="154"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计算科技有</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息技术服</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研发与服务</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572,531.78</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r>
      <w:tr>
        <w:trPr>
          <w:trHeight w:val="283"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务业</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深圳市拜特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资金管理信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color w:val="000000"/>
                <w:spacing w:val="0"/>
                <w:w w:val="100"/>
                <w:position w:val="0"/>
              </w:rPr>
              <w:t>科技股份有</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参股公司</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color w:val="000000"/>
                <w:spacing w:val="0"/>
                <w:w w:val="100"/>
                <w:position w:val="0"/>
              </w:rPr>
              <w:t>息技术服</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息化系统与</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27,850,000.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84,409,869.</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42,718,792.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64,136,732.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-850,356.1</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1,519,809</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32</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r>
      <w:tr>
        <w:trPr>
          <w:trHeight w:val="283"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务业</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项目管理、协 同办公、系统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广东同望科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集成三大领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color w:val="000000"/>
                <w:spacing w:val="0"/>
                <w:w w:val="100"/>
                <w:position w:val="0"/>
              </w:rPr>
              <w:t>技股份有限</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参股公司</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color w:val="000000"/>
                <w:spacing w:val="0"/>
                <w:w w:val="100"/>
                <w:position w:val="0"/>
              </w:rPr>
              <w:t>息技术服</w:t>
            </w:r>
          </w:p>
        </w:tc>
        <w:tc>
          <w:tcPr>
            <w:tcBorders>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域相关业务</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55,290,000.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144,523,680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107,566,468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77,251,061.</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-6,459,204</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2,573,919</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r>
      <w:tr>
        <w:trPr>
          <w:trHeight w:val="922" w:hRule="exact"/>
        </w:trPr>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务业</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的管理研究 和信息化技 术开发</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主要子公司、参股公司情况说明</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主要子公司方面，久其政务报告期净利润较上年同期减少</w:t>
      </w:r>
      <w:r>
        <w:rPr>
          <w:rFonts w:ascii="Times New Roman" w:eastAsia="Times New Roman" w:hAnsi="Times New Roman" w:cs="Times New Roman"/>
          <w:color w:val="000000"/>
          <w:spacing w:val="0"/>
          <w:w w:val="100"/>
          <w:position w:val="0"/>
        </w:rPr>
        <w:t>42.10%</w:t>
      </w:r>
      <w:r>
        <w:rPr>
          <w:color w:val="000000"/>
          <w:spacing w:val="0"/>
          <w:w w:val="100"/>
          <w:position w:val="0"/>
        </w:rPr>
        <w:t>，主要系报告期人工成本增加所致；海南久其报告期 净利润较上年同期减少</w:t>
      </w:r>
      <w:r>
        <w:rPr>
          <w:rFonts w:ascii="Times New Roman" w:eastAsia="Times New Roman" w:hAnsi="Times New Roman" w:cs="Times New Roman"/>
          <w:color w:val="000000"/>
          <w:spacing w:val="0"/>
          <w:w w:val="100"/>
          <w:position w:val="0"/>
        </w:rPr>
        <w:t>436.97%</w:t>
      </w:r>
      <w:r>
        <w:rPr>
          <w:color w:val="000000"/>
          <w:spacing w:val="0"/>
          <w:w w:val="100"/>
          <w:position w:val="0"/>
        </w:rPr>
        <w:t>，主要系报告期海南久其加大对云应用、移动互联相关产品的投入力度，尚未产生明显收益; 北邮中望报告期净利润较上年同期减少</w:t>
      </w:r>
      <w:r>
        <w:rPr>
          <w:rFonts w:ascii="Times New Roman" w:eastAsia="Times New Roman" w:hAnsi="Times New Roman" w:cs="Times New Roman"/>
          <w:color w:val="000000"/>
          <w:spacing w:val="0"/>
          <w:w w:val="100"/>
          <w:position w:val="0"/>
        </w:rPr>
        <w:t>673.41%</w:t>
      </w:r>
      <w:r>
        <w:rPr>
          <w:color w:val="000000"/>
          <w:spacing w:val="0"/>
          <w:w w:val="100"/>
          <w:position w:val="0"/>
        </w:rPr>
        <w:t>，主要系报告期公司业务拓展不力，盈利能力不稳定。</w:t>
      </w:r>
    </w:p>
    <w:p>
      <w:pPr>
        <w:pStyle w:val="Style3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报告期内取得和处置子公司的情况</w:t>
      </w:r>
    </w:p>
    <w:p>
      <w:pPr>
        <w:pStyle w:val="Style3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31"/>
        <w:gridCol w:w="2126"/>
        <w:gridCol w:w="1699"/>
        <w:gridCol w:w="3624"/>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报告期内取得和处置子公</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司目的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报告期内取得和处置 子公司方式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对整体生产和业绩的影响</w:t>
            </w:r>
          </w:p>
        </w:tc>
      </w:tr>
      <w:tr>
        <w:trPr>
          <w:trHeight w:val="134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深圳市久其软件有限公司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进一步整合资源，降低管理 成本，提升管理效能。</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报告期内，公司办理完成深圳久其的注销手 续，其资产负债由公司总部承担，人员、业务 资源等已转入公司总部统一安排，不会对公司 整体生产和业绩产生实质性影响。</w:t>
            </w:r>
          </w:p>
        </w:tc>
      </w:tr>
    </w:tbl>
    <w:p>
      <w:pPr>
        <w:widowControl w:val="0"/>
        <w:spacing w:after="299" w:line="1" w:lineRule="exact"/>
      </w:pPr>
    </w:p>
    <w:p>
      <w:pPr>
        <w:pStyle w:val="Style31"/>
        <w:keepNext/>
        <w:keepLines/>
        <w:widowControl w:val="0"/>
        <w:shd w:val="clear" w:color="auto" w:fill="auto"/>
        <w:bidi w:val="0"/>
        <w:spacing w:before="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sz w:val="24"/>
          <w:szCs w:val="24"/>
        </w:rPr>
        <w:t>七</w:t>
      </w:r>
      <w:bookmarkEnd w:id="148"/>
      <w:r>
        <w:rPr>
          <w:color w:val="000000"/>
          <w:spacing w:val="0"/>
          <w:w w:val="100"/>
          <w:position w:val="0"/>
          <w:sz w:val="24"/>
          <w:szCs w:val="24"/>
        </w:rPr>
        <w:t>、公司未来发展的展望</w:t>
      </w:r>
      <w:bookmarkEnd w:id="146"/>
      <w:bookmarkEnd w:id="147"/>
      <w:bookmarkEnd w:id="149"/>
    </w:p>
    <w:p>
      <w:pPr>
        <w:pStyle w:val="Style35"/>
        <w:keepNext w:val="0"/>
        <w:keepLines w:val="0"/>
        <w:widowControl w:val="0"/>
        <w:shd w:val="clear" w:color="auto" w:fill="auto"/>
        <w:tabs>
          <w:tab w:pos="479" w:val="left"/>
        </w:tabs>
        <w:bidi w:val="0"/>
        <w:spacing w:before="0" w:after="0" w:line="310" w:lineRule="exact"/>
        <w:ind w:left="0" w:right="0" w:firstLine="0"/>
        <w:jc w:val="left"/>
      </w:pPr>
      <w:bookmarkStart w:id="150" w:name="bookmark150"/>
      <w:r>
        <w:rPr>
          <w:color w:val="000000"/>
          <w:spacing w:val="0"/>
          <w:w w:val="100"/>
          <w:position w:val="0"/>
        </w:rPr>
        <w:t>（</w:t>
      </w:r>
      <w:bookmarkEnd w:id="150"/>
      <w:r>
        <w:rPr>
          <w:color w:val="000000"/>
          <w:spacing w:val="0"/>
          <w:w w:val="100"/>
          <w:position w:val="0"/>
        </w:rPr>
        <w:t>一）</w:t>
        <w:tab/>
        <w:t>行业竞争格局和发展趋势</w:t>
      </w:r>
    </w:p>
    <w:p>
      <w:pPr>
        <w:pStyle w:val="Style35"/>
        <w:keepNext w:val="0"/>
        <w:keepLines w:val="0"/>
        <w:widowControl w:val="0"/>
        <w:shd w:val="clear" w:color="auto" w:fill="auto"/>
        <w:bidi w:val="0"/>
        <w:spacing w:before="0" w:after="0" w:line="310" w:lineRule="exact"/>
        <w:ind w:left="0" w:right="0"/>
        <w:jc w:val="left"/>
      </w:pPr>
      <w:r>
        <w:rPr>
          <w:color w:val="000000"/>
          <w:spacing w:val="0"/>
          <w:w w:val="100"/>
          <w:position w:val="0"/>
        </w:rPr>
        <w:t>在国家</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 xml:space="preserve">发展规划的指导下，国内软件和信息技术服务业继续保持平稳、较快的发展。国民经济信息化建设为软 件和信息服务业带来了良好的发展机遇，除政务、金融、制造业、通信、商贸、能源等传统领域外，近年来备受关注的交通、 安防、养老、旅游、物流等热点领域的信息化市场需求与日俱增。基于信息安全在国计民生中的战略性地位，政府采购项目 对信息安全的要求会持续提升，这也意味着本土 </w:t>
      </w:r>
      <w:r>
        <w:rPr>
          <w:rFonts w:ascii="Times New Roman" w:eastAsia="Times New Roman" w:hAnsi="Times New Roman" w:cs="Times New Roman"/>
          <w:color w:val="000000"/>
          <w:spacing w:val="0"/>
          <w:w w:val="100"/>
          <w:position w:val="0"/>
        </w:rPr>
        <w:t>IT</w:t>
      </w:r>
      <w:r>
        <w:rPr>
          <w:color w:val="000000"/>
          <w:spacing w:val="0"/>
          <w:w w:val="100"/>
          <w:position w:val="0"/>
        </w:rPr>
        <w:t>厂商将直接受益并获得更多先机。</w:t>
      </w:r>
    </w:p>
    <w:p>
      <w:pPr>
        <w:pStyle w:val="Style35"/>
        <w:keepNext w:val="0"/>
        <w:keepLines w:val="0"/>
        <w:widowControl w:val="0"/>
        <w:shd w:val="clear" w:color="auto" w:fill="auto"/>
        <w:bidi w:val="0"/>
        <w:spacing w:before="0" w:after="300" w:line="310" w:lineRule="exact"/>
        <w:ind w:left="0" w:right="0"/>
        <w:jc w:val="left"/>
      </w:pPr>
      <w:r>
        <w:rPr>
          <w:color w:val="000000"/>
          <w:spacing w:val="0"/>
          <w:w w:val="100"/>
          <w:position w:val="0"/>
        </w:rPr>
        <w:t>然而不可否认近年来，传统软件行业的增速远低以云计算、物联网、移动互联网等为代表的新兴产业，传统软件厂商正 面临着来自新兴产业在人才、资金、市场资源方面的巨大压力，但挑战亦是机遇，在新技术、新理念的带动下，或将继续深 化并加速传统软件产业的转型与变革，传统软件厂商要紧紧抓住并充分利用科技革命和产业变革的机遇，瞄准企业发展的定 位，更新产品技术理念，加快创造价值的步伐，有效巩固并扩大自身优势。</w:t>
      </w:r>
    </w:p>
    <w:p>
      <w:pPr>
        <w:pStyle w:val="Style35"/>
        <w:keepNext w:val="0"/>
        <w:keepLines w:val="0"/>
        <w:widowControl w:val="0"/>
        <w:shd w:val="clear" w:color="auto" w:fill="auto"/>
        <w:tabs>
          <w:tab w:pos="479" w:val="left"/>
        </w:tabs>
        <w:bidi w:val="0"/>
        <w:spacing w:before="0" w:after="0" w:line="309" w:lineRule="exact"/>
        <w:ind w:left="0" w:right="0" w:firstLine="0"/>
        <w:jc w:val="left"/>
      </w:pPr>
      <w:bookmarkStart w:id="151" w:name="bookmark151"/>
      <w:r>
        <w:rPr>
          <w:color w:val="000000"/>
          <w:spacing w:val="0"/>
          <w:w w:val="100"/>
          <w:position w:val="0"/>
        </w:rPr>
        <w:t>（</w:t>
      </w:r>
      <w:bookmarkEnd w:id="151"/>
      <w:r>
        <w:rPr>
          <w:color w:val="000000"/>
          <w:spacing w:val="0"/>
          <w:w w:val="100"/>
          <w:position w:val="0"/>
        </w:rPr>
        <w:t>二）</w:t>
        <w:tab/>
        <w:t>经营战略</w:t>
      </w:r>
    </w:p>
    <w:p>
      <w:pPr>
        <w:pStyle w:val="Style35"/>
        <w:keepNext w:val="0"/>
        <w:keepLines w:val="0"/>
        <w:widowControl w:val="0"/>
        <w:shd w:val="clear" w:color="auto" w:fill="auto"/>
        <w:bidi w:val="0"/>
        <w:spacing w:before="0" w:after="300" w:line="309" w:lineRule="exact"/>
        <w:ind w:left="0" w:right="0"/>
        <w:jc w:val="both"/>
      </w:pPr>
      <w:r>
        <w:rPr>
          <w:color w:val="000000"/>
          <w:spacing w:val="0"/>
          <w:w w:val="100"/>
          <w:position w:val="0"/>
        </w:rPr>
        <w:t>报告期末，为更好地凸显公司在大数据领域的发展优势，落实相应的业务规划和市场布局，公司整合原有报表业务与商 业智能业务形成了久其大数据业务线。公司将持续深耕电子政务、集团管控和大数据领域的新老市场，积极培育新业务、新 产品，并探索云计算、物联网、移动互联等新兴产业与传统产业之间的融合与创新，同时公司将积极探索外延发展的道路， 通过产业整合与并购，不断深化业务结构调整，为全体股东创造价值，实现企业持续、健康、稳定的发展。</w:t>
      </w:r>
    </w:p>
    <w:p>
      <w:pPr>
        <w:pStyle w:val="Style35"/>
        <w:keepNext w:val="0"/>
        <w:keepLines w:val="0"/>
        <w:widowControl w:val="0"/>
        <w:shd w:val="clear" w:color="auto" w:fill="auto"/>
        <w:tabs>
          <w:tab w:pos="479" w:val="left"/>
        </w:tabs>
        <w:bidi w:val="0"/>
        <w:spacing w:before="0" w:after="0" w:line="309" w:lineRule="exact"/>
        <w:ind w:left="0" w:right="0" w:firstLine="0"/>
        <w:jc w:val="left"/>
      </w:pPr>
      <w:bookmarkStart w:id="152" w:name="bookmark152"/>
      <w:r>
        <w:rPr>
          <w:color w:val="000000"/>
          <w:spacing w:val="0"/>
          <w:w w:val="100"/>
          <w:position w:val="0"/>
        </w:rPr>
        <w:t>（</w:t>
      </w:r>
      <w:bookmarkEnd w:id="152"/>
      <w:r>
        <w:rPr>
          <w:color w:val="000000"/>
          <w:spacing w:val="0"/>
          <w:w w:val="100"/>
          <w:position w:val="0"/>
        </w:rPr>
        <w:t>三）</w:t>
        <w:tab/>
        <w:t>经营计划</w:t>
      </w:r>
    </w:p>
    <w:p>
      <w:pPr>
        <w:pStyle w:val="Style35"/>
        <w:keepNext w:val="0"/>
        <w:keepLines w:val="0"/>
        <w:widowControl w:val="0"/>
        <w:shd w:val="clear" w:color="auto" w:fill="auto"/>
        <w:bidi w:val="0"/>
        <w:spacing w:before="0" w:after="0" w:line="309" w:lineRule="exact"/>
        <w:ind w:left="0" w:right="0"/>
        <w:jc w:val="left"/>
      </w:pPr>
      <w:r>
        <w:rPr>
          <w:color w:val="000000"/>
          <w:spacing w:val="0"/>
          <w:w w:val="100"/>
          <w:position w:val="0"/>
        </w:rPr>
        <w:t>围绕公司</w:t>
      </w:r>
      <w:r>
        <w:rPr>
          <w:rFonts w:ascii="Times New Roman" w:eastAsia="Times New Roman" w:hAnsi="Times New Roman" w:cs="Times New Roman"/>
          <w:color w:val="000000"/>
          <w:spacing w:val="0"/>
          <w:w w:val="100"/>
          <w:position w:val="0"/>
        </w:rPr>
        <w:t>2014</w:t>
      </w:r>
      <w:r>
        <w:rPr>
          <w:color w:val="000000"/>
          <w:spacing w:val="0"/>
          <w:w w:val="100"/>
          <w:position w:val="0"/>
        </w:rPr>
        <w:t>年度经营目标和战略规划，公司将继续加强技术创新与产品整合、事业部激励机制完善、业绩目标落实与 执行、人员结构调整优化等方面的工作，以保障经营业绩持续增长。</w:t>
      </w:r>
    </w:p>
    <w:p>
      <w:pPr>
        <w:pStyle w:val="Style35"/>
        <w:keepNext w:val="0"/>
        <w:keepLines w:val="0"/>
        <w:widowControl w:val="0"/>
        <w:shd w:val="clear" w:color="auto" w:fill="auto"/>
        <w:bidi w:val="0"/>
        <w:spacing w:before="0" w:after="0" w:line="309" w:lineRule="exact"/>
        <w:ind w:left="0" w:right="0"/>
        <w:jc w:val="left"/>
      </w:pPr>
      <w:r>
        <w:rPr>
          <w:color w:val="000000"/>
          <w:spacing w:val="0"/>
          <w:w w:val="100"/>
          <w:position w:val="0"/>
        </w:rPr>
        <w:t>一是要深化产品整合、加大新业务投入，紧抓市场机遇。通过组织机构调整分别设立大数据事业部和电子政务事业部， 进一步整合优化资源。本着专而精的研发与服务标准，继续深挖公司电子政务领域市场需求；着力完善各行业企业集团的市 场布局和业务策略，推进集团管控业务稳步发展。并借助公司报表产品与商业智能产品的融合性与互补性优势，加大对大数 据技术的研发投入和创新力度，发掘公司大数据领域市场潜力。与此同时，在深化传统业务发展的基础上，要进一步加大对 云计算、移动互联等方面新业务、新产品的研发及市场投入力度。</w:t>
      </w:r>
    </w:p>
    <w:p>
      <w:pPr>
        <w:pStyle w:val="Style35"/>
        <w:keepNext w:val="0"/>
        <w:keepLines w:val="0"/>
        <w:widowControl w:val="0"/>
        <w:shd w:val="clear" w:color="auto" w:fill="auto"/>
        <w:bidi w:val="0"/>
        <w:spacing w:before="0" w:after="0" w:line="314" w:lineRule="exact"/>
        <w:ind w:left="0" w:right="0"/>
        <w:jc w:val="left"/>
      </w:pPr>
      <w:r>
        <w:rPr>
          <w:color w:val="000000"/>
          <w:spacing w:val="0"/>
          <w:w w:val="100"/>
          <w:position w:val="0"/>
        </w:rPr>
        <w:t>二是要完善事业部激励机制，增强事业部一体化建设成效。通过改进完善研发、测试、实施等业务关键岗位的考核激励 机制，充分调动后台团队在面向前台市场和客户需求方面的能动性，促进前台后台事业部之间的深度融合与协同，增强事业 部一体性建设工作成效。</w:t>
      </w:r>
    </w:p>
    <w:p>
      <w:pPr>
        <w:pStyle w:val="Style35"/>
        <w:keepNext w:val="0"/>
        <w:keepLines w:val="0"/>
        <w:widowControl w:val="0"/>
        <w:shd w:val="clear" w:color="auto" w:fill="auto"/>
        <w:bidi w:val="0"/>
        <w:spacing w:before="0" w:after="0" w:line="314" w:lineRule="exact"/>
        <w:ind w:left="0" w:right="0"/>
        <w:jc w:val="left"/>
      </w:pPr>
      <w:r>
        <w:rPr>
          <w:color w:val="000000"/>
          <w:spacing w:val="0"/>
          <w:w w:val="100"/>
          <w:position w:val="0"/>
        </w:rPr>
        <w:t>三是要强化重点工作计划，落实业绩目标执行。为更好地贯彻落实公司</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年度经营目标，公司将持续跟踪并推进各责 任中心重点工作计划执行情况，关注计划的合理性、可行性，以及执行成果的检验鉴定，并促进各责任中心之间计划的联动 </w:t>
      </w:r>
      <w:r>
        <w:rPr>
          <w:color w:val="000000"/>
          <w:spacing w:val="0"/>
          <w:w w:val="100"/>
          <w:position w:val="0"/>
        </w:rPr>
        <w:t>性，同时进一步强化销售计划的管理与监督，确保年度经营目标的达成。</w:t>
      </w:r>
    </w:p>
    <w:p>
      <w:pPr>
        <w:pStyle w:val="Style35"/>
        <w:keepNext w:val="0"/>
        <w:keepLines w:val="0"/>
        <w:widowControl w:val="0"/>
        <w:shd w:val="clear" w:color="auto" w:fill="auto"/>
        <w:bidi w:val="0"/>
        <w:spacing w:before="0" w:after="300" w:line="312" w:lineRule="exact"/>
        <w:ind w:left="0" w:right="0"/>
        <w:jc w:val="both"/>
      </w:pPr>
      <w:r>
        <w:rPr>
          <w:color w:val="000000"/>
          <w:spacing w:val="0"/>
          <w:w w:val="100"/>
          <w:position w:val="0"/>
        </w:rPr>
        <w:t>四是持续优化人员结构，建立</w:t>
      </w:r>
      <w:r>
        <w:rPr>
          <w:rFonts w:ascii="Times New Roman" w:eastAsia="Times New Roman" w:hAnsi="Times New Roman" w:cs="Times New Roman"/>
          <w:color w:val="000000"/>
          <w:spacing w:val="0"/>
          <w:w w:val="100"/>
          <w:position w:val="0"/>
        </w:rPr>
        <w:t>“</w:t>
      </w:r>
      <w:r>
        <w:rPr>
          <w:color w:val="000000"/>
          <w:spacing w:val="0"/>
          <w:w w:val="100"/>
          <w:position w:val="0"/>
        </w:rPr>
        <w:t>自愈型</w:t>
      </w:r>
      <w:r>
        <w:rPr>
          <w:rFonts w:ascii="Times New Roman" w:eastAsia="Times New Roman" w:hAnsi="Times New Roman" w:cs="Times New Roman"/>
          <w:color w:val="000000"/>
          <w:spacing w:val="0"/>
          <w:w w:val="100"/>
          <w:position w:val="0"/>
        </w:rPr>
        <w:t>”</w:t>
      </w:r>
      <w:r>
        <w:rPr>
          <w:color w:val="000000"/>
          <w:spacing w:val="0"/>
          <w:w w:val="100"/>
          <w:position w:val="0"/>
        </w:rPr>
        <w:t>组织。公司将从提升能力、激发潜能、增加复用度等方面多管齐下，持续优化人 员结构，建立一支高素质综合人才队伍，进一步提升公司人均产出。同时公司将尝试建立</w:t>
      </w:r>
      <w:r>
        <w:rPr>
          <w:rFonts w:ascii="Times New Roman" w:eastAsia="Times New Roman" w:hAnsi="Times New Roman" w:cs="Times New Roman"/>
          <w:color w:val="000000"/>
          <w:spacing w:val="0"/>
          <w:w w:val="100"/>
          <w:position w:val="0"/>
        </w:rPr>
        <w:t>“</w:t>
      </w:r>
      <w:r>
        <w:rPr>
          <w:color w:val="000000"/>
          <w:spacing w:val="0"/>
          <w:w w:val="100"/>
          <w:position w:val="0"/>
        </w:rPr>
        <w:t>自愈型</w:t>
      </w:r>
      <w:r>
        <w:rPr>
          <w:rFonts w:ascii="Times New Roman" w:eastAsia="Times New Roman" w:hAnsi="Times New Roman" w:cs="Times New Roman"/>
          <w:color w:val="000000"/>
          <w:spacing w:val="0"/>
          <w:w w:val="100"/>
          <w:position w:val="0"/>
        </w:rPr>
        <w:t>”</w:t>
      </w:r>
      <w:r>
        <w:rPr>
          <w:color w:val="000000"/>
          <w:spacing w:val="0"/>
          <w:w w:val="100"/>
          <w:position w:val="0"/>
        </w:rPr>
        <w:t>组织，发挥员工在企业经 营中相互依赖和影响的特性，通过组织机构的调整完善，促进员工多角度、换位思考，及时发现并改进自身不足，以保障整 个组织良性运转。</w:t>
      </w:r>
    </w:p>
    <w:p>
      <w:pPr>
        <w:pStyle w:val="Style35"/>
        <w:keepNext w:val="0"/>
        <w:keepLines w:val="0"/>
        <w:widowControl w:val="0"/>
        <w:shd w:val="clear" w:color="auto" w:fill="auto"/>
        <w:tabs>
          <w:tab w:pos="531" w:val="left"/>
        </w:tabs>
        <w:bidi w:val="0"/>
        <w:spacing w:before="0" w:after="0" w:line="307" w:lineRule="exact"/>
        <w:ind w:left="0" w:right="0" w:firstLine="0"/>
        <w:jc w:val="left"/>
      </w:pPr>
      <w:bookmarkStart w:id="153" w:name="bookmark153"/>
      <w:r>
        <w:rPr>
          <w:color w:val="000000"/>
          <w:spacing w:val="0"/>
          <w:w w:val="100"/>
          <w:position w:val="0"/>
        </w:rPr>
        <w:t>（</w:t>
      </w:r>
      <w:bookmarkEnd w:id="153"/>
      <w:r>
        <w:rPr>
          <w:color w:val="000000"/>
          <w:spacing w:val="0"/>
          <w:w w:val="100"/>
          <w:position w:val="0"/>
        </w:rPr>
        <w:t>四）</w:t>
        <w:tab/>
        <w:t>资金需求</w:t>
      </w:r>
    </w:p>
    <w:p>
      <w:pPr>
        <w:pStyle w:val="Style35"/>
        <w:keepNext w:val="0"/>
        <w:keepLines w:val="0"/>
        <w:widowControl w:val="0"/>
        <w:shd w:val="clear" w:color="auto" w:fill="auto"/>
        <w:bidi w:val="0"/>
        <w:spacing w:before="0" w:after="300" w:line="307" w:lineRule="exact"/>
        <w:ind w:left="0" w:right="0"/>
        <w:jc w:val="both"/>
      </w:pPr>
      <w:r>
        <w:rPr>
          <w:color w:val="000000"/>
          <w:spacing w:val="0"/>
          <w:w w:val="100"/>
          <w:position w:val="0"/>
        </w:rPr>
        <w:t>公司目前的现金流量情况较好，基本能够满足公司日常生产经营需求。公司将通过积极发展主营业务、合理分配资金用 途，以及加强对应收账款的管理和催收，从而提高资金使用效率，规避资金流动过程中的风险。</w:t>
      </w:r>
    </w:p>
    <w:p>
      <w:pPr>
        <w:pStyle w:val="Style35"/>
        <w:keepNext w:val="0"/>
        <w:keepLines w:val="0"/>
        <w:widowControl w:val="0"/>
        <w:shd w:val="clear" w:color="auto" w:fill="auto"/>
        <w:tabs>
          <w:tab w:pos="531" w:val="left"/>
        </w:tabs>
        <w:bidi w:val="0"/>
        <w:spacing w:before="0" w:line="312" w:lineRule="exact"/>
        <w:ind w:left="0" w:right="0" w:firstLine="0"/>
        <w:jc w:val="both"/>
      </w:pPr>
      <w:bookmarkStart w:id="154" w:name="bookmark154"/>
      <w:r>
        <w:rPr>
          <w:color w:val="000000"/>
          <w:spacing w:val="0"/>
          <w:w w:val="100"/>
          <w:position w:val="0"/>
        </w:rPr>
        <w:t>（</w:t>
      </w:r>
      <w:bookmarkEnd w:id="154"/>
      <w:r>
        <w:rPr>
          <w:color w:val="000000"/>
          <w:spacing w:val="0"/>
          <w:w w:val="100"/>
          <w:position w:val="0"/>
        </w:rPr>
        <w:t>五）</w:t>
        <w:tab/>
        <w:t>可能面对的风险</w:t>
      </w:r>
    </w:p>
    <w:p>
      <w:pPr>
        <w:pStyle w:val="Style35"/>
        <w:keepNext w:val="0"/>
        <w:keepLines w:val="0"/>
        <w:widowControl w:val="0"/>
        <w:shd w:val="clear" w:color="auto" w:fill="auto"/>
        <w:tabs>
          <w:tab w:pos="379" w:val="left"/>
        </w:tabs>
        <w:bidi w:val="0"/>
        <w:spacing w:before="0" w:after="0"/>
        <w:ind w:left="0" w:right="0" w:firstLine="0"/>
        <w:jc w:val="both"/>
      </w:pPr>
      <w:bookmarkStart w:id="155" w:name="bookmark155"/>
      <w:r>
        <w:rPr>
          <w:rFonts w:ascii="Times New Roman" w:eastAsia="Times New Roman" w:hAnsi="Times New Roman" w:cs="Times New Roman"/>
          <w:color w:val="000000"/>
          <w:spacing w:val="0"/>
          <w:w w:val="100"/>
          <w:position w:val="0"/>
        </w:rPr>
        <w:t>1</w:t>
      </w:r>
      <w:bookmarkEnd w:id="155"/>
      <w:r>
        <w:rPr>
          <w:color w:val="000000"/>
          <w:spacing w:val="0"/>
          <w:w w:val="100"/>
          <w:position w:val="0"/>
        </w:rPr>
        <w:t>、</w:t>
        <w:tab/>
        <w:t>市场风险</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传统软件行业不仅受到外部经济环境和政策环境的影响，更面临着来自新兴产业市场冲击和资源竞争的风险，加之行业 自身竞争日趋白热化，公司的市场机遇和业务拓展成效存在不确定性。此外，公司近年来培育的部分新业务和新产品尚处于 积累和投入阶段，在加大公司经营成本的同时，亦存在由于市场变化而达不到预期收益目标的可能性。</w:t>
      </w:r>
    </w:p>
    <w:p>
      <w:pPr>
        <w:pStyle w:val="Style35"/>
        <w:keepNext w:val="0"/>
        <w:keepLines w:val="0"/>
        <w:widowControl w:val="0"/>
        <w:shd w:val="clear" w:color="auto" w:fill="auto"/>
        <w:tabs>
          <w:tab w:pos="379" w:val="left"/>
        </w:tabs>
        <w:bidi w:val="0"/>
        <w:spacing w:before="0" w:after="0"/>
        <w:ind w:left="0" w:right="0" w:firstLine="0"/>
        <w:jc w:val="both"/>
      </w:pPr>
      <w:bookmarkStart w:id="156" w:name="bookmark156"/>
      <w:r>
        <w:rPr>
          <w:rFonts w:ascii="Times New Roman" w:eastAsia="Times New Roman" w:hAnsi="Times New Roman" w:cs="Times New Roman"/>
          <w:color w:val="000000"/>
          <w:spacing w:val="0"/>
          <w:w w:val="100"/>
          <w:position w:val="0"/>
        </w:rPr>
        <w:t>2</w:t>
      </w:r>
      <w:bookmarkEnd w:id="156"/>
      <w:r>
        <w:rPr>
          <w:color w:val="000000"/>
          <w:spacing w:val="0"/>
          <w:w w:val="100"/>
          <w:position w:val="0"/>
        </w:rPr>
        <w:t>、</w:t>
        <w:tab/>
        <w:t>人力风险</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居高不下的人力成本使企业经营成本愈发加重，高素质人才资源短缺无法满足日益增强的公司发展需求，是公司目前人 力资源管理所面临的风险与挑战。</w:t>
      </w:r>
    </w:p>
    <w:p>
      <w:pPr>
        <w:pStyle w:val="Style35"/>
        <w:keepNext w:val="0"/>
        <w:keepLines w:val="0"/>
        <w:widowControl w:val="0"/>
        <w:shd w:val="clear" w:color="auto" w:fill="auto"/>
        <w:tabs>
          <w:tab w:pos="379" w:val="left"/>
        </w:tabs>
        <w:bidi w:val="0"/>
        <w:spacing w:before="0" w:after="0"/>
        <w:ind w:left="0" w:right="0" w:firstLine="0"/>
        <w:jc w:val="left"/>
      </w:pPr>
      <w:bookmarkStart w:id="157" w:name="bookmark157"/>
      <w:r>
        <w:rPr>
          <w:rFonts w:ascii="Times New Roman" w:eastAsia="Times New Roman" w:hAnsi="Times New Roman" w:cs="Times New Roman"/>
          <w:color w:val="000000"/>
          <w:spacing w:val="0"/>
          <w:w w:val="100"/>
          <w:position w:val="0"/>
        </w:rPr>
        <w:t>3</w:t>
      </w:r>
      <w:bookmarkEnd w:id="157"/>
      <w:r>
        <w:rPr>
          <w:color w:val="000000"/>
          <w:spacing w:val="0"/>
          <w:w w:val="100"/>
          <w:position w:val="0"/>
        </w:rPr>
        <w:t>、</w:t>
        <w:tab/>
        <w:t>业绩季节性波动风险</w:t>
      </w:r>
    </w:p>
    <w:p>
      <w:pPr>
        <w:pStyle w:val="Style35"/>
        <w:keepNext w:val="0"/>
        <w:keepLines w:val="0"/>
        <w:widowControl w:val="0"/>
        <w:shd w:val="clear" w:color="auto" w:fill="auto"/>
        <w:bidi w:val="0"/>
        <w:spacing w:before="0" w:after="360" w:line="312" w:lineRule="exact"/>
        <w:ind w:left="0" w:right="0"/>
        <w:jc w:val="both"/>
      </w:pPr>
      <w:r>
        <w:rPr>
          <w:color w:val="000000"/>
          <w:spacing w:val="0"/>
          <w:w w:val="100"/>
          <w:position w:val="0"/>
        </w:rPr>
        <w:t>由于公司的业务类型及客户特性，公司业绩季节差异较大的情况仍将持续。</w:t>
      </w:r>
    </w:p>
    <w:p>
      <w:pPr>
        <w:pStyle w:val="Style31"/>
        <w:keepNext/>
        <w:keepLines/>
        <w:widowControl w:val="0"/>
        <w:shd w:val="clear" w:color="auto" w:fill="auto"/>
        <w:tabs>
          <w:tab w:pos="517" w:val="left"/>
        </w:tabs>
        <w:bidi w:val="0"/>
        <w:spacing w:before="0" w:after="26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sz w:val="24"/>
          <w:szCs w:val="24"/>
        </w:rPr>
        <w:t>八</w:t>
      </w:r>
      <w:bookmarkEnd w:id="160"/>
      <w:r>
        <w:rPr>
          <w:color w:val="000000"/>
          <w:spacing w:val="0"/>
          <w:w w:val="100"/>
          <w:position w:val="0"/>
          <w:sz w:val="24"/>
          <w:szCs w:val="24"/>
        </w:rPr>
        <w:t>、</w:t>
        <w:tab/>
        <w:t>与上年度财务报告相比，会计政策、会计估计和核算方法发生变化的情况说明</w:t>
      </w:r>
      <w:bookmarkEnd w:id="158"/>
      <w:bookmarkEnd w:id="159"/>
      <w:bookmarkEnd w:id="161"/>
    </w:p>
    <w:p>
      <w:pPr>
        <w:pStyle w:val="Style3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1"/>
        <w:keepNext/>
        <w:keepLines/>
        <w:widowControl w:val="0"/>
        <w:shd w:val="clear" w:color="auto" w:fill="auto"/>
        <w:tabs>
          <w:tab w:pos="517" w:val="left"/>
        </w:tabs>
        <w:bidi w:val="0"/>
        <w:spacing w:before="0" w:after="26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sz w:val="24"/>
          <w:szCs w:val="24"/>
        </w:rPr>
        <w:t>九</w:t>
      </w:r>
      <w:bookmarkEnd w:id="164"/>
      <w:r>
        <w:rPr>
          <w:color w:val="000000"/>
          <w:spacing w:val="0"/>
          <w:w w:val="100"/>
          <w:position w:val="0"/>
          <w:sz w:val="24"/>
          <w:szCs w:val="24"/>
        </w:rPr>
        <w:t>、</w:t>
        <w:tab/>
        <w:t>报告期内发生重大会计差错更正需追溯重述的情况说明</w:t>
      </w:r>
      <w:bookmarkEnd w:id="162"/>
      <w:bookmarkEnd w:id="163"/>
      <w:bookmarkEnd w:id="165"/>
    </w:p>
    <w:p>
      <w:pPr>
        <w:pStyle w:val="Style3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1"/>
        <w:keepNext/>
        <w:keepLines/>
        <w:widowControl w:val="0"/>
        <w:shd w:val="clear" w:color="auto" w:fill="auto"/>
        <w:bidi w:val="0"/>
        <w:spacing w:before="0" w:after="260" w:line="240" w:lineRule="auto"/>
        <w:ind w:left="0" w:right="0" w:firstLine="0"/>
        <w:jc w:val="left"/>
      </w:pPr>
      <w:bookmarkStart w:id="166" w:name="bookmark166"/>
      <w:bookmarkStart w:id="167" w:name="bookmark167"/>
      <w:bookmarkStart w:id="168" w:name="bookmark168"/>
      <w:r>
        <w:rPr>
          <w:color w:val="000000"/>
          <w:spacing w:val="0"/>
          <w:w w:val="100"/>
          <w:position w:val="0"/>
          <w:sz w:val="24"/>
          <w:szCs w:val="24"/>
        </w:rPr>
        <w:t>十、与上年度财务报告相比，合并报表范围发生变化的情况说明</w:t>
      </w:r>
      <w:bookmarkEnd w:id="166"/>
      <w:bookmarkEnd w:id="167"/>
      <w:bookmarkEnd w:id="168"/>
    </w:p>
    <w:p>
      <w:pPr>
        <w:pStyle w:val="Style35"/>
        <w:keepNext w:val="0"/>
        <w:keepLines w:val="0"/>
        <w:widowControl w:val="0"/>
        <w:shd w:val="clear" w:color="auto" w:fill="auto"/>
        <w:bidi w:val="0"/>
        <w:spacing w:before="0" w:after="360" w:line="310" w:lineRule="exact"/>
        <w:ind w:left="0" w:right="0"/>
        <w:jc w:val="left"/>
      </w:pPr>
      <w:r>
        <w:rPr>
          <w:color w:val="000000"/>
          <w:spacing w:val="0"/>
          <w:w w:val="100"/>
          <w:position w:val="0"/>
        </w:rPr>
        <w:t>由于公司全资子公司深圳市久其软件有限公司与公司另一家控股子公司广东久其软件有限公司的区域市场重合度较高。 为进一步整合资源，降低管理成本，提升管理效能，深圳市久其软件有限公司于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月办完注销手续，其资产负债将由 公司总部承担，其人员、业务资源等将转入公司总部统一安排。</w:t>
      </w:r>
    </w:p>
    <w:p>
      <w:pPr>
        <w:pStyle w:val="Style31"/>
        <w:keepNext/>
        <w:keepLines/>
        <w:widowControl w:val="0"/>
        <w:shd w:val="clear" w:color="auto" w:fill="auto"/>
        <w:bidi w:val="0"/>
        <w:spacing w:before="0" w:after="260" w:line="240" w:lineRule="auto"/>
        <w:ind w:left="0" w:right="0" w:firstLine="0"/>
        <w:jc w:val="both"/>
      </w:pPr>
      <w:bookmarkStart w:id="169" w:name="bookmark169"/>
      <w:bookmarkStart w:id="170" w:name="bookmark170"/>
      <w:bookmarkStart w:id="171" w:name="bookmark171"/>
      <w:r>
        <w:rPr>
          <w:color w:val="000000"/>
          <w:spacing w:val="0"/>
          <w:w w:val="100"/>
          <w:position w:val="0"/>
          <w:sz w:val="24"/>
          <w:szCs w:val="24"/>
        </w:rPr>
        <w:t>十一、公司利润分配及分红派息情况</w:t>
      </w:r>
      <w:bookmarkEnd w:id="169"/>
      <w:bookmarkEnd w:id="170"/>
      <w:bookmarkEnd w:id="171"/>
    </w:p>
    <w:p>
      <w:pPr>
        <w:pStyle w:val="Style35"/>
        <w:keepNext w:val="0"/>
        <w:keepLines w:val="0"/>
        <w:widowControl w:val="0"/>
        <w:shd w:val="clear" w:color="auto" w:fill="auto"/>
        <w:bidi w:val="0"/>
        <w:spacing w:before="0" w:line="312" w:lineRule="exact"/>
        <w:ind w:left="0" w:right="0" w:firstLine="0"/>
        <w:jc w:val="both"/>
      </w:pPr>
      <w:r>
        <w:rPr>
          <w:color w:val="000000"/>
          <w:spacing w:val="0"/>
          <w:w w:val="100"/>
          <w:position w:val="0"/>
        </w:rPr>
        <w:t>报告期内利润分配政策特别是现金分红政策的制定、执行或调整情况</w:t>
      </w:r>
    </w:p>
    <w:p>
      <w:pPr>
        <w:pStyle w:val="Style3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260" w:line="312" w:lineRule="exact"/>
        <w:ind w:left="0" w:right="0"/>
        <w:jc w:val="both"/>
      </w:pPr>
      <w:r>
        <w:rPr>
          <w:color w:val="000000"/>
          <w:spacing w:val="0"/>
          <w:w w:val="100"/>
          <w:position w:val="0"/>
        </w:rPr>
        <w:t>报告期内，根据《上市公司证券发行管理办法》、《关于修改上市公司现金分红若干规定的决定》（证监会令第</w:t>
      </w:r>
      <w:r>
        <w:rPr>
          <w:rFonts w:ascii="Times New Roman" w:eastAsia="Times New Roman" w:hAnsi="Times New Roman" w:cs="Times New Roman"/>
          <w:color w:val="000000"/>
          <w:spacing w:val="0"/>
          <w:w w:val="100"/>
          <w:position w:val="0"/>
        </w:rPr>
        <w:t>57</w:t>
      </w:r>
      <w:r>
        <w:rPr>
          <w:color w:val="000000"/>
          <w:spacing w:val="0"/>
          <w:w w:val="100"/>
          <w:position w:val="0"/>
        </w:rPr>
        <w:t>号）以 及《公司章程》的规定，公司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年度利润分配方案》，即以截至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 总股本</w:t>
      </w:r>
      <w:r>
        <w:rPr>
          <w:rFonts w:ascii="Times New Roman" w:eastAsia="Times New Roman" w:hAnsi="Times New Roman" w:cs="Times New Roman"/>
          <w:color w:val="000000"/>
          <w:spacing w:val="0"/>
          <w:w w:val="100"/>
          <w:position w:val="0"/>
        </w:rPr>
        <w:t>175,795,305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rPr>
        <w:t>17,579,530.50</w:t>
      </w:r>
      <w:r>
        <w:rPr>
          <w:color w:val="000000"/>
          <w:spacing w:val="0"/>
          <w:w w:val="100"/>
          <w:position w:val="0"/>
        </w:rPr>
        <w:t>元。公司独 立董事对公司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年度利润分配方案发表了独立意见，认为公司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年度利润分配方案符合有关法律、行政法规和部门规 章的要求，符合公司客观实际并不影响公司正常生产经营。该方案已于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日实施完毕。</w:t>
      </w:r>
      <w:r>
        <w:br w:type="page"/>
      </w:r>
    </w:p>
    <w:tbl>
      <w:tblPr>
        <w:tblOverlap w:val="never"/>
        <w:jc w:val="center"/>
        <w:tblLayout w:type="fixed"/>
      </w:tblPr>
      <w:tblGrid>
        <w:gridCol w:w="4229"/>
        <w:gridCol w:w="5352"/>
      </w:tblGrid>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年（含报告期）的利润分配预案或方案及资本公积金转增股本预案或方案情况</w:t>
      </w:r>
    </w:p>
    <w:p>
      <w:pPr>
        <w:pStyle w:val="Style35"/>
        <w:keepNext w:val="0"/>
        <w:keepLines w:val="0"/>
        <w:widowControl w:val="0"/>
        <w:shd w:val="clear" w:color="auto" w:fill="auto"/>
        <w:tabs>
          <w:tab w:pos="526" w:val="left"/>
        </w:tabs>
        <w:bidi w:val="0"/>
        <w:spacing w:before="0" w:after="0" w:line="314" w:lineRule="exact"/>
        <w:ind w:left="0" w:right="0" w:firstLine="0"/>
        <w:jc w:val="both"/>
      </w:pPr>
      <w:bookmarkStart w:id="172" w:name="bookmark172"/>
      <w:r>
        <w:rPr>
          <w:color w:val="000000"/>
          <w:spacing w:val="0"/>
          <w:w w:val="100"/>
          <w:position w:val="0"/>
        </w:rPr>
        <w:t>（</w:t>
      </w:r>
      <w:bookmarkEnd w:id="172"/>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年度利润分配方案：以截至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109,872,066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2</w:t>
      </w:r>
      <w:r>
        <w:rPr>
          <w:color w:val="000000"/>
          <w:spacing w:val="0"/>
          <w:w w:val="100"/>
          <w:position w:val="0"/>
        </w:rPr>
        <w:t>元人民币现金 （含税）；同时，以资本公积金向全体股东每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股，分红前本公司总股本为</w:t>
      </w:r>
      <w:r>
        <w:rPr>
          <w:rFonts w:ascii="Times New Roman" w:eastAsia="Times New Roman" w:hAnsi="Times New Roman" w:cs="Times New Roman"/>
          <w:color w:val="000000"/>
          <w:spacing w:val="0"/>
          <w:w w:val="100"/>
          <w:position w:val="0"/>
        </w:rPr>
        <w:t>109,872,066</w:t>
      </w:r>
      <w:r>
        <w:rPr>
          <w:color w:val="000000"/>
          <w:spacing w:val="0"/>
          <w:w w:val="100"/>
          <w:position w:val="0"/>
        </w:rPr>
        <w:t xml:space="preserve">股，分红后总股本增至 </w:t>
      </w:r>
      <w:r>
        <w:rPr>
          <w:rFonts w:ascii="Times New Roman" w:eastAsia="Times New Roman" w:hAnsi="Times New Roman" w:cs="Times New Roman"/>
          <w:color w:val="000000"/>
          <w:spacing w:val="0"/>
          <w:w w:val="100"/>
          <w:position w:val="0"/>
        </w:rPr>
        <w:t>175,795,305</w:t>
      </w:r>
      <w:r>
        <w:rPr>
          <w:color w:val="000000"/>
          <w:spacing w:val="0"/>
          <w:w w:val="100"/>
          <w:position w:val="0"/>
        </w:rPr>
        <w:t>股。</w:t>
      </w:r>
    </w:p>
    <w:p>
      <w:pPr>
        <w:pStyle w:val="Style35"/>
        <w:keepNext w:val="0"/>
        <w:keepLines w:val="0"/>
        <w:widowControl w:val="0"/>
        <w:shd w:val="clear" w:color="auto" w:fill="auto"/>
        <w:tabs>
          <w:tab w:pos="536" w:val="left"/>
        </w:tabs>
        <w:bidi w:val="0"/>
        <w:spacing w:before="0" w:after="0" w:line="314" w:lineRule="exact"/>
        <w:ind w:left="0" w:right="0" w:firstLine="0"/>
        <w:jc w:val="both"/>
      </w:pPr>
      <w:bookmarkStart w:id="173" w:name="bookmark173"/>
      <w:r>
        <w:rPr>
          <w:color w:val="000000"/>
          <w:spacing w:val="0"/>
          <w:w w:val="100"/>
          <w:position w:val="0"/>
        </w:rPr>
        <w:t>（</w:t>
      </w:r>
      <w:bookmarkEnd w:id="173"/>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年度利润分配方案：以截至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175,795,305</w:t>
      </w:r>
      <w:r>
        <w:rPr>
          <w:color w:val="000000"/>
          <w:spacing w:val="0"/>
          <w:w w:val="100"/>
          <w:position w:val="0"/>
        </w:rPr>
        <w:t>股为基数，拟向全体股东每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1</w:t>
      </w:r>
      <w:r>
        <w:rPr>
          <w:color w:val="000000"/>
          <w:spacing w:val="0"/>
          <w:w w:val="100"/>
          <w:position w:val="0"/>
        </w:rPr>
        <w:t>元人民币现 金（含税），共计派发现金股利</w:t>
      </w:r>
      <w:r>
        <w:rPr>
          <w:rFonts w:ascii="Times New Roman" w:eastAsia="Times New Roman" w:hAnsi="Times New Roman" w:cs="Times New Roman"/>
          <w:color w:val="000000"/>
          <w:spacing w:val="0"/>
          <w:w w:val="100"/>
          <w:position w:val="0"/>
        </w:rPr>
        <w:t>17,579,530.50</w:t>
      </w:r>
      <w:r>
        <w:rPr>
          <w:color w:val="000000"/>
          <w:spacing w:val="0"/>
          <w:w w:val="100"/>
          <w:position w:val="0"/>
        </w:rPr>
        <w:t>元。</w:t>
      </w:r>
    </w:p>
    <w:p>
      <w:pPr>
        <w:pStyle w:val="Style35"/>
        <w:keepNext w:val="0"/>
        <w:keepLines w:val="0"/>
        <w:widowControl w:val="0"/>
        <w:shd w:val="clear" w:color="auto" w:fill="auto"/>
        <w:tabs>
          <w:tab w:pos="536" w:val="left"/>
        </w:tabs>
        <w:bidi w:val="0"/>
        <w:spacing w:before="0" w:after="0" w:line="314" w:lineRule="exact"/>
        <w:ind w:left="0" w:right="0" w:firstLine="0"/>
        <w:jc w:val="both"/>
      </w:pPr>
      <w:bookmarkStart w:id="174" w:name="bookmark174"/>
      <w:r>
        <w:rPr>
          <w:color w:val="000000"/>
          <w:spacing w:val="0"/>
          <w:w w:val="100"/>
          <w:position w:val="0"/>
        </w:rPr>
        <w:t>（</w:t>
      </w:r>
      <w:bookmarkEnd w:id="174"/>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年度利润分配预案：以截至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175,795,305</w:t>
      </w:r>
      <w:r>
        <w:rPr>
          <w:color w:val="000000"/>
          <w:spacing w:val="0"/>
          <w:w w:val="100"/>
          <w:position w:val="0"/>
        </w:rPr>
        <w:t>股为基数，拟向全体股东每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1.8</w:t>
      </w:r>
      <w:r>
        <w:rPr>
          <w:color w:val="000000"/>
          <w:spacing w:val="0"/>
          <w:w w:val="100"/>
          <w:position w:val="0"/>
        </w:rPr>
        <w:t>元人民币 现金（含税），共计派发现金股利</w:t>
      </w:r>
      <w:r>
        <w:rPr>
          <w:rFonts w:ascii="Times New Roman" w:eastAsia="Times New Roman" w:hAnsi="Times New Roman" w:cs="Times New Roman"/>
          <w:color w:val="000000"/>
          <w:spacing w:val="0"/>
          <w:w w:val="100"/>
          <w:position w:val="0"/>
        </w:rPr>
        <w:t>31,643,154.9</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5"/>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公司近三年现金分红情况表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31,643,154.90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59,433,902.96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17,579,530.50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19,533,232.88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21,974,413.20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61,391,651.91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35.79%</w:t>
            </w:r>
          </w:p>
        </w:tc>
      </w:tr>
    </w:tbl>
    <w:p>
      <w:pPr>
        <w:widowControl w:val="0"/>
        <w:spacing w:after="79" w:line="1" w:lineRule="exact"/>
      </w:pPr>
    </w:p>
    <w:p>
      <w:pPr>
        <w:pStyle w:val="Style3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公司报告期内盈利且母公司未分配利润为正但未提出现金红利分配预案</w:t>
      </w:r>
    </w:p>
    <w:p>
      <w:pPr>
        <w:pStyle w:val="Style35"/>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0"/>
        <w:jc w:val="both"/>
      </w:pPr>
      <w:bookmarkStart w:id="175" w:name="bookmark175"/>
      <w:bookmarkStart w:id="176" w:name="bookmark176"/>
      <w:bookmarkStart w:id="177" w:name="bookmark177"/>
      <w:r>
        <w:rPr>
          <w:color w:val="000000"/>
          <w:spacing w:val="0"/>
          <w:w w:val="100"/>
          <w:position w:val="0"/>
          <w:sz w:val="24"/>
          <w:szCs w:val="24"/>
        </w:rPr>
        <w:t>十二、本报告期利润分配及资本公积金转增股本预案</w:t>
      </w:r>
      <w:bookmarkEnd w:id="175"/>
      <w:bookmarkEnd w:id="176"/>
      <w:bookmarkEnd w:id="177"/>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175,795,305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31,643,154.90</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192,291,951.16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8" w:hRule="exact"/>
        </w:trPr>
        <w:tc>
          <w:tcPr>
            <w:gridSpan w:val="2"/>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bl>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313" w:lineRule="exact"/>
        <w:ind w:left="0" w:right="0"/>
        <w:jc w:val="left"/>
      </w:pPr>
      <w:r>
        <w:rPr>
          <w:color w:val="000000"/>
          <w:spacing w:val="0"/>
          <w:w w:val="100"/>
          <w:position w:val="0"/>
        </w:rPr>
        <w:t>经立信会计师事务所（特殊普通合伙）审计确认，截至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日，公司实现净利润</w:t>
      </w:r>
      <w:r>
        <w:rPr>
          <w:rFonts w:ascii="Times New Roman" w:eastAsia="Times New Roman" w:hAnsi="Times New Roman" w:cs="Times New Roman"/>
          <w:color w:val="000000"/>
          <w:spacing w:val="0"/>
          <w:w w:val="100"/>
          <w:position w:val="0"/>
        </w:rPr>
        <w:t>59,706,368.94</w:t>
      </w:r>
      <w:r>
        <w:rPr>
          <w:color w:val="000000"/>
          <w:spacing w:val="0"/>
          <w:w w:val="100"/>
          <w:position w:val="0"/>
        </w:rPr>
        <w:t>元。公司 以</w:t>
      </w:r>
      <w:r>
        <w:rPr>
          <w:rFonts w:ascii="Times New Roman" w:eastAsia="Times New Roman" w:hAnsi="Times New Roman" w:cs="Times New Roman"/>
          <w:color w:val="000000"/>
          <w:spacing w:val="0"/>
          <w:w w:val="100"/>
          <w:position w:val="0"/>
        </w:rPr>
        <w:t>2013</w:t>
      </w:r>
      <w:r>
        <w:rPr>
          <w:color w:val="000000"/>
          <w:spacing w:val="0"/>
          <w:w w:val="100"/>
          <w:position w:val="0"/>
        </w:rPr>
        <w:t>年度净利润</w:t>
      </w:r>
      <w:r>
        <w:rPr>
          <w:rFonts w:ascii="Times New Roman" w:eastAsia="Times New Roman" w:hAnsi="Times New Roman" w:cs="Times New Roman"/>
          <w:color w:val="000000"/>
          <w:spacing w:val="0"/>
          <w:w w:val="100"/>
          <w:position w:val="0"/>
        </w:rPr>
        <w:t>59,706,368.94</w:t>
      </w:r>
      <w:r>
        <w:rPr>
          <w:color w:val="000000"/>
          <w:spacing w:val="0"/>
          <w:w w:val="100"/>
          <w:position w:val="0"/>
        </w:rPr>
        <w:t>元为基数，提取</w:t>
      </w:r>
      <w:r>
        <w:rPr>
          <w:rFonts w:ascii="Times New Roman" w:eastAsia="Times New Roman" w:hAnsi="Times New Roman" w:cs="Times New Roman"/>
          <w:color w:val="000000"/>
          <w:spacing w:val="0"/>
          <w:w w:val="100"/>
          <w:position w:val="0"/>
        </w:rPr>
        <w:t>10%</w:t>
      </w:r>
      <w:r>
        <w:rPr>
          <w:color w:val="000000"/>
          <w:spacing w:val="0"/>
          <w:w w:val="100"/>
          <w:position w:val="0"/>
        </w:rPr>
        <w:t>的法定盈余公积金</w:t>
      </w:r>
      <w:r>
        <w:rPr>
          <w:rFonts w:ascii="Times New Roman" w:eastAsia="Times New Roman" w:hAnsi="Times New Roman" w:cs="Times New Roman"/>
          <w:color w:val="000000"/>
          <w:spacing w:val="0"/>
          <w:w w:val="100"/>
          <w:position w:val="0"/>
        </w:rPr>
        <w:t>5,970,636.89</w:t>
      </w:r>
      <w:r>
        <w:rPr>
          <w:color w:val="000000"/>
          <w:spacing w:val="0"/>
          <w:w w:val="100"/>
          <w:position w:val="0"/>
        </w:rPr>
        <w:t>元，加</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年度未分配利润 </w:t>
      </w:r>
      <w:r>
        <w:rPr>
          <w:rFonts w:ascii="Times New Roman" w:eastAsia="Times New Roman" w:hAnsi="Times New Roman" w:cs="Times New Roman"/>
          <w:color w:val="000000"/>
          <w:spacing w:val="0"/>
          <w:w w:val="100"/>
          <w:position w:val="0"/>
        </w:rPr>
        <w:t>156,135,749.61</w:t>
      </w:r>
      <w:r>
        <w:rPr>
          <w:color w:val="000000"/>
          <w:spacing w:val="0"/>
          <w:w w:val="100"/>
          <w:position w:val="0"/>
        </w:rPr>
        <w:t>元，减去已分配的现金股利</w:t>
      </w:r>
      <w:r>
        <w:rPr>
          <w:rFonts w:ascii="Times New Roman" w:eastAsia="Times New Roman" w:hAnsi="Times New Roman" w:cs="Times New Roman"/>
          <w:color w:val="000000"/>
          <w:spacing w:val="0"/>
          <w:w w:val="100"/>
          <w:position w:val="0"/>
        </w:rPr>
        <w:t>17,579,530.50</w:t>
      </w:r>
      <w:r>
        <w:rPr>
          <w:color w:val="000000"/>
          <w:spacing w:val="0"/>
          <w:w w:val="100"/>
          <w:position w:val="0"/>
        </w:rPr>
        <w:t>元，本次实际可供分配的利润为</w:t>
      </w:r>
      <w:r>
        <w:rPr>
          <w:rFonts w:ascii="Times New Roman" w:eastAsia="Times New Roman" w:hAnsi="Times New Roman" w:cs="Times New Roman"/>
          <w:color w:val="000000"/>
          <w:spacing w:val="0"/>
          <w:w w:val="100"/>
          <w:position w:val="0"/>
        </w:rPr>
        <w:t>192,291,951.16</w:t>
      </w:r>
      <w:r>
        <w:rPr>
          <w:color w:val="000000"/>
          <w:spacing w:val="0"/>
          <w:w w:val="100"/>
          <w:position w:val="0"/>
        </w:rPr>
        <w:t>元；公司以</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年末总股本</w:t>
      </w:r>
      <w:r>
        <w:rPr>
          <w:rFonts w:ascii="Times New Roman" w:eastAsia="Times New Roman" w:hAnsi="Times New Roman" w:cs="Times New Roman"/>
          <w:color w:val="000000"/>
          <w:spacing w:val="0"/>
          <w:w w:val="100"/>
          <w:position w:val="0"/>
        </w:rPr>
        <w:t>175,795,305</w:t>
      </w:r>
      <w:r>
        <w:rPr>
          <w:color w:val="000000"/>
          <w:spacing w:val="0"/>
          <w:w w:val="100"/>
          <w:position w:val="0"/>
        </w:rPr>
        <w:t>股为基数，拟向全体股东每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1.8</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rPr>
        <w:t xml:space="preserve">31,643,154.90 </w:t>
      </w:r>
      <w:r>
        <w:rPr>
          <w:color w:val="000000"/>
          <w:spacing w:val="0"/>
          <w:w w:val="100"/>
          <w:position w:val="0"/>
        </w:rPr>
        <w:t>元，派发现金股利后，公司未分配利润余额为</w:t>
      </w:r>
      <w:r>
        <w:rPr>
          <w:rFonts w:ascii="Times New Roman" w:eastAsia="Times New Roman" w:hAnsi="Times New Roman" w:cs="Times New Roman"/>
          <w:color w:val="000000"/>
          <w:spacing w:val="0"/>
          <w:w w:val="100"/>
          <w:position w:val="0"/>
        </w:rPr>
        <w:t>160,648,796.26</w:t>
      </w:r>
      <w:r>
        <w:rPr>
          <w:color w:val="000000"/>
          <w:spacing w:val="0"/>
          <w:w w:val="100"/>
          <w:position w:val="0"/>
        </w:rPr>
        <w:t>元。</w:t>
      </w:r>
    </w:p>
    <w:p>
      <w:pPr>
        <w:pStyle w:val="Style31"/>
        <w:keepNext/>
        <w:keepLines/>
        <w:widowControl w:val="0"/>
        <w:shd w:val="clear" w:color="auto" w:fill="auto"/>
        <w:bidi w:val="0"/>
        <w:spacing w:before="0" w:after="320" w:line="240" w:lineRule="auto"/>
        <w:ind w:left="0" w:right="0" w:firstLine="0"/>
        <w:jc w:val="left"/>
      </w:pPr>
      <w:bookmarkStart w:id="178" w:name="bookmark178"/>
      <w:bookmarkStart w:id="179" w:name="bookmark179"/>
      <w:bookmarkStart w:id="180" w:name="bookmark180"/>
      <w:r>
        <w:rPr>
          <w:color w:val="000000"/>
          <w:spacing w:val="0"/>
          <w:w w:val="100"/>
          <w:position w:val="0"/>
          <w:sz w:val="24"/>
          <w:szCs w:val="24"/>
        </w:rPr>
        <w:t>十三、报告期内接待调研、沟通、采访等活动登记表</w:t>
      </w:r>
      <w:bookmarkEnd w:id="178"/>
      <w:bookmarkEnd w:id="179"/>
      <w:bookmarkEnd w:id="180"/>
    </w:p>
    <w:tbl>
      <w:tblPr>
        <w:tblOverlap w:val="never"/>
        <w:jc w:val="center"/>
        <w:tblLayout w:type="fixed"/>
      </w:tblPr>
      <w:tblGrid>
        <w:gridCol w:w="1498"/>
        <w:gridCol w:w="1339"/>
        <w:gridCol w:w="1277"/>
        <w:gridCol w:w="850"/>
        <w:gridCol w:w="2270"/>
        <w:gridCol w:w="2347"/>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谈论的主要内容及提供的资 料</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公司亦庄办公区</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509</w:t>
            </w:r>
            <w:r>
              <w:rPr>
                <w:color w:val="000000"/>
                <w:spacing w:val="0"/>
                <w:w w:val="100"/>
                <w:position w:val="0"/>
              </w:rPr>
              <w:t>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民生证券股份有限公司、中 信证券股份有限公司、鄂尔 多斯市东联和君投资咨询有 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公司基本情况、主营业务及产 品市场概况（未提供资料）</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公司亦庄办公区</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509</w:t>
            </w:r>
            <w:r>
              <w:rPr>
                <w:color w:val="000000"/>
                <w:spacing w:val="0"/>
                <w:w w:val="100"/>
                <w:position w:val="0"/>
              </w:rPr>
              <w:t>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中国银河证券股份有限公司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公司基本情况、主营业务及产 品市场概况（未提供资料）</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公司亦庄办公区</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504</w:t>
            </w:r>
            <w:r>
              <w:rPr>
                <w:color w:val="000000"/>
                <w:spacing w:val="0"/>
                <w:w w:val="100"/>
                <w:position w:val="0"/>
              </w:rPr>
              <w:t>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海通证券股份有限公司、国 海证券股份有限公司、建信 基金管理公司、富国基金管 理有限公司、长盛基金管理 有限公司、星耀环球资产管 理有限公司以及个人投资者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公司基本情况、主营业务及产 品市场概况（未提供资料）</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公司西直门办公 区</w:t>
            </w:r>
            <w:r>
              <w:rPr>
                <w:rFonts w:ascii="Times New Roman" w:eastAsia="Times New Roman" w:hAnsi="Times New Roman" w:cs="Times New Roman"/>
                <w:color w:val="000000"/>
                <w:spacing w:val="0"/>
                <w:w w:val="100"/>
                <w:position w:val="0"/>
              </w:rPr>
              <w:t>1102</w:t>
            </w:r>
            <w:r>
              <w:rPr>
                <w:color w:val="000000"/>
                <w:spacing w:val="0"/>
                <w:w w:val="100"/>
                <w:position w:val="0"/>
              </w:rPr>
              <w:t>会议室</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瑞银证券有限责任公司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公司基本情况、主营业务及产 品市场概况（未提供资料）</w:t>
            </w:r>
          </w:p>
        </w:tc>
      </w:tr>
    </w:tbl>
    <w:p>
      <w:pPr>
        <w:sectPr>
          <w:footnotePr>
            <w:pos w:val="pageBottom"/>
            <w:numFmt w:val="decimal"/>
            <w:numRestart w:val="continuous"/>
          </w:footnotePr>
          <w:pgSz w:w="11900" w:h="16840"/>
          <w:pgMar w:top="1383" w:right="1050" w:bottom="1407" w:left="1073" w:header="0" w:footer="3" w:gutter="0"/>
          <w:cols w:space="720"/>
          <w:noEndnote/>
          <w:rtlGutter w:val="0"/>
          <w:docGrid w:linePitch="360"/>
        </w:sectPr>
      </w:pPr>
    </w:p>
    <w:p>
      <w:pPr>
        <w:pStyle w:val="Style17"/>
        <w:keepNext/>
        <w:keepLines/>
        <w:widowControl w:val="0"/>
        <w:shd w:val="clear" w:color="auto" w:fill="auto"/>
        <w:bidi w:val="0"/>
        <w:spacing w:before="760" w:after="540" w:line="240" w:lineRule="auto"/>
        <w:ind w:left="0" w:right="0" w:firstLine="0"/>
        <w:jc w:val="center"/>
      </w:pPr>
      <w:bookmarkStart w:id="181" w:name="bookmark181"/>
      <w:bookmarkStart w:id="182" w:name="bookmark182"/>
      <w:bookmarkStart w:id="183" w:name="bookmark183"/>
      <w:r>
        <w:rPr>
          <w:color w:val="000000"/>
          <w:spacing w:val="0"/>
          <w:w w:val="100"/>
          <w:position w:val="0"/>
        </w:rPr>
        <w:t>第五节重要事项</w:t>
      </w:r>
      <w:bookmarkEnd w:id="181"/>
      <w:bookmarkEnd w:id="182"/>
      <w:bookmarkEnd w:id="183"/>
    </w:p>
    <w:p>
      <w:pPr>
        <w:pStyle w:val="Style31"/>
        <w:keepNext/>
        <w:keepLines/>
        <w:widowControl w:val="0"/>
        <w:shd w:val="clear" w:color="auto" w:fill="auto"/>
        <w:tabs>
          <w:tab w:pos="552" w:val="left"/>
        </w:tabs>
        <w:bidi w:val="0"/>
        <w:spacing w:before="0" w:after="36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sz w:val="24"/>
          <w:szCs w:val="24"/>
        </w:rPr>
        <w:t>一</w:t>
      </w:r>
      <w:bookmarkEnd w:id="186"/>
      <w:r>
        <w:rPr>
          <w:color w:val="000000"/>
          <w:spacing w:val="0"/>
          <w:w w:val="100"/>
          <w:position w:val="0"/>
          <w:sz w:val="24"/>
          <w:szCs w:val="24"/>
        </w:rPr>
        <w:t>、</w:t>
        <w:tab/>
        <w:t>重大诉讼仲裁事项</w:t>
      </w:r>
      <w:bookmarkEnd w:id="184"/>
      <w:bookmarkEnd w:id="185"/>
      <w:bookmarkEnd w:id="187"/>
    </w:p>
    <w:p>
      <w:pPr>
        <w:pStyle w:val="Style3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本报告期公司无重大诉讼、仲裁事项。</w:t>
      </w:r>
    </w:p>
    <w:p>
      <w:pPr>
        <w:pStyle w:val="Style31"/>
        <w:keepNext/>
        <w:keepLines/>
        <w:widowControl w:val="0"/>
        <w:shd w:val="clear" w:color="auto" w:fill="auto"/>
        <w:tabs>
          <w:tab w:pos="552" w:val="left"/>
        </w:tabs>
        <w:bidi w:val="0"/>
        <w:spacing w:before="0" w:after="24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sz w:val="24"/>
          <w:szCs w:val="24"/>
        </w:rPr>
        <w:t>二</w:t>
      </w:r>
      <w:bookmarkEnd w:id="190"/>
      <w:r>
        <w:rPr>
          <w:color w:val="000000"/>
          <w:spacing w:val="0"/>
          <w:w w:val="100"/>
          <w:position w:val="0"/>
          <w:sz w:val="24"/>
          <w:szCs w:val="24"/>
        </w:rPr>
        <w:t>、</w:t>
        <w:tab/>
        <w:t>媒体质疑情况</w:t>
      </w:r>
      <w:bookmarkEnd w:id="188"/>
      <w:bookmarkEnd w:id="189"/>
      <w:bookmarkEnd w:id="191"/>
    </w:p>
    <w:p>
      <w:pPr>
        <w:pStyle w:val="Style35"/>
        <w:keepNext w:val="0"/>
        <w:keepLines w:val="0"/>
        <w:widowControl w:val="0"/>
        <w:shd w:val="clear" w:color="auto" w:fill="auto"/>
        <w:bidi w:val="0"/>
        <w:spacing w:before="0" w:after="360" w:line="34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 本报告期公司无媒体普遍质疑事项。</w:t>
      </w:r>
    </w:p>
    <w:p>
      <w:pPr>
        <w:pStyle w:val="Style31"/>
        <w:keepNext/>
        <w:keepLines/>
        <w:widowControl w:val="0"/>
        <w:shd w:val="clear" w:color="auto" w:fill="auto"/>
        <w:tabs>
          <w:tab w:pos="552" w:val="left"/>
        </w:tabs>
        <w:bidi w:val="0"/>
        <w:spacing w:before="0" w:after="24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sz w:val="24"/>
          <w:szCs w:val="24"/>
        </w:rPr>
        <w:t>三</w:t>
      </w:r>
      <w:bookmarkEnd w:id="194"/>
      <w:r>
        <w:rPr>
          <w:color w:val="000000"/>
          <w:spacing w:val="0"/>
          <w:w w:val="100"/>
          <w:position w:val="0"/>
          <w:sz w:val="24"/>
          <w:szCs w:val="24"/>
        </w:rPr>
        <w:t>、</w:t>
        <w:tab/>
        <w:t>公司股权激励的实施情况及其影响</w:t>
      </w:r>
      <w:bookmarkEnd w:id="192"/>
      <w:bookmarkEnd w:id="193"/>
      <w:bookmarkEnd w:id="195"/>
    </w:p>
    <w:p>
      <w:pPr>
        <w:pStyle w:val="Style35"/>
        <w:keepNext w:val="0"/>
        <w:keepLines w:val="0"/>
        <w:widowControl w:val="0"/>
        <w:shd w:val="clear" w:color="auto" w:fill="auto"/>
        <w:tabs>
          <w:tab w:pos="552" w:val="left"/>
        </w:tabs>
        <w:bidi w:val="0"/>
        <w:spacing w:before="0" w:after="0" w:line="312" w:lineRule="exact"/>
        <w:ind w:left="0" w:right="0" w:firstLine="0"/>
        <w:jc w:val="left"/>
      </w:pPr>
      <w:bookmarkStart w:id="196" w:name="bookmark196"/>
      <w:r>
        <w:rPr>
          <w:color w:val="000000"/>
          <w:spacing w:val="0"/>
          <w:w w:val="100"/>
          <w:position w:val="0"/>
        </w:rPr>
        <w:t>（</w:t>
      </w:r>
      <w:bookmarkEnd w:id="196"/>
      <w:r>
        <w:rPr>
          <w:color w:val="000000"/>
          <w:spacing w:val="0"/>
          <w:w w:val="100"/>
          <w:position w:val="0"/>
        </w:rPr>
        <w:t>一）</w:t>
        <w:tab/>
        <w:t>股权激励计划的实施情况</w:t>
      </w:r>
    </w:p>
    <w:p>
      <w:pPr>
        <w:pStyle w:val="Style35"/>
        <w:keepNext w:val="0"/>
        <w:keepLines w:val="0"/>
        <w:widowControl w:val="0"/>
        <w:shd w:val="clear" w:color="auto" w:fill="auto"/>
        <w:tabs>
          <w:tab w:pos="672" w:val="left"/>
        </w:tabs>
        <w:bidi w:val="0"/>
        <w:spacing w:before="0" w:after="0" w:line="312" w:lineRule="exact"/>
        <w:ind w:left="0" w:right="0"/>
        <w:jc w:val="both"/>
      </w:pPr>
      <w:bookmarkStart w:id="197" w:name="bookmark197"/>
      <w:r>
        <w:rPr>
          <w:rFonts w:ascii="Times New Roman" w:eastAsia="Times New Roman" w:hAnsi="Times New Roman" w:cs="Times New Roman"/>
          <w:color w:val="000000"/>
          <w:spacing w:val="0"/>
          <w:w w:val="100"/>
          <w:position w:val="0"/>
        </w:rPr>
        <w:t>1</w:t>
      </w:r>
      <w:bookmarkEnd w:id="197"/>
      <w:r>
        <w:rPr>
          <w:color w:val="000000"/>
          <w:spacing w:val="0"/>
          <w:w w:val="100"/>
          <w:position w:val="0"/>
        </w:rPr>
        <w:t>、</w:t>
        <w:tab/>
        <w:t>公司董事会于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日审议通过了《北京久其软件股份有限公司股票期权激励计划（草案）》及其摘要，并报 中国证监会备案审查。（公告编号：</w:t>
      </w:r>
      <w:r>
        <w:rPr>
          <w:rFonts w:ascii="Times New Roman" w:eastAsia="Times New Roman" w:hAnsi="Times New Roman" w:cs="Times New Roman"/>
          <w:color w:val="000000"/>
          <w:spacing w:val="0"/>
          <w:w w:val="100"/>
          <w:position w:val="0"/>
        </w:rPr>
        <w:t>2010-039</w:t>
      </w:r>
      <w:r>
        <w:rPr>
          <w:color w:val="000000"/>
          <w:spacing w:val="0"/>
          <w:w w:val="100"/>
          <w:position w:val="0"/>
        </w:rPr>
        <w:t>、</w:t>
      </w:r>
      <w:r>
        <w:rPr>
          <w:rFonts w:ascii="Times New Roman" w:eastAsia="Times New Roman" w:hAnsi="Times New Roman" w:cs="Times New Roman"/>
          <w:color w:val="000000"/>
          <w:spacing w:val="0"/>
          <w:w w:val="100"/>
          <w:position w:val="0"/>
        </w:rPr>
        <w:t>2010-041</w:t>
      </w:r>
      <w:r>
        <w:rPr>
          <w:color w:val="000000"/>
          <w:spacing w:val="0"/>
          <w:w w:val="100"/>
          <w:position w:val="0"/>
        </w:rPr>
        <w:t>）</w:t>
      </w:r>
    </w:p>
    <w:p>
      <w:pPr>
        <w:pStyle w:val="Style35"/>
        <w:keepNext w:val="0"/>
        <w:keepLines w:val="0"/>
        <w:widowControl w:val="0"/>
        <w:shd w:val="clear" w:color="auto" w:fill="auto"/>
        <w:tabs>
          <w:tab w:pos="687" w:val="left"/>
        </w:tabs>
        <w:bidi w:val="0"/>
        <w:spacing w:before="0" w:after="0" w:line="312" w:lineRule="exact"/>
        <w:ind w:left="0" w:right="0"/>
        <w:jc w:val="both"/>
      </w:pPr>
      <w:bookmarkStart w:id="198" w:name="bookmark198"/>
      <w:r>
        <w:rPr>
          <w:rFonts w:ascii="Times New Roman" w:eastAsia="Times New Roman" w:hAnsi="Times New Roman" w:cs="Times New Roman"/>
          <w:color w:val="000000"/>
          <w:spacing w:val="0"/>
          <w:w w:val="100"/>
          <w:position w:val="0"/>
        </w:rPr>
        <w:t>2</w:t>
      </w:r>
      <w:bookmarkEnd w:id="198"/>
      <w:r>
        <w:rPr>
          <w:color w:val="000000"/>
          <w:spacing w:val="0"/>
          <w:w w:val="100"/>
          <w:position w:val="0"/>
        </w:rPr>
        <w:t>、</w:t>
        <w:tab/>
        <w:t>根据中国证监会反馈意见，公司修订了股票期权激励计划，并于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日召开的董事会审议通过了《北京久其 软件股份有限公司股票期权激励计划（草案）修订稿》（简称</w:t>
      </w:r>
      <w:r>
        <w:rPr>
          <w:rFonts w:ascii="Times New Roman" w:eastAsia="Times New Roman" w:hAnsi="Times New Roman" w:cs="Times New Roman"/>
          <w:color w:val="000000"/>
          <w:spacing w:val="0"/>
          <w:w w:val="100"/>
          <w:position w:val="0"/>
        </w:rPr>
        <w:t>“</w:t>
      </w:r>
      <w:r>
        <w:rPr>
          <w:color w:val="000000"/>
          <w:spacing w:val="0"/>
          <w:w w:val="100"/>
          <w:position w:val="0"/>
        </w:rPr>
        <w:t>股权激励计划</w:t>
      </w:r>
      <w:r>
        <w:rPr>
          <w:rFonts w:ascii="Times New Roman" w:eastAsia="Times New Roman" w:hAnsi="Times New Roman" w:cs="Times New Roman"/>
          <w:color w:val="000000"/>
          <w:spacing w:val="0"/>
          <w:w w:val="100"/>
          <w:position w:val="0"/>
        </w:rPr>
        <w:t>”</w:t>
      </w:r>
      <w:r>
        <w:rPr>
          <w:color w:val="000000"/>
          <w:spacing w:val="0"/>
          <w:w w:val="100"/>
          <w:position w:val="0"/>
        </w:rPr>
        <w:t>），并经中国证监会备案无异议。公司</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年第一次临时股东大会于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日审议通过了《股权激励计划》、《股权激励计划考核管理办法》、《关于提请股东 大会授权董事会办理股票期权激励计划相关事宜的议案》。（公告编号：</w:t>
      </w:r>
      <w:r>
        <w:rPr>
          <w:rFonts w:ascii="Times New Roman" w:eastAsia="Times New Roman" w:hAnsi="Times New Roman" w:cs="Times New Roman"/>
          <w:color w:val="000000"/>
          <w:spacing w:val="0"/>
          <w:w w:val="100"/>
          <w:position w:val="0"/>
        </w:rPr>
        <w:t>2011-019</w:t>
      </w:r>
      <w:r>
        <w:rPr>
          <w:color w:val="000000"/>
          <w:spacing w:val="0"/>
          <w:w w:val="100"/>
          <w:position w:val="0"/>
        </w:rPr>
        <w:t>、</w:t>
      </w:r>
      <w:r>
        <w:rPr>
          <w:rFonts w:ascii="Times New Roman" w:eastAsia="Times New Roman" w:hAnsi="Times New Roman" w:cs="Times New Roman"/>
          <w:color w:val="000000"/>
          <w:spacing w:val="0"/>
          <w:w w:val="100"/>
          <w:position w:val="0"/>
        </w:rPr>
        <w:t>2011-020</w:t>
      </w:r>
      <w:r>
        <w:rPr>
          <w:color w:val="000000"/>
          <w:spacing w:val="0"/>
          <w:w w:val="100"/>
          <w:position w:val="0"/>
        </w:rPr>
        <w:t>、</w:t>
      </w:r>
      <w:r>
        <w:rPr>
          <w:rFonts w:ascii="Times New Roman" w:eastAsia="Times New Roman" w:hAnsi="Times New Roman" w:cs="Times New Roman"/>
          <w:color w:val="000000"/>
          <w:spacing w:val="0"/>
          <w:w w:val="100"/>
          <w:position w:val="0"/>
        </w:rPr>
        <w:t>2011-021</w:t>
      </w:r>
      <w:r>
        <w:rPr>
          <w:color w:val="000000"/>
          <w:spacing w:val="0"/>
          <w:w w:val="100"/>
          <w:position w:val="0"/>
        </w:rPr>
        <w:t>、</w:t>
      </w:r>
      <w:r>
        <w:rPr>
          <w:rFonts w:ascii="Times New Roman" w:eastAsia="Times New Roman" w:hAnsi="Times New Roman" w:cs="Times New Roman"/>
          <w:color w:val="000000"/>
          <w:spacing w:val="0"/>
          <w:w w:val="100"/>
          <w:position w:val="0"/>
        </w:rPr>
        <w:t>2011-026</w:t>
      </w:r>
      <w:r>
        <w:rPr>
          <w:color w:val="000000"/>
          <w:spacing w:val="0"/>
          <w:w w:val="100"/>
          <w:position w:val="0"/>
        </w:rPr>
        <w:t>）</w:t>
      </w:r>
    </w:p>
    <w:p>
      <w:pPr>
        <w:pStyle w:val="Style35"/>
        <w:keepNext w:val="0"/>
        <w:keepLines w:val="0"/>
        <w:widowControl w:val="0"/>
        <w:shd w:val="clear" w:color="auto" w:fill="auto"/>
        <w:tabs>
          <w:tab w:pos="696" w:val="left"/>
        </w:tabs>
        <w:bidi w:val="0"/>
        <w:spacing w:before="0" w:after="0" w:line="312" w:lineRule="exact"/>
        <w:ind w:left="0" w:right="0"/>
        <w:jc w:val="both"/>
      </w:pPr>
      <w:bookmarkStart w:id="199" w:name="bookmark199"/>
      <w:r>
        <w:rPr>
          <w:rFonts w:ascii="Times New Roman" w:eastAsia="Times New Roman" w:hAnsi="Times New Roman" w:cs="Times New Roman"/>
          <w:color w:val="000000"/>
          <w:spacing w:val="0"/>
          <w:w w:val="100"/>
          <w:position w:val="0"/>
        </w:rPr>
        <w:t>3</w:t>
      </w:r>
      <w:bookmarkEnd w:id="199"/>
      <w:r>
        <w:rPr>
          <w:color w:val="000000"/>
          <w:spacing w:val="0"/>
          <w:w w:val="100"/>
          <w:position w:val="0"/>
        </w:rPr>
        <w:t>、</w:t>
        <w:tab/>
        <w:t>公司董事会于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日审议通过了《关于调整股票期权行权价格的议案》及《关于股票期权激励计划授予相关 事项的议案》，同意在授予日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日向公司</w:t>
      </w:r>
      <w:r>
        <w:rPr>
          <w:rFonts w:ascii="Times New Roman" w:eastAsia="Times New Roman" w:hAnsi="Times New Roman" w:cs="Times New Roman"/>
          <w:color w:val="000000"/>
          <w:spacing w:val="0"/>
          <w:w w:val="100"/>
          <w:position w:val="0"/>
        </w:rPr>
        <w:t>126</w:t>
      </w:r>
      <w:r>
        <w:rPr>
          <w:color w:val="000000"/>
          <w:spacing w:val="0"/>
          <w:w w:val="100"/>
          <w:position w:val="0"/>
        </w:rPr>
        <w:t>名激励对象授予</w:t>
      </w:r>
      <w:r>
        <w:rPr>
          <w:rFonts w:ascii="Times New Roman" w:eastAsia="Times New Roman" w:hAnsi="Times New Roman" w:cs="Times New Roman"/>
          <w:color w:val="000000"/>
          <w:spacing w:val="0"/>
          <w:w w:val="100"/>
          <w:position w:val="0"/>
        </w:rPr>
        <w:t>585</w:t>
      </w:r>
      <w:r>
        <w:rPr>
          <w:color w:val="000000"/>
          <w:spacing w:val="0"/>
          <w:w w:val="100"/>
          <w:position w:val="0"/>
        </w:rPr>
        <w:t>万份股票期权，行权价格由</w:t>
      </w:r>
      <w:r>
        <w:rPr>
          <w:rFonts w:ascii="Times New Roman" w:eastAsia="Times New Roman" w:hAnsi="Times New Roman" w:cs="Times New Roman"/>
          <w:color w:val="000000"/>
          <w:spacing w:val="0"/>
          <w:w w:val="100"/>
          <w:position w:val="0"/>
        </w:rPr>
        <w:t>29.08</w:t>
      </w:r>
      <w:r>
        <w:rPr>
          <w:color w:val="000000"/>
          <w:spacing w:val="0"/>
          <w:w w:val="100"/>
          <w:position w:val="0"/>
        </w:rPr>
        <w:t>元调整为</w:t>
      </w:r>
      <w:r>
        <w:rPr>
          <w:rFonts w:ascii="Times New Roman" w:eastAsia="Times New Roman" w:hAnsi="Times New Roman" w:cs="Times New Roman"/>
          <w:color w:val="000000"/>
          <w:spacing w:val="0"/>
          <w:w w:val="100"/>
          <w:position w:val="0"/>
        </w:rPr>
        <w:t xml:space="preserve">28.78 </w:t>
      </w:r>
      <w:r>
        <w:rPr>
          <w:color w:val="000000"/>
          <w:spacing w:val="0"/>
          <w:w w:val="100"/>
          <w:position w:val="0"/>
        </w:rPr>
        <w:t>元。公司于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日完成了</w:t>
      </w:r>
      <w:r>
        <w:rPr>
          <w:rFonts w:ascii="Times New Roman" w:eastAsia="Times New Roman" w:hAnsi="Times New Roman" w:cs="Times New Roman"/>
          <w:color w:val="000000"/>
          <w:spacing w:val="0"/>
          <w:w w:val="100"/>
          <w:position w:val="0"/>
        </w:rPr>
        <w:t>585</w:t>
      </w:r>
      <w:r>
        <w:rPr>
          <w:color w:val="000000"/>
          <w:spacing w:val="0"/>
          <w:w w:val="100"/>
          <w:position w:val="0"/>
        </w:rPr>
        <w:t>万份股票期权的授予登记。（公告编号：</w:t>
      </w:r>
      <w:r>
        <w:rPr>
          <w:rFonts w:ascii="Times New Roman" w:eastAsia="Times New Roman" w:hAnsi="Times New Roman" w:cs="Times New Roman"/>
          <w:color w:val="000000"/>
          <w:spacing w:val="0"/>
          <w:w w:val="100"/>
          <w:position w:val="0"/>
        </w:rPr>
        <w:t>2011-030</w:t>
      </w:r>
      <w:r>
        <w:rPr>
          <w:color w:val="000000"/>
          <w:spacing w:val="0"/>
          <w:w w:val="100"/>
          <w:position w:val="0"/>
        </w:rPr>
        <w:t>、</w:t>
      </w:r>
      <w:r>
        <w:rPr>
          <w:rFonts w:ascii="Times New Roman" w:eastAsia="Times New Roman" w:hAnsi="Times New Roman" w:cs="Times New Roman"/>
          <w:color w:val="000000"/>
          <w:spacing w:val="0"/>
          <w:w w:val="100"/>
          <w:position w:val="0"/>
        </w:rPr>
        <w:t>2011-031</w:t>
      </w:r>
      <w:r>
        <w:rPr>
          <w:color w:val="000000"/>
          <w:spacing w:val="0"/>
          <w:w w:val="100"/>
          <w:position w:val="0"/>
        </w:rPr>
        <w:t>、</w:t>
      </w:r>
      <w:r>
        <w:rPr>
          <w:rFonts w:ascii="Times New Roman" w:eastAsia="Times New Roman" w:hAnsi="Times New Roman" w:cs="Times New Roman"/>
          <w:color w:val="000000"/>
          <w:spacing w:val="0"/>
          <w:w w:val="100"/>
          <w:position w:val="0"/>
        </w:rPr>
        <w:t>2011-032</w:t>
      </w:r>
      <w:r>
        <w:rPr>
          <w:color w:val="000000"/>
          <w:spacing w:val="0"/>
          <w:w w:val="100"/>
          <w:position w:val="0"/>
        </w:rPr>
        <w:t>、</w:t>
      </w:r>
      <w:r>
        <w:rPr>
          <w:rFonts w:ascii="Times New Roman" w:eastAsia="Times New Roman" w:hAnsi="Times New Roman" w:cs="Times New Roman"/>
          <w:color w:val="000000"/>
          <w:spacing w:val="0"/>
          <w:w w:val="100"/>
          <w:position w:val="0"/>
        </w:rPr>
        <w:t>2011-033</w:t>
      </w:r>
      <w:r>
        <w:rPr>
          <w:color w:val="000000"/>
          <w:spacing w:val="0"/>
          <w:w w:val="100"/>
          <w:position w:val="0"/>
        </w:rPr>
        <w:t>）</w:t>
      </w:r>
    </w:p>
    <w:p>
      <w:pPr>
        <w:pStyle w:val="Style35"/>
        <w:keepNext w:val="0"/>
        <w:keepLines w:val="0"/>
        <w:widowControl w:val="0"/>
        <w:shd w:val="clear" w:color="auto" w:fill="auto"/>
        <w:tabs>
          <w:tab w:pos="696" w:val="left"/>
        </w:tabs>
        <w:bidi w:val="0"/>
        <w:spacing w:before="0" w:after="0" w:line="312" w:lineRule="exact"/>
        <w:ind w:left="0" w:right="0"/>
        <w:jc w:val="both"/>
      </w:pPr>
      <w:bookmarkStart w:id="200" w:name="bookmark200"/>
      <w:r>
        <w:rPr>
          <w:rFonts w:ascii="Times New Roman" w:eastAsia="Times New Roman" w:hAnsi="Times New Roman" w:cs="Times New Roman"/>
          <w:color w:val="000000"/>
          <w:spacing w:val="0"/>
          <w:w w:val="100"/>
          <w:position w:val="0"/>
        </w:rPr>
        <w:t>4</w:t>
      </w:r>
      <w:bookmarkEnd w:id="200"/>
      <w:r>
        <w:rPr>
          <w:color w:val="000000"/>
          <w:spacing w:val="0"/>
          <w:w w:val="100"/>
          <w:position w:val="0"/>
        </w:rPr>
        <w:t>、</w:t>
        <w:tab/>
        <w:t>公司董事会于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日审议通过了《关于公司股票期权激励计划预留股票期权授予相关事项的议案》，确定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日作为授予日向</w:t>
      </w:r>
      <w:r>
        <w:rPr>
          <w:rFonts w:ascii="Times New Roman" w:eastAsia="Times New Roman" w:hAnsi="Times New Roman" w:cs="Times New Roman"/>
          <w:color w:val="000000"/>
          <w:spacing w:val="0"/>
          <w:w w:val="100"/>
          <w:position w:val="0"/>
        </w:rPr>
        <w:t>39</w:t>
      </w:r>
      <w:r>
        <w:rPr>
          <w:color w:val="000000"/>
          <w:spacing w:val="0"/>
          <w:w w:val="100"/>
          <w:position w:val="0"/>
        </w:rPr>
        <w:t>名激励对象授予</w:t>
      </w:r>
      <w:r>
        <w:rPr>
          <w:rFonts w:ascii="Times New Roman" w:eastAsia="Times New Roman" w:hAnsi="Times New Roman" w:cs="Times New Roman"/>
          <w:color w:val="000000"/>
          <w:spacing w:val="0"/>
          <w:w w:val="100"/>
          <w:position w:val="0"/>
        </w:rPr>
        <w:t>65</w:t>
      </w:r>
      <w:r>
        <w:rPr>
          <w:color w:val="000000"/>
          <w:spacing w:val="0"/>
          <w:w w:val="100"/>
          <w:position w:val="0"/>
        </w:rPr>
        <w:t>万份预留股票期权，其行权价格为</w:t>
      </w:r>
      <w:r>
        <w:rPr>
          <w:rFonts w:ascii="Times New Roman" w:eastAsia="Times New Roman" w:hAnsi="Times New Roman" w:cs="Times New Roman"/>
          <w:color w:val="000000"/>
          <w:spacing w:val="0"/>
          <w:w w:val="100"/>
          <w:position w:val="0"/>
        </w:rPr>
        <w:t>24.6</w:t>
      </w:r>
      <w:r>
        <w:rPr>
          <w:rFonts w:ascii="Times New Roman" w:eastAsia="Times New Roman" w:hAnsi="Times New Roman" w:cs="Times New Roman"/>
          <w:color w:val="000000"/>
          <w:spacing w:val="0"/>
          <w:w w:val="100"/>
          <w:position w:val="0"/>
        </w:rPr>
        <w:t>1</w:t>
      </w:r>
      <w:r>
        <w:rPr>
          <w:color w:val="000000"/>
          <w:spacing w:val="0"/>
          <w:w w:val="100"/>
          <w:position w:val="0"/>
        </w:rPr>
        <w:t>元。（公告编号：</w:t>
      </w:r>
      <w:r>
        <w:rPr>
          <w:rFonts w:ascii="Times New Roman" w:eastAsia="Times New Roman" w:hAnsi="Times New Roman" w:cs="Times New Roman"/>
          <w:color w:val="000000"/>
          <w:spacing w:val="0"/>
          <w:w w:val="100"/>
          <w:position w:val="0"/>
        </w:rPr>
        <w:t>2011-036</w:t>
      </w:r>
      <w:r>
        <w:rPr>
          <w:color w:val="000000"/>
          <w:spacing w:val="0"/>
          <w:w w:val="100"/>
          <w:position w:val="0"/>
        </w:rPr>
        <w:t xml:space="preserve">、 </w:t>
      </w:r>
      <w:r>
        <w:rPr>
          <w:rFonts w:ascii="Times New Roman" w:eastAsia="Times New Roman" w:hAnsi="Times New Roman" w:cs="Times New Roman"/>
          <w:color w:val="000000"/>
          <w:spacing w:val="0"/>
          <w:w w:val="100"/>
          <w:position w:val="0"/>
        </w:rPr>
        <w:t>2011-038</w:t>
      </w:r>
      <w:r>
        <w:rPr>
          <w:color w:val="000000"/>
          <w:spacing w:val="0"/>
          <w:w w:val="100"/>
          <w:position w:val="0"/>
        </w:rPr>
        <w:t>、</w:t>
      </w:r>
      <w:r>
        <w:rPr>
          <w:rFonts w:ascii="Times New Roman" w:eastAsia="Times New Roman" w:hAnsi="Times New Roman" w:cs="Times New Roman"/>
          <w:color w:val="000000"/>
          <w:spacing w:val="0"/>
          <w:w w:val="100"/>
          <w:position w:val="0"/>
        </w:rPr>
        <w:t>2011-039</w:t>
      </w:r>
      <w:r>
        <w:rPr>
          <w:color w:val="000000"/>
          <w:spacing w:val="0"/>
          <w:w w:val="100"/>
          <w:position w:val="0"/>
        </w:rPr>
        <w:t>）</w:t>
      </w:r>
    </w:p>
    <w:p>
      <w:pPr>
        <w:pStyle w:val="Style35"/>
        <w:keepNext w:val="0"/>
        <w:keepLines w:val="0"/>
        <w:widowControl w:val="0"/>
        <w:shd w:val="clear" w:color="auto" w:fill="auto"/>
        <w:tabs>
          <w:tab w:pos="701" w:val="left"/>
        </w:tabs>
        <w:bidi w:val="0"/>
        <w:spacing w:before="0" w:after="0" w:line="312" w:lineRule="exact"/>
        <w:ind w:left="0" w:right="0"/>
        <w:jc w:val="both"/>
      </w:pPr>
      <w:bookmarkStart w:id="201" w:name="bookmark201"/>
      <w:r>
        <w:rPr>
          <w:rFonts w:ascii="Times New Roman" w:eastAsia="Times New Roman" w:hAnsi="Times New Roman" w:cs="Times New Roman"/>
          <w:color w:val="000000"/>
          <w:spacing w:val="0"/>
          <w:w w:val="100"/>
          <w:position w:val="0"/>
        </w:rPr>
        <w:t>5</w:t>
      </w:r>
      <w:bookmarkEnd w:id="201"/>
      <w:r>
        <w:rPr>
          <w:color w:val="000000"/>
          <w:spacing w:val="0"/>
          <w:w w:val="100"/>
          <w:position w:val="0"/>
        </w:rPr>
        <w:t>、</w:t>
        <w:tab/>
        <w:t>公司董事会于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日审议通过了《关于调整股权激励计划激励对象名单及期权数量、行权价格的议案》，同 意取消邓宇超等</w:t>
      </w:r>
      <w:r>
        <w:rPr>
          <w:rFonts w:ascii="Times New Roman" w:eastAsia="Times New Roman" w:hAnsi="Times New Roman" w:cs="Times New Roman"/>
          <w:color w:val="000000"/>
          <w:spacing w:val="0"/>
          <w:w w:val="100"/>
          <w:position w:val="0"/>
        </w:rPr>
        <w:t>9</w:t>
      </w:r>
      <w:r>
        <w:rPr>
          <w:color w:val="000000"/>
          <w:spacing w:val="0"/>
          <w:w w:val="100"/>
          <w:position w:val="0"/>
        </w:rPr>
        <w:t>名已离职激励对象参与本次股权激励计划的资格并注销其已获授的股票期权合计</w:t>
      </w:r>
      <w:r>
        <w:rPr>
          <w:rFonts w:ascii="Times New Roman" w:eastAsia="Times New Roman" w:hAnsi="Times New Roman" w:cs="Times New Roman"/>
          <w:color w:val="000000"/>
          <w:spacing w:val="0"/>
          <w:w w:val="100"/>
          <w:position w:val="0"/>
        </w:rPr>
        <w:t>37</w:t>
      </w:r>
      <w:r>
        <w:rPr>
          <w:color w:val="000000"/>
          <w:spacing w:val="0"/>
          <w:w w:val="100"/>
          <w:position w:val="0"/>
        </w:rPr>
        <w:t>万份；同时根据</w:t>
      </w:r>
      <w:r>
        <w:rPr>
          <w:rFonts w:ascii="Times New Roman" w:eastAsia="Times New Roman" w:hAnsi="Times New Roman" w:cs="Times New Roman"/>
          <w:color w:val="000000"/>
          <w:spacing w:val="0"/>
          <w:w w:val="100"/>
          <w:position w:val="0"/>
        </w:rPr>
        <w:t>2011</w:t>
      </w:r>
      <w:r>
        <w:rPr>
          <w:color w:val="000000"/>
          <w:spacing w:val="0"/>
          <w:w w:val="100"/>
          <w:position w:val="0"/>
        </w:rPr>
        <w:t>年 度权益分派实施方案调整股票期权数量和行权价格，调整后，首期</w:t>
      </w:r>
      <w:r>
        <w:rPr>
          <w:rFonts w:ascii="Times New Roman" w:eastAsia="Times New Roman" w:hAnsi="Times New Roman" w:cs="Times New Roman"/>
          <w:color w:val="000000"/>
          <w:spacing w:val="0"/>
          <w:w w:val="100"/>
          <w:position w:val="0"/>
        </w:rPr>
        <w:t>118</w:t>
      </w:r>
      <w:r>
        <w:rPr>
          <w:color w:val="000000"/>
          <w:spacing w:val="0"/>
          <w:w w:val="100"/>
          <w:position w:val="0"/>
        </w:rPr>
        <w:t>名激励对象获授的股票期权数量由</w:t>
      </w:r>
      <w:r>
        <w:rPr>
          <w:rFonts w:ascii="Times New Roman" w:eastAsia="Times New Roman" w:hAnsi="Times New Roman" w:cs="Times New Roman"/>
          <w:color w:val="000000"/>
          <w:spacing w:val="0"/>
          <w:w w:val="100"/>
          <w:position w:val="0"/>
        </w:rPr>
        <w:t>549</w:t>
      </w:r>
      <w:r>
        <w:rPr>
          <w:color w:val="000000"/>
          <w:spacing w:val="0"/>
          <w:w w:val="100"/>
          <w:position w:val="0"/>
        </w:rPr>
        <w:t>万份变为</w:t>
      </w:r>
      <w:r>
        <w:rPr>
          <w:rFonts w:ascii="Times New Roman" w:eastAsia="Times New Roman" w:hAnsi="Times New Roman" w:cs="Times New Roman"/>
          <w:color w:val="000000"/>
          <w:spacing w:val="0"/>
          <w:w w:val="100"/>
          <w:position w:val="0"/>
        </w:rPr>
        <w:t xml:space="preserve">878.4 </w:t>
      </w:r>
      <w:r>
        <w:rPr>
          <w:color w:val="000000"/>
          <w:spacing w:val="0"/>
          <w:w w:val="100"/>
          <w:position w:val="0"/>
        </w:rPr>
        <w:t>万份，行权价格由</w:t>
      </w:r>
      <w:r>
        <w:rPr>
          <w:rFonts w:ascii="Times New Roman" w:eastAsia="Times New Roman" w:hAnsi="Times New Roman" w:cs="Times New Roman"/>
          <w:color w:val="000000"/>
          <w:spacing w:val="0"/>
          <w:w w:val="100"/>
          <w:position w:val="0"/>
        </w:rPr>
        <w:t>28.78</w:t>
      </w:r>
      <w:r>
        <w:rPr>
          <w:color w:val="000000"/>
          <w:spacing w:val="0"/>
          <w:w w:val="100"/>
          <w:position w:val="0"/>
        </w:rPr>
        <w:t>元变为</w:t>
      </w:r>
      <w:r>
        <w:rPr>
          <w:rFonts w:ascii="Times New Roman" w:eastAsia="Times New Roman" w:hAnsi="Times New Roman" w:cs="Times New Roman"/>
          <w:color w:val="000000"/>
          <w:spacing w:val="0"/>
          <w:w w:val="100"/>
          <w:position w:val="0"/>
        </w:rPr>
        <w:t>17.86</w:t>
      </w:r>
      <w:r>
        <w:rPr>
          <w:color w:val="000000"/>
          <w:spacing w:val="0"/>
          <w:w w:val="100"/>
          <w:position w:val="0"/>
        </w:rPr>
        <w:t>元，预留</w:t>
      </w:r>
      <w:r>
        <w:rPr>
          <w:rFonts w:ascii="Times New Roman" w:eastAsia="Times New Roman" w:hAnsi="Times New Roman" w:cs="Times New Roman"/>
          <w:color w:val="000000"/>
          <w:spacing w:val="0"/>
          <w:w w:val="100"/>
          <w:position w:val="0"/>
        </w:rPr>
        <w:t>38</w:t>
      </w:r>
      <w:r>
        <w:rPr>
          <w:color w:val="000000"/>
          <w:spacing w:val="0"/>
          <w:w w:val="100"/>
          <w:position w:val="0"/>
        </w:rPr>
        <w:t>名激励对象获授的股票期权由</w:t>
      </w:r>
      <w:r>
        <w:rPr>
          <w:rFonts w:ascii="Times New Roman" w:eastAsia="Times New Roman" w:hAnsi="Times New Roman" w:cs="Times New Roman"/>
          <w:color w:val="000000"/>
          <w:spacing w:val="0"/>
          <w:w w:val="100"/>
          <w:position w:val="0"/>
        </w:rPr>
        <w:t>64</w:t>
      </w:r>
      <w:r>
        <w:rPr>
          <w:color w:val="000000"/>
          <w:spacing w:val="0"/>
          <w:w w:val="100"/>
          <w:position w:val="0"/>
        </w:rPr>
        <w:t>万份变为</w:t>
      </w:r>
      <w:r>
        <w:rPr>
          <w:rFonts w:ascii="Times New Roman" w:eastAsia="Times New Roman" w:hAnsi="Times New Roman" w:cs="Times New Roman"/>
          <w:color w:val="000000"/>
          <w:spacing w:val="0"/>
          <w:w w:val="100"/>
          <w:position w:val="0"/>
        </w:rPr>
        <w:t>102.4</w:t>
      </w:r>
      <w:r>
        <w:rPr>
          <w:color w:val="000000"/>
          <w:spacing w:val="0"/>
          <w:w w:val="100"/>
          <w:position w:val="0"/>
        </w:rPr>
        <w:t>万份，行权价格由</w:t>
      </w:r>
      <w:r>
        <w:rPr>
          <w:rFonts w:ascii="Times New Roman" w:eastAsia="Times New Roman" w:hAnsi="Times New Roman" w:cs="Times New Roman"/>
          <w:color w:val="000000"/>
          <w:spacing w:val="0"/>
          <w:w w:val="100"/>
          <w:position w:val="0"/>
        </w:rPr>
        <w:t>24.4</w:t>
      </w:r>
      <w:r>
        <w:rPr>
          <w:rFonts w:ascii="Times New Roman" w:eastAsia="Times New Roman" w:hAnsi="Times New Roman" w:cs="Times New Roman"/>
          <w:color w:val="000000"/>
          <w:spacing w:val="0"/>
          <w:w w:val="100"/>
          <w:position w:val="0"/>
        </w:rPr>
        <w:t>1</w:t>
      </w:r>
      <w:r>
        <w:rPr>
          <w:color w:val="000000"/>
          <w:spacing w:val="0"/>
          <w:w w:val="100"/>
          <w:position w:val="0"/>
        </w:rPr>
        <w:t xml:space="preserve">元变为 </w:t>
      </w:r>
      <w:r>
        <w:rPr>
          <w:rFonts w:ascii="Times New Roman" w:eastAsia="Times New Roman" w:hAnsi="Times New Roman" w:cs="Times New Roman"/>
          <w:color w:val="000000"/>
          <w:spacing w:val="0"/>
          <w:w w:val="100"/>
          <w:position w:val="0"/>
        </w:rPr>
        <w:t>15.26</w:t>
      </w:r>
      <w:r>
        <w:rPr>
          <w:color w:val="000000"/>
          <w:spacing w:val="0"/>
          <w:w w:val="100"/>
          <w:position w:val="0"/>
        </w:rPr>
        <w:t>元。（公告编号：</w:t>
      </w:r>
      <w:r>
        <w:rPr>
          <w:rFonts w:ascii="Times New Roman" w:eastAsia="Times New Roman" w:hAnsi="Times New Roman" w:cs="Times New Roman"/>
          <w:color w:val="000000"/>
          <w:spacing w:val="0"/>
          <w:w w:val="100"/>
          <w:position w:val="0"/>
        </w:rPr>
        <w:t>2012-018</w:t>
      </w:r>
      <w:r>
        <w:rPr>
          <w:color w:val="000000"/>
          <w:spacing w:val="0"/>
          <w:w w:val="100"/>
          <w:position w:val="0"/>
        </w:rPr>
        <w:t>、</w:t>
      </w:r>
      <w:r>
        <w:rPr>
          <w:rFonts w:ascii="Times New Roman" w:eastAsia="Times New Roman" w:hAnsi="Times New Roman" w:cs="Times New Roman"/>
          <w:color w:val="000000"/>
          <w:spacing w:val="0"/>
          <w:w w:val="100"/>
          <w:position w:val="0"/>
        </w:rPr>
        <w:t>2012-022</w:t>
      </w:r>
      <w:r>
        <w:rPr>
          <w:color w:val="000000"/>
          <w:spacing w:val="0"/>
          <w:w w:val="100"/>
          <w:position w:val="0"/>
        </w:rPr>
        <w:t>）</w:t>
      </w:r>
    </w:p>
    <w:p>
      <w:pPr>
        <w:pStyle w:val="Style35"/>
        <w:keepNext w:val="0"/>
        <w:keepLines w:val="0"/>
        <w:widowControl w:val="0"/>
        <w:shd w:val="clear" w:color="auto" w:fill="auto"/>
        <w:tabs>
          <w:tab w:pos="701" w:val="left"/>
        </w:tabs>
        <w:bidi w:val="0"/>
        <w:spacing w:before="0" w:after="0" w:line="312" w:lineRule="exact"/>
        <w:ind w:left="0" w:right="0"/>
        <w:jc w:val="both"/>
      </w:pPr>
      <w:bookmarkStart w:id="202" w:name="bookmark202"/>
      <w:r>
        <w:rPr>
          <w:rFonts w:ascii="Times New Roman" w:eastAsia="Times New Roman" w:hAnsi="Times New Roman" w:cs="Times New Roman"/>
          <w:color w:val="000000"/>
          <w:spacing w:val="0"/>
          <w:w w:val="100"/>
          <w:position w:val="0"/>
        </w:rPr>
        <w:t>6</w:t>
      </w:r>
      <w:bookmarkEnd w:id="202"/>
      <w:r>
        <w:rPr>
          <w:color w:val="000000"/>
          <w:spacing w:val="0"/>
          <w:w w:val="100"/>
          <w:position w:val="0"/>
        </w:rPr>
        <w:t>、</w:t>
        <w:tab/>
        <w:t>公司董事会于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日审议通过了《关于股权激励计划行权期失效并注销已授予股票期权的议案》。公司第 一个行权期内由于公司股票的二级市场价格一直低于行权价格而无法实施行权，则首期及预留股票期权的第一个行权期逾期 失效；公司第二和第三个行权期由于公司</w:t>
      </w:r>
      <w:r>
        <w:rPr>
          <w:rFonts w:ascii="Times New Roman" w:eastAsia="Times New Roman" w:hAnsi="Times New Roman" w:cs="Times New Roman"/>
          <w:color w:val="000000"/>
          <w:spacing w:val="0"/>
          <w:w w:val="100"/>
          <w:position w:val="0"/>
        </w:rPr>
        <w:t>2012</w:t>
      </w:r>
      <w:r>
        <w:rPr>
          <w:color w:val="000000"/>
          <w:spacing w:val="0"/>
          <w:w w:val="100"/>
          <w:position w:val="0"/>
        </w:rPr>
        <w:t>年度业绩未达到行权条件而失效。经向中国证券登记结算有限责任公司深圳分 公司申请注销股票期权，公司已于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日办理完成股权激励计划已授予股票期权注销事项。（公告编号：</w:t>
      </w:r>
      <w:r>
        <w:rPr>
          <w:rFonts w:ascii="Times New Roman" w:eastAsia="Times New Roman" w:hAnsi="Times New Roman" w:cs="Times New Roman"/>
          <w:color w:val="000000"/>
          <w:spacing w:val="0"/>
          <w:w w:val="100"/>
          <w:position w:val="0"/>
        </w:rPr>
        <w:t>2013-047</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2013-048</w:t>
      </w:r>
      <w:r>
        <w:rPr>
          <w:color w:val="000000"/>
          <w:spacing w:val="0"/>
          <w:w w:val="100"/>
          <w:position w:val="0"/>
        </w:rPr>
        <w:t>、</w:t>
      </w:r>
      <w:r>
        <w:rPr>
          <w:rFonts w:ascii="Times New Roman" w:eastAsia="Times New Roman" w:hAnsi="Times New Roman" w:cs="Times New Roman"/>
          <w:color w:val="000000"/>
          <w:spacing w:val="0"/>
          <w:w w:val="100"/>
          <w:position w:val="0"/>
        </w:rPr>
        <w:t>2014-004</w:t>
      </w:r>
      <w:r>
        <w:rPr>
          <w:color w:val="000000"/>
          <w:spacing w:val="0"/>
          <w:w w:val="100"/>
          <w:position w:val="0"/>
        </w:rPr>
        <w:t>）</w:t>
      </w:r>
    </w:p>
    <w:p>
      <w:pPr>
        <w:pStyle w:val="Style35"/>
        <w:keepNext w:val="0"/>
        <w:keepLines w:val="0"/>
        <w:widowControl w:val="0"/>
        <w:shd w:val="clear" w:color="auto" w:fill="auto"/>
        <w:tabs>
          <w:tab w:pos="552" w:val="left"/>
        </w:tabs>
        <w:bidi w:val="0"/>
        <w:spacing w:before="0" w:after="0" w:line="312" w:lineRule="exact"/>
        <w:ind w:left="0" w:right="0" w:firstLine="0"/>
        <w:jc w:val="left"/>
      </w:pPr>
      <w:bookmarkStart w:id="203" w:name="bookmark203"/>
      <w:r>
        <w:rPr>
          <w:color w:val="000000"/>
          <w:spacing w:val="0"/>
          <w:w w:val="100"/>
          <w:position w:val="0"/>
        </w:rPr>
        <w:t>（</w:t>
      </w:r>
      <w:bookmarkEnd w:id="203"/>
      <w:r>
        <w:rPr>
          <w:color w:val="000000"/>
          <w:spacing w:val="0"/>
          <w:w w:val="100"/>
          <w:position w:val="0"/>
        </w:rPr>
        <w:t>二）</w:t>
        <w:tab/>
        <w:t>股权激励计划对本报告期的影响</w:t>
      </w:r>
    </w:p>
    <w:p>
      <w:pPr>
        <w:pStyle w:val="Style35"/>
        <w:keepNext w:val="0"/>
        <w:keepLines w:val="0"/>
        <w:widowControl w:val="0"/>
        <w:shd w:val="clear" w:color="auto" w:fill="auto"/>
        <w:bidi w:val="0"/>
        <w:spacing w:before="0" w:after="360" w:line="312" w:lineRule="exact"/>
        <w:ind w:left="0" w:right="0"/>
        <w:jc w:val="left"/>
      </w:pPr>
      <w:r>
        <w:rPr>
          <w:color w:val="000000"/>
          <w:spacing w:val="0"/>
          <w:w w:val="100"/>
          <w:position w:val="0"/>
        </w:rPr>
        <w:t>本报告期内，公司未摊销股票期权费用，所以未对公司本报告期资产负债表及利润表造成影响。</w:t>
      </w:r>
      <w:r>
        <w:br w:type="page"/>
      </w:r>
    </w:p>
    <w:p>
      <w:pPr>
        <w:pStyle w:val="Style31"/>
        <w:keepNext/>
        <w:keepLines/>
        <w:widowControl w:val="0"/>
        <w:shd w:val="clear" w:color="auto" w:fill="auto"/>
        <w:bidi w:val="0"/>
        <w:spacing w:before="0" w:after="32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sz w:val="24"/>
          <w:szCs w:val="24"/>
        </w:rPr>
        <w:t>四</w:t>
      </w:r>
      <w:bookmarkEnd w:id="206"/>
      <w:r>
        <w:rPr>
          <w:color w:val="000000"/>
          <w:spacing w:val="0"/>
          <w:w w:val="100"/>
          <w:position w:val="0"/>
          <w:sz w:val="24"/>
          <w:szCs w:val="24"/>
        </w:rPr>
        <w:t>、承诺事项履行情况</w:t>
      </w:r>
      <w:bookmarkEnd w:id="204"/>
      <w:bookmarkEnd w:id="205"/>
      <w:bookmarkEnd w:id="207"/>
    </w:p>
    <w:p>
      <w:pPr>
        <w:pStyle w:val="Style40"/>
        <w:keepNext/>
        <w:keepLines/>
        <w:widowControl w:val="0"/>
        <w:shd w:val="clear" w:color="auto" w:fill="auto"/>
        <w:bidi w:val="0"/>
        <w:spacing w:before="0" w:after="32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1</w:t>
      </w:r>
      <w:bookmarkEnd w:id="210"/>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08"/>
      <w:bookmarkEnd w:id="209"/>
      <w:bookmarkEnd w:id="211"/>
    </w:p>
    <w:tbl>
      <w:tblPr>
        <w:tblOverlap w:val="never"/>
        <w:jc w:val="center"/>
        <w:tblLayout w:type="fixed"/>
      </w:tblPr>
      <w:tblGrid>
        <w:gridCol w:w="1987"/>
        <w:gridCol w:w="1277"/>
        <w:gridCol w:w="2976"/>
        <w:gridCol w:w="994"/>
        <w:gridCol w:w="1066"/>
        <w:gridCol w:w="128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承诺事项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 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首次公开发行或再融资 时所作承诺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北京久其科技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8" w:lineRule="exact"/>
              <w:ind w:left="0" w:right="0" w:firstLine="0"/>
              <w:jc w:val="both"/>
            </w:pPr>
            <w:r>
              <w:rPr>
                <w:color w:val="000000"/>
                <w:spacing w:val="0"/>
                <w:w w:val="100"/>
                <w:position w:val="0"/>
              </w:rPr>
              <w:t>将不在中国境内外以任何方式直接或 间接从事或参与任何与发行人相同、 相似或在商业上构成任何竞争的业务 及活动，或拥有与发行人存在竞争关 系的任何经济实体、机构、经济组织 的权益，或以其他任何形式取得该经 济实体、机构、经济组织的控制权。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报告期内，承诺 人严格履行该 承诺。</w:t>
            </w:r>
          </w:p>
        </w:tc>
      </w:tr>
      <w:tr>
        <w:trPr>
          <w:trHeight w:val="28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董泰湘、赵福君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0"/>
              <w:jc w:val="both"/>
            </w:pPr>
            <w:r>
              <w:rPr>
                <w:color w:val="000000"/>
                <w:spacing w:val="0"/>
                <w:w w:val="100"/>
                <w:position w:val="0"/>
              </w:rPr>
              <w:t>将不在中国境内外以任何方式直接或 间接从事或参与任何与发行人相同、 相似或在商业上构成任何竞争的业务 及活动，或拥有与发行人存在竞争关 系的任何经济实体、机构、经济组织 的权益，或以其他任何形式取得该经 济实体、机构、经济组织的控制权， 或在该经济实体、机构、经济组织中 担任高级管理人员或核心技术人员。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报告期内，承诺 人严格履行该 承诺。</w:t>
            </w:r>
          </w:p>
        </w:tc>
      </w:tr>
      <w:tr>
        <w:trPr>
          <w:trHeight w:val="196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在锁定股份承诺基础上，还承诺三十 六个月的承诺期限届满后，在职期间 每年转让的股份不超过其所持有的该 公司股份总数的百分之二十五；离职 后，其所持公司股份在法律、法规规 定的限售期内不转让。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报告期内，承诺 人严格履行该 承诺。</w:t>
            </w:r>
          </w:p>
        </w:tc>
      </w:tr>
      <w:tr>
        <w:trPr>
          <w:trHeight w:val="133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本人及近亲属在本人任职期间及离职 后半年内，不从事自营或为他人经营 与发行人同类的业务，也不从事与发 行人利益发生冲突的对外投资。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报告期内，承诺 人严格履行该 承诺。</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其他对公司中小股东所 作承诺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董泰湘、赵福君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日期间，不转让或者委托他人管理本 人直接和间接持有的公司股份，也不 由公司收购该部分股份。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0"/>
              <w:jc w:val="left"/>
            </w:pPr>
            <w:r>
              <w:rPr>
                <w:color w:val="000000"/>
                <w:spacing w:val="0"/>
                <w:w w:val="100"/>
                <w:position w:val="0"/>
              </w:rPr>
              <w:t>承诺人在承诺 期间严格履行 该承诺，该项承 诺于报告期内 到期。</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tbl>
      <w:tblPr>
        <w:tblOverlap w:val="never"/>
        <w:jc w:val="center"/>
        <w:tblLayout w:type="fixed"/>
      </w:tblPr>
      <w:tblGrid>
        <w:gridCol w:w="1987"/>
        <w:gridCol w:w="7656"/>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未完成履行的具体原因 及下一步计划（如有）</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1"/>
        <w:keepNext/>
        <w:keepLines/>
        <w:widowControl w:val="0"/>
        <w:shd w:val="clear" w:color="auto" w:fill="auto"/>
        <w:bidi w:val="0"/>
        <w:spacing w:before="0" w:after="380" w:line="240" w:lineRule="auto"/>
        <w:ind w:left="0" w:right="0" w:firstLine="0"/>
        <w:jc w:val="both"/>
      </w:pPr>
      <w:bookmarkStart w:id="212" w:name="bookmark212"/>
      <w:bookmarkStart w:id="213" w:name="bookmark213"/>
      <w:bookmarkStart w:id="214" w:name="bookmark214"/>
      <w:bookmarkStart w:id="215" w:name="bookmark215"/>
      <w:r>
        <w:rPr>
          <w:color w:val="000000"/>
          <w:spacing w:val="0"/>
          <w:w w:val="100"/>
          <w:position w:val="0"/>
          <w:sz w:val="24"/>
          <w:szCs w:val="24"/>
        </w:rPr>
        <w:t>五</w:t>
      </w:r>
      <w:bookmarkEnd w:id="214"/>
      <w:r>
        <w:rPr>
          <w:color w:val="000000"/>
          <w:spacing w:val="0"/>
          <w:w w:val="100"/>
          <w:position w:val="0"/>
          <w:sz w:val="24"/>
          <w:szCs w:val="24"/>
        </w:rPr>
        <w:t>、聘任、解聘会计师事务所情况</w:t>
      </w:r>
      <w:bookmarkEnd w:id="212"/>
      <w:bookmarkEnd w:id="213"/>
      <w:bookmarkEnd w:id="215"/>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陈勇波、隋振涛</w:t>
            </w:r>
          </w:p>
        </w:tc>
      </w:tr>
    </w:tbl>
    <w:p>
      <w:pPr>
        <w:pStyle w:val="Style35"/>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当期是否改聘会计师事务所</w:t>
      </w:r>
    </w:p>
    <w:p>
      <w:pPr>
        <w:pStyle w:val="Style3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after="120" w:line="312" w:lineRule="exact"/>
        <w:ind w:left="0" w:right="0" w:firstLine="0"/>
        <w:jc w:val="both"/>
      </w:pPr>
      <w:r>
        <w:rPr>
          <w:color w:val="000000"/>
          <w:spacing w:val="0"/>
          <w:w w:val="100"/>
          <w:position w:val="0"/>
        </w:rPr>
        <w:t>聘请内部控制审计会计师事务所、财务顾问或保荐人情况</w:t>
      </w:r>
    </w:p>
    <w:p>
      <w:pPr>
        <w:pStyle w:val="Style35"/>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260" w:line="240" w:lineRule="auto"/>
        <w:ind w:left="0" w:right="0" w:firstLine="0"/>
        <w:jc w:val="both"/>
      </w:pPr>
      <w:bookmarkStart w:id="216" w:name="bookmark216"/>
      <w:bookmarkStart w:id="217" w:name="bookmark217"/>
      <w:bookmarkStart w:id="218" w:name="bookmark218"/>
      <w:bookmarkStart w:id="219" w:name="bookmark219"/>
      <w:r>
        <w:rPr>
          <w:color w:val="000000"/>
          <w:spacing w:val="0"/>
          <w:w w:val="100"/>
          <w:position w:val="0"/>
          <w:sz w:val="24"/>
          <w:szCs w:val="24"/>
        </w:rPr>
        <w:t>六</w:t>
      </w:r>
      <w:bookmarkEnd w:id="218"/>
      <w:r>
        <w:rPr>
          <w:color w:val="000000"/>
          <w:spacing w:val="0"/>
          <w:w w:val="100"/>
          <w:position w:val="0"/>
          <w:sz w:val="24"/>
          <w:szCs w:val="24"/>
        </w:rPr>
        <w:t>、公司子公司重要事项</w:t>
      </w:r>
      <w:bookmarkEnd w:id="216"/>
      <w:bookmarkEnd w:id="217"/>
      <w:bookmarkEnd w:id="219"/>
    </w:p>
    <w:p>
      <w:pPr>
        <w:pStyle w:val="Style35"/>
        <w:keepNext w:val="0"/>
        <w:keepLines w:val="0"/>
        <w:widowControl w:val="0"/>
        <w:shd w:val="clear" w:color="auto" w:fill="auto"/>
        <w:tabs>
          <w:tab w:pos="361" w:val="left"/>
        </w:tabs>
        <w:bidi w:val="0"/>
        <w:spacing w:before="0" w:after="80" w:line="312" w:lineRule="exact"/>
        <w:ind w:left="0" w:right="0" w:firstLine="0"/>
        <w:jc w:val="both"/>
      </w:pPr>
      <w:bookmarkStart w:id="220" w:name="bookmark220"/>
      <w:r>
        <w:rPr>
          <w:rFonts w:ascii="Times New Roman" w:eastAsia="Times New Roman" w:hAnsi="Times New Roman" w:cs="Times New Roman"/>
          <w:color w:val="000000"/>
          <w:spacing w:val="0"/>
          <w:w w:val="100"/>
          <w:position w:val="0"/>
        </w:rPr>
        <w:t>1</w:t>
      </w:r>
      <w:bookmarkEnd w:id="220"/>
      <w:r>
        <w:rPr>
          <w:color w:val="000000"/>
          <w:spacing w:val="0"/>
          <w:w w:val="100"/>
          <w:position w:val="0"/>
        </w:rPr>
        <w:t>、</w:t>
        <w:tab/>
        <w:t>公司董事会于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日审议通过了《关于注销全资子公司深圳市久其软件有限公司的议案》，深圳久其相关税务 登记注销、工商登记注销、组织机构代码废置、银行账户销户、公章缴销等手续均于本报告期内办理完毕。（公告编号： </w:t>
      </w:r>
      <w:r>
        <w:rPr>
          <w:rFonts w:ascii="Times New Roman" w:eastAsia="Times New Roman" w:hAnsi="Times New Roman" w:cs="Times New Roman"/>
          <w:color w:val="000000"/>
          <w:spacing w:val="0"/>
          <w:w w:val="100"/>
          <w:position w:val="0"/>
        </w:rPr>
        <w:t>2013-024</w:t>
      </w:r>
      <w:r>
        <w:rPr>
          <w:color w:val="000000"/>
          <w:spacing w:val="0"/>
          <w:w w:val="100"/>
          <w:position w:val="0"/>
        </w:rPr>
        <w:t>）</w:t>
      </w:r>
    </w:p>
    <w:p>
      <w:pPr>
        <w:pStyle w:val="Style35"/>
        <w:keepNext w:val="0"/>
        <w:keepLines w:val="0"/>
        <w:widowControl w:val="0"/>
        <w:shd w:val="clear" w:color="auto" w:fill="auto"/>
        <w:tabs>
          <w:tab w:pos="361" w:val="left"/>
        </w:tabs>
        <w:bidi w:val="0"/>
        <w:spacing w:before="0" w:after="0"/>
        <w:ind w:left="0" w:right="0" w:firstLine="0"/>
        <w:jc w:val="both"/>
      </w:pPr>
      <w:bookmarkStart w:id="221" w:name="bookmark221"/>
      <w:r>
        <w:rPr>
          <w:rFonts w:ascii="Times New Roman" w:eastAsia="Times New Roman" w:hAnsi="Times New Roman" w:cs="Times New Roman"/>
          <w:color w:val="000000"/>
          <w:spacing w:val="0"/>
          <w:w w:val="100"/>
          <w:position w:val="0"/>
        </w:rPr>
        <w:t>2</w:t>
      </w:r>
      <w:bookmarkEnd w:id="221"/>
      <w:r>
        <w:rPr>
          <w:color w:val="000000"/>
          <w:spacing w:val="0"/>
          <w:w w:val="100"/>
          <w:position w:val="0"/>
        </w:rPr>
        <w:t>、</w:t>
        <w:tab/>
        <w:t>子公司诉讼事项</w:t>
      </w:r>
    </w:p>
    <w:p>
      <w:pPr>
        <w:pStyle w:val="Style35"/>
        <w:keepNext w:val="0"/>
        <w:keepLines w:val="0"/>
        <w:widowControl w:val="0"/>
        <w:shd w:val="clear" w:color="auto" w:fill="auto"/>
        <w:tabs>
          <w:tab w:pos="528" w:val="left"/>
        </w:tabs>
        <w:bidi w:val="0"/>
        <w:spacing w:before="0" w:after="0" w:line="312" w:lineRule="exact"/>
        <w:ind w:left="0" w:right="0" w:firstLine="0"/>
        <w:jc w:val="both"/>
      </w:pPr>
      <w:bookmarkStart w:id="222" w:name="bookmark222"/>
      <w:r>
        <w:rPr>
          <w:color w:val="000000"/>
          <w:spacing w:val="0"/>
          <w:w w:val="100"/>
          <w:position w:val="0"/>
        </w:rPr>
        <w:t>（</w:t>
      </w:r>
      <w:bookmarkEnd w:id="222"/>
      <w:r>
        <w:rPr>
          <w:rFonts w:ascii="Times New Roman" w:eastAsia="Times New Roman" w:hAnsi="Times New Roman" w:cs="Times New Roman"/>
          <w:color w:val="000000"/>
          <w:spacing w:val="0"/>
          <w:w w:val="100"/>
          <w:position w:val="0"/>
        </w:rPr>
        <w:t>1</w:t>
      </w:r>
      <w:r>
        <w:rPr>
          <w:color w:val="000000"/>
          <w:spacing w:val="0"/>
          <w:w w:val="100"/>
          <w:position w:val="0"/>
        </w:rPr>
        <w:t>）</w:t>
        <w:tab/>
        <w:t>公司控股子公司北京北邮中望信息科技有限责任公司于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日收到北京市海淀区人民法院出具的（</w:t>
      </w:r>
      <w:r>
        <w:rPr>
          <w:rFonts w:ascii="Times New Roman" w:eastAsia="Times New Roman" w:hAnsi="Times New Roman" w:cs="Times New Roman"/>
          <w:color w:val="000000"/>
          <w:spacing w:val="0"/>
          <w:w w:val="100"/>
          <w:position w:val="0"/>
        </w:rPr>
        <w:t>2013</w:t>
      </w:r>
      <w:r>
        <w:rPr>
          <w:color w:val="000000"/>
          <w:spacing w:val="0"/>
          <w:w w:val="100"/>
          <w:position w:val="0"/>
        </w:rPr>
        <w:t>）海民 初字第</w:t>
      </w:r>
      <w:r>
        <w:rPr>
          <w:rFonts w:ascii="Times New Roman" w:eastAsia="Times New Roman" w:hAnsi="Times New Roman" w:cs="Times New Roman"/>
          <w:color w:val="000000"/>
          <w:spacing w:val="0"/>
          <w:w w:val="100"/>
          <w:position w:val="0"/>
        </w:rPr>
        <w:t>20210</w:t>
      </w:r>
      <w:r>
        <w:rPr>
          <w:color w:val="000000"/>
          <w:spacing w:val="0"/>
          <w:w w:val="100"/>
          <w:position w:val="0"/>
        </w:rPr>
        <w:t>号《传票》、《应诉通知书》、《民事起诉状》及相关诉讼材料，北京市海淀区人民法院受理了广东新华南方 软件外包有限公司诉北京北邮中望信息科技有限责任公司的借款纠纷案，最终经北京市第一中级人民法院开庭审理及调解， 双方于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日当庭达成和解，北京北邮中望信息科技有限责任公司将分期偿还广东新华南方软件外包有限公司借款 本金</w:t>
      </w:r>
      <w:r>
        <w:rPr>
          <w:rFonts w:ascii="Times New Roman" w:eastAsia="Times New Roman" w:hAnsi="Times New Roman" w:cs="Times New Roman"/>
          <w:color w:val="000000"/>
          <w:spacing w:val="0"/>
          <w:w w:val="100"/>
          <w:position w:val="0"/>
        </w:rPr>
        <w:t>136.35</w:t>
      </w:r>
      <w:r>
        <w:rPr>
          <w:color w:val="000000"/>
          <w:spacing w:val="0"/>
          <w:w w:val="100"/>
          <w:position w:val="0"/>
        </w:rPr>
        <w:t>万元。</w:t>
      </w:r>
    </w:p>
    <w:p>
      <w:pPr>
        <w:pStyle w:val="Style35"/>
        <w:keepNext w:val="0"/>
        <w:keepLines w:val="0"/>
        <w:widowControl w:val="0"/>
        <w:shd w:val="clear" w:color="auto" w:fill="auto"/>
        <w:tabs>
          <w:tab w:pos="533" w:val="left"/>
        </w:tabs>
        <w:bidi w:val="0"/>
        <w:spacing w:before="0" w:after="200" w:line="312" w:lineRule="exact"/>
        <w:ind w:left="0" w:right="0" w:firstLine="0"/>
        <w:jc w:val="both"/>
        <w:sectPr>
          <w:footnotePr>
            <w:pos w:val="pageBottom"/>
            <w:numFmt w:val="decimal"/>
            <w:numRestart w:val="continuous"/>
          </w:footnotePr>
          <w:pgSz w:w="11900" w:h="16840"/>
          <w:pgMar w:top="1136" w:right="1047" w:bottom="1687" w:left="1076" w:header="0" w:footer="3" w:gutter="0"/>
          <w:cols w:space="720"/>
          <w:noEndnote/>
          <w:rtlGutter w:val="0"/>
          <w:docGrid w:linePitch="360"/>
        </w:sectPr>
      </w:pPr>
      <w:bookmarkStart w:id="223" w:name="bookmark223"/>
      <w:r>
        <w:rPr>
          <w:color w:val="000000"/>
          <w:spacing w:val="0"/>
          <w:w w:val="100"/>
          <w:position w:val="0"/>
        </w:rPr>
        <w:t>（</w:t>
      </w:r>
      <w:bookmarkEnd w:id="223"/>
      <w:r>
        <w:rPr>
          <w:rFonts w:ascii="Times New Roman" w:eastAsia="Times New Roman" w:hAnsi="Times New Roman" w:cs="Times New Roman"/>
          <w:color w:val="000000"/>
          <w:spacing w:val="0"/>
          <w:w w:val="100"/>
          <w:position w:val="0"/>
        </w:rPr>
        <w:t>2</w:t>
      </w:r>
      <w:r>
        <w:rPr>
          <w:color w:val="000000"/>
          <w:spacing w:val="0"/>
          <w:w w:val="100"/>
          <w:position w:val="0"/>
        </w:rPr>
        <w:t>）</w:t>
        <w:tab/>
        <w:t>北京北邮中望信息科技有限责任公司于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日收到中国国际贸易仲裁委员会出具的（</w:t>
      </w:r>
      <w:r>
        <w:rPr>
          <w:rFonts w:ascii="Times New Roman" w:eastAsia="Times New Roman" w:hAnsi="Times New Roman" w:cs="Times New Roman"/>
          <w:color w:val="000000"/>
          <w:spacing w:val="0"/>
          <w:w w:val="100"/>
          <w:position w:val="0"/>
        </w:rPr>
        <w:t>2013</w:t>
      </w:r>
      <w:r>
        <w:rPr>
          <w:color w:val="000000"/>
          <w:spacing w:val="0"/>
          <w:w w:val="100"/>
          <w:position w:val="0"/>
        </w:rPr>
        <w:t xml:space="preserve">）中国贸仲京字第 </w:t>
      </w:r>
      <w:r>
        <w:rPr>
          <w:rFonts w:ascii="Times New Roman" w:eastAsia="Times New Roman" w:hAnsi="Times New Roman" w:cs="Times New Roman"/>
          <w:color w:val="000000"/>
          <w:spacing w:val="0"/>
          <w:w w:val="100"/>
          <w:position w:val="0"/>
        </w:rPr>
        <w:t>017014</w:t>
      </w:r>
      <w:r>
        <w:rPr>
          <w:color w:val="000000"/>
          <w:spacing w:val="0"/>
          <w:w w:val="100"/>
          <w:position w:val="0"/>
        </w:rPr>
        <w:t>号《</w:t>
      </w:r>
      <w:r>
        <w:rPr>
          <w:rFonts w:ascii="Times New Roman" w:eastAsia="Times New Roman" w:hAnsi="Times New Roman" w:cs="Times New Roman"/>
          <w:color w:val="000000"/>
          <w:spacing w:val="0"/>
          <w:w w:val="100"/>
          <w:position w:val="0"/>
        </w:rPr>
        <w:t>DX20130567</w:t>
      </w:r>
      <w:r>
        <w:rPr>
          <w:color w:val="000000"/>
          <w:spacing w:val="0"/>
          <w:w w:val="100"/>
          <w:position w:val="0"/>
        </w:rPr>
        <w:t>号软件开发服务协议争议案仲裁通知》、《仲裁申请书》及相关材料，中国国际贸易仲裁委员会受 理了广东新华南方软件外包有限公司提出的仲裁申请，经中国国际贸易仲裁委员会开庭审理，最终裁决北京北邮中望信息科 技有限责任公司向广东新华南方软件外包有限公司支付服务费</w:t>
      </w:r>
      <w:r>
        <w:rPr>
          <w:rFonts w:ascii="Times New Roman" w:eastAsia="Times New Roman" w:hAnsi="Times New Roman" w:cs="Times New Roman"/>
          <w:color w:val="000000"/>
          <w:spacing w:val="0"/>
          <w:w w:val="100"/>
          <w:position w:val="0"/>
        </w:rPr>
        <w:t>910,822.50</w:t>
      </w:r>
      <w:r>
        <w:rPr>
          <w:color w:val="000000"/>
          <w:spacing w:val="0"/>
          <w:w w:val="100"/>
          <w:position w:val="0"/>
        </w:rPr>
        <w:t>元，支付滞纳金</w:t>
      </w:r>
      <w:r>
        <w:rPr>
          <w:rFonts w:ascii="Times New Roman" w:eastAsia="Times New Roman" w:hAnsi="Times New Roman" w:cs="Times New Roman"/>
          <w:color w:val="000000"/>
          <w:spacing w:val="0"/>
          <w:w w:val="100"/>
          <w:position w:val="0"/>
        </w:rPr>
        <w:t>45,541.13</w:t>
      </w:r>
      <w:r>
        <w:rPr>
          <w:color w:val="000000"/>
          <w:spacing w:val="0"/>
          <w:w w:val="100"/>
          <w:position w:val="0"/>
        </w:rPr>
        <w:t>元。</w:t>
      </w:r>
    </w:p>
    <w:p>
      <w:pPr>
        <w:pStyle w:val="Style17"/>
        <w:keepNext/>
        <w:keepLines/>
        <w:widowControl w:val="0"/>
        <w:shd w:val="clear" w:color="auto" w:fill="auto"/>
        <w:bidi w:val="0"/>
        <w:spacing w:before="600" w:after="540" w:line="240" w:lineRule="auto"/>
        <w:ind w:left="0" w:right="0" w:firstLine="0"/>
        <w:jc w:val="center"/>
      </w:pPr>
      <w:bookmarkStart w:id="224" w:name="bookmark224"/>
      <w:bookmarkStart w:id="225" w:name="bookmark225"/>
      <w:bookmarkStart w:id="226" w:name="bookmark226"/>
      <w:r>
        <w:rPr>
          <w:color w:val="000000"/>
          <w:spacing w:val="0"/>
          <w:w w:val="100"/>
          <w:position w:val="0"/>
        </w:rPr>
        <w:t>第六节股份变动及股东情况</w:t>
      </w:r>
      <w:bookmarkEnd w:id="224"/>
      <w:bookmarkEnd w:id="225"/>
      <w:bookmarkEnd w:id="226"/>
    </w:p>
    <w:p>
      <w:pPr>
        <w:pStyle w:val="Style31"/>
        <w:keepNext/>
        <w:keepLines/>
        <w:widowControl w:val="0"/>
        <w:shd w:val="clear" w:color="auto" w:fill="auto"/>
        <w:bidi w:val="0"/>
        <w:spacing w:before="0" w:after="340" w:line="240" w:lineRule="auto"/>
        <w:ind w:left="0" w:right="0" w:firstLine="260"/>
        <w:jc w:val="both"/>
      </w:pPr>
      <w:bookmarkStart w:id="227" w:name="bookmark227"/>
      <w:bookmarkStart w:id="228" w:name="bookmark228"/>
      <w:bookmarkStart w:id="229" w:name="bookmark229"/>
      <w:r>
        <w:rPr>
          <w:color w:val="000000"/>
          <w:spacing w:val="0"/>
          <w:w w:val="100"/>
          <w:position w:val="0"/>
          <w:sz w:val="24"/>
          <w:szCs w:val="24"/>
        </w:rPr>
        <w:t>、股份变动情况</w:t>
      </w:r>
      <w:bookmarkEnd w:id="227"/>
      <w:bookmarkEnd w:id="228"/>
      <w:bookmarkEnd w:id="229"/>
    </w:p>
    <w:p>
      <w:pPr>
        <w:pStyle w:val="Style3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1987"/>
        <w:gridCol w:w="994"/>
        <w:gridCol w:w="850"/>
        <w:gridCol w:w="850"/>
        <w:gridCol w:w="427"/>
        <w:gridCol w:w="706"/>
        <w:gridCol w:w="994"/>
        <w:gridCol w:w="994"/>
        <w:gridCol w:w="994"/>
        <w:gridCol w:w="78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67,966,124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-42,039,754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-42,039,754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25,926,370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67,966,124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-42,039,754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-42,039,754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25,926,370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67,966,124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-42,039,754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-42,039,754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25,926,370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107,829,181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42,039,754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42,039,754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149,868,935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107,829,181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42,039,754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42,039,754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149,868,935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85.25%</w:t>
            </w:r>
          </w:p>
        </w:tc>
      </w:tr>
      <w:tr>
        <w:trPr>
          <w:trHeight w:val="413"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175,795,305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175,795,305</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pStyle w:val="Style35"/>
        <w:keepNext w:val="0"/>
        <w:keepLines w:val="0"/>
        <w:widowControl w:val="0"/>
        <w:shd w:val="clear" w:color="auto" w:fill="auto"/>
        <w:bidi w:val="0"/>
        <w:spacing w:before="0" w:after="120" w:line="298" w:lineRule="exact"/>
        <w:ind w:left="0" w:right="0" w:firstLine="0"/>
        <w:jc w:val="both"/>
      </w:pPr>
      <w:r>
        <w:rPr>
          <w:color w:val="000000"/>
          <w:spacing w:val="0"/>
          <w:w w:val="100"/>
          <w:position w:val="0"/>
        </w:rPr>
        <w:t>股份变动的原因</w:t>
      </w:r>
    </w:p>
    <w:p>
      <w:pPr>
        <w:pStyle w:val="Style35"/>
        <w:keepNext w:val="0"/>
        <w:keepLines w:val="0"/>
        <w:widowControl w:val="0"/>
        <w:shd w:val="clear" w:color="auto" w:fill="auto"/>
        <w:bidi w:val="0"/>
        <w:spacing w:before="0" w:after="0" w:line="346"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tabs>
          <w:tab w:pos="339" w:val="left"/>
        </w:tabs>
        <w:bidi w:val="0"/>
        <w:spacing w:before="0" w:after="0" w:line="298" w:lineRule="exact"/>
        <w:ind w:left="0" w:right="0" w:firstLine="0"/>
        <w:jc w:val="both"/>
      </w:pPr>
      <w:bookmarkStart w:id="230" w:name="bookmark230"/>
      <w:r>
        <w:rPr>
          <w:rFonts w:ascii="Times New Roman" w:eastAsia="Times New Roman" w:hAnsi="Times New Roman" w:cs="Times New Roman"/>
          <w:color w:val="000000"/>
          <w:spacing w:val="0"/>
          <w:w w:val="100"/>
          <w:position w:val="0"/>
        </w:rPr>
        <w:t>1</w:t>
      </w:r>
      <w:bookmarkEnd w:id="230"/>
      <w:r>
        <w:rPr>
          <w:color w:val="000000"/>
          <w:spacing w:val="0"/>
          <w:w w:val="100"/>
          <w:position w:val="0"/>
        </w:rPr>
        <w:t>、</w:t>
        <w:tab/>
        <w:t>报告期内，公司实际控制人董泰湘女士、赵福君先生所持股份解除限售，由于赵福君先生为公司董事长，其任职期间每 年转让的股份不超过所持有公司股份总数的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，所以本次共计</w:t>
      </w:r>
      <w:r>
        <w:rPr>
          <w:rFonts w:ascii="Times New Roman" w:eastAsia="Times New Roman" w:hAnsi="Times New Roman" w:cs="Times New Roman"/>
          <w:color w:val="000000"/>
          <w:spacing w:val="0"/>
          <w:w w:val="100"/>
          <w:position w:val="0"/>
        </w:rPr>
        <w:t>42,015,079</w:t>
      </w:r>
      <w:r>
        <w:rPr>
          <w:color w:val="000000"/>
          <w:spacing w:val="0"/>
          <w:w w:val="100"/>
          <w:position w:val="0"/>
        </w:rPr>
        <w:t>股可上市流通；</w:t>
      </w:r>
    </w:p>
    <w:p>
      <w:pPr>
        <w:pStyle w:val="Style35"/>
        <w:keepNext w:val="0"/>
        <w:keepLines w:val="0"/>
        <w:widowControl w:val="0"/>
        <w:shd w:val="clear" w:color="auto" w:fill="auto"/>
        <w:tabs>
          <w:tab w:pos="349" w:val="left"/>
        </w:tabs>
        <w:bidi w:val="0"/>
        <w:spacing w:before="0" w:after="0" w:line="298" w:lineRule="exact"/>
        <w:ind w:left="0" w:right="0" w:firstLine="0"/>
        <w:jc w:val="both"/>
      </w:pPr>
      <w:bookmarkStart w:id="231" w:name="bookmark231"/>
      <w:r>
        <w:rPr>
          <w:rFonts w:ascii="Times New Roman" w:eastAsia="Times New Roman" w:hAnsi="Times New Roman" w:cs="Times New Roman"/>
          <w:color w:val="000000"/>
          <w:spacing w:val="0"/>
          <w:w w:val="100"/>
          <w:position w:val="0"/>
        </w:rPr>
        <w:t>2</w:t>
      </w:r>
      <w:bookmarkEnd w:id="231"/>
      <w:r>
        <w:rPr>
          <w:color w:val="000000"/>
          <w:spacing w:val="0"/>
          <w:w w:val="100"/>
          <w:position w:val="0"/>
        </w:rPr>
        <w:t>、</w:t>
        <w:tab/>
        <w:t>报告期内，公司原高级管理人员邓宇超先生所持股份因离职而限售的期限已满，共计</w:t>
      </w:r>
      <w:r>
        <w:rPr>
          <w:rFonts w:ascii="Times New Roman" w:eastAsia="Times New Roman" w:hAnsi="Times New Roman" w:cs="Times New Roman"/>
          <w:color w:val="000000"/>
          <w:spacing w:val="0"/>
          <w:w w:val="100"/>
          <w:position w:val="0"/>
        </w:rPr>
        <w:t>72,000</w:t>
      </w:r>
      <w:r>
        <w:rPr>
          <w:color w:val="000000"/>
          <w:spacing w:val="0"/>
          <w:w w:val="100"/>
          <w:position w:val="0"/>
        </w:rPr>
        <w:t>股可上市流通；</w:t>
      </w:r>
    </w:p>
    <w:p>
      <w:pPr>
        <w:pStyle w:val="Style35"/>
        <w:keepNext w:val="0"/>
        <w:keepLines w:val="0"/>
        <w:widowControl w:val="0"/>
        <w:shd w:val="clear" w:color="auto" w:fill="auto"/>
        <w:tabs>
          <w:tab w:pos="349" w:val="left"/>
        </w:tabs>
        <w:bidi w:val="0"/>
        <w:spacing w:before="0" w:after="0" w:line="298" w:lineRule="exact"/>
        <w:ind w:left="0" w:right="0" w:firstLine="0"/>
        <w:jc w:val="both"/>
      </w:pPr>
      <w:bookmarkStart w:id="232" w:name="bookmark232"/>
      <w:r>
        <w:rPr>
          <w:rFonts w:ascii="Times New Roman" w:eastAsia="Times New Roman" w:hAnsi="Times New Roman" w:cs="Times New Roman"/>
          <w:color w:val="000000"/>
          <w:spacing w:val="0"/>
          <w:w w:val="100"/>
          <w:position w:val="0"/>
        </w:rPr>
        <w:t>3</w:t>
      </w:r>
      <w:bookmarkEnd w:id="232"/>
      <w:r>
        <w:rPr>
          <w:color w:val="000000"/>
          <w:spacing w:val="0"/>
          <w:w w:val="100"/>
          <w:position w:val="0"/>
        </w:rPr>
        <w:t>、</w:t>
        <w:tab/>
        <w:t>报告期内，公司原董事李坤奇先生因离职未满六个月，其所持公司股份全部转为限售股份。</w:t>
      </w:r>
    </w:p>
    <w:p>
      <w:pPr>
        <w:pStyle w:val="Style35"/>
        <w:keepNext w:val="0"/>
        <w:keepLines w:val="0"/>
        <w:widowControl w:val="0"/>
        <w:shd w:val="clear" w:color="auto" w:fill="auto"/>
        <w:bidi w:val="0"/>
        <w:spacing w:before="0" w:after="120" w:line="298" w:lineRule="exact"/>
        <w:ind w:left="0" w:right="0" w:firstLine="0"/>
        <w:jc w:val="both"/>
      </w:pPr>
      <w:r>
        <w:rPr>
          <w:color w:val="000000"/>
          <w:spacing w:val="0"/>
          <w:w w:val="100"/>
          <w:position w:val="0"/>
        </w:rPr>
        <w:t>股份变动的批准情况</w:t>
      </w:r>
    </w:p>
    <w:p>
      <w:pPr>
        <w:pStyle w:val="Style35"/>
        <w:keepNext w:val="0"/>
        <w:keepLines w:val="0"/>
        <w:widowControl w:val="0"/>
        <w:shd w:val="clear" w:color="auto" w:fill="auto"/>
        <w:bidi w:val="0"/>
        <w:spacing w:before="0" w:after="0" w:line="34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20" w:line="298" w:lineRule="exact"/>
        <w:ind w:left="0" w:right="0" w:firstLine="0"/>
        <w:jc w:val="both"/>
      </w:pPr>
      <w:r>
        <w:rPr>
          <w:color w:val="000000"/>
          <w:spacing w:val="0"/>
          <w:w w:val="100"/>
          <w:position w:val="0"/>
        </w:rPr>
        <w:t>股份变动的过户情况</w:t>
      </w:r>
    </w:p>
    <w:p>
      <w:pPr>
        <w:pStyle w:val="Style35"/>
        <w:keepNext w:val="0"/>
        <w:keepLines w:val="0"/>
        <w:widowControl w:val="0"/>
        <w:shd w:val="clear" w:color="auto" w:fill="auto"/>
        <w:bidi w:val="0"/>
        <w:spacing w:before="0" w:after="0" w:line="34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20" w:line="298"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5"/>
        <w:keepNext w:val="0"/>
        <w:keepLines w:val="0"/>
        <w:widowControl w:val="0"/>
        <w:shd w:val="clear" w:color="auto" w:fill="auto"/>
        <w:bidi w:val="0"/>
        <w:spacing w:before="0" w:after="0" w:line="34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0" w:line="298" w:lineRule="exact"/>
        <w:ind w:left="0" w:right="0" w:firstLine="0"/>
        <w:jc w:val="both"/>
      </w:pPr>
      <w:r>
        <w:rPr>
          <w:color w:val="000000"/>
          <w:spacing w:val="0"/>
          <w:w w:val="100"/>
          <w:position w:val="0"/>
        </w:rPr>
        <w:t>公司认为必要或证券监管机构要求披露的其他内容</w:t>
      </w:r>
    </w:p>
    <w:p>
      <w:pPr>
        <w:pStyle w:val="Style35"/>
        <w:keepNext w:val="0"/>
        <w:keepLines w:val="0"/>
        <w:widowControl w:val="0"/>
        <w:shd w:val="clear" w:color="auto" w:fill="auto"/>
        <w:bidi w:val="0"/>
        <w:spacing w:before="0" w:after="340" w:line="298" w:lineRule="exact"/>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0"/>
        <w:jc w:val="both"/>
      </w:pPr>
      <w:bookmarkStart w:id="233" w:name="bookmark233"/>
      <w:bookmarkStart w:id="234" w:name="bookmark234"/>
      <w:bookmarkStart w:id="235" w:name="bookmark235"/>
      <w:bookmarkStart w:id="236" w:name="bookmark236"/>
      <w:r>
        <w:rPr>
          <w:color w:val="000000"/>
          <w:spacing w:val="0"/>
          <w:w w:val="100"/>
          <w:position w:val="0"/>
          <w:sz w:val="24"/>
          <w:szCs w:val="24"/>
        </w:rPr>
        <w:t>二</w:t>
      </w:r>
      <w:bookmarkEnd w:id="235"/>
      <w:r>
        <w:rPr>
          <w:color w:val="000000"/>
          <w:spacing w:val="0"/>
          <w:w w:val="100"/>
          <w:position w:val="0"/>
          <w:sz w:val="24"/>
          <w:szCs w:val="24"/>
        </w:rPr>
        <w:t>、证券发行与上市情况</w:t>
      </w:r>
      <w:bookmarkEnd w:id="233"/>
      <w:bookmarkEnd w:id="234"/>
      <w:bookmarkEnd w:id="236"/>
    </w:p>
    <w:p>
      <w:pPr>
        <w:pStyle w:val="Style40"/>
        <w:keepNext/>
        <w:keepLines/>
        <w:widowControl w:val="0"/>
        <w:shd w:val="clear" w:color="auto" w:fill="auto"/>
        <w:bidi w:val="0"/>
        <w:spacing w:before="0" w:after="340" w:line="240" w:lineRule="auto"/>
        <w:ind w:left="0" w:right="0" w:firstLine="0"/>
        <w:jc w:val="both"/>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1</w:t>
      </w:r>
      <w:bookmarkEnd w:id="239"/>
      <w:r>
        <w:rPr>
          <w:color w:val="000000"/>
          <w:spacing w:val="0"/>
          <w:w w:val="100"/>
          <w:position w:val="0"/>
        </w:rPr>
        <w:t>、报告期末近三年历次证券发行情况</w:t>
      </w:r>
      <w:bookmarkEnd w:id="237"/>
      <w:bookmarkEnd w:id="238"/>
      <w:bookmarkEnd w:id="240"/>
    </w:p>
    <w:tbl>
      <w:tblPr>
        <w:tblOverlap w:val="never"/>
        <w:jc w:val="center"/>
        <w:tblLayout w:type="fixed"/>
      </w:tblPr>
      <w:tblGrid>
        <w:gridCol w:w="1373"/>
        <w:gridCol w:w="1608"/>
        <w:gridCol w:w="1123"/>
        <w:gridCol w:w="1368"/>
        <w:gridCol w:w="1478"/>
        <w:gridCol w:w="1253"/>
        <w:gridCol w:w="137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15,300,000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61,040,037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pBdr>
          <w:top w:val="single" w:sz="4" w:space="6" w:color="D3D3D3"/>
          <w:left w:val="single" w:sz="4" w:space="0" w:color="D3D3D3"/>
          <w:bottom w:val="single" w:sz="4" w:space="7" w:color="D3D3D3"/>
          <w:right w:val="single" w:sz="4" w:space="0" w:color="D3D3D3"/>
        </w:pBdr>
        <w:shd w:val="clear" w:color="auto" w:fill="D3D3D3"/>
        <w:bidi w:val="0"/>
        <w:spacing w:before="0" w:after="0" w:line="311" w:lineRule="exact"/>
        <w:ind w:left="0" w:right="0" w:firstLine="0"/>
        <w:jc w:val="both"/>
      </w:pPr>
      <w:r>
        <w:rPr>
          <w:color w:val="000000"/>
          <w:spacing w:val="0"/>
          <w:w w:val="100"/>
          <w:position w:val="0"/>
        </w:rPr>
        <w:t>可转换公司债券、分离交易可转债、公司债类</w:t>
      </w:r>
    </w:p>
    <w:p>
      <w:pPr>
        <w:pStyle w:val="Style35"/>
        <w:keepNext w:val="0"/>
        <w:keepLines w:val="0"/>
        <w:widowControl w:val="0"/>
        <w:pBdr>
          <w:top w:val="single" w:sz="0" w:space="6" w:color="D3D3D3"/>
          <w:left w:val="single" w:sz="0" w:space="0" w:color="D3D3D3"/>
          <w:bottom w:val="single" w:sz="0" w:space="7" w:color="D3D3D3"/>
          <w:right w:val="single" w:sz="0" w:space="0" w:color="D3D3D3"/>
        </w:pBdr>
        <w:shd w:val="clear" w:color="auto" w:fill="D3D3D3"/>
        <w:bidi w:val="0"/>
        <w:spacing w:before="0" w:after="0" w:line="311" w:lineRule="exact"/>
        <w:ind w:left="0" w:right="0" w:firstLine="0"/>
        <w:jc w:val="both"/>
      </w:pPr>
      <w:r>
        <w:rPr>
          <w:color w:val="000000"/>
          <w:spacing w:val="0"/>
          <w:w w:val="100"/>
          <w:position w:val="0"/>
        </w:rPr>
        <w:t>权证类</w:t>
      </w:r>
    </w:p>
    <w:p>
      <w:pPr>
        <w:pStyle w:val="Style35"/>
        <w:keepNext w:val="0"/>
        <w:keepLines w:val="0"/>
        <w:widowControl w:val="0"/>
        <w:shd w:val="clear" w:color="auto" w:fill="auto"/>
        <w:bidi w:val="0"/>
        <w:spacing w:before="0" w:after="0" w:line="311" w:lineRule="exact"/>
        <w:ind w:left="0" w:right="0" w:firstLine="0"/>
        <w:jc w:val="both"/>
      </w:pPr>
      <w:r>
        <w:rPr>
          <w:color w:val="000000"/>
          <w:spacing w:val="0"/>
          <w:w w:val="100"/>
          <w:position w:val="0"/>
        </w:rPr>
        <w:t>前三年历次证券发行情况的说明</w:t>
      </w:r>
    </w:p>
    <w:p>
      <w:pPr>
        <w:pStyle w:val="Style35"/>
        <w:keepNext w:val="0"/>
        <w:keepLines w:val="0"/>
        <w:widowControl w:val="0"/>
        <w:shd w:val="clear" w:color="auto" w:fill="auto"/>
        <w:bidi w:val="0"/>
        <w:spacing w:before="0" w:after="380" w:line="311" w:lineRule="exact"/>
        <w:ind w:left="0" w:right="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[2009]671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关于核准北京久其软件股份有限公司首次公开发行股票的批复</w:t>
      </w:r>
      <w:r>
        <w:rPr>
          <w:rFonts w:ascii="Times New Roman" w:eastAsia="Times New Roman" w:hAnsi="Times New Roman" w:cs="Times New Roman"/>
          <w:color w:val="000000"/>
          <w:spacing w:val="0"/>
          <w:w w:val="100"/>
          <w:position w:val="0"/>
        </w:rPr>
        <w:t>”</w:t>
      </w:r>
      <w:r>
        <w:rPr>
          <w:color w:val="000000"/>
          <w:spacing w:val="0"/>
          <w:w w:val="100"/>
          <w:position w:val="0"/>
        </w:rPr>
        <w:t>的核 准，公司于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日向社会发行新股</w:t>
      </w:r>
      <w:r>
        <w:rPr>
          <w:rFonts w:ascii="Times New Roman" w:eastAsia="Times New Roman" w:hAnsi="Times New Roman" w:cs="Times New Roman"/>
          <w:color w:val="000000"/>
          <w:spacing w:val="0"/>
          <w:w w:val="100"/>
          <w:position w:val="0"/>
        </w:rPr>
        <w:t>15,300,000</w:t>
      </w:r>
      <w:r>
        <w:rPr>
          <w:color w:val="000000"/>
          <w:spacing w:val="0"/>
          <w:w w:val="100"/>
          <w:position w:val="0"/>
        </w:rPr>
        <w:t>股，采用网下向股票配售对象询价配售和网上向社会公众投资者定价发 行相结合的方式，其中网下配售</w:t>
      </w:r>
      <w:r>
        <w:rPr>
          <w:rFonts w:ascii="Times New Roman" w:eastAsia="Times New Roman" w:hAnsi="Times New Roman" w:cs="Times New Roman"/>
          <w:color w:val="000000"/>
          <w:spacing w:val="0"/>
          <w:w w:val="100"/>
          <w:position w:val="0"/>
        </w:rPr>
        <w:t>3,060,000</w:t>
      </w:r>
      <w:r>
        <w:rPr>
          <w:color w:val="000000"/>
          <w:spacing w:val="0"/>
          <w:w w:val="100"/>
          <w:position w:val="0"/>
        </w:rPr>
        <w:t>股，网上定价发行</w:t>
      </w:r>
      <w:r>
        <w:rPr>
          <w:rFonts w:ascii="Times New Roman" w:eastAsia="Times New Roman" w:hAnsi="Times New Roman" w:cs="Times New Roman"/>
          <w:color w:val="000000"/>
          <w:spacing w:val="0"/>
          <w:w w:val="100"/>
          <w:position w:val="0"/>
        </w:rPr>
        <w:t>12,240,000</w:t>
      </w:r>
      <w:r>
        <w:rPr>
          <w:color w:val="000000"/>
          <w:spacing w:val="0"/>
          <w:w w:val="100"/>
          <w:position w:val="0"/>
        </w:rPr>
        <w:t>股，发行价格为</w:t>
      </w:r>
      <w:r>
        <w:rPr>
          <w:rFonts w:ascii="Times New Roman" w:eastAsia="Times New Roman" w:hAnsi="Times New Roman" w:cs="Times New Roman"/>
          <w:color w:val="000000"/>
          <w:spacing w:val="0"/>
          <w:w w:val="100"/>
          <w:position w:val="0"/>
        </w:rPr>
        <w:t>27.00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股。经深圳证券交易所《关于 北京久其软件股份有限公司人民币普通股股票上市的通知》(深证上</w:t>
      </w:r>
      <w:r>
        <w:rPr>
          <w:rFonts w:ascii="Times New Roman" w:eastAsia="Times New Roman" w:hAnsi="Times New Roman" w:cs="Times New Roman"/>
          <w:color w:val="000000"/>
          <w:spacing w:val="0"/>
          <w:w w:val="100"/>
          <w:position w:val="0"/>
        </w:rPr>
        <w:t>[2009]65</w:t>
      </w:r>
      <w:r>
        <w:rPr>
          <w:color w:val="000000"/>
          <w:spacing w:val="0"/>
          <w:w w:val="100"/>
          <w:position w:val="0"/>
        </w:rPr>
        <w:t>号文)同意，本公司发行的人民币普通股股票 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日起在深圳证券交易所上市，股票简称</w:t>
      </w:r>
      <w:r>
        <w:rPr>
          <w:rFonts w:ascii="Times New Roman" w:eastAsia="Times New Roman" w:hAnsi="Times New Roman" w:cs="Times New Roman"/>
          <w:color w:val="000000"/>
          <w:spacing w:val="0"/>
          <w:w w:val="100"/>
          <w:position w:val="0"/>
        </w:rPr>
        <w:t>“</w:t>
      </w:r>
      <w:r>
        <w:rPr>
          <w:color w:val="000000"/>
          <w:spacing w:val="0"/>
          <w:w w:val="100"/>
          <w:position w:val="0"/>
        </w:rPr>
        <w:t>久其软件</w:t>
      </w:r>
      <w:r>
        <w:rPr>
          <w:rFonts w:ascii="Times New Roman" w:eastAsia="Times New Roman" w:hAnsi="Times New Roman" w:cs="Times New Roman"/>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rPr>
        <w:t>“002279”</w:t>
      </w:r>
      <w:r>
        <w:rPr>
          <w:color w:val="000000"/>
          <w:spacing w:val="0"/>
          <w:w w:val="100"/>
          <w:position w:val="0"/>
        </w:rPr>
        <w:t>。公司股票发行上市后，公司总股本 由</w:t>
      </w:r>
      <w:r>
        <w:rPr>
          <w:rFonts w:ascii="Times New Roman" w:eastAsia="Times New Roman" w:hAnsi="Times New Roman" w:cs="Times New Roman"/>
          <w:color w:val="000000"/>
          <w:spacing w:val="0"/>
          <w:w w:val="100"/>
          <w:position w:val="0"/>
        </w:rPr>
        <w:t>45,740,037</w:t>
      </w:r>
      <w:r>
        <w:rPr>
          <w:color w:val="000000"/>
          <w:spacing w:val="0"/>
          <w:w w:val="100"/>
          <w:position w:val="0"/>
        </w:rPr>
        <w:t>股变更为</w:t>
      </w:r>
      <w:r>
        <w:rPr>
          <w:rFonts w:ascii="Times New Roman" w:eastAsia="Times New Roman" w:hAnsi="Times New Roman" w:cs="Times New Roman"/>
          <w:color w:val="000000"/>
          <w:spacing w:val="0"/>
          <w:w w:val="100"/>
          <w:position w:val="0"/>
        </w:rPr>
        <w:t>61,040,037</w:t>
      </w:r>
      <w:r>
        <w:rPr>
          <w:color w:val="000000"/>
          <w:spacing w:val="0"/>
          <w:w w:val="100"/>
          <w:position w:val="0"/>
        </w:rPr>
        <w:t>股。</w:t>
      </w:r>
    </w:p>
    <w:p>
      <w:pPr>
        <w:pStyle w:val="Style31"/>
        <w:keepNext/>
        <w:keepLines/>
        <w:widowControl w:val="0"/>
        <w:shd w:val="clear" w:color="auto" w:fill="auto"/>
        <w:bidi w:val="0"/>
        <w:spacing w:before="0" w:after="320" w:line="240" w:lineRule="auto"/>
        <w:ind w:left="0" w:right="0" w:firstLine="0"/>
        <w:jc w:val="both"/>
      </w:pPr>
      <w:bookmarkStart w:id="241" w:name="bookmark241"/>
      <w:bookmarkStart w:id="242" w:name="bookmark242"/>
      <w:bookmarkStart w:id="243" w:name="bookmark243"/>
      <w:bookmarkStart w:id="244" w:name="bookmark244"/>
      <w:r>
        <w:rPr>
          <w:color w:val="000000"/>
          <w:spacing w:val="0"/>
          <w:w w:val="100"/>
          <w:position w:val="0"/>
          <w:sz w:val="24"/>
          <w:szCs w:val="24"/>
        </w:rPr>
        <w:t>三</w:t>
      </w:r>
      <w:bookmarkEnd w:id="243"/>
      <w:r>
        <w:rPr>
          <w:color w:val="000000"/>
          <w:spacing w:val="0"/>
          <w:w w:val="100"/>
          <w:position w:val="0"/>
          <w:sz w:val="24"/>
          <w:szCs w:val="24"/>
        </w:rPr>
        <w:t>、股东和实际控制人情况</w:t>
      </w:r>
      <w:bookmarkEnd w:id="241"/>
      <w:bookmarkEnd w:id="242"/>
      <w:bookmarkEnd w:id="244"/>
    </w:p>
    <w:p>
      <w:pPr>
        <w:pStyle w:val="Style40"/>
        <w:keepNext/>
        <w:keepLines/>
        <w:widowControl w:val="0"/>
        <w:shd w:val="clear" w:color="auto" w:fill="auto"/>
        <w:bidi w:val="0"/>
        <w:spacing w:before="0" w:after="380" w:line="240" w:lineRule="auto"/>
        <w:ind w:left="0" w:right="0" w:firstLine="0"/>
        <w:jc w:val="both"/>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1</w:t>
      </w:r>
      <w:bookmarkEnd w:id="247"/>
      <w:r>
        <w:rPr>
          <w:color w:val="000000"/>
          <w:spacing w:val="0"/>
          <w:w w:val="100"/>
          <w:position w:val="0"/>
        </w:rPr>
        <w:t>、公司股东数量及持股情况</w:t>
      </w:r>
      <w:bookmarkEnd w:id="245"/>
      <w:bookmarkEnd w:id="246"/>
      <w:bookmarkEnd w:id="24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704"/>
        <w:gridCol w:w="1416"/>
        <w:gridCol w:w="850"/>
        <w:gridCol w:w="994"/>
        <w:gridCol w:w="850"/>
        <w:gridCol w:w="994"/>
        <w:gridCol w:w="994"/>
        <w:gridCol w:w="850"/>
        <w:gridCol w:w="931"/>
      </w:tblGrid>
      <w:tr>
        <w:trPr>
          <w:trHeight w:val="408" w:hRule="exact"/>
        </w:trPr>
        <w:tc>
          <w:tcPr>
            <w:gridSpan w:val="9"/>
            <w:tcBorders>
              <w:top w:val="single" w:sz="4"/>
              <w:left w:val="single" w:sz="4"/>
              <w:right w:val="single" w:sz="4"/>
            </w:tcBorders>
            <w:shd w:val="clear" w:color="auto" w:fill="D3D3D3"/>
            <w:vAlign w:val="bottom"/>
          </w:tcPr>
          <w:p>
            <w:pPr>
              <w:pStyle w:val="Style27"/>
              <w:keepNext w:val="0"/>
              <w:keepLines w:val="0"/>
              <w:widowControl w:val="0"/>
              <w:shd w:val="clear" w:color="auto" w:fill="auto"/>
              <w:tabs>
                <w:tab w:pos="3792" w:val="left"/>
                <w:tab w:pos="8923" w:val="left"/>
              </w:tabs>
              <w:bidi w:val="0"/>
              <w:spacing w:before="0" w:after="0" w:line="240" w:lineRule="auto"/>
              <w:ind w:left="0" w:right="0" w:firstLine="0"/>
              <w:jc w:val="center"/>
            </w:pPr>
            <w:r>
              <w:rPr>
                <w:color w:val="000000"/>
                <w:spacing w:val="0"/>
                <w:w w:val="100"/>
                <w:position w:val="0"/>
              </w:rPr>
              <w:t>报告期末股东总数</w:t>
              <w:tab/>
            </w:r>
            <w:r>
              <w:rPr>
                <w:rFonts w:ascii="Times New Roman" w:eastAsia="Times New Roman" w:hAnsi="Times New Roman" w:cs="Times New Roman"/>
                <w:color w:val="000000"/>
                <w:spacing w:val="0"/>
                <w:w w:val="100"/>
                <w:position w:val="0"/>
              </w:rPr>
              <w:t>16,397</w:t>
            </w: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个交易日末股东总数</w:t>
              <w:tab/>
            </w:r>
            <w:r>
              <w:rPr>
                <w:rFonts w:ascii="Times New Roman" w:eastAsia="Times New Roman" w:hAnsi="Times New Roman" w:cs="Times New Roman"/>
                <w:color w:val="000000"/>
                <w:spacing w:val="0"/>
                <w:w w:val="100"/>
                <w:position w:val="0"/>
              </w:rPr>
              <w:t>16,870</w:t>
            </w:r>
          </w:p>
        </w:tc>
      </w:tr>
      <w:tr>
        <w:trPr>
          <w:trHeight w:val="398"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持股比例</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持有有限售 条件的股份 数量</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right"/>
            </w:pPr>
            <w:r>
              <w:rPr>
                <w:color w:val="000000"/>
                <w:spacing w:val="0"/>
                <w:w w:val="100"/>
                <w:position w:val="0"/>
              </w:rPr>
              <w:t>持有无限售 条件的股份</w:t>
            </w:r>
          </w:p>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8" w:lineRule="exact"/>
              <w:ind w:left="0" w:right="0" w:firstLine="0"/>
              <w:jc w:val="both"/>
            </w:pPr>
            <w:r>
              <w:rPr>
                <w:color w:val="000000"/>
                <w:spacing w:val="0"/>
                <w:w w:val="100"/>
                <w:position w:val="0"/>
              </w:rPr>
              <w:t>北京久其科技投资有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45,182,172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45,182,172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董泰湘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36,110,798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36,110,798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赵福君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23,617,123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17,712,842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5,904,281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14,000,000</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欧阳曜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7,240,885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-1,058,500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6,224,539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1,016,346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工银瑞信基金公司一 工行一特定客户资产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1,299,916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1,299,916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1,299,916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施瑞丰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1,013,979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760,484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253,495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中国工商银行股份有 限公司企业年金计划 一中国建设银行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899,813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899,813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899,813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CITIGROUP</w:t>
            </w:r>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GLOBAL MARKETS</w:t>
            </w:r>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849,982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849,982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849,982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李坤奇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789,305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789,305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中海信托股份有限公 司一中海信托一玖歌 投资荣华</w:t>
            </w:r>
            <w:r>
              <w:rPr>
                <w:rFonts w:ascii="Times New Roman" w:eastAsia="Times New Roman" w:hAnsi="Times New Roman" w:cs="Times New Roman"/>
                <w:color w:val="000000"/>
                <w:spacing w:val="0"/>
                <w:w w:val="100"/>
                <w:position w:val="0"/>
              </w:rPr>
              <w:t>1</w:t>
            </w:r>
            <w:r>
              <w:rPr>
                <w:color w:val="000000"/>
                <w:spacing w:val="0"/>
                <w:w w:val="100"/>
                <w:position w:val="0"/>
              </w:rPr>
              <w:t>期集合资 金信托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620,000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26"/>
        <w:gridCol w:w="394"/>
        <w:gridCol w:w="3715"/>
        <w:gridCol w:w="1368"/>
        <w:gridCol w:w="1378"/>
      </w:tblGrid>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战略投资者或一般法人因配售新股成为 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董泰湘与赵福君系夫妻关系，且二人与股东欧阳曜、施瑞丰、李坤奇均为北京久其 科技投资有限公司股东，分别持有北京久其科技投资有限公司</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 xml:space="preserve">15% </w:t>
            </w:r>
            <w:r>
              <w:rPr>
                <w:color w:val="000000"/>
                <w:spacing w:val="0"/>
                <w:w w:val="100"/>
                <w:position w:val="0"/>
              </w:rPr>
              <w:t>股份。</w:t>
            </w:r>
          </w:p>
        </w:tc>
      </w:tr>
      <w:tr>
        <w:trPr>
          <w:trHeight w:val="403" w:hRule="exact"/>
        </w:trPr>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北京久其科技投资有限公司</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45,182,172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45,182,172</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董泰湘</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36,110,798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36,110,798</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赵福君</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5,904,281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5,904,281</w:t>
            </w:r>
          </w:p>
        </w:tc>
      </w:tr>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工银瑞信基金公司一工行一特定 客户资产</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1,299,916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1,299,916</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欧阳曜</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1,016,346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1,016,346</w:t>
            </w:r>
          </w:p>
        </w:tc>
      </w:tr>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中国工商银行股份有限公司企业 年金计划一中国建设银行</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899,813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899,813</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CITIGROUP GLOBAL MARKETS</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LIMITED</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849,982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849,982</w:t>
            </w:r>
          </w:p>
        </w:tc>
      </w:tr>
      <w:tr>
        <w:trPr>
          <w:trHeight w:val="102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中海信托股份有限公司一中海信 托一玖歌投资荣华</w:t>
            </w:r>
            <w:r>
              <w:rPr>
                <w:rFonts w:ascii="Times New Roman" w:eastAsia="Times New Roman" w:hAnsi="Times New Roman" w:cs="Times New Roman"/>
                <w:color w:val="000000"/>
                <w:spacing w:val="0"/>
                <w:w w:val="100"/>
                <w:position w:val="0"/>
              </w:rPr>
              <w:t>1</w:t>
            </w:r>
            <w:r>
              <w:rPr>
                <w:color w:val="000000"/>
                <w:spacing w:val="0"/>
                <w:w w:val="100"/>
                <w:position w:val="0"/>
              </w:rPr>
              <w:t>期集合资金信 托</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620,000</w:t>
            </w:r>
          </w:p>
        </w:tc>
      </w:tr>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中国建设银行一华安科技动力股 票型证券投资基金</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526,487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526,487</w:t>
            </w:r>
          </w:p>
        </w:tc>
      </w:tr>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中国建设银行一汇丰晋信科技先 锋股票型证券投资基金</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441,283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441,283</w:t>
            </w:r>
          </w:p>
        </w:tc>
      </w:tr>
      <w:tr>
        <w:trPr>
          <w:trHeight w:val="16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 行动的说明</w:t>
            </w:r>
          </w:p>
        </w:tc>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名股东中，董泰湘与赵福君系夫妻关系，且二人与股东欧阳曜、施瑞丰、 李坤奇均为北京久其科技投资有限公司股东，分别持有北京久其科技投资有限公司 </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的股份；</w:t>
            </w:r>
            <w:r>
              <w:rPr>
                <w:rFonts w:ascii="Times New Roman" w:eastAsia="Times New Roman" w:hAnsi="Times New Roman" w:cs="Times New Roman"/>
                <w:color w:val="000000"/>
                <w:spacing w:val="0"/>
                <w:w w:val="100"/>
                <w:position w:val="0"/>
              </w:rPr>
              <w:t>2</w:t>
            </w: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名股东及前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 中的其他股东，未知他们之间是否存在关联关系，也未知他们是否属于《上市公司收购 管理办法》中规定的一致行动人。</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前十大股东参与融资融券业务股 东情况说明（如有）（参见注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4"/>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公司股东在报告期内是否进行约定购回交易</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40"/>
        <w:keepNext/>
        <w:keepLines/>
        <w:widowControl w:val="0"/>
        <w:shd w:val="clear" w:color="auto" w:fill="auto"/>
        <w:bidi w:val="0"/>
        <w:spacing w:before="0" w:after="360" w:line="240" w:lineRule="auto"/>
        <w:ind w:left="0" w:right="0" w:firstLine="0"/>
        <w:jc w:val="left"/>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2</w:t>
      </w:r>
      <w:bookmarkEnd w:id="251"/>
      <w:r>
        <w:rPr>
          <w:color w:val="000000"/>
          <w:spacing w:val="0"/>
          <w:w w:val="100"/>
          <w:position w:val="0"/>
        </w:rPr>
        <w:t>、公司控股股东情况</w:t>
      </w:r>
      <w:bookmarkEnd w:id="249"/>
      <w:bookmarkEnd w:id="250"/>
      <w:bookmarkEnd w:id="252"/>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法人</w:t>
      </w:r>
    </w:p>
    <w:tbl>
      <w:tblPr>
        <w:tblOverlap w:val="never"/>
        <w:jc w:val="center"/>
        <w:tblLayout w:type="fixed"/>
      </w:tblPr>
      <w:tblGrid>
        <w:gridCol w:w="1987"/>
        <w:gridCol w:w="1133"/>
        <w:gridCol w:w="1560"/>
        <w:gridCol w:w="1277"/>
        <w:gridCol w:w="994"/>
        <w:gridCol w:w="2630"/>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bl>
    <w:p>
      <w:pPr>
        <w:spacing w:lineRule="exact" w:line="1"/>
        <w:rPr>
          <w:sz w:val="2"/>
          <w:szCs w:val="2"/>
        </w:rPr>
      </w:pPr>
      <w:r>
        <w:br w:type="page"/>
      </w:r>
    </w:p>
    <w:tbl>
      <w:tblPr>
        <w:tblOverlap w:val="never"/>
        <w:jc w:val="center"/>
        <w:tblLayout w:type="fixed"/>
      </w:tblPr>
      <w:tblGrid>
        <w:gridCol w:w="1987"/>
        <w:gridCol w:w="1133"/>
        <w:gridCol w:w="1560"/>
        <w:gridCol w:w="1277"/>
        <w:gridCol w:w="994"/>
        <w:gridCol w:w="263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both"/>
            </w:pPr>
            <w:r>
              <w:rPr>
                <w:color w:val="000000"/>
                <w:spacing w:val="0"/>
                <w:w w:val="100"/>
                <w:position w:val="0"/>
              </w:rPr>
              <w:t>北京久其科技投资有限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董泰湘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63361327-X</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许可经营项目：无。一般经营项 目：投资管理。法律、行政法规、 国务院决定禁止的，不得经营； 法律、行政法规、国务院决定规 定应经许可的，经审批机关批准 并经工商行政管理机关登记注册 后方可经营；法律、行政法规、 国务院决定未规定许可的，自主 选择经营项目开展经营活动。</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经营成果、财务状况、现 金流和未来发展战略等</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截至报告期末，北京科投资产总额为</w:t>
            </w:r>
            <w:r>
              <w:rPr>
                <w:rFonts w:ascii="Times New Roman" w:eastAsia="Times New Roman" w:hAnsi="Times New Roman" w:cs="Times New Roman"/>
                <w:color w:val="000000"/>
                <w:spacing w:val="0"/>
                <w:w w:val="100"/>
                <w:position w:val="0"/>
              </w:rPr>
              <w:t>5,302.08</w:t>
            </w:r>
            <w:r>
              <w:rPr>
                <w:color w:val="000000"/>
                <w:spacing w:val="0"/>
                <w:w w:val="100"/>
                <w:position w:val="0"/>
              </w:rPr>
              <w:t>万元，净资产为</w:t>
            </w:r>
            <w:r>
              <w:rPr>
                <w:rFonts w:ascii="Times New Roman" w:eastAsia="Times New Roman" w:hAnsi="Times New Roman" w:cs="Times New Roman"/>
                <w:color w:val="000000"/>
                <w:spacing w:val="0"/>
                <w:w w:val="100"/>
                <w:position w:val="0"/>
              </w:rPr>
              <w:t>5,294.37</w:t>
            </w:r>
            <w:r>
              <w:rPr>
                <w:color w:val="000000"/>
                <w:spacing w:val="0"/>
                <w:w w:val="100"/>
                <w:position w:val="0"/>
              </w:rPr>
              <w:t>万元，期末现金及现金 等价物余额为</w:t>
            </w:r>
            <w:r>
              <w:rPr>
                <w:rFonts w:ascii="Times New Roman" w:eastAsia="Times New Roman" w:hAnsi="Times New Roman" w:cs="Times New Roman"/>
                <w:color w:val="000000"/>
                <w:spacing w:val="0"/>
                <w:w w:val="100"/>
                <w:position w:val="0"/>
              </w:rPr>
              <w:t>174.54</w:t>
            </w:r>
            <w:r>
              <w:rPr>
                <w:color w:val="000000"/>
                <w:spacing w:val="0"/>
                <w:w w:val="100"/>
                <w:position w:val="0"/>
              </w:rPr>
              <w:t>万元；北京科投</w:t>
            </w:r>
            <w:r>
              <w:rPr>
                <w:rFonts w:ascii="Times New Roman" w:eastAsia="Times New Roman" w:hAnsi="Times New Roman" w:cs="Times New Roman"/>
                <w:color w:val="000000"/>
                <w:spacing w:val="0"/>
                <w:w w:val="100"/>
                <w:position w:val="0"/>
              </w:rPr>
              <w:t>2013</w:t>
            </w:r>
            <w:r>
              <w:rPr>
                <w:color w:val="000000"/>
                <w:spacing w:val="0"/>
                <w:w w:val="100"/>
                <w:position w:val="0"/>
              </w:rPr>
              <w:t>年实现营业收入</w:t>
            </w:r>
            <w:r>
              <w:rPr>
                <w:rFonts w:ascii="Times New Roman" w:eastAsia="Times New Roman" w:hAnsi="Times New Roman" w:cs="Times New Roman"/>
                <w:color w:val="000000"/>
                <w:spacing w:val="0"/>
                <w:w w:val="100"/>
                <w:position w:val="0"/>
              </w:rPr>
              <w:t>40.43</w:t>
            </w:r>
            <w:r>
              <w:rPr>
                <w:color w:val="000000"/>
                <w:spacing w:val="0"/>
                <w:w w:val="100"/>
                <w:position w:val="0"/>
              </w:rPr>
              <w:t>万元，净利润</w:t>
            </w:r>
            <w:r>
              <w:rPr>
                <w:rFonts w:ascii="Times New Roman" w:eastAsia="Times New Roman" w:hAnsi="Times New Roman" w:cs="Times New Roman"/>
                <w:color w:val="000000"/>
                <w:spacing w:val="0"/>
                <w:w w:val="100"/>
                <w:position w:val="0"/>
              </w:rPr>
              <w:t>377.52</w:t>
            </w:r>
            <w:r>
              <w:rPr>
                <w:color w:val="000000"/>
                <w:spacing w:val="0"/>
                <w:w w:val="100"/>
                <w:position w:val="0"/>
              </w:rPr>
              <w:t>万元。 北京科投未来将继续以高科技企业为主展开投资活动。</w:t>
            </w:r>
          </w:p>
        </w:tc>
      </w:tr>
      <w:tr>
        <w:trPr>
          <w:trHeight w:val="10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控股股东报告期内控股 和参股的其他境内外上 市公司的股权情况</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3</w:t>
      </w:r>
      <w:bookmarkEnd w:id="255"/>
      <w:r>
        <w:rPr>
          <w:color w:val="000000"/>
          <w:spacing w:val="0"/>
          <w:w w:val="100"/>
          <w:position w:val="0"/>
        </w:rPr>
        <w:t>、公司实际控制人情况</w:t>
      </w:r>
      <w:bookmarkEnd w:id="253"/>
      <w:bookmarkEnd w:id="254"/>
      <w:bookmarkEnd w:id="256"/>
    </w:p>
    <w:p>
      <w:pPr>
        <w:pStyle w:val="Style33"/>
        <w:keepNext w:val="0"/>
        <w:keepLines w:val="0"/>
        <w:widowControl w:val="0"/>
        <w:shd w:val="clear" w:color="auto" w:fill="auto"/>
        <w:bidi w:val="0"/>
        <w:spacing w:before="0" w:after="0" w:line="240" w:lineRule="auto"/>
        <w:ind w:left="5" w:right="0" w:firstLine="0"/>
        <w:jc w:val="left"/>
      </w:pPr>
      <w:r>
        <w:rPr>
          <w:color w:val="000000"/>
          <w:spacing w:val="0"/>
          <w:w w:val="100"/>
          <w:position w:val="0"/>
        </w:rPr>
        <w:t>自然人</w:t>
      </w:r>
    </w:p>
    <w:tbl>
      <w:tblPr>
        <w:tblOverlap w:val="never"/>
        <w:jc w:val="center"/>
        <w:tblLayout w:type="fixed"/>
      </w:tblPr>
      <w:tblGrid>
        <w:gridCol w:w="3418"/>
        <w:gridCol w:w="2030"/>
        <w:gridCol w:w="413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董泰湘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56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259"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董泰湘女士，</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月毕业于哈尔滨船舶工程学院计 算机系，获硕士学位。历任北京船舶工业管理干部学院讲师、太平洋软件（中 国）有限公司技术部经理、北京久其软件股份有限公司董事长。现任北京久其 科技投资有限公司执行董事。</w:t>
            </w:r>
          </w:p>
          <w:p>
            <w:pPr>
              <w:pStyle w:val="Style27"/>
              <w:keepNext w:val="0"/>
              <w:keepLines w:val="0"/>
              <w:widowControl w:val="0"/>
              <w:shd w:val="clear" w:color="auto" w:fill="auto"/>
              <w:tabs>
                <w:tab w:pos="269"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赵福君先生，</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月毕业于哈尔滨船舶工程学院计 算机系，获硕士学位。历任北京船舶工业管理干部学院计算机系主任、副教授、 北京久其科技投资有限公司经理。现任公司董事长，成都久其软件有限公司、 上海久其软件有限公司、新疆久其科技有限公司、重庆久其软件有限公司、西 安久其软件有限公司、海南久其云计算科技有限公司等公司控股子公司的执行 董事，中国软件行业协会第六届理事会理事，全国会计信息化标准化技术委员 会委员。</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除久其软件外，董泰湘及赵福君过去</w:t>
            </w:r>
            <w:r>
              <w:rPr>
                <w:rFonts w:ascii="Times New Roman" w:eastAsia="Times New Roman" w:hAnsi="Times New Roman" w:cs="Times New Roman"/>
                <w:color w:val="000000"/>
                <w:spacing w:val="0"/>
                <w:w w:val="100"/>
                <w:position w:val="0"/>
              </w:rPr>
              <w:t>10</w:t>
            </w:r>
            <w:r>
              <w:rPr>
                <w:color w:val="000000"/>
                <w:spacing w:val="0"/>
                <w:w w:val="100"/>
                <w:position w:val="0"/>
              </w:rPr>
              <w:t>年未曾控股其他的境内外上市公司。</w:t>
            </w:r>
          </w:p>
        </w:tc>
      </w:tr>
    </w:tbl>
    <w:p>
      <w:pPr>
        <w:widowControl w:val="0"/>
        <w:spacing w:after="7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公司与实际控制人之间的产权及控制关系的方框图</w:t>
      </w:r>
      <w:r>
        <w:br w:type="page"/>
      </w:r>
    </w:p>
    <w:p>
      <w:pPr>
        <w:framePr w:w="3917" w:h="4291" w:wrap="notBeside" w:vAnchor="text" w:hAnchor="text" w:x="2931" w:y="1"/>
        <w:widowControl w:val="0"/>
        <w:rPr>
          <w:sz w:val="2"/>
          <w:szCs w:val="2"/>
        </w:rPr>
      </w:pPr>
      <w:r>
        <w:drawing>
          <wp:inline>
            <wp:extent cx="2487295" cy="272478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2487295" cy="2724785"/>
                    </a:xfrm>
                    <a:prstGeom prst="rect"/>
                  </pic:spPr>
                </pic:pic>
              </a:graphicData>
            </a:graphic>
          </wp:inline>
        </w:drawing>
      </w:r>
    </w:p>
    <w:p>
      <w:pPr>
        <w:widowControl w:val="0"/>
        <w:spacing w:line="1" w:lineRule="exact"/>
      </w:pPr>
      <w:r>
        <mc:AlternateContent>
          <mc:Choice Requires="wps">
            <w:drawing>
              <wp:anchor distT="0" distB="0" distL="1860550" distR="4171950" simplePos="0" relativeHeight="125829378" behindDoc="0" locked="0" layoutInCell="1" allowOverlap="1">
                <wp:simplePos x="0" y="0"/>
                <wp:positionH relativeFrom="column">
                  <wp:posOffset>3921125</wp:posOffset>
                </wp:positionH>
                <wp:positionV relativeFrom="paragraph">
                  <wp:posOffset>79375</wp:posOffset>
                </wp:positionV>
                <wp:extent cx="176530" cy="1844040"/>
                <wp:wrapTopAndBottom/>
                <wp:docPr id="12" name="Shape 12"/>
                <a:graphic xmlns:a="http://schemas.openxmlformats.org/drawingml/2006/main">
                  <a:graphicData uri="http://schemas.microsoft.com/office/word/2010/wordprocessingShape">
                    <wps:wsp>
                      <wps:cNvSpPr txBox="1"/>
                      <wps:spPr>
                        <a:xfrm>
                          <a:ext cx="176530" cy="184404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北京久其科技投资有限公司</w:t>
                            </w:r>
                          </w:p>
                        </w:txbxContent>
                      </wps:txbx>
                      <wps:bodyPr upright="1" vert="eaVert" lIns="0" tIns="0" rIns="0" bIns="0">
                        <a:noAutoFit/>
                      </wps:bodyPr>
                    </wps:wsp>
                  </a:graphicData>
                </a:graphic>
              </wp:anchor>
            </w:drawing>
          </mc:Choice>
          <mc:Fallback>
            <w:pict>
              <v:shape id="_x0000_s1038" type="#_x0000_t202" style="position:absolute;margin-left:308.75pt;margin-top:6.25pt;width:13.9pt;height:145.20000000000002pt;z-index:-125829375;mso-wrap-distance-left:146.5pt;mso-wrap-distance-right:328.5pt" filled="f" stroked="f">
                <v:textbox style="layout-flow:vertical-ideographic" inset="0,0,0,0">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北京久其科技投资有限公司</w:t>
                      </w:r>
                    </w:p>
                  </w:txbxContent>
                </v:textbox>
                <w10:wrap type="topAndBottom"/>
              </v:shape>
            </w:pict>
          </mc:Fallback>
        </mc:AlternateContent>
      </w:r>
    </w:p>
    <w:p>
      <w:pPr>
        <w:pStyle w:val="Style3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实际控制人通过信托或其他资产管理方式控制公司</w:t>
      </w:r>
    </w:p>
    <w:p>
      <w:pPr>
        <w:pStyle w:val="Style35"/>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7"/>
        <w:keepNext/>
        <w:keepLines/>
        <w:widowControl w:val="0"/>
        <w:shd w:val="clear" w:color="auto" w:fill="auto"/>
        <w:bidi w:val="0"/>
        <w:spacing w:before="0" w:after="540" w:line="240" w:lineRule="auto"/>
        <w:ind w:left="0" w:right="0" w:firstLine="0"/>
        <w:jc w:val="center"/>
      </w:pPr>
      <w:bookmarkStart w:id="257" w:name="bookmark257"/>
      <w:bookmarkStart w:id="258" w:name="bookmark258"/>
      <w:bookmarkStart w:id="259" w:name="bookmark259"/>
      <w:r>
        <w:rPr>
          <w:color w:val="000000"/>
          <w:spacing w:val="0"/>
          <w:w w:val="100"/>
          <w:position w:val="0"/>
        </w:rPr>
        <w:t>第七节董事、监事、高级管理人员和员工情况</w:t>
      </w:r>
      <w:bookmarkEnd w:id="257"/>
      <w:bookmarkEnd w:id="258"/>
      <w:bookmarkEnd w:id="259"/>
    </w:p>
    <w:p>
      <w:pPr>
        <w:pStyle w:val="Style31"/>
        <w:keepNext/>
        <w:keepLines/>
        <w:widowControl w:val="0"/>
        <w:shd w:val="clear" w:color="auto" w:fill="auto"/>
        <w:bidi w:val="0"/>
        <w:spacing w:before="0" w:line="240" w:lineRule="auto"/>
        <w:ind w:left="0" w:right="0" w:firstLine="240"/>
        <w:jc w:val="left"/>
      </w:pPr>
      <w:bookmarkStart w:id="260" w:name="bookmark260"/>
      <w:bookmarkStart w:id="261" w:name="bookmark261"/>
      <w:bookmarkStart w:id="262" w:name="bookmark262"/>
      <w:r>
        <w:rPr>
          <w:color w:val="000000"/>
          <w:spacing w:val="0"/>
          <w:w w:val="100"/>
          <w:position w:val="0"/>
          <w:sz w:val="24"/>
          <w:szCs w:val="24"/>
        </w:rPr>
        <w:t>、董事、监事和高级管理人员持股变动</w:t>
      </w:r>
      <w:bookmarkEnd w:id="260"/>
      <w:bookmarkEnd w:id="261"/>
      <w:bookmarkEnd w:id="262"/>
    </w:p>
    <w:tbl>
      <w:tblPr>
        <w:tblOverlap w:val="never"/>
        <w:jc w:val="center"/>
        <w:tblLayout w:type="fixed"/>
      </w:tblPr>
      <w:tblGrid>
        <w:gridCol w:w="874"/>
        <w:gridCol w:w="869"/>
        <w:gridCol w:w="869"/>
        <w:gridCol w:w="874"/>
        <w:gridCol w:w="869"/>
        <w:gridCol w:w="869"/>
        <w:gridCol w:w="869"/>
        <w:gridCol w:w="869"/>
        <w:gridCol w:w="869"/>
        <w:gridCol w:w="869"/>
        <w:gridCol w:w="878"/>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本期增持 股份数量</w:t>
            </w:r>
          </w:p>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98" w:lineRule="exact"/>
              <w:ind w:left="0" w:right="0" w:firstLine="0"/>
              <w:jc w:val="center"/>
            </w:pPr>
            <w:r>
              <w:rPr>
                <w:color w:val="000000"/>
                <w:spacing w:val="0"/>
                <w:w w:val="100"/>
                <w:position w:val="0"/>
              </w:rPr>
              <w:t>本期减持 股份数量</w:t>
            </w:r>
          </w:p>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23,617,123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23,617,123</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施瑞丰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1,013,979</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8,299,385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7,240,885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李坤奇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789,305</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邱安超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 裁、财务总 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144,000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刘汝林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韩凤岐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祝卫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王劲岩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100" w:line="240" w:lineRule="auto"/>
              <w:ind w:left="0" w:right="0" w:firstLine="0"/>
              <w:jc w:val="left"/>
            </w:pPr>
            <w:r>
              <w:rPr>
                <w:color w:val="000000"/>
                <w:spacing w:val="0"/>
                <w:w w:val="100"/>
                <w:position w:val="0"/>
              </w:rPr>
              <w:t>监事会主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刘文圣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朱晓钧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144,000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副总裁、董 事会秘书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86,400</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34,505,392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1,277,900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33,227,492</w:t>
            </w:r>
          </w:p>
        </w:tc>
      </w:tr>
    </w:tbl>
    <w:p>
      <w:pPr>
        <w:pStyle w:val="Style31"/>
        <w:keepNext/>
        <w:keepLines/>
        <w:widowControl w:val="0"/>
        <w:shd w:val="clear" w:color="auto" w:fill="auto"/>
        <w:bidi w:val="0"/>
        <w:spacing w:before="0" w:after="24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sz w:val="24"/>
          <w:szCs w:val="24"/>
        </w:rPr>
        <w:t>二</w:t>
      </w:r>
      <w:bookmarkEnd w:id="265"/>
      <w:r>
        <w:rPr>
          <w:color w:val="000000"/>
          <w:spacing w:val="0"/>
          <w:w w:val="100"/>
          <w:position w:val="0"/>
          <w:sz w:val="24"/>
          <w:szCs w:val="24"/>
        </w:rPr>
        <w:t>、任职情况</w:t>
      </w:r>
      <w:bookmarkEnd w:id="263"/>
      <w:bookmarkEnd w:id="264"/>
      <w:bookmarkEnd w:id="266"/>
    </w:p>
    <w:p>
      <w:pPr>
        <w:pStyle w:val="Style3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35"/>
        <w:keepNext w:val="0"/>
        <w:keepLines w:val="0"/>
        <w:widowControl w:val="0"/>
        <w:shd w:val="clear" w:color="auto" w:fill="auto"/>
        <w:tabs>
          <w:tab w:pos="598" w:val="left"/>
        </w:tabs>
        <w:bidi w:val="0"/>
        <w:spacing w:before="0" w:after="0" w:line="318" w:lineRule="exact"/>
        <w:ind w:left="0" w:right="0" w:firstLine="0"/>
        <w:jc w:val="left"/>
      </w:pPr>
      <w:bookmarkStart w:id="267" w:name="bookmark267"/>
      <w:r>
        <w:rPr>
          <w:color w:val="000000"/>
          <w:spacing w:val="0"/>
          <w:w w:val="100"/>
          <w:position w:val="0"/>
        </w:rPr>
        <w:t>（</w:t>
      </w:r>
      <w:bookmarkEnd w:id="267"/>
      <w:r>
        <w:rPr>
          <w:color w:val="000000"/>
          <w:spacing w:val="0"/>
          <w:w w:val="100"/>
          <w:position w:val="0"/>
        </w:rPr>
        <w:t>一）</w:t>
        <w:tab/>
        <w:t>公司董事会成员</w:t>
      </w:r>
    </w:p>
    <w:p>
      <w:pPr>
        <w:pStyle w:val="Style35"/>
        <w:keepNext w:val="0"/>
        <w:keepLines w:val="0"/>
        <w:widowControl w:val="0"/>
        <w:shd w:val="clear" w:color="auto" w:fill="auto"/>
        <w:tabs>
          <w:tab w:pos="699" w:val="left"/>
        </w:tabs>
        <w:bidi w:val="0"/>
        <w:spacing w:before="0" w:after="0" w:line="318" w:lineRule="exact"/>
        <w:ind w:left="0" w:right="0"/>
        <w:jc w:val="left"/>
      </w:pPr>
      <w:bookmarkStart w:id="268" w:name="bookmark268"/>
      <w:r>
        <w:rPr>
          <w:rFonts w:ascii="Times New Roman" w:eastAsia="Times New Roman" w:hAnsi="Times New Roman" w:cs="Times New Roman"/>
          <w:color w:val="000000"/>
          <w:spacing w:val="0"/>
          <w:w w:val="100"/>
          <w:position w:val="0"/>
        </w:rPr>
        <w:t>1</w:t>
      </w:r>
      <w:bookmarkEnd w:id="268"/>
      <w:r>
        <w:rPr>
          <w:color w:val="000000"/>
          <w:spacing w:val="0"/>
          <w:w w:val="100"/>
          <w:position w:val="0"/>
        </w:rPr>
        <w:t>、</w:t>
        <w:tab/>
        <w:t>赵福君先生，</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月出生，硕士研究生。</w:t>
      </w:r>
      <w:r>
        <w:rPr>
          <w:rFonts w:ascii="Times New Roman" w:eastAsia="Times New Roman" w:hAnsi="Times New Roman" w:cs="Times New Roman"/>
          <w:color w:val="000000"/>
          <w:spacing w:val="0"/>
          <w:w w:val="100"/>
          <w:position w:val="0"/>
        </w:rPr>
        <w:t>1997</w:t>
      </w:r>
      <w:r>
        <w:rPr>
          <w:color w:val="000000"/>
          <w:spacing w:val="0"/>
          <w:w w:val="100"/>
          <w:position w:val="0"/>
        </w:rPr>
        <w:t>年创办久其公司，曾任北京久其科技投资有限公司经理。现任公司 董事长，成都久其软件有限公司、上海久其软件有限公司、重庆久其软件有限公司、西安久其软件有限公司、新疆久其科技 有限公司、海南久其云计算科技有限公司等公司控股子公司执行董事。</w:t>
      </w:r>
    </w:p>
    <w:p>
      <w:pPr>
        <w:pStyle w:val="Style35"/>
        <w:keepNext w:val="0"/>
        <w:keepLines w:val="0"/>
        <w:widowControl w:val="0"/>
        <w:shd w:val="clear" w:color="auto" w:fill="auto"/>
        <w:tabs>
          <w:tab w:pos="694" w:val="left"/>
        </w:tabs>
        <w:bidi w:val="0"/>
        <w:spacing w:before="0" w:after="0" w:line="318" w:lineRule="exact"/>
        <w:ind w:left="0" w:right="0"/>
        <w:jc w:val="left"/>
      </w:pPr>
      <w:bookmarkStart w:id="269" w:name="bookmark269"/>
      <w:r>
        <w:rPr>
          <w:rFonts w:ascii="Times New Roman" w:eastAsia="Times New Roman" w:hAnsi="Times New Roman" w:cs="Times New Roman"/>
          <w:color w:val="000000"/>
          <w:spacing w:val="0"/>
          <w:w w:val="100"/>
          <w:position w:val="0"/>
        </w:rPr>
        <w:t>2</w:t>
      </w:r>
      <w:bookmarkEnd w:id="269"/>
      <w:r>
        <w:rPr>
          <w:color w:val="000000"/>
          <w:spacing w:val="0"/>
          <w:w w:val="100"/>
          <w:position w:val="0"/>
        </w:rPr>
        <w:t>、</w:t>
        <w:tab/>
        <w:t>施瑞丰先生，</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月出生，本科学历。公司创始人之一，曾任公司副总裁。现任公司董事、总裁及北京久其政务 软件股份有限公司董事长。</w:t>
      </w:r>
    </w:p>
    <w:p>
      <w:pPr>
        <w:pStyle w:val="Style35"/>
        <w:keepNext w:val="0"/>
        <w:keepLines w:val="0"/>
        <w:widowControl w:val="0"/>
        <w:shd w:val="clear" w:color="auto" w:fill="auto"/>
        <w:tabs>
          <w:tab w:pos="704" w:val="left"/>
        </w:tabs>
        <w:bidi w:val="0"/>
        <w:spacing w:before="0" w:after="0" w:line="326" w:lineRule="exact"/>
        <w:ind w:left="0" w:right="0"/>
        <w:jc w:val="left"/>
      </w:pPr>
      <w:bookmarkStart w:id="270" w:name="bookmark270"/>
      <w:r>
        <w:rPr>
          <w:rFonts w:ascii="Times New Roman" w:eastAsia="Times New Roman" w:hAnsi="Times New Roman" w:cs="Times New Roman"/>
          <w:color w:val="000000"/>
          <w:spacing w:val="0"/>
          <w:w w:val="100"/>
          <w:position w:val="0"/>
        </w:rPr>
        <w:t>3</w:t>
      </w:r>
      <w:bookmarkEnd w:id="270"/>
      <w:r>
        <w:rPr>
          <w:color w:val="000000"/>
          <w:spacing w:val="0"/>
          <w:w w:val="100"/>
          <w:position w:val="0"/>
        </w:rPr>
        <w:t>、</w:t>
        <w:tab/>
        <w:t>欧阳曜先生，</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月出生，硕士学位。公司创始人之一，现任公司董事、副总裁、电子政务事业部总经理及北京 久其科技投资有限公司监事。</w:t>
      </w:r>
    </w:p>
    <w:p>
      <w:pPr>
        <w:pStyle w:val="Style35"/>
        <w:keepNext w:val="0"/>
        <w:keepLines w:val="0"/>
        <w:widowControl w:val="0"/>
        <w:shd w:val="clear" w:color="auto" w:fill="auto"/>
        <w:tabs>
          <w:tab w:pos="704" w:val="left"/>
        </w:tabs>
        <w:bidi w:val="0"/>
        <w:spacing w:before="0" w:after="0" w:line="318" w:lineRule="exact"/>
        <w:ind w:left="0" w:right="0"/>
        <w:jc w:val="left"/>
      </w:pPr>
      <w:bookmarkStart w:id="271" w:name="bookmark271"/>
      <w:r>
        <w:rPr>
          <w:rFonts w:ascii="Times New Roman" w:eastAsia="Times New Roman" w:hAnsi="Times New Roman" w:cs="Times New Roman"/>
          <w:color w:val="000000"/>
          <w:spacing w:val="0"/>
          <w:w w:val="100"/>
          <w:position w:val="0"/>
        </w:rPr>
        <w:t>4</w:t>
      </w:r>
      <w:bookmarkEnd w:id="271"/>
      <w:r>
        <w:rPr>
          <w:color w:val="000000"/>
          <w:spacing w:val="0"/>
          <w:w w:val="100"/>
          <w:position w:val="0"/>
        </w:rPr>
        <w:t>、</w:t>
        <w:tab/>
        <w:t>邱安超先生，</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月出生，本科学历，高级经济师，中国注册会计师非执业会员。</w:t>
      </w:r>
      <w:r>
        <w:rPr>
          <w:rFonts w:ascii="Times New Roman" w:eastAsia="Times New Roman" w:hAnsi="Times New Roman" w:cs="Times New Roman"/>
          <w:color w:val="000000"/>
          <w:spacing w:val="0"/>
          <w:w w:val="100"/>
          <w:position w:val="0"/>
        </w:rPr>
        <w:t>2000</w:t>
      </w:r>
      <w:r>
        <w:rPr>
          <w:color w:val="000000"/>
          <w:spacing w:val="0"/>
          <w:w w:val="100"/>
          <w:position w:val="0"/>
        </w:rPr>
        <w:t>年加入公司，现任公司董 事、副总裁、财务总监，深圳市拜特科技股份有限公司董事，广东同望科技股份有限公司董事。</w:t>
      </w:r>
    </w:p>
    <w:p>
      <w:pPr>
        <w:pStyle w:val="Style35"/>
        <w:keepNext w:val="0"/>
        <w:keepLines w:val="0"/>
        <w:widowControl w:val="0"/>
        <w:shd w:val="clear" w:color="auto" w:fill="auto"/>
        <w:tabs>
          <w:tab w:pos="714" w:val="left"/>
        </w:tabs>
        <w:bidi w:val="0"/>
        <w:spacing w:before="0" w:after="0" w:line="318" w:lineRule="exact"/>
        <w:ind w:left="0" w:right="0"/>
        <w:jc w:val="left"/>
      </w:pPr>
      <w:bookmarkStart w:id="272" w:name="bookmark272"/>
      <w:r>
        <w:rPr>
          <w:rFonts w:ascii="Times New Roman" w:eastAsia="Times New Roman" w:hAnsi="Times New Roman" w:cs="Times New Roman"/>
          <w:color w:val="000000"/>
          <w:spacing w:val="0"/>
          <w:w w:val="100"/>
          <w:position w:val="0"/>
        </w:rPr>
        <w:t>5</w:t>
      </w:r>
      <w:bookmarkEnd w:id="272"/>
      <w:r>
        <w:rPr>
          <w:color w:val="000000"/>
          <w:spacing w:val="0"/>
          <w:w w:val="100"/>
          <w:position w:val="0"/>
        </w:rPr>
        <w:t>、</w:t>
        <w:tab/>
        <w:t>刘汝林先生，</w:t>
      </w:r>
      <w:r>
        <w:rPr>
          <w:rFonts w:ascii="Times New Roman" w:eastAsia="Times New Roman" w:hAnsi="Times New Roman" w:cs="Times New Roman"/>
          <w:color w:val="000000"/>
          <w:spacing w:val="0"/>
          <w:w w:val="100"/>
          <w:position w:val="0"/>
        </w:rPr>
        <w:t>1945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月出生，本科学历，研究员级高级工程师。曾在机电部电子行业发展司、电子部综合规划司、 信息产业部综合规划司担任处长、副司长，曾任中国电子学会秘书长，彩虹显示器件股份有限公司、大唐高鸿数据网络技术 股份有限公司、万达信息股份有限公司独立董事。现任公司独立董事，中国电子学会副理事长，太极计算机股份有限公司、 广州杰赛科技股份有限公司、山东新北洋信息技术股份有限公司及云南南天电子信息产业股份有限公司独立董事。</w:t>
      </w:r>
    </w:p>
    <w:p>
      <w:pPr>
        <w:pStyle w:val="Style35"/>
        <w:keepNext w:val="0"/>
        <w:keepLines w:val="0"/>
        <w:widowControl w:val="0"/>
        <w:shd w:val="clear" w:color="auto" w:fill="auto"/>
        <w:tabs>
          <w:tab w:pos="709" w:val="left"/>
        </w:tabs>
        <w:bidi w:val="0"/>
        <w:spacing w:before="0" w:after="0" w:line="326" w:lineRule="exact"/>
        <w:ind w:left="0" w:right="0"/>
        <w:jc w:val="left"/>
      </w:pPr>
      <w:bookmarkStart w:id="273" w:name="bookmark273"/>
      <w:r>
        <w:rPr>
          <w:rFonts w:ascii="Times New Roman" w:eastAsia="Times New Roman" w:hAnsi="Times New Roman" w:cs="Times New Roman"/>
          <w:color w:val="000000"/>
          <w:spacing w:val="0"/>
          <w:w w:val="100"/>
          <w:position w:val="0"/>
        </w:rPr>
        <w:t>6</w:t>
      </w:r>
      <w:bookmarkEnd w:id="273"/>
      <w:r>
        <w:rPr>
          <w:color w:val="000000"/>
          <w:spacing w:val="0"/>
          <w:w w:val="100"/>
          <w:position w:val="0"/>
        </w:rPr>
        <w:t>、</w:t>
        <w:tab/>
        <w:t>韩凤岐先生，</w:t>
      </w:r>
      <w:r>
        <w:rPr>
          <w:rFonts w:ascii="Times New Roman" w:eastAsia="Times New Roman" w:hAnsi="Times New Roman" w:cs="Times New Roman"/>
          <w:color w:val="000000"/>
          <w:spacing w:val="0"/>
          <w:w w:val="100"/>
          <w:position w:val="0"/>
        </w:rPr>
        <w:t>1949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月出生，本科学历，高级会计师。曾任北京旅游集团公司财务总监、总会计师，北京首都旅游 股份有限公司董事，中国全聚德（集团）股份有限公司董事。现任公司独立董事。</w:t>
      </w:r>
    </w:p>
    <w:p>
      <w:pPr>
        <w:pStyle w:val="Style35"/>
        <w:keepNext w:val="0"/>
        <w:keepLines w:val="0"/>
        <w:widowControl w:val="0"/>
        <w:shd w:val="clear" w:color="auto" w:fill="auto"/>
        <w:tabs>
          <w:tab w:pos="714" w:val="left"/>
        </w:tabs>
        <w:bidi w:val="0"/>
        <w:spacing w:before="0" w:after="300" w:line="317" w:lineRule="exact"/>
        <w:ind w:left="0" w:right="0"/>
        <w:jc w:val="left"/>
      </w:pPr>
      <w:bookmarkStart w:id="274" w:name="bookmark274"/>
      <w:r>
        <w:rPr>
          <w:rFonts w:ascii="Times New Roman" w:eastAsia="Times New Roman" w:hAnsi="Times New Roman" w:cs="Times New Roman"/>
          <w:color w:val="000000"/>
          <w:spacing w:val="0"/>
          <w:w w:val="100"/>
          <w:position w:val="0"/>
        </w:rPr>
        <w:t>7</w:t>
      </w:r>
      <w:bookmarkEnd w:id="274"/>
      <w:r>
        <w:rPr>
          <w:color w:val="000000"/>
          <w:spacing w:val="0"/>
          <w:w w:val="100"/>
          <w:position w:val="0"/>
        </w:rPr>
        <w:t>、</w:t>
        <w:tab/>
        <w:t>祝卫先生，</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月出生，硕士研究生，高级经济师，注册会计师。曾任财政部工业交通司、经贸司副处长，中晟 环保科技开发投资有限公司董事、副总经理，武汉健民药业集团股份有限公司、北京湘鄂情集团股份有限公司独立董事。现 任公司独立董事，中天运会计师事务所董事长，杭州华东医药股份有限公司独立董事。</w:t>
      </w:r>
    </w:p>
    <w:p>
      <w:pPr>
        <w:pStyle w:val="Style35"/>
        <w:keepNext w:val="0"/>
        <w:keepLines w:val="0"/>
        <w:widowControl w:val="0"/>
        <w:shd w:val="clear" w:color="auto" w:fill="auto"/>
        <w:tabs>
          <w:tab w:pos="598" w:val="left"/>
        </w:tabs>
        <w:bidi w:val="0"/>
        <w:spacing w:before="0" w:after="0" w:line="322" w:lineRule="exact"/>
        <w:ind w:left="0" w:right="0" w:firstLine="0"/>
        <w:jc w:val="left"/>
      </w:pPr>
      <w:bookmarkStart w:id="275" w:name="bookmark275"/>
      <w:r>
        <w:rPr>
          <w:color w:val="000000"/>
          <w:spacing w:val="0"/>
          <w:w w:val="100"/>
          <w:position w:val="0"/>
        </w:rPr>
        <w:t>（</w:t>
      </w:r>
      <w:bookmarkEnd w:id="275"/>
      <w:r>
        <w:rPr>
          <w:color w:val="000000"/>
          <w:spacing w:val="0"/>
          <w:w w:val="100"/>
          <w:position w:val="0"/>
        </w:rPr>
        <w:t>二）</w:t>
        <w:tab/>
        <w:t>公司监事会成员</w:t>
      </w:r>
    </w:p>
    <w:p>
      <w:pPr>
        <w:pStyle w:val="Style35"/>
        <w:keepNext w:val="0"/>
        <w:keepLines w:val="0"/>
        <w:widowControl w:val="0"/>
        <w:shd w:val="clear" w:color="auto" w:fill="auto"/>
        <w:tabs>
          <w:tab w:pos="699" w:val="left"/>
        </w:tabs>
        <w:bidi w:val="0"/>
        <w:spacing w:before="0" w:after="0" w:line="322" w:lineRule="exact"/>
        <w:ind w:left="0" w:right="0"/>
        <w:jc w:val="both"/>
      </w:pPr>
      <w:bookmarkStart w:id="276" w:name="bookmark276"/>
      <w:r>
        <w:rPr>
          <w:rFonts w:ascii="Times New Roman" w:eastAsia="Times New Roman" w:hAnsi="Times New Roman" w:cs="Times New Roman"/>
          <w:color w:val="000000"/>
          <w:spacing w:val="0"/>
          <w:w w:val="100"/>
          <w:position w:val="0"/>
        </w:rPr>
        <w:t>1</w:t>
      </w:r>
      <w:bookmarkEnd w:id="276"/>
      <w:r>
        <w:rPr>
          <w:color w:val="000000"/>
          <w:spacing w:val="0"/>
          <w:w w:val="100"/>
          <w:position w:val="0"/>
        </w:rPr>
        <w:t>、</w:t>
        <w:tab/>
        <w:t>王劲岩女士，</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月出生，大学学历。</w:t>
      </w:r>
      <w:r>
        <w:rPr>
          <w:rFonts w:ascii="Times New Roman" w:eastAsia="Times New Roman" w:hAnsi="Times New Roman" w:cs="Times New Roman"/>
          <w:color w:val="000000"/>
          <w:spacing w:val="0"/>
          <w:w w:val="100"/>
          <w:position w:val="0"/>
        </w:rPr>
        <w:t>1999</w:t>
      </w:r>
      <w:r>
        <w:rPr>
          <w:color w:val="000000"/>
          <w:spacing w:val="0"/>
          <w:w w:val="100"/>
          <w:position w:val="0"/>
        </w:rPr>
        <w:t>年加入公司，曾任公司后勤服务部经理。现任公司监事会主席、工会 主席、服务中心经理。</w:t>
      </w:r>
    </w:p>
    <w:p>
      <w:pPr>
        <w:pStyle w:val="Style35"/>
        <w:keepNext w:val="0"/>
        <w:keepLines w:val="0"/>
        <w:widowControl w:val="0"/>
        <w:shd w:val="clear" w:color="auto" w:fill="auto"/>
        <w:tabs>
          <w:tab w:pos="704" w:val="left"/>
        </w:tabs>
        <w:bidi w:val="0"/>
        <w:spacing w:before="0" w:after="0" w:line="322" w:lineRule="exact"/>
        <w:ind w:left="0" w:right="0"/>
        <w:jc w:val="both"/>
      </w:pPr>
      <w:bookmarkStart w:id="277" w:name="bookmark277"/>
      <w:r>
        <w:rPr>
          <w:rFonts w:ascii="Times New Roman" w:eastAsia="Times New Roman" w:hAnsi="Times New Roman" w:cs="Times New Roman"/>
          <w:color w:val="000000"/>
          <w:spacing w:val="0"/>
          <w:w w:val="100"/>
          <w:position w:val="0"/>
        </w:rPr>
        <w:t>2</w:t>
      </w:r>
      <w:bookmarkEnd w:id="277"/>
      <w:r>
        <w:rPr>
          <w:color w:val="000000"/>
          <w:spacing w:val="0"/>
          <w:w w:val="100"/>
          <w:position w:val="0"/>
        </w:rPr>
        <w:t>、</w:t>
        <w:tab/>
        <w:t>曾超先生，</w:t>
      </w: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月出生，本科学历。</w:t>
      </w:r>
      <w:r>
        <w:rPr>
          <w:rFonts w:ascii="Times New Roman" w:eastAsia="Times New Roman" w:hAnsi="Times New Roman" w:cs="Times New Roman"/>
          <w:color w:val="000000"/>
          <w:spacing w:val="0"/>
          <w:w w:val="100"/>
          <w:position w:val="0"/>
        </w:rPr>
        <w:t>1999</w:t>
      </w:r>
      <w:r>
        <w:rPr>
          <w:color w:val="000000"/>
          <w:spacing w:val="0"/>
          <w:w w:val="100"/>
          <w:position w:val="0"/>
        </w:rPr>
        <w:t>年加入公司，曾任公司</w:t>
      </w:r>
      <w:r>
        <w:rPr>
          <w:rFonts w:ascii="Times New Roman" w:eastAsia="Times New Roman" w:hAnsi="Times New Roman" w:cs="Times New Roman"/>
          <w:color w:val="000000"/>
          <w:spacing w:val="0"/>
          <w:w w:val="100"/>
          <w:position w:val="0"/>
        </w:rPr>
        <w:t>VA</w:t>
      </w:r>
      <w:r>
        <w:rPr>
          <w:color w:val="000000"/>
          <w:spacing w:val="0"/>
          <w:w w:val="100"/>
          <w:position w:val="0"/>
        </w:rPr>
        <w:t>产品事业部总经理。现任公司监事、集团管 控事业部总经理。</w:t>
      </w:r>
    </w:p>
    <w:p>
      <w:pPr>
        <w:pStyle w:val="Style35"/>
        <w:keepNext w:val="0"/>
        <w:keepLines w:val="0"/>
        <w:widowControl w:val="0"/>
        <w:shd w:val="clear" w:color="auto" w:fill="auto"/>
        <w:tabs>
          <w:tab w:pos="734" w:val="left"/>
        </w:tabs>
        <w:bidi w:val="0"/>
        <w:spacing w:before="0" w:after="300" w:line="322" w:lineRule="exact"/>
        <w:ind w:left="0" w:right="0"/>
        <w:jc w:val="both"/>
      </w:pPr>
      <w:bookmarkStart w:id="278" w:name="bookmark278"/>
      <w:r>
        <w:rPr>
          <w:rFonts w:ascii="Times New Roman" w:eastAsia="Times New Roman" w:hAnsi="Times New Roman" w:cs="Times New Roman"/>
          <w:color w:val="000000"/>
          <w:spacing w:val="0"/>
          <w:w w:val="100"/>
          <w:position w:val="0"/>
        </w:rPr>
        <w:t>3</w:t>
      </w:r>
      <w:bookmarkEnd w:id="278"/>
      <w:r>
        <w:rPr>
          <w:color w:val="000000"/>
          <w:spacing w:val="0"/>
          <w:w w:val="100"/>
          <w:position w:val="0"/>
        </w:rPr>
        <w:t>、</w:t>
        <w:tab/>
        <w:t>蒋硕先生，</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月出生，大专学历。</w:t>
      </w:r>
      <w:r>
        <w:rPr>
          <w:rFonts w:ascii="Times New Roman" w:eastAsia="Times New Roman" w:hAnsi="Times New Roman" w:cs="Times New Roman"/>
          <w:color w:val="000000"/>
          <w:spacing w:val="0"/>
          <w:w w:val="100"/>
          <w:position w:val="0"/>
        </w:rPr>
        <w:t>1999</w:t>
      </w:r>
      <w:r>
        <w:rPr>
          <w:color w:val="000000"/>
          <w:spacing w:val="0"/>
          <w:w w:val="100"/>
          <w:position w:val="0"/>
        </w:rPr>
        <w:t>年加入公司，现任公司监事。</w:t>
      </w:r>
    </w:p>
    <w:p>
      <w:pPr>
        <w:pStyle w:val="Style35"/>
        <w:keepNext w:val="0"/>
        <w:keepLines w:val="0"/>
        <w:widowControl w:val="0"/>
        <w:shd w:val="clear" w:color="auto" w:fill="auto"/>
        <w:tabs>
          <w:tab w:pos="598" w:val="left"/>
        </w:tabs>
        <w:bidi w:val="0"/>
        <w:spacing w:before="0" w:after="0" w:line="322" w:lineRule="exact"/>
        <w:ind w:left="0" w:right="0" w:firstLine="0"/>
        <w:jc w:val="left"/>
      </w:pPr>
      <w:bookmarkStart w:id="279" w:name="bookmark279"/>
      <w:r>
        <w:rPr>
          <w:color w:val="000000"/>
          <w:spacing w:val="0"/>
          <w:w w:val="100"/>
          <w:position w:val="0"/>
        </w:rPr>
        <w:t>（</w:t>
      </w:r>
      <w:bookmarkEnd w:id="279"/>
      <w:r>
        <w:rPr>
          <w:color w:val="000000"/>
          <w:spacing w:val="0"/>
          <w:w w:val="100"/>
          <w:position w:val="0"/>
        </w:rPr>
        <w:t>三）</w:t>
        <w:tab/>
        <w:t>公司高级管理人员</w:t>
      </w:r>
    </w:p>
    <w:p>
      <w:pPr>
        <w:pStyle w:val="Style35"/>
        <w:keepNext w:val="0"/>
        <w:keepLines w:val="0"/>
        <w:widowControl w:val="0"/>
        <w:shd w:val="clear" w:color="auto" w:fill="auto"/>
        <w:tabs>
          <w:tab w:pos="714" w:val="left"/>
        </w:tabs>
        <w:bidi w:val="0"/>
        <w:spacing w:before="0" w:after="0" w:line="322" w:lineRule="exact"/>
        <w:ind w:left="0" w:right="0"/>
        <w:jc w:val="both"/>
      </w:pPr>
      <w:bookmarkStart w:id="280" w:name="bookmark280"/>
      <w:r>
        <w:rPr>
          <w:rFonts w:ascii="Times New Roman" w:eastAsia="Times New Roman" w:hAnsi="Times New Roman" w:cs="Times New Roman"/>
          <w:color w:val="000000"/>
          <w:spacing w:val="0"/>
          <w:w w:val="100"/>
          <w:position w:val="0"/>
        </w:rPr>
        <w:t>1</w:t>
      </w:r>
      <w:bookmarkEnd w:id="280"/>
      <w:r>
        <w:rPr>
          <w:color w:val="000000"/>
          <w:spacing w:val="0"/>
          <w:w w:val="100"/>
          <w:position w:val="0"/>
        </w:rPr>
        <w:t>、</w:t>
        <w:tab/>
        <w:t>施瑞丰先生简历见董事简历。</w:t>
      </w:r>
    </w:p>
    <w:p>
      <w:pPr>
        <w:pStyle w:val="Style35"/>
        <w:keepNext w:val="0"/>
        <w:keepLines w:val="0"/>
        <w:widowControl w:val="0"/>
        <w:shd w:val="clear" w:color="auto" w:fill="auto"/>
        <w:tabs>
          <w:tab w:pos="734" w:val="left"/>
        </w:tabs>
        <w:bidi w:val="0"/>
        <w:spacing w:before="0" w:after="0" w:line="322" w:lineRule="exact"/>
        <w:ind w:left="0" w:right="0"/>
        <w:jc w:val="both"/>
      </w:pPr>
      <w:bookmarkStart w:id="281" w:name="bookmark281"/>
      <w:r>
        <w:rPr>
          <w:rFonts w:ascii="Times New Roman" w:eastAsia="Times New Roman" w:hAnsi="Times New Roman" w:cs="Times New Roman"/>
          <w:color w:val="000000"/>
          <w:spacing w:val="0"/>
          <w:w w:val="100"/>
          <w:position w:val="0"/>
        </w:rPr>
        <w:t>2</w:t>
      </w:r>
      <w:bookmarkEnd w:id="281"/>
      <w:r>
        <w:rPr>
          <w:color w:val="000000"/>
          <w:spacing w:val="0"/>
          <w:w w:val="100"/>
          <w:position w:val="0"/>
        </w:rPr>
        <w:t>、</w:t>
        <w:tab/>
        <w:t>欧阳曜先生简历见董事简历。</w:t>
      </w:r>
    </w:p>
    <w:p>
      <w:pPr>
        <w:pStyle w:val="Style35"/>
        <w:keepNext w:val="0"/>
        <w:keepLines w:val="0"/>
        <w:widowControl w:val="0"/>
        <w:shd w:val="clear" w:color="auto" w:fill="auto"/>
        <w:tabs>
          <w:tab w:pos="734" w:val="left"/>
        </w:tabs>
        <w:bidi w:val="0"/>
        <w:spacing w:before="0" w:after="0" w:line="322" w:lineRule="exact"/>
        <w:ind w:left="0" w:right="0"/>
        <w:jc w:val="both"/>
      </w:pPr>
      <w:bookmarkStart w:id="282" w:name="bookmark282"/>
      <w:r>
        <w:rPr>
          <w:rFonts w:ascii="Times New Roman" w:eastAsia="Times New Roman" w:hAnsi="Times New Roman" w:cs="Times New Roman"/>
          <w:color w:val="000000"/>
          <w:spacing w:val="0"/>
          <w:w w:val="100"/>
          <w:position w:val="0"/>
        </w:rPr>
        <w:t>3</w:t>
      </w:r>
      <w:bookmarkEnd w:id="282"/>
      <w:r>
        <w:rPr>
          <w:color w:val="000000"/>
          <w:spacing w:val="0"/>
          <w:w w:val="100"/>
          <w:position w:val="0"/>
        </w:rPr>
        <w:t>、</w:t>
        <w:tab/>
        <w:t>邱安超先生简历见董事简历。</w:t>
      </w:r>
    </w:p>
    <w:p>
      <w:pPr>
        <w:pStyle w:val="Style35"/>
        <w:keepNext w:val="0"/>
        <w:keepLines w:val="0"/>
        <w:widowControl w:val="0"/>
        <w:shd w:val="clear" w:color="auto" w:fill="auto"/>
        <w:tabs>
          <w:tab w:pos="699" w:val="left"/>
        </w:tabs>
        <w:bidi w:val="0"/>
        <w:spacing w:before="0" w:after="0" w:line="322" w:lineRule="exact"/>
        <w:ind w:left="0" w:right="0"/>
        <w:jc w:val="both"/>
      </w:pPr>
      <w:bookmarkStart w:id="283" w:name="bookmark283"/>
      <w:r>
        <w:rPr>
          <w:rFonts w:ascii="Times New Roman" w:eastAsia="Times New Roman" w:hAnsi="Times New Roman" w:cs="Times New Roman"/>
          <w:color w:val="000000"/>
          <w:spacing w:val="0"/>
          <w:w w:val="100"/>
          <w:position w:val="0"/>
        </w:rPr>
        <w:t>4</w:t>
      </w:r>
      <w:bookmarkEnd w:id="283"/>
      <w:r>
        <w:rPr>
          <w:color w:val="000000"/>
          <w:spacing w:val="0"/>
          <w:w w:val="100"/>
          <w:position w:val="0"/>
        </w:rPr>
        <w:t>、</w:t>
        <w:tab/>
        <w:t>刘文圣先生，</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月出生，硕士研究生。</w:t>
      </w:r>
      <w:r>
        <w:rPr>
          <w:rFonts w:ascii="Times New Roman" w:eastAsia="Times New Roman" w:hAnsi="Times New Roman" w:cs="Times New Roman"/>
          <w:color w:val="000000"/>
          <w:spacing w:val="0"/>
          <w:w w:val="100"/>
          <w:position w:val="0"/>
        </w:rPr>
        <w:t>2002</w:t>
      </w:r>
      <w:r>
        <w:rPr>
          <w:color w:val="000000"/>
          <w:spacing w:val="0"/>
          <w:w w:val="100"/>
          <w:position w:val="0"/>
        </w:rPr>
        <w:t>年加入公司，曾任北京北邮中望信息科技有限责任公司董事。现任 公司副总裁、大数据事业部总经理。</w:t>
      </w:r>
    </w:p>
    <w:p>
      <w:pPr>
        <w:pStyle w:val="Style35"/>
        <w:keepNext w:val="0"/>
        <w:keepLines w:val="0"/>
        <w:widowControl w:val="0"/>
        <w:shd w:val="clear" w:color="auto" w:fill="auto"/>
        <w:tabs>
          <w:tab w:pos="714" w:val="left"/>
        </w:tabs>
        <w:bidi w:val="0"/>
        <w:spacing w:before="0" w:after="0" w:line="322" w:lineRule="exact"/>
        <w:ind w:left="0" w:right="0"/>
        <w:jc w:val="both"/>
      </w:pPr>
      <w:bookmarkStart w:id="284" w:name="bookmark284"/>
      <w:r>
        <w:rPr>
          <w:rFonts w:ascii="Times New Roman" w:eastAsia="Times New Roman" w:hAnsi="Times New Roman" w:cs="Times New Roman"/>
          <w:color w:val="000000"/>
          <w:spacing w:val="0"/>
          <w:w w:val="100"/>
          <w:position w:val="0"/>
        </w:rPr>
        <w:t>5</w:t>
      </w:r>
      <w:bookmarkEnd w:id="284"/>
      <w:r>
        <w:rPr>
          <w:color w:val="000000"/>
          <w:spacing w:val="0"/>
          <w:w w:val="100"/>
          <w:position w:val="0"/>
        </w:rPr>
        <w:t>、</w:t>
        <w:tab/>
        <w:t>朱晓钧先生，</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月出生，硕士学位。</w:t>
      </w:r>
      <w:r>
        <w:rPr>
          <w:rFonts w:ascii="Times New Roman" w:eastAsia="Times New Roman" w:hAnsi="Times New Roman" w:cs="Times New Roman"/>
          <w:color w:val="000000"/>
          <w:spacing w:val="0"/>
          <w:w w:val="100"/>
          <w:position w:val="0"/>
        </w:rPr>
        <w:t>1999</w:t>
      </w:r>
      <w:r>
        <w:rPr>
          <w:color w:val="000000"/>
          <w:spacing w:val="0"/>
          <w:w w:val="100"/>
          <w:position w:val="0"/>
        </w:rPr>
        <w:t>年加入公司，曾任公司运营监管中心经理、测试中心经理。现任公司 副总裁、通信行业事业部总经理。</w:t>
      </w:r>
    </w:p>
    <w:p>
      <w:pPr>
        <w:pStyle w:val="Style35"/>
        <w:keepNext w:val="0"/>
        <w:keepLines w:val="0"/>
        <w:widowControl w:val="0"/>
        <w:shd w:val="clear" w:color="auto" w:fill="auto"/>
        <w:tabs>
          <w:tab w:pos="714" w:val="left"/>
        </w:tabs>
        <w:bidi w:val="0"/>
        <w:spacing w:before="0" w:after="0" w:line="338" w:lineRule="exact"/>
        <w:ind w:left="0" w:right="0"/>
        <w:jc w:val="both"/>
      </w:pPr>
      <w:bookmarkStart w:id="285" w:name="bookmark285"/>
      <w:r>
        <w:rPr>
          <w:rFonts w:ascii="Times New Roman" w:eastAsia="Times New Roman" w:hAnsi="Times New Roman" w:cs="Times New Roman"/>
          <w:color w:val="000000"/>
          <w:spacing w:val="0"/>
          <w:w w:val="100"/>
          <w:position w:val="0"/>
        </w:rPr>
        <w:t>6</w:t>
      </w:r>
      <w:bookmarkEnd w:id="285"/>
      <w:r>
        <w:rPr>
          <w:color w:val="000000"/>
          <w:spacing w:val="0"/>
          <w:w w:val="100"/>
          <w:position w:val="0"/>
        </w:rPr>
        <w:t>、</w:t>
        <w:tab/>
        <w:t>王海霞女士，</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月出生，本科学历。</w:t>
      </w:r>
      <w:r>
        <w:rPr>
          <w:rFonts w:ascii="Times New Roman" w:eastAsia="Times New Roman" w:hAnsi="Times New Roman" w:cs="Times New Roman"/>
          <w:color w:val="000000"/>
          <w:spacing w:val="0"/>
          <w:w w:val="100"/>
          <w:position w:val="0"/>
        </w:rPr>
        <w:t>2001</w:t>
      </w:r>
      <w:r>
        <w:rPr>
          <w:color w:val="000000"/>
          <w:spacing w:val="0"/>
          <w:w w:val="100"/>
          <w:position w:val="0"/>
        </w:rPr>
        <w:t>年加入公司，曾任公司生产经营部经理、总裁办公室主任。现任公司 副总裁、董事会秘书，新疆久其科技有限公司、海南久其云计算科技有限公司监事，广东同望科技股份有限公司董事。 在股东单位任职情况</w:t>
      </w:r>
    </w:p>
    <w:p>
      <w:pPr>
        <w:pStyle w:val="Style35"/>
        <w:keepNext w:val="0"/>
        <w:keepLines w:val="0"/>
        <w:widowControl w:val="0"/>
        <w:shd w:val="clear" w:color="auto" w:fill="auto"/>
        <w:bidi w:val="0"/>
        <w:spacing w:before="0" w:after="80" w:line="338"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2482"/>
        <w:gridCol w:w="1277"/>
        <w:gridCol w:w="1560"/>
        <w:gridCol w:w="1560"/>
        <w:gridCol w:w="1498"/>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在股东单位担</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在股东单位是否</w:t>
            </w:r>
          </w:p>
        </w:tc>
      </w:tr>
    </w:tbl>
    <w:p>
      <w:pPr>
        <w:spacing w:lineRule="exact" w:line="1"/>
        <w:rPr>
          <w:sz w:val="2"/>
          <w:szCs w:val="2"/>
        </w:rPr>
      </w:pPr>
      <w:r>
        <w:br w:type="page"/>
      </w:r>
    </w:p>
    <w:tbl>
      <w:tblPr>
        <w:tblOverlap w:val="never"/>
        <w:jc w:val="center"/>
        <w:tblLayout w:type="fixed"/>
      </w:tblPr>
      <w:tblGrid>
        <w:gridCol w:w="1205"/>
        <w:gridCol w:w="2482"/>
        <w:gridCol w:w="1277"/>
        <w:gridCol w:w="1560"/>
        <w:gridCol w:w="1560"/>
        <w:gridCol w:w="149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任的职务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领取报酬津贴</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北京久其科技投资有限公司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3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87"/>
        <w:gridCol w:w="1066"/>
        <w:gridCol w:w="1493"/>
        <w:gridCol w:w="1555"/>
        <w:gridCol w:w="1075"/>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 是否领取报 酬津贴</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邱安超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深圳市拜特科技股份有限公司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邱安超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广东同望科技股份有限公司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刘汝林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中国电子学会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副理事长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刘汝林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刘汝林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广州杰赛科技股份有限公司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刘汝林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山东新北洋信息技术股份有限公司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刘汝林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云南南天电子信息产业股份有限公司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祝卫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中天运会计师事务所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祝卫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杭州华东医药股份有限公司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广东同望科技股份有限公司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24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三</w:t>
      </w:r>
      <w:bookmarkEnd w:id="288"/>
      <w:r>
        <w:rPr>
          <w:color w:val="000000"/>
          <w:spacing w:val="0"/>
          <w:w w:val="100"/>
          <w:position w:val="0"/>
          <w:sz w:val="24"/>
          <w:szCs w:val="24"/>
        </w:rPr>
        <w:t>、董事、监事、高级管理人员报酬情况</w:t>
      </w:r>
      <w:bookmarkEnd w:id="286"/>
      <w:bookmarkEnd w:id="287"/>
      <w:bookmarkEnd w:id="289"/>
    </w:p>
    <w:p>
      <w:pPr>
        <w:pStyle w:val="Style35"/>
        <w:keepNext w:val="0"/>
        <w:keepLines w:val="0"/>
        <w:widowControl w:val="0"/>
        <w:shd w:val="clear" w:color="auto" w:fill="auto"/>
        <w:bidi w:val="0"/>
        <w:spacing w:before="0" w:after="60" w:line="316" w:lineRule="exact"/>
        <w:ind w:left="0" w:right="0" w:firstLine="0"/>
        <w:jc w:val="left"/>
      </w:pPr>
      <w:r>
        <w:rPr>
          <w:color w:val="000000"/>
          <w:spacing w:val="0"/>
          <w:w w:val="100"/>
          <w:position w:val="0"/>
        </w:rPr>
        <w:t>董事、监事、高级管理人员报酬的决策程序、确定依据、实际支付情况</w:t>
      </w:r>
    </w:p>
    <w:p>
      <w:pPr>
        <w:pStyle w:val="Style35"/>
        <w:keepNext w:val="0"/>
        <w:keepLines w:val="0"/>
        <w:widowControl w:val="0"/>
        <w:shd w:val="clear" w:color="auto" w:fill="auto"/>
        <w:tabs>
          <w:tab w:pos="339" w:val="left"/>
        </w:tabs>
        <w:bidi w:val="0"/>
        <w:spacing w:before="0" w:after="0" w:line="316" w:lineRule="exact"/>
        <w:ind w:left="0" w:right="0" w:firstLine="0"/>
        <w:jc w:val="left"/>
      </w:pPr>
      <w:bookmarkStart w:id="290" w:name="bookmark290"/>
      <w:r>
        <w:rPr>
          <w:rFonts w:ascii="Times New Roman" w:eastAsia="Times New Roman" w:hAnsi="Times New Roman" w:cs="Times New Roman"/>
          <w:color w:val="000000"/>
          <w:spacing w:val="0"/>
          <w:w w:val="100"/>
          <w:position w:val="0"/>
        </w:rPr>
        <w:t>1</w:t>
      </w:r>
      <w:bookmarkEnd w:id="290"/>
      <w:r>
        <w:rPr>
          <w:color w:val="000000"/>
          <w:spacing w:val="0"/>
          <w:w w:val="100"/>
          <w:position w:val="0"/>
        </w:rPr>
        <w:t>、</w:t>
        <w:tab/>
        <w:t>公司董事会薪酬与考核委员会负责研究董事、高级管理人员考核的标准，根据董事、高级管理人员岗位职责制定薪酬方 案，审查公司董事、高级管理人员的履职情况并对其进行年度绩效考评。</w:t>
      </w:r>
    </w:p>
    <w:p>
      <w:pPr>
        <w:pStyle w:val="Style35"/>
        <w:keepNext w:val="0"/>
        <w:keepLines w:val="0"/>
        <w:widowControl w:val="0"/>
        <w:shd w:val="clear" w:color="auto" w:fill="auto"/>
        <w:tabs>
          <w:tab w:pos="349" w:val="left"/>
        </w:tabs>
        <w:bidi w:val="0"/>
        <w:spacing w:before="0" w:after="0" w:line="316" w:lineRule="exact"/>
        <w:ind w:left="0" w:right="0" w:firstLine="0"/>
        <w:jc w:val="left"/>
      </w:pPr>
      <w:bookmarkStart w:id="291" w:name="bookmark291"/>
      <w:r>
        <w:rPr>
          <w:rFonts w:ascii="Times New Roman" w:eastAsia="Times New Roman" w:hAnsi="Times New Roman" w:cs="Times New Roman"/>
          <w:color w:val="000000"/>
          <w:spacing w:val="0"/>
          <w:w w:val="100"/>
          <w:position w:val="0"/>
        </w:rPr>
        <w:t>2</w:t>
      </w:r>
      <w:bookmarkEnd w:id="291"/>
      <w:r>
        <w:rPr>
          <w:color w:val="000000"/>
          <w:spacing w:val="0"/>
          <w:w w:val="100"/>
          <w:position w:val="0"/>
        </w:rPr>
        <w:t>、</w:t>
        <w:tab/>
        <w:t>公司独立董事津贴标准按照由股东大会审议通过的《独立董事津贴办法》执行。</w:t>
      </w:r>
    </w:p>
    <w:p>
      <w:pPr>
        <w:pStyle w:val="Style35"/>
        <w:keepNext w:val="0"/>
        <w:keepLines w:val="0"/>
        <w:widowControl w:val="0"/>
        <w:shd w:val="clear" w:color="auto" w:fill="auto"/>
        <w:tabs>
          <w:tab w:pos="349" w:val="left"/>
        </w:tabs>
        <w:bidi w:val="0"/>
        <w:spacing w:before="0" w:after="0" w:line="316" w:lineRule="exact"/>
        <w:ind w:left="0" w:right="0" w:firstLine="0"/>
        <w:jc w:val="left"/>
      </w:pPr>
      <w:bookmarkStart w:id="292" w:name="bookmark292"/>
      <w:r>
        <w:rPr>
          <w:rFonts w:ascii="Times New Roman" w:eastAsia="Times New Roman" w:hAnsi="Times New Roman" w:cs="Times New Roman"/>
          <w:color w:val="000000"/>
          <w:spacing w:val="0"/>
          <w:w w:val="100"/>
          <w:position w:val="0"/>
        </w:rPr>
        <w:t>3</w:t>
      </w:r>
      <w:bookmarkEnd w:id="292"/>
      <w:r>
        <w:rPr>
          <w:color w:val="000000"/>
          <w:spacing w:val="0"/>
          <w:w w:val="100"/>
          <w:position w:val="0"/>
        </w:rPr>
        <w:t>、</w:t>
        <w:tab/>
        <w:t>公司董事、监事按照其在公司的任职情况，根据公司现行薪酬管理制度、绩效管理制度的规定领取薪酬；公司外部董事、 监事经股东大会批准后可以领取津贴。</w:t>
      </w:r>
    </w:p>
    <w:p>
      <w:pPr>
        <w:pStyle w:val="Style35"/>
        <w:keepNext w:val="0"/>
        <w:keepLines w:val="0"/>
        <w:widowControl w:val="0"/>
        <w:shd w:val="clear" w:color="auto" w:fill="auto"/>
        <w:tabs>
          <w:tab w:pos="349" w:val="left"/>
        </w:tabs>
        <w:bidi w:val="0"/>
        <w:spacing w:before="0" w:after="320" w:line="316" w:lineRule="exact"/>
        <w:ind w:left="0" w:right="0" w:firstLine="0"/>
        <w:jc w:val="left"/>
      </w:pPr>
      <w:bookmarkStart w:id="293" w:name="bookmark293"/>
      <w:r>
        <w:rPr>
          <w:rFonts w:ascii="Times New Roman" w:eastAsia="Times New Roman" w:hAnsi="Times New Roman" w:cs="Times New Roman"/>
          <w:color w:val="000000"/>
          <w:spacing w:val="0"/>
          <w:w w:val="100"/>
          <w:position w:val="0"/>
        </w:rPr>
        <w:t>4</w:t>
      </w:r>
      <w:bookmarkEnd w:id="293"/>
      <w:r>
        <w:rPr>
          <w:color w:val="000000"/>
          <w:spacing w:val="0"/>
          <w:w w:val="100"/>
          <w:position w:val="0"/>
        </w:rPr>
        <w:t>、</w:t>
        <w:tab/>
        <w:t>根据公司《董事、监事和高级管理人员薪酬管理制度》的规定，公司董事长及高级管理人员的年度薪酬总额由基本年薪 和浮动奖金两部分构成，根据个人工作职务及岗位级别确定其基本年薪；根据公司经营业绩及个人年度绩效考核结果确定其 浮动奖金。</w:t>
      </w:r>
    </w:p>
    <w:p>
      <w:pPr>
        <w:pStyle w:val="Style35"/>
        <w:keepNext w:val="0"/>
        <w:keepLines w:val="0"/>
        <w:widowControl w:val="0"/>
        <w:shd w:val="clear" w:color="auto" w:fill="auto"/>
        <w:bidi w:val="0"/>
        <w:spacing w:before="0" w:after="120" w:line="316" w:lineRule="exact"/>
        <w:ind w:left="0" w:right="0" w:firstLine="0"/>
        <w:jc w:val="left"/>
      </w:pPr>
      <w:r>
        <w:rPr>
          <w:color w:val="000000"/>
          <w:spacing w:val="0"/>
          <w:w w:val="100"/>
          <w:position w:val="0"/>
        </w:rPr>
        <w:t>公司报告期内董事、监事和高级管理人员报酬情况</w:t>
      </w:r>
    </w:p>
    <w:p>
      <w:pPr>
        <w:pStyle w:val="Style33"/>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1200"/>
        <w:gridCol w:w="1195"/>
        <w:gridCol w:w="1195"/>
        <w:gridCol w:w="1195"/>
        <w:gridCol w:w="1195"/>
        <w:gridCol w:w="1200"/>
        <w:gridCol w:w="1195"/>
        <w:gridCol w:w="1205"/>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从股东单位获</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41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赵福君</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48.45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48.45</w:t>
            </w:r>
          </w:p>
        </w:tc>
      </w:tr>
    </w:tbl>
    <w:p>
      <w:pPr>
        <w:spacing w:lineRule="exact" w:line="1"/>
        <w:rPr>
          <w:sz w:val="2"/>
          <w:szCs w:val="2"/>
        </w:rPr>
      </w:pPr>
      <w:r>
        <w:br w:type="page"/>
      </w:r>
    </w:p>
    <w:tbl>
      <w:tblPr>
        <w:tblOverlap w:val="never"/>
        <w:jc w:val="center"/>
        <w:tblLayout w:type="fixed"/>
      </w:tblPr>
      <w:tblGrid>
        <w:gridCol w:w="1200"/>
        <w:gridCol w:w="1195"/>
        <w:gridCol w:w="1195"/>
        <w:gridCol w:w="1195"/>
        <w:gridCol w:w="1195"/>
        <w:gridCol w:w="1200"/>
        <w:gridCol w:w="1195"/>
        <w:gridCol w:w="1205"/>
      </w:tblGrid>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施瑞丰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56.88</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51.79</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邱安超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董事、副总裁、 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54.01</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李坤奇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42.51</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刘汝林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韩凤岐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80"/>
              <w:jc w:val="both"/>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祝卫</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王劲岩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27.56</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49.31</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蒋硕</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20.44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20.44</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刘文圣</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8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48.8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48.8</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朱晓钧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51.96</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副总裁、董事</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47.36</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517.07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517.07</w:t>
            </w:r>
          </w:p>
        </w:tc>
      </w:tr>
    </w:tbl>
    <w:p>
      <w:pPr>
        <w:widowControl w:val="0"/>
        <w:spacing w:after="99" w:line="1" w:lineRule="exact"/>
      </w:pPr>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公司董事、监事、高级管理人员报告期内被授予的股权激励情况</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四</w:t>
      </w:r>
      <w:bookmarkEnd w:id="296"/>
      <w:r>
        <w:rPr>
          <w:color w:val="000000"/>
          <w:spacing w:val="0"/>
          <w:w w:val="100"/>
          <w:position w:val="0"/>
          <w:sz w:val="24"/>
          <w:szCs w:val="24"/>
        </w:rPr>
        <w:t>、公司董事、监事、高级管理人员变动情况</w:t>
      </w:r>
      <w:bookmarkEnd w:id="294"/>
      <w:bookmarkEnd w:id="295"/>
      <w:bookmarkEnd w:id="297"/>
    </w:p>
    <w:tbl>
      <w:tblPr>
        <w:tblOverlap w:val="never"/>
        <w:jc w:val="center"/>
        <w:tblLayout w:type="fixed"/>
      </w:tblPr>
      <w:tblGrid>
        <w:gridCol w:w="1330"/>
        <w:gridCol w:w="1330"/>
        <w:gridCol w:w="1334"/>
        <w:gridCol w:w="1330"/>
        <w:gridCol w:w="425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李坤奇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bl>
    <w:p>
      <w:pPr>
        <w:widowControl w:val="0"/>
        <w:spacing w:after="299" w:line="1" w:lineRule="exact"/>
      </w:pPr>
    </w:p>
    <w:p>
      <w:pPr>
        <w:pStyle w:val="Style31"/>
        <w:keepNext/>
        <w:keepLines/>
        <w:widowControl w:val="0"/>
        <w:shd w:val="clear" w:color="auto" w:fill="auto"/>
        <w:bidi w:val="0"/>
        <w:spacing w:before="0" w:after="36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五</w:t>
      </w:r>
      <w:bookmarkEnd w:id="300"/>
      <w:r>
        <w:rPr>
          <w:color w:val="000000"/>
          <w:spacing w:val="0"/>
          <w:w w:val="100"/>
          <w:position w:val="0"/>
          <w:sz w:val="24"/>
          <w:szCs w:val="24"/>
        </w:rPr>
        <w:t>、报告期核心技术团队或关键技术人员变动情况（非董事、监事、高级管理人员）</w:t>
      </w:r>
      <w:bookmarkEnd w:id="298"/>
      <w:bookmarkEnd w:id="299"/>
      <w:bookmarkEnd w:id="301"/>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报告期内，公司未发生核心技术团队或关键技术人员（非董事、监事、高级管理人员）变动情况。</w:t>
      </w:r>
    </w:p>
    <w:p>
      <w:pPr>
        <w:pStyle w:val="Style31"/>
        <w:keepNext/>
        <w:keepLines/>
        <w:widowControl w:val="0"/>
        <w:shd w:val="clear" w:color="auto" w:fill="auto"/>
        <w:bidi w:val="0"/>
        <w:spacing w:before="0" w:after="36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六</w:t>
      </w:r>
      <w:bookmarkEnd w:id="304"/>
      <w:r>
        <w:rPr>
          <w:color w:val="000000"/>
          <w:spacing w:val="0"/>
          <w:w w:val="100"/>
          <w:position w:val="0"/>
          <w:sz w:val="24"/>
          <w:szCs w:val="24"/>
        </w:rPr>
        <w:t>、公司员工情况</w:t>
      </w:r>
      <w:bookmarkEnd w:id="302"/>
      <w:bookmarkEnd w:id="303"/>
      <w:bookmarkEnd w:id="305"/>
    </w:p>
    <w:p>
      <w:pPr>
        <w:pStyle w:val="Style35"/>
        <w:keepNext w:val="0"/>
        <w:keepLines w:val="0"/>
        <w:widowControl w:val="0"/>
        <w:shd w:val="clear" w:color="auto" w:fill="auto"/>
        <w:bidi w:val="0"/>
        <w:spacing w:before="0" w:line="240" w:lineRule="auto"/>
        <w:ind w:left="0" w:right="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日，公司员工（含控股子公司）总数为</w:t>
      </w:r>
      <w:r>
        <w:rPr>
          <w:rFonts w:ascii="Times New Roman" w:eastAsia="Times New Roman" w:hAnsi="Times New Roman" w:cs="Times New Roman"/>
          <w:color w:val="000000"/>
          <w:spacing w:val="0"/>
          <w:w w:val="100"/>
          <w:position w:val="0"/>
        </w:rPr>
        <w:t>1275</w:t>
      </w:r>
      <w:r>
        <w:rPr>
          <w:color w:val="000000"/>
          <w:spacing w:val="0"/>
          <w:w w:val="100"/>
          <w:position w:val="0"/>
        </w:rPr>
        <w:t>人，公司没有承担费用的离退休职工。</w:t>
      </w:r>
    </w:p>
    <w:p>
      <w:pPr>
        <w:pStyle w:val="Style35"/>
        <w:keepNext w:val="0"/>
        <w:keepLines w:val="0"/>
        <w:widowControl w:val="0"/>
        <w:shd w:val="clear" w:color="auto" w:fill="auto"/>
        <w:bidi w:val="0"/>
        <w:spacing w:before="0" w:line="240" w:lineRule="auto"/>
        <w:ind w:left="0" w:right="0"/>
        <w:jc w:val="left"/>
      </w:pPr>
      <w:r>
        <w:rPr>
          <w:color w:val="000000"/>
          <w:spacing w:val="0"/>
          <w:w w:val="100"/>
          <w:position w:val="0"/>
        </w:rPr>
        <w:t>公司员工专业构成、教育程度、薪酬政策、培训计划等情况如下：</w: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、专业构成</w:t>
      </w:r>
    </w:p>
    <w:tbl>
      <w:tblPr>
        <w:tblOverlap w:val="never"/>
        <w:jc w:val="center"/>
        <w:tblLayout w:type="fixed"/>
      </w:tblPr>
      <w:tblGrid>
        <w:gridCol w:w="3269"/>
        <w:gridCol w:w="2126"/>
        <w:gridCol w:w="4123"/>
      </w:tblGrid>
      <w:tr>
        <w:trPr>
          <w:trHeight w:val="43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专业类别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占公司总人数比例</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销售人员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580" w:right="0" w:firstLine="0"/>
              <w:jc w:val="left"/>
              <w:rPr>
                <w:sz w:val="20"/>
                <w:szCs w:val="20"/>
              </w:rPr>
            </w:pPr>
            <w:r>
              <w:rPr>
                <w:rFonts w:ascii="Times New Roman" w:eastAsia="Times New Roman" w:hAnsi="Times New Roman" w:cs="Times New Roman"/>
                <w:color w:val="000000"/>
                <w:spacing w:val="0"/>
                <w:w w:val="100"/>
                <w:position w:val="0"/>
                <w:sz w:val="20"/>
                <w:szCs w:val="20"/>
              </w:rPr>
              <w:t>4.78%</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技术人员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rPr>
                <w:sz w:val="20"/>
                <w:szCs w:val="20"/>
              </w:rPr>
            </w:pPr>
            <w:r>
              <w:rPr>
                <w:rFonts w:ascii="Times New Roman" w:eastAsia="Times New Roman" w:hAnsi="Times New Roman" w:cs="Times New Roman"/>
                <w:color w:val="000000"/>
                <w:spacing w:val="0"/>
                <w:w w:val="100"/>
                <w:position w:val="0"/>
                <w:sz w:val="20"/>
                <w:szCs w:val="20"/>
              </w:rPr>
              <w:t>980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76.86%</w:t>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管理人员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rPr>
                <w:sz w:val="20"/>
                <w:szCs w:val="20"/>
              </w:rPr>
            </w:pPr>
            <w:r>
              <w:rPr>
                <w:rFonts w:ascii="Times New Roman" w:eastAsia="Times New Roman" w:hAnsi="Times New Roman" w:cs="Times New Roman"/>
                <w:color w:val="000000"/>
                <w:spacing w:val="0"/>
                <w:w w:val="100"/>
                <w:position w:val="0"/>
                <w:sz w:val="20"/>
                <w:szCs w:val="20"/>
              </w:rPr>
              <w:t>108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580" w:right="0" w:firstLine="0"/>
              <w:jc w:val="left"/>
              <w:rPr>
                <w:sz w:val="20"/>
                <w:szCs w:val="20"/>
              </w:rPr>
            </w:pPr>
            <w:r>
              <w:rPr>
                <w:rFonts w:ascii="Times New Roman" w:eastAsia="Times New Roman" w:hAnsi="Times New Roman" w:cs="Times New Roman"/>
                <w:color w:val="000000"/>
                <w:spacing w:val="0"/>
                <w:w w:val="100"/>
                <w:position w:val="0"/>
                <w:sz w:val="20"/>
                <w:szCs w:val="20"/>
              </w:rPr>
              <w:t>8.47%</w:t>
            </w:r>
          </w:p>
        </w:tc>
      </w:tr>
      <w:tr>
        <w:trPr>
          <w:trHeight w:val="35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职能人员</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800" w:right="0" w:firstLine="0"/>
              <w:jc w:val="left"/>
              <w:rPr>
                <w:sz w:val="20"/>
                <w:szCs w:val="20"/>
              </w:rPr>
            </w:pPr>
            <w:r>
              <w:rPr>
                <w:rFonts w:ascii="Times New Roman" w:eastAsia="Times New Roman" w:hAnsi="Times New Roman" w:cs="Times New Roman"/>
                <w:color w:val="000000"/>
                <w:spacing w:val="0"/>
                <w:w w:val="100"/>
                <w:position w:val="0"/>
                <w:sz w:val="20"/>
                <w:szCs w:val="20"/>
              </w:rPr>
              <w:t>126</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580" w:right="0" w:firstLine="0"/>
              <w:jc w:val="left"/>
              <w:rPr>
                <w:sz w:val="20"/>
                <w:szCs w:val="20"/>
              </w:rPr>
            </w:pPr>
            <w:r>
              <w:rPr>
                <w:rFonts w:ascii="Times New Roman" w:eastAsia="Times New Roman" w:hAnsi="Times New Roman" w:cs="Times New Roman"/>
                <w:color w:val="000000"/>
                <w:spacing w:val="0"/>
                <w:w w:val="100"/>
                <w:position w:val="0"/>
                <w:sz w:val="20"/>
                <w:szCs w:val="20"/>
              </w:rPr>
              <w:t>9.88%</w:t>
            </w:r>
          </w:p>
        </w:tc>
      </w:tr>
    </w:tbl>
    <w:p>
      <w:pPr>
        <w:spacing w:lineRule="exact" w:line="1"/>
        <w:rPr>
          <w:sz w:val="2"/>
          <w:szCs w:val="2"/>
        </w:rPr>
      </w:pPr>
      <w:r>
        <w:br w:type="page"/>
      </w:r>
    </w:p>
    <w:tbl>
      <w:tblPr>
        <w:tblOverlap w:val="never"/>
        <w:jc w:val="center"/>
        <w:tblLayout w:type="fixed"/>
      </w:tblPr>
      <w:tblGrid>
        <w:gridCol w:w="3278"/>
        <w:gridCol w:w="2117"/>
        <w:gridCol w:w="4123"/>
      </w:tblGrid>
      <w:tr>
        <w:trPr>
          <w:trHeight w:val="36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1275</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framePr w:w="4987" w:h="3408" w:hSpace="19" w:vSpace="5" w:wrap="notBeside" w:vAnchor="text" w:hAnchor="text" w:x="20" w:y="6"/>
        <w:widowControl w:val="0"/>
        <w:rPr>
          <w:sz w:val="2"/>
          <w:szCs w:val="2"/>
        </w:rPr>
      </w:pPr>
      <w:r>
        <w:drawing>
          <wp:inline>
            <wp:extent cx="3169920" cy="216408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stretch/>
                  </pic:blipFill>
                  <pic:spPr>
                    <a:xfrm>
                      <a:ext cx="3169920" cy="2164080"/>
                    </a:xfrm>
                    <a:prstGeom prst="rect"/>
                  </pic:spPr>
                </pic:pic>
              </a:graphicData>
            </a:graphic>
          </wp:inline>
        </w:drawing>
      </w:r>
    </w:p>
    <w:p>
      <w:pPr>
        <w:widowControl w:val="0"/>
        <w:spacing w:line="1" w:lineRule="exact"/>
      </w:pPr>
      <w:r>
        <mc:AlternateContent>
          <mc:Choice Requires="wps">
            <w:drawing>
              <wp:anchor distT="0" distB="0" distL="0" distR="5730240" simplePos="0" relativeHeight="125829380" behindDoc="0" locked="0" layoutInCell="1" allowOverlap="1">
                <wp:simplePos x="0" y="0"/>
                <wp:positionH relativeFrom="column">
                  <wp:posOffset>2157730</wp:posOffset>
                </wp:positionH>
                <wp:positionV relativeFrom="paragraph">
                  <wp:posOffset>1442085</wp:posOffset>
                </wp:positionV>
                <wp:extent cx="478790" cy="280670"/>
                <wp:wrapTopAndBottom/>
                <wp:docPr id="15" name="Shape 15"/>
                <a:graphic xmlns:a="http://schemas.openxmlformats.org/drawingml/2006/main">
                  <a:graphicData uri="http://schemas.microsoft.com/office/word/2010/wordprocessingShape">
                    <wps:wsp>
                      <wps:cNvSpPr txBox="1"/>
                      <wps:spPr>
                        <a:xfrm>
                          <a:ext cx="478790" cy="2806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val="0"/>
                                <w:bCs w:val="0"/>
                                <w:color w:val="000000"/>
                                <w:spacing w:val="0"/>
                                <w:w w:val="100"/>
                                <w:position w:val="0"/>
                                <w:sz w:val="18"/>
                                <w:szCs w:val="18"/>
                              </w:rPr>
                              <w:t>技术人员</w:t>
                            </w:r>
                          </w:p>
                          <w:p>
                            <w:pPr>
                              <w:pStyle w:val="Style5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7G.8G%</w:t>
                            </w:r>
                          </w:p>
                        </w:txbxContent>
                      </wps:txbx>
                      <wps:bodyPr lIns="0" tIns="0" rIns="0" bIns="0">
                        <a:noAutoFit/>
                      </wps:bodyPr>
                    </wps:wsp>
                  </a:graphicData>
                </a:graphic>
              </wp:anchor>
            </w:drawing>
          </mc:Choice>
          <mc:Fallback>
            <w:pict>
              <v:shape id="_x0000_s1041" type="#_x0000_t202" style="position:absolute;margin-left:169.90000000000001pt;margin-top:113.55pt;width:37.700000000000003pt;height:22.100000000000001pt;z-index:-125829373;mso-wrap-distance-left:0;mso-wrap-distance-right:451.19999999999999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val="0"/>
                          <w:bCs w:val="0"/>
                          <w:color w:val="000000"/>
                          <w:spacing w:val="0"/>
                          <w:w w:val="100"/>
                          <w:position w:val="0"/>
                          <w:sz w:val="18"/>
                          <w:szCs w:val="18"/>
                        </w:rPr>
                        <w:t>技术人员</w:t>
                      </w:r>
                    </w:p>
                    <w:p>
                      <w:pPr>
                        <w:pStyle w:val="Style5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7G.8G%</w:t>
                      </w:r>
                    </w:p>
                  </w:txbxContent>
                </v:textbox>
                <w10:wrap type="topAndBottom"/>
              </v:shape>
            </w:pict>
          </mc:Fallback>
        </mc:AlternateContent>
      </w:r>
      <w:r>
        <mc:AlternateContent>
          <mc:Choice Requires="wps">
            <w:drawing>
              <wp:anchor distT="0" distB="0" distL="0" distR="4349750" simplePos="0" relativeHeight="125829382" behindDoc="0" locked="0" layoutInCell="1" allowOverlap="1">
                <wp:simplePos x="0" y="0"/>
                <wp:positionH relativeFrom="column">
                  <wp:posOffset>868680</wp:posOffset>
                </wp:positionH>
                <wp:positionV relativeFrom="paragraph">
                  <wp:posOffset>0</wp:posOffset>
                </wp:positionV>
                <wp:extent cx="1859280" cy="469265"/>
                <wp:wrapTopAndBottom/>
                <wp:docPr id="17" name="Shape 17"/>
                <a:graphic xmlns:a="http://schemas.openxmlformats.org/drawingml/2006/main">
                  <a:graphicData uri="http://schemas.microsoft.com/office/word/2010/wordprocessingShape">
                    <wps:wsp>
                      <wps:cNvSpPr txBox="1"/>
                      <wps:spPr>
                        <a:xfrm>
                          <a:ext cx="1859280" cy="46926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center"/>
                              <w:rPr>
                                <w:sz w:val="28"/>
                                <w:szCs w:val="28"/>
                              </w:rPr>
                            </w:pPr>
                            <w:r>
                              <w:rPr>
                                <w:rFonts w:ascii="SimSun" w:eastAsia="SimSun" w:hAnsi="SimSun" w:cs="SimSun"/>
                                <w:spacing w:val="0"/>
                                <w:w w:val="100"/>
                                <w:position w:val="0"/>
                                <w:sz w:val="28"/>
                                <w:szCs w:val="28"/>
                              </w:rPr>
                              <w:t>专</w:t>
                            </w:r>
                            <w:r>
                              <w:rPr>
                                <w:rFonts w:ascii="SimSun" w:eastAsia="SimSun" w:hAnsi="SimSun" w:cs="SimSun"/>
                                <w:color w:val="000000"/>
                                <w:spacing w:val="0"/>
                                <w:w w:val="100"/>
                                <w:position w:val="0"/>
                                <w:sz w:val="28"/>
                                <w:szCs w:val="28"/>
                              </w:rPr>
                              <w:t>业类别</w:t>
                            </w:r>
                          </w:p>
                          <w:p>
                            <w:pPr>
                              <w:pStyle w:val="Style55"/>
                              <w:keepNext w:val="0"/>
                              <w:keepLines w:val="0"/>
                              <w:widowControl w:val="0"/>
                              <w:shd w:val="clear" w:color="auto" w:fill="auto"/>
                              <w:tabs>
                                <w:tab w:pos="1896" w:val="left"/>
                              </w:tabs>
                              <w:bidi w:val="0"/>
                              <w:spacing w:before="0" w:after="0" w:line="240" w:lineRule="auto"/>
                              <w:ind w:left="0" w:right="0" w:firstLine="0"/>
                              <w:jc w:val="center"/>
                              <w:rPr>
                                <w:sz w:val="18"/>
                                <w:szCs w:val="18"/>
                              </w:rPr>
                            </w:pPr>
                            <w:r>
                              <w:rPr>
                                <w:rFonts w:ascii="SimHei" w:eastAsia="SimHei" w:hAnsi="SimHei" w:cs="SimHei"/>
                                <w:b w:val="0"/>
                                <w:bCs w:val="0"/>
                                <w:color w:val="000000"/>
                                <w:spacing w:val="0"/>
                                <w:w w:val="100"/>
                                <w:position w:val="0"/>
                                <w:sz w:val="18"/>
                                <w:szCs w:val="18"/>
                              </w:rPr>
                              <w:t>职能人员</w:t>
                              <w:tab/>
                              <w:t>厂销告人员</w:t>
                            </w:r>
                          </w:p>
                          <w:p>
                            <w:pPr>
                              <w:pStyle w:val="Style55"/>
                              <w:keepNext w:val="0"/>
                              <w:keepLines w:val="0"/>
                              <w:widowControl w:val="0"/>
                              <w:shd w:val="clear" w:color="auto" w:fill="auto"/>
                              <w:tabs>
                                <w:tab w:pos="1680" w:val="left"/>
                              </w:tabs>
                              <w:bidi w:val="0"/>
                              <w:spacing w:before="0" w:after="0" w:line="240" w:lineRule="auto"/>
                              <w:ind w:left="0" w:right="0" w:firstLine="0"/>
                              <w:jc w:val="left"/>
                            </w:pPr>
                            <w:r>
                              <w:rPr>
                                <w:spacing w:val="0"/>
                                <w:w w:val="100"/>
                                <w:position w:val="0"/>
                              </w:rPr>
                              <w:t xml:space="preserve">9.88% </w:t>
                            </w:r>
                            <w:r>
                              <w:rPr>
                                <w:rFonts w:ascii="SimSun" w:eastAsia="SimSun" w:hAnsi="SimSun" w:cs="SimSun"/>
                                <w:color w:val="000000"/>
                                <w:spacing w:val="0"/>
                                <w:w w:val="100"/>
                                <w:position w:val="0"/>
                                <w:sz w:val="28"/>
                                <w:szCs w:val="28"/>
                              </w:rPr>
                              <w:t>一</w:t>
                              <w:tab/>
                            </w:r>
                            <w:r>
                              <w:rPr>
                                <w:spacing w:val="0"/>
                                <w:w w:val="100"/>
                                <w:position w:val="0"/>
                              </w:rPr>
                              <w:t>/ 4.78%</w:t>
                            </w:r>
                          </w:p>
                        </w:txbxContent>
                      </wps:txbx>
                      <wps:bodyPr lIns="0" tIns="0" rIns="0" bIns="0">
                        <a:noAutoFit/>
                      </wps:bodyPr>
                    </wps:wsp>
                  </a:graphicData>
                </a:graphic>
              </wp:anchor>
            </w:drawing>
          </mc:Choice>
          <mc:Fallback>
            <w:pict>
              <v:shape id="_x0000_s1043" type="#_x0000_t202" style="position:absolute;margin-left:68.400000000000006pt;margin-top:0;width:146.40000000000001pt;height:36.950000000000003pt;z-index:-125829371;mso-wrap-distance-left:0;mso-wrap-distance-right:342.5pt" filled="f" stroked="f">
                <v:textbox inset="0,0,0,0">
                  <w:txbxContent>
                    <w:p>
                      <w:pPr>
                        <w:pStyle w:val="Style55"/>
                        <w:keepNext w:val="0"/>
                        <w:keepLines w:val="0"/>
                        <w:widowControl w:val="0"/>
                        <w:shd w:val="clear" w:color="auto" w:fill="auto"/>
                        <w:bidi w:val="0"/>
                        <w:spacing w:before="0" w:after="0" w:line="240" w:lineRule="auto"/>
                        <w:ind w:left="0" w:right="0" w:firstLine="0"/>
                        <w:jc w:val="center"/>
                        <w:rPr>
                          <w:sz w:val="28"/>
                          <w:szCs w:val="28"/>
                        </w:rPr>
                      </w:pPr>
                      <w:r>
                        <w:rPr>
                          <w:rFonts w:ascii="SimSun" w:eastAsia="SimSun" w:hAnsi="SimSun" w:cs="SimSun"/>
                          <w:spacing w:val="0"/>
                          <w:w w:val="100"/>
                          <w:position w:val="0"/>
                          <w:sz w:val="28"/>
                          <w:szCs w:val="28"/>
                        </w:rPr>
                        <w:t>专</w:t>
                      </w:r>
                      <w:r>
                        <w:rPr>
                          <w:rFonts w:ascii="SimSun" w:eastAsia="SimSun" w:hAnsi="SimSun" w:cs="SimSun"/>
                          <w:color w:val="000000"/>
                          <w:spacing w:val="0"/>
                          <w:w w:val="100"/>
                          <w:position w:val="0"/>
                          <w:sz w:val="28"/>
                          <w:szCs w:val="28"/>
                        </w:rPr>
                        <w:t>业类别</w:t>
                      </w:r>
                    </w:p>
                    <w:p>
                      <w:pPr>
                        <w:pStyle w:val="Style55"/>
                        <w:keepNext w:val="0"/>
                        <w:keepLines w:val="0"/>
                        <w:widowControl w:val="0"/>
                        <w:shd w:val="clear" w:color="auto" w:fill="auto"/>
                        <w:tabs>
                          <w:tab w:pos="1896" w:val="left"/>
                        </w:tabs>
                        <w:bidi w:val="0"/>
                        <w:spacing w:before="0" w:after="0" w:line="240" w:lineRule="auto"/>
                        <w:ind w:left="0" w:right="0" w:firstLine="0"/>
                        <w:jc w:val="center"/>
                        <w:rPr>
                          <w:sz w:val="18"/>
                          <w:szCs w:val="18"/>
                        </w:rPr>
                      </w:pPr>
                      <w:r>
                        <w:rPr>
                          <w:rFonts w:ascii="SimHei" w:eastAsia="SimHei" w:hAnsi="SimHei" w:cs="SimHei"/>
                          <w:b w:val="0"/>
                          <w:bCs w:val="0"/>
                          <w:color w:val="000000"/>
                          <w:spacing w:val="0"/>
                          <w:w w:val="100"/>
                          <w:position w:val="0"/>
                          <w:sz w:val="18"/>
                          <w:szCs w:val="18"/>
                        </w:rPr>
                        <w:t>职能人员</w:t>
                        <w:tab/>
                        <w:t>厂销告人员</w:t>
                      </w:r>
                    </w:p>
                    <w:p>
                      <w:pPr>
                        <w:pStyle w:val="Style55"/>
                        <w:keepNext w:val="0"/>
                        <w:keepLines w:val="0"/>
                        <w:widowControl w:val="0"/>
                        <w:shd w:val="clear" w:color="auto" w:fill="auto"/>
                        <w:tabs>
                          <w:tab w:pos="1680" w:val="left"/>
                        </w:tabs>
                        <w:bidi w:val="0"/>
                        <w:spacing w:before="0" w:after="0" w:line="240" w:lineRule="auto"/>
                        <w:ind w:left="0" w:right="0" w:firstLine="0"/>
                        <w:jc w:val="left"/>
                      </w:pPr>
                      <w:r>
                        <w:rPr>
                          <w:spacing w:val="0"/>
                          <w:w w:val="100"/>
                          <w:position w:val="0"/>
                        </w:rPr>
                        <w:t xml:space="preserve">9.88% </w:t>
                      </w:r>
                      <w:r>
                        <w:rPr>
                          <w:rFonts w:ascii="SimSun" w:eastAsia="SimSun" w:hAnsi="SimSun" w:cs="SimSun"/>
                          <w:color w:val="000000"/>
                          <w:spacing w:val="0"/>
                          <w:w w:val="100"/>
                          <w:position w:val="0"/>
                          <w:sz w:val="28"/>
                          <w:szCs w:val="28"/>
                        </w:rPr>
                        <w:t>一</w:t>
                        <w:tab/>
                      </w:r>
                      <w:r>
                        <w:rPr>
                          <w:spacing w:val="0"/>
                          <w:w w:val="100"/>
                          <w:position w:val="0"/>
                        </w:rPr>
                        <w:t>/ 4.78%</w:t>
                      </w:r>
                    </w:p>
                  </w:txbxContent>
                </v:textbox>
                <w10:wrap type="topAndBottom"/>
              </v:shape>
            </w:pict>
          </mc:Fallback>
        </mc:AlternateContent>
      </w:r>
      <w:r>
        <mc:AlternateContent>
          <mc:Choice Requires="wps">
            <w:drawing>
              <wp:anchor distT="0" distB="0" distL="0" distR="5721350" simplePos="0" relativeHeight="125829384" behindDoc="0" locked="0" layoutInCell="1" allowOverlap="1">
                <wp:simplePos x="0" y="0"/>
                <wp:positionH relativeFrom="column">
                  <wp:posOffset>0</wp:posOffset>
                </wp:positionH>
                <wp:positionV relativeFrom="paragraph">
                  <wp:posOffset>615950</wp:posOffset>
                </wp:positionV>
                <wp:extent cx="487680" cy="298450"/>
                <wp:wrapTopAndBottom/>
                <wp:docPr id="19" name="Shape 19"/>
                <a:graphic xmlns:a="http://schemas.openxmlformats.org/drawingml/2006/main">
                  <a:graphicData uri="http://schemas.microsoft.com/office/word/2010/wordprocessingShape">
                    <wps:wsp>
                      <wps:cNvSpPr txBox="1"/>
                      <wps:spPr>
                        <a:xfrm>
                          <a:ext cx="487680" cy="2984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val="0"/>
                                <w:bCs w:val="0"/>
                                <w:color w:val="000000"/>
                                <w:spacing w:val="0"/>
                                <w:w w:val="100"/>
                                <w:position w:val="0"/>
                                <w:sz w:val="18"/>
                                <w:szCs w:val="18"/>
                              </w:rPr>
                              <w:t>管理人员</w:t>
                            </w:r>
                          </w:p>
                          <w:p>
                            <w:pPr>
                              <w:pStyle w:val="Style55"/>
                              <w:keepNext w:val="0"/>
                              <w:keepLines w:val="0"/>
                              <w:widowControl w:val="0"/>
                              <w:shd w:val="clear" w:color="auto" w:fill="auto"/>
                              <w:bidi w:val="0"/>
                              <w:spacing w:before="0" w:after="0" w:line="240" w:lineRule="auto"/>
                              <w:ind w:left="0" w:right="0" w:firstLine="0"/>
                              <w:jc w:val="center"/>
                            </w:pPr>
                            <w:r>
                              <w:rPr>
                                <w:spacing w:val="0"/>
                                <w:w w:val="100"/>
                                <w:position w:val="0"/>
                              </w:rPr>
                              <w:t>8.47%</w:t>
                            </w:r>
                          </w:p>
                        </w:txbxContent>
                      </wps:txbx>
                      <wps:bodyPr lIns="0" tIns="0" rIns="0" bIns="0">
                        <a:noAutoFit/>
                      </wps:bodyPr>
                    </wps:wsp>
                  </a:graphicData>
                </a:graphic>
              </wp:anchor>
            </w:drawing>
          </mc:Choice>
          <mc:Fallback>
            <w:pict>
              <v:shape id="_x0000_s1045" type="#_x0000_t202" style="position:absolute;margin-left:0;margin-top:48.5pt;width:38.399999999999999pt;height:23.5pt;z-index:-125829369;mso-wrap-distance-left:0;mso-wrap-distance-right:450.5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val="0"/>
                          <w:bCs w:val="0"/>
                          <w:color w:val="000000"/>
                          <w:spacing w:val="0"/>
                          <w:w w:val="100"/>
                          <w:position w:val="0"/>
                          <w:sz w:val="18"/>
                          <w:szCs w:val="18"/>
                        </w:rPr>
                        <w:t>管理人员</w:t>
                      </w:r>
                    </w:p>
                    <w:p>
                      <w:pPr>
                        <w:pStyle w:val="Style55"/>
                        <w:keepNext w:val="0"/>
                        <w:keepLines w:val="0"/>
                        <w:widowControl w:val="0"/>
                        <w:shd w:val="clear" w:color="auto" w:fill="auto"/>
                        <w:bidi w:val="0"/>
                        <w:spacing w:before="0" w:after="0" w:line="240" w:lineRule="auto"/>
                        <w:ind w:left="0" w:right="0" w:firstLine="0"/>
                        <w:jc w:val="center"/>
                      </w:pPr>
                      <w:r>
                        <w:rPr>
                          <w:spacing w:val="0"/>
                          <w:w w:val="100"/>
                          <w:position w:val="0"/>
                        </w:rPr>
                        <w:t>8.47%</w:t>
                      </w:r>
                    </w:p>
                  </w:txbxContent>
                </v:textbox>
                <w10:wrap type="topAndBottom"/>
              </v:shape>
            </w:pict>
          </mc:Fallback>
        </mc:AlternateConten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、教育程度</w:t>
      </w:r>
    </w:p>
    <w:tbl>
      <w:tblPr>
        <w:tblOverlap w:val="never"/>
        <w:jc w:val="center"/>
        <w:tblLayout w:type="fixed"/>
      </w:tblPr>
      <w:tblGrid>
        <w:gridCol w:w="3130"/>
        <w:gridCol w:w="2693"/>
        <w:gridCol w:w="3552"/>
      </w:tblGrid>
      <w:tr>
        <w:trPr>
          <w:trHeight w:val="35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学历类别</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人数</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占公司总人数比例</w:t>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研究生及以上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7.14%</w:t>
            </w: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76.39%</w:t>
            </w: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14.12%</w:t>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大专以下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2.35%</w:t>
            </w:r>
          </w:p>
        </w:tc>
      </w:tr>
      <w:tr>
        <w:trPr>
          <w:trHeight w:val="35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1275</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after="99" w:line="1" w:lineRule="exact"/>
      </w:pPr>
    </w:p>
    <w:p>
      <w:pPr>
        <w:framePr w:w="4037" w:h="3197" w:hSpace="10" w:vSpace="14" w:wrap="notBeside" w:vAnchor="text" w:hAnchor="text" w:x="11" w:y="15"/>
        <w:widowControl w:val="0"/>
        <w:rPr>
          <w:sz w:val="2"/>
          <w:szCs w:val="2"/>
        </w:rPr>
      </w:pPr>
      <w:r>
        <w:drawing>
          <wp:inline>
            <wp:extent cx="2566670" cy="203009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stretch/>
                  </pic:blipFill>
                  <pic:spPr>
                    <a:xfrm>
                      <a:ext cx="2566670" cy="2030095"/>
                    </a:xfrm>
                    <a:prstGeom prst="rect"/>
                  </pic:spPr>
                </pic:pic>
              </a:graphicData>
            </a:graphic>
          </wp:inline>
        </w:drawing>
      </w:r>
    </w:p>
    <w:p>
      <w:pPr>
        <w:widowControl w:val="0"/>
        <w:spacing w:line="1" w:lineRule="exact"/>
      </w:pPr>
      <w:r>
        <mc:AlternateContent>
          <mc:Choice Requires="wps">
            <w:drawing>
              <wp:anchor distT="0" distB="0" distL="0" distR="5824855" simplePos="0" relativeHeight="125829386" behindDoc="0" locked="0" layoutInCell="1" allowOverlap="1">
                <wp:simplePos x="0" y="0"/>
                <wp:positionH relativeFrom="column">
                  <wp:posOffset>1496695</wp:posOffset>
                </wp:positionH>
                <wp:positionV relativeFrom="paragraph">
                  <wp:posOffset>1541780</wp:posOffset>
                </wp:positionV>
                <wp:extent cx="384175" cy="121920"/>
                <wp:wrapTopAndBottom/>
                <wp:docPr id="22" name="Shape 22"/>
                <a:graphic xmlns:a="http://schemas.openxmlformats.org/drawingml/2006/main">
                  <a:graphicData uri="http://schemas.microsoft.com/office/word/2010/wordprocessingShape">
                    <wps:wsp>
                      <wps:cNvSpPr txBox="1"/>
                      <wps:spPr>
                        <a:xfrm>
                          <a:ext cx="384175" cy="12192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7G.39%</w:t>
                            </w:r>
                          </w:p>
                        </w:txbxContent>
                      </wps:txbx>
                      <wps:bodyPr lIns="0" tIns="0" rIns="0" bIns="0">
                        <a:noAutoFit/>
                      </wps:bodyPr>
                    </wps:wsp>
                  </a:graphicData>
                </a:graphic>
              </wp:anchor>
            </w:drawing>
          </mc:Choice>
          <mc:Fallback>
            <w:pict>
              <v:shape id="_x0000_s1048" type="#_x0000_t202" style="position:absolute;margin-left:117.85000000000001pt;margin-top:121.40000000000001pt;width:30.25pt;height:9.5999999999999996pt;z-index:-125829367;mso-wrap-distance-left:0;mso-wrap-distance-right:458.65000000000003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7G.39%</w:t>
                      </w:r>
                    </w:p>
                  </w:txbxContent>
                </v:textbox>
                <w10:wrap type="topAndBottom"/>
              </v:shape>
            </w:pict>
          </mc:Fallback>
        </mc:AlternateContent>
      </w:r>
      <w:r>
        <mc:AlternateContent>
          <mc:Choice Requires="wps">
            <w:drawing>
              <wp:anchor distT="0" distB="0" distL="0" distR="4584700" simplePos="0" relativeHeight="125829388" behindDoc="0" locked="0" layoutInCell="1" allowOverlap="1">
                <wp:simplePos x="0" y="0"/>
                <wp:positionH relativeFrom="column">
                  <wp:posOffset>969645</wp:posOffset>
                </wp:positionH>
                <wp:positionV relativeFrom="paragraph">
                  <wp:posOffset>0</wp:posOffset>
                </wp:positionV>
                <wp:extent cx="1624330" cy="408305"/>
                <wp:wrapTopAndBottom/>
                <wp:docPr id="24" name="Shape 24"/>
                <a:graphic xmlns:a="http://schemas.openxmlformats.org/drawingml/2006/main">
                  <a:graphicData uri="http://schemas.microsoft.com/office/word/2010/wordprocessingShape">
                    <wps:wsp>
                      <wps:cNvSpPr txBox="1"/>
                      <wps:spPr>
                        <a:xfrm>
                          <a:ext cx="1624330" cy="4083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学历类别,研究球以上</w:t>
                            </w:r>
                          </w:p>
                          <w:p>
                            <w:pPr>
                              <w:pStyle w:val="Style55"/>
                              <w:keepNext w:val="0"/>
                              <w:keepLines w:val="0"/>
                              <w:widowControl w:val="0"/>
                              <w:shd w:val="clear" w:color="auto" w:fill="auto"/>
                              <w:tabs>
                                <w:tab w:pos="1099" w:val="left"/>
                                <w:tab w:pos="1699" w:val="left"/>
                              </w:tabs>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w:t>
                              <w:tab/>
                              <w:t>/</w:t>
                              <w:tab/>
                              <w:t>7.14%</w:t>
                            </w:r>
                          </w:p>
                        </w:txbxContent>
                      </wps:txbx>
                      <wps:bodyPr lIns="0" tIns="0" rIns="0" bIns="0">
                        <a:noAutoFit/>
                      </wps:bodyPr>
                    </wps:wsp>
                  </a:graphicData>
                </a:graphic>
              </wp:anchor>
            </w:drawing>
          </mc:Choice>
          <mc:Fallback>
            <w:pict>
              <v:shape id="_x0000_s1050" type="#_x0000_t202" style="position:absolute;margin-left:76.350000000000009pt;margin-top:0;width:127.90000000000001pt;height:32.149999999999999pt;z-index:-125829365;mso-wrap-distance-left:0;mso-wrap-distance-right:361.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学历类别,研究球以上</w:t>
                      </w:r>
                    </w:p>
                    <w:p>
                      <w:pPr>
                        <w:pStyle w:val="Style55"/>
                        <w:keepNext w:val="0"/>
                        <w:keepLines w:val="0"/>
                        <w:widowControl w:val="0"/>
                        <w:shd w:val="clear" w:color="auto" w:fill="auto"/>
                        <w:tabs>
                          <w:tab w:pos="1099" w:val="left"/>
                          <w:tab w:pos="1699" w:val="left"/>
                        </w:tabs>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w:t>
                        <w:tab/>
                        <w:t>/</w:t>
                        <w:tab/>
                        <w:t>7.14%</w:t>
                      </w:r>
                    </w:p>
                  </w:txbxContent>
                </v:textbox>
                <w10:wrap type="topAndBottom"/>
              </v:shape>
            </w:pict>
          </mc:Fallback>
        </mc:AlternateContent>
      </w:r>
      <w:r>
        <mc:AlternateContent>
          <mc:Choice Requires="wps">
            <w:drawing>
              <wp:anchor distT="0" distB="0" distL="0" distR="5468620" simplePos="0" relativeHeight="125829390" behindDoc="0" locked="0" layoutInCell="1" allowOverlap="1">
                <wp:simplePos x="0" y="0"/>
                <wp:positionH relativeFrom="column">
                  <wp:posOffset>0</wp:posOffset>
                </wp:positionH>
                <wp:positionV relativeFrom="paragraph">
                  <wp:posOffset>60960</wp:posOffset>
                </wp:positionV>
                <wp:extent cx="740410" cy="509270"/>
                <wp:wrapTopAndBottom/>
                <wp:docPr id="26" name="Shape 26"/>
                <a:graphic xmlns:a="http://schemas.openxmlformats.org/drawingml/2006/main">
                  <a:graphicData uri="http://schemas.microsoft.com/office/word/2010/wordprocessingShape">
                    <wps:wsp>
                      <wps:cNvSpPr txBox="1"/>
                      <wps:spPr>
                        <a:xfrm>
                          <a:ext cx="740410" cy="509270"/>
                        </a:xfrm>
                        <a:prstGeom prst="rect"/>
                        <a:noFill/>
                      </wps:spPr>
                      <wps:txbx>
                        <w:txbxContent>
                          <w:p>
                            <w:pPr>
                              <w:pStyle w:val="Style55"/>
                              <w:keepNext w:val="0"/>
                              <w:keepLines w:val="0"/>
                              <w:widowControl w:val="0"/>
                              <w:shd w:val="clear" w:color="auto" w:fill="auto"/>
                              <w:bidi w:val="0"/>
                              <w:spacing w:before="0" w:after="0" w:line="181" w:lineRule="exact"/>
                              <w:ind w:left="0" w:right="0" w:firstLine="0"/>
                              <w:jc w:val="right"/>
                            </w:pPr>
                            <w:r>
                              <w:rPr>
                                <w:rFonts w:ascii="SimHei" w:eastAsia="SimHei" w:hAnsi="SimHei" w:cs="SimHei"/>
                                <w:b w:val="0"/>
                                <w:bCs w:val="0"/>
                                <w:color w:val="000000"/>
                                <w:spacing w:val="0"/>
                                <w:w w:val="100"/>
                                <w:position w:val="0"/>
                                <w:sz w:val="18"/>
                                <w:szCs w:val="18"/>
                              </w:rPr>
                              <w:t xml:space="preserve">大专以下、 </w:t>
                            </w:r>
                            <w:r>
                              <w:rPr>
                                <w:spacing w:val="0"/>
                                <w:w w:val="100"/>
                                <w:position w:val="0"/>
                              </w:rPr>
                              <w:t xml:space="preserve">2.35% </w:t>
                            </w:r>
                            <w:r>
                              <w:rPr>
                                <w:rFonts w:ascii="SimHei" w:eastAsia="SimHei" w:hAnsi="SimHei" w:cs="SimHei"/>
                                <w:b w:val="0"/>
                                <w:bCs w:val="0"/>
                                <w:color w:val="000000"/>
                                <w:spacing w:val="0"/>
                                <w:w w:val="100"/>
                                <w:position w:val="0"/>
                                <w:sz w:val="18"/>
                                <w:szCs w:val="18"/>
                              </w:rPr>
                              <w:t xml:space="preserve">大专 </w:t>
                            </w:r>
                            <w:r>
                              <w:rPr>
                                <w:color w:val="000000"/>
                                <w:spacing w:val="0"/>
                                <w:w w:val="100"/>
                                <w:position w:val="0"/>
                              </w:rPr>
                              <w:t>14.12%</w:t>
                            </w:r>
                          </w:p>
                        </w:txbxContent>
                      </wps:txbx>
                      <wps:bodyPr lIns="0" tIns="0" rIns="0" bIns="0">
                        <a:noAutoFit/>
                      </wps:bodyPr>
                    </wps:wsp>
                  </a:graphicData>
                </a:graphic>
              </wp:anchor>
            </w:drawing>
          </mc:Choice>
          <mc:Fallback>
            <w:pict>
              <v:shape id="_x0000_s1052" type="#_x0000_t202" style="position:absolute;margin-left:0;margin-top:4.7999999999999998pt;width:58.300000000000004pt;height:40.100000000000001pt;z-index:-125829363;mso-wrap-distance-left:0;mso-wrap-distance-right:430.60000000000002pt" filled="f" stroked="f">
                <v:textbox inset="0,0,0,0">
                  <w:txbxContent>
                    <w:p>
                      <w:pPr>
                        <w:pStyle w:val="Style55"/>
                        <w:keepNext w:val="0"/>
                        <w:keepLines w:val="0"/>
                        <w:widowControl w:val="0"/>
                        <w:shd w:val="clear" w:color="auto" w:fill="auto"/>
                        <w:bidi w:val="0"/>
                        <w:spacing w:before="0" w:after="0" w:line="181" w:lineRule="exact"/>
                        <w:ind w:left="0" w:right="0" w:firstLine="0"/>
                        <w:jc w:val="right"/>
                      </w:pPr>
                      <w:r>
                        <w:rPr>
                          <w:rFonts w:ascii="SimHei" w:eastAsia="SimHei" w:hAnsi="SimHei" w:cs="SimHei"/>
                          <w:b w:val="0"/>
                          <w:bCs w:val="0"/>
                          <w:color w:val="000000"/>
                          <w:spacing w:val="0"/>
                          <w:w w:val="100"/>
                          <w:position w:val="0"/>
                          <w:sz w:val="18"/>
                          <w:szCs w:val="18"/>
                        </w:rPr>
                        <w:t xml:space="preserve">大专以下、 </w:t>
                      </w:r>
                      <w:r>
                        <w:rPr>
                          <w:spacing w:val="0"/>
                          <w:w w:val="100"/>
                          <w:position w:val="0"/>
                        </w:rPr>
                        <w:t xml:space="preserve">2.35% </w:t>
                      </w:r>
                      <w:r>
                        <w:rPr>
                          <w:rFonts w:ascii="SimHei" w:eastAsia="SimHei" w:hAnsi="SimHei" w:cs="SimHei"/>
                          <w:b w:val="0"/>
                          <w:bCs w:val="0"/>
                          <w:color w:val="000000"/>
                          <w:spacing w:val="0"/>
                          <w:w w:val="100"/>
                          <w:position w:val="0"/>
                          <w:sz w:val="18"/>
                          <w:szCs w:val="18"/>
                        </w:rPr>
                        <w:t xml:space="preserve">大专 </w:t>
                      </w:r>
                      <w:r>
                        <w:rPr>
                          <w:color w:val="000000"/>
                          <w:spacing w:val="0"/>
                          <w:w w:val="100"/>
                          <w:position w:val="0"/>
                        </w:rPr>
                        <w:t>14.12%</w:t>
                      </w:r>
                    </w:p>
                  </w:txbxContent>
                </v:textbox>
                <w10:wrap type="topAndBottom"/>
              </v:shape>
            </w:pict>
          </mc:Fallback>
        </mc:AlternateContent>
      </w:r>
    </w:p>
    <w:p>
      <w:pPr>
        <w:pStyle w:val="Style35"/>
        <w:keepNext w:val="0"/>
        <w:keepLines w:val="0"/>
        <w:widowControl w:val="0"/>
        <w:shd w:val="clear" w:color="auto" w:fill="auto"/>
        <w:tabs>
          <w:tab w:pos="298" w:val="left"/>
        </w:tabs>
        <w:bidi w:val="0"/>
        <w:spacing w:before="0" w:after="0" w:line="314" w:lineRule="exact"/>
        <w:ind w:left="0" w:right="0" w:firstLine="0"/>
        <w:jc w:val="left"/>
      </w:pPr>
      <w:bookmarkStart w:id="306" w:name="bookmark306"/>
      <w:r>
        <w:rPr>
          <w:rFonts w:ascii="Times New Roman" w:eastAsia="Times New Roman" w:hAnsi="Times New Roman" w:cs="Times New Roman"/>
          <w:color w:val="000000"/>
          <w:spacing w:val="0"/>
          <w:w w:val="100"/>
          <w:position w:val="0"/>
        </w:rPr>
        <w:t>3</w:t>
      </w:r>
      <w:bookmarkEnd w:id="306"/>
      <w:r>
        <w:rPr>
          <w:color w:val="000000"/>
          <w:spacing w:val="0"/>
          <w:w w:val="100"/>
          <w:position w:val="0"/>
        </w:rPr>
        <w:t>、</w:t>
        <w:tab/>
        <w:t>薪酬政策</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为了使公司薪酬政策起到吸引人才、激励员工、促进业绩目标完成的作用，公司根据行业薪酬状况以及公司薪酬在市场 中的定位，制定了公司《薪酬管理制度》、《人事管理制度》、《招聘管理制度》及《任职资格管理制度》等。公司薪酬政 策以</w:t>
      </w:r>
      <w:r>
        <w:rPr>
          <w:rFonts w:ascii="Times New Roman" w:eastAsia="Times New Roman" w:hAnsi="Times New Roman" w:cs="Times New Roman"/>
          <w:color w:val="000000"/>
          <w:spacing w:val="0"/>
          <w:w w:val="100"/>
          <w:position w:val="0"/>
        </w:rPr>
        <w:t>“</w:t>
      </w:r>
      <w:r>
        <w:rPr>
          <w:color w:val="000000"/>
          <w:spacing w:val="0"/>
          <w:w w:val="100"/>
          <w:position w:val="0"/>
        </w:rPr>
        <w:t>外部均衡性、内部均衡性和个体均衡性</w:t>
      </w:r>
      <w:r>
        <w:rPr>
          <w:rFonts w:ascii="Times New Roman" w:eastAsia="Times New Roman" w:hAnsi="Times New Roman" w:cs="Times New Roman"/>
          <w:color w:val="000000"/>
          <w:spacing w:val="0"/>
          <w:w w:val="100"/>
          <w:position w:val="0"/>
        </w:rPr>
        <w:t>”</w:t>
      </w:r>
      <w:r>
        <w:rPr>
          <w:color w:val="000000"/>
          <w:spacing w:val="0"/>
          <w:w w:val="100"/>
          <w:position w:val="0"/>
        </w:rPr>
        <w:t>为原则，保证了员工薪酬的公平性和激励作用，促进了公司员工与公司共同成 长与发展。</w:t>
      </w:r>
    </w:p>
    <w:p>
      <w:pPr>
        <w:pStyle w:val="Style35"/>
        <w:keepNext w:val="0"/>
        <w:keepLines w:val="0"/>
        <w:widowControl w:val="0"/>
        <w:shd w:val="clear" w:color="auto" w:fill="auto"/>
        <w:tabs>
          <w:tab w:pos="313" w:val="left"/>
        </w:tabs>
        <w:bidi w:val="0"/>
        <w:spacing w:before="0" w:after="0" w:line="314" w:lineRule="exact"/>
        <w:ind w:left="0" w:right="0" w:firstLine="0"/>
        <w:jc w:val="left"/>
      </w:pPr>
      <w:bookmarkStart w:id="307" w:name="bookmark307"/>
      <w:r>
        <w:rPr>
          <w:rFonts w:ascii="Times New Roman" w:eastAsia="Times New Roman" w:hAnsi="Times New Roman" w:cs="Times New Roman"/>
          <w:color w:val="000000"/>
          <w:spacing w:val="0"/>
          <w:w w:val="100"/>
          <w:position w:val="0"/>
        </w:rPr>
        <w:t>4</w:t>
      </w:r>
      <w:bookmarkEnd w:id="307"/>
      <w:r>
        <w:rPr>
          <w:color w:val="000000"/>
          <w:spacing w:val="0"/>
          <w:w w:val="100"/>
          <w:position w:val="0"/>
        </w:rPr>
        <w:t>、</w:t>
        <w:tab/>
        <w:t>培训计划</w:t>
      </w:r>
    </w:p>
    <w:p>
      <w:pPr>
        <w:pStyle w:val="Style35"/>
        <w:keepNext w:val="0"/>
        <w:keepLines w:val="0"/>
        <w:widowControl w:val="0"/>
        <w:shd w:val="clear" w:color="auto" w:fill="auto"/>
        <w:bidi w:val="0"/>
        <w:spacing w:before="0" w:after="40" w:line="314" w:lineRule="exact"/>
        <w:ind w:left="0" w:right="0"/>
        <w:jc w:val="both"/>
      </w:pPr>
      <w:r>
        <w:rPr>
          <w:color w:val="000000"/>
          <w:spacing w:val="0"/>
          <w:w w:val="100"/>
          <w:position w:val="0"/>
        </w:rPr>
        <w:t>公司高度重视员工培训工作，为员工搭建了全方位、分层次的培训体系，并制定了《培训学习管理制度》。公司针对不 同层级、不同岗位对员工技能的要求，设置不同层次的岗位技能培训课程，如管理人员培训、项目管理人员培训、业务培训、 岗前培训、素质培训等等，从而全面提升公司员工的岗位胜任能力和综合素质能力。</w:t>
      </w:r>
    </w:p>
    <w:p>
      <w:pPr>
        <w:pStyle w:val="Style17"/>
        <w:keepNext/>
        <w:keepLines/>
        <w:widowControl w:val="0"/>
        <w:shd w:val="clear" w:color="auto" w:fill="auto"/>
        <w:bidi w:val="0"/>
        <w:spacing w:before="0" w:after="540" w:line="240" w:lineRule="auto"/>
        <w:ind w:left="0" w:right="0" w:firstLine="0"/>
        <w:jc w:val="center"/>
      </w:pPr>
      <w:bookmarkStart w:id="308" w:name="bookmark308"/>
      <w:bookmarkStart w:id="309" w:name="bookmark309"/>
      <w:bookmarkStart w:id="310" w:name="bookmark310"/>
      <w:r>
        <w:rPr>
          <w:color w:val="000000"/>
          <w:spacing w:val="0"/>
          <w:w w:val="100"/>
          <w:position w:val="0"/>
        </w:rPr>
        <w:t>第八节公司治理</w:t>
      </w:r>
      <w:bookmarkEnd w:id="308"/>
      <w:bookmarkEnd w:id="309"/>
      <w:bookmarkEnd w:id="310"/>
    </w:p>
    <w:p>
      <w:pPr>
        <w:pStyle w:val="Style31"/>
        <w:keepNext/>
        <w:keepLines/>
        <w:widowControl w:val="0"/>
        <w:shd w:val="clear" w:color="auto" w:fill="auto"/>
        <w:bidi w:val="0"/>
        <w:spacing w:before="0" w:after="26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sz w:val="24"/>
          <w:szCs w:val="24"/>
        </w:rPr>
        <w:t>一</w:t>
      </w:r>
      <w:bookmarkEnd w:id="313"/>
      <w:r>
        <w:rPr>
          <w:color w:val="000000"/>
          <w:spacing w:val="0"/>
          <w:w w:val="100"/>
          <w:position w:val="0"/>
          <w:sz w:val="24"/>
          <w:szCs w:val="24"/>
        </w:rPr>
        <w:t>、公司治理的基本状况</w:t>
      </w:r>
      <w:bookmarkEnd w:id="311"/>
      <w:bookmarkEnd w:id="312"/>
      <w:bookmarkEnd w:id="314"/>
    </w:p>
    <w:p>
      <w:pPr>
        <w:pStyle w:val="Style35"/>
        <w:keepNext w:val="0"/>
        <w:keepLines w:val="0"/>
        <w:widowControl w:val="0"/>
        <w:shd w:val="clear" w:color="auto" w:fill="auto"/>
        <w:bidi w:val="0"/>
        <w:spacing w:before="0" w:after="40" w:line="314" w:lineRule="exact"/>
        <w:ind w:left="0" w:right="0" w:firstLine="360"/>
        <w:jc w:val="both"/>
      </w:pPr>
      <w:r>
        <w:rPr>
          <w:color w:val="000000"/>
          <w:spacing w:val="0"/>
          <w:w w:val="100"/>
          <w:position w:val="0"/>
        </w:rPr>
        <w:t>报告期内，公司严格按照《公司法》、《证券法》、《上市公司治理准则》、《深圳证券交易所股票上市规则》、《深 圳证券交易所中小企业板上市公司规范运作指引》等相关法律、法规的规定，不断完善公司法人治理结构，健全内部控制体 系。为进一步实现规范运作，公司报告期内建立和修订的法人治理相关制度如下：</w:t>
      </w:r>
    </w:p>
    <w:tbl>
      <w:tblPr>
        <w:tblOverlap w:val="never"/>
        <w:jc w:val="left"/>
        <w:tblLayout w:type="fixed"/>
      </w:tblPr>
      <w:tblGrid>
        <w:gridCol w:w="826"/>
        <w:gridCol w:w="5957"/>
        <w:gridCol w:w="1757"/>
      </w:tblGrid>
      <w:tr>
        <w:trPr>
          <w:trHeight w:val="360"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制度名称</w:t>
            </w:r>
          </w:p>
        </w:tc>
        <w:tc>
          <w:tcPr>
            <w:tcBorders>
              <w:top w:val="single" w:sz="4"/>
              <w:left w:val="single" w:sz="4"/>
              <w:righ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建立</w:t>
            </w:r>
            <w:r>
              <w:rPr>
                <w:rFonts w:ascii="Times New Roman" w:eastAsia="Times New Roman" w:hAnsi="Times New Roman" w:cs="Times New Roman"/>
                <w:color w:val="000000"/>
                <w:spacing w:val="0"/>
                <w:w w:val="100"/>
                <w:position w:val="0"/>
              </w:rPr>
              <w:t>/</w:t>
            </w:r>
            <w:r>
              <w:rPr>
                <w:color w:val="000000"/>
                <w:spacing w:val="0"/>
                <w:w w:val="100"/>
                <w:position w:val="0"/>
              </w:rPr>
              <w:t>修订时间</w:t>
            </w: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《公司章程》（修订）</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2013-05-16</w:t>
            </w: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《董事会议事规则》（修订）</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2013-05-16</w:t>
            </w:r>
          </w:p>
        </w:tc>
      </w:tr>
      <w:tr>
        <w:trPr>
          <w:trHeight w:val="36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《董事、监事和高级管理人员薪酬管理制度》（建立）</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2013-05-16</w:t>
            </w:r>
          </w:p>
        </w:tc>
      </w:tr>
    </w:tbl>
    <w:p>
      <w:pPr>
        <w:pStyle w:val="Style33"/>
        <w:keepNext w:val="0"/>
        <w:keepLines w:val="0"/>
        <w:widowControl w:val="0"/>
        <w:shd w:val="clear" w:color="auto" w:fill="auto"/>
        <w:bidi w:val="0"/>
        <w:spacing w:before="0" w:after="0" w:line="240" w:lineRule="auto"/>
        <w:ind w:left="86" w:right="0" w:firstLine="0"/>
        <w:jc w:val="left"/>
      </w:pPr>
      <w:r>
        <w:rPr>
          <w:color w:val="000000"/>
          <w:spacing w:val="0"/>
          <w:w w:val="100"/>
          <w:position w:val="0"/>
        </w:rPr>
        <w:t>（一）关于股东与股东大会</w:t>
      </w:r>
    </w:p>
    <w:p>
      <w:pPr>
        <w:pStyle w:val="Style35"/>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公司严格按照《公司法》、《公司章程》及《股东大会议事规则》的要求，规范股东大会的召集、召开、提案提交及表 决等程序，依法规范运作，保障股东的合法权益，确保股东特别是中小股东能够充分行使股东权利，未出现违法违规的情况。</w:t>
      </w:r>
    </w:p>
    <w:p>
      <w:pPr>
        <w:pStyle w:val="Style35"/>
        <w:keepNext w:val="0"/>
        <w:keepLines w:val="0"/>
        <w:widowControl w:val="0"/>
        <w:shd w:val="clear" w:color="auto" w:fill="auto"/>
        <w:tabs>
          <w:tab w:pos="518" w:val="left"/>
        </w:tabs>
        <w:bidi w:val="0"/>
        <w:spacing w:before="0" w:after="0" w:line="315" w:lineRule="exact"/>
        <w:ind w:left="0" w:right="0" w:firstLine="0"/>
        <w:jc w:val="left"/>
      </w:pPr>
      <w:bookmarkStart w:id="315" w:name="bookmark315"/>
      <w:r>
        <w:rPr>
          <w:color w:val="000000"/>
          <w:spacing w:val="0"/>
          <w:w w:val="100"/>
          <w:position w:val="0"/>
        </w:rPr>
        <w:t>（</w:t>
      </w:r>
      <w:bookmarkEnd w:id="315"/>
      <w:r>
        <w:rPr>
          <w:color w:val="000000"/>
          <w:spacing w:val="0"/>
          <w:w w:val="100"/>
          <w:position w:val="0"/>
        </w:rPr>
        <w:t>二）</w:t>
        <w:tab/>
        <w:t>关于公司与控股股东</w:t>
      </w:r>
    </w:p>
    <w:p>
      <w:pPr>
        <w:pStyle w:val="Style35"/>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公司拥有独立的业务和经营自主能力，在业务、人员、资产、机构、财务上独立于控股股东，公司董事会、监事会和内 部机构独立运作。公司控股股东能严格规范自己的行为，没有超越公司股东大会直接或间接干预公司的决策和经营活动的行 为。</w:t>
      </w:r>
    </w:p>
    <w:p>
      <w:pPr>
        <w:pStyle w:val="Style35"/>
        <w:keepNext w:val="0"/>
        <w:keepLines w:val="0"/>
        <w:widowControl w:val="0"/>
        <w:shd w:val="clear" w:color="auto" w:fill="auto"/>
        <w:tabs>
          <w:tab w:pos="518" w:val="left"/>
        </w:tabs>
        <w:bidi w:val="0"/>
        <w:spacing w:before="0" w:after="0" w:line="315" w:lineRule="exact"/>
        <w:ind w:left="0" w:right="0" w:firstLine="0"/>
        <w:jc w:val="left"/>
      </w:pPr>
      <w:bookmarkStart w:id="316" w:name="bookmark316"/>
      <w:r>
        <w:rPr>
          <w:color w:val="000000"/>
          <w:spacing w:val="0"/>
          <w:w w:val="100"/>
          <w:position w:val="0"/>
        </w:rPr>
        <w:t>（</w:t>
      </w:r>
      <w:bookmarkEnd w:id="316"/>
      <w:r>
        <w:rPr>
          <w:color w:val="000000"/>
          <w:spacing w:val="0"/>
          <w:w w:val="100"/>
          <w:position w:val="0"/>
        </w:rPr>
        <w:t>三）</w:t>
        <w:tab/>
        <w:t>关于董事和董事会</w:t>
      </w:r>
    </w:p>
    <w:p>
      <w:pPr>
        <w:pStyle w:val="Style35"/>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rPr>
        <w:t>7</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名。董事会的人数及人员构成符合相关法律、法规的要求。董事会按照《公 司法》、《董事会议事规则》及《深圳证券交易所中小企业板上市公司规范运作指引》的要求召集组织会议，全体董事能够 依法行使职权，认真履行董事诚实守信、勤勉尽责的义务，认真出席董事会和股东大会。</w:t>
      </w:r>
    </w:p>
    <w:p>
      <w:pPr>
        <w:pStyle w:val="Style35"/>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报告期内，公司第四届董事会任期届满，根据《公司法》、《公司章程》等有关法律法规的规定，公司完成了第五届董 事会换届选举工作。</w:t>
      </w:r>
    </w:p>
    <w:p>
      <w:pPr>
        <w:pStyle w:val="Style35"/>
        <w:keepNext w:val="0"/>
        <w:keepLines w:val="0"/>
        <w:widowControl w:val="0"/>
        <w:shd w:val="clear" w:color="auto" w:fill="auto"/>
        <w:bidi w:val="0"/>
        <w:spacing w:before="0" w:after="0" w:line="315" w:lineRule="exact"/>
        <w:ind w:left="0" w:right="0" w:firstLine="360"/>
        <w:jc w:val="both"/>
      </w:pPr>
      <w:r>
        <w:rPr>
          <w:color w:val="000000"/>
          <w:spacing w:val="0"/>
          <w:w w:val="100"/>
          <w:position w:val="0"/>
        </w:rPr>
        <w:t>董事会下设的战略发展委员会、审计委员会、薪酬与考核委员会和提名委员会，能够严格按照有关议事规则的要求召集 并组织会议，在董事会授权范围内，积极发挥专门委员会的专业作用，协助董事会履行职责，有效提升了董事会的履职能力， 进一步完善了公司治理结构。</w:t>
      </w:r>
    </w:p>
    <w:p>
      <w:pPr>
        <w:pStyle w:val="Style35"/>
        <w:keepNext w:val="0"/>
        <w:keepLines w:val="0"/>
        <w:widowControl w:val="0"/>
        <w:shd w:val="clear" w:color="auto" w:fill="auto"/>
        <w:tabs>
          <w:tab w:pos="518" w:val="left"/>
        </w:tabs>
        <w:bidi w:val="0"/>
        <w:spacing w:before="0" w:after="0" w:line="315" w:lineRule="exact"/>
        <w:ind w:left="0" w:right="0" w:firstLine="0"/>
        <w:jc w:val="left"/>
      </w:pPr>
      <w:bookmarkStart w:id="317" w:name="bookmark317"/>
      <w:r>
        <w:rPr>
          <w:color w:val="000000"/>
          <w:spacing w:val="0"/>
          <w:w w:val="100"/>
          <w:position w:val="0"/>
        </w:rPr>
        <w:t>（</w:t>
      </w:r>
      <w:bookmarkEnd w:id="317"/>
      <w:r>
        <w:rPr>
          <w:color w:val="000000"/>
          <w:spacing w:val="0"/>
          <w:w w:val="100"/>
          <w:position w:val="0"/>
        </w:rPr>
        <w:t>四）</w:t>
        <w:tab/>
        <w:t>关于监事和监事会</w:t>
      </w:r>
    </w:p>
    <w:p>
      <w:pPr>
        <w:pStyle w:val="Style35"/>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名，监事会的人数和构成符合相关法律、法规的要求。监事会严格按照《公 司章程》和《监事会议事规则》要求，对公司财务状况、董事会专门委员会及董事、独立董事、高级管理人员履职的合法合 规性进行了监督，切实履行了职责。</w:t>
      </w:r>
    </w:p>
    <w:p>
      <w:pPr>
        <w:pStyle w:val="Style35"/>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报告期内，公司第四届监事会任期届满，根据《公司法》、《公司章程》等有关法律法规的规定，公司完成了第五届监 事会职工代表监事及非职工代表监事换届选举工作。</w:t>
      </w:r>
    </w:p>
    <w:p>
      <w:pPr>
        <w:pStyle w:val="Style35"/>
        <w:keepNext w:val="0"/>
        <w:keepLines w:val="0"/>
        <w:widowControl w:val="0"/>
        <w:shd w:val="clear" w:color="auto" w:fill="auto"/>
        <w:tabs>
          <w:tab w:pos="518" w:val="left"/>
        </w:tabs>
        <w:bidi w:val="0"/>
        <w:spacing w:before="0" w:after="0" w:line="315" w:lineRule="exact"/>
        <w:ind w:left="0" w:right="0" w:firstLine="0"/>
        <w:jc w:val="left"/>
      </w:pPr>
      <w:bookmarkStart w:id="318" w:name="bookmark318"/>
      <w:r>
        <w:rPr>
          <w:color w:val="000000"/>
          <w:spacing w:val="0"/>
          <w:w w:val="100"/>
          <w:position w:val="0"/>
        </w:rPr>
        <w:t>（</w:t>
      </w:r>
      <w:bookmarkEnd w:id="318"/>
      <w:r>
        <w:rPr>
          <w:color w:val="000000"/>
          <w:spacing w:val="0"/>
          <w:w w:val="100"/>
          <w:position w:val="0"/>
        </w:rPr>
        <w:t>五）</w:t>
        <w:tab/>
        <w:t>关于内部审计工作</w:t>
      </w:r>
    </w:p>
    <w:p>
      <w:pPr>
        <w:pStyle w:val="Style35"/>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公司按照《公司法》、《审计法》、《审计署关于内部审计工作的规定》、《深圳证券交易所中小企业板上市公司规范 运作指引》的要求，制定了《内部审计制度》，设立了审计部，并配备了专职的内部审计人员，对公司日常运营进行有效监 控，并对公司内控的完整性、合理性及其实施的有效性进行检查和评估。</w:t>
      </w:r>
    </w:p>
    <w:p>
      <w:pPr>
        <w:pStyle w:val="Style35"/>
        <w:keepNext w:val="0"/>
        <w:keepLines w:val="0"/>
        <w:widowControl w:val="0"/>
        <w:shd w:val="clear" w:color="auto" w:fill="auto"/>
        <w:tabs>
          <w:tab w:pos="518" w:val="left"/>
        </w:tabs>
        <w:bidi w:val="0"/>
        <w:spacing w:before="0" w:after="0" w:line="315" w:lineRule="exact"/>
        <w:ind w:left="0" w:right="0" w:firstLine="0"/>
        <w:jc w:val="left"/>
      </w:pPr>
      <w:bookmarkStart w:id="319" w:name="bookmark319"/>
      <w:r>
        <w:rPr>
          <w:color w:val="000000"/>
          <w:spacing w:val="0"/>
          <w:w w:val="100"/>
          <w:position w:val="0"/>
        </w:rPr>
        <w:t>（</w:t>
      </w:r>
      <w:bookmarkEnd w:id="319"/>
      <w:r>
        <w:rPr>
          <w:color w:val="000000"/>
          <w:spacing w:val="0"/>
          <w:w w:val="100"/>
          <w:position w:val="0"/>
        </w:rPr>
        <w:t>六）</w:t>
        <w:tab/>
        <w:t>关于相关利益者</w:t>
      </w:r>
    </w:p>
    <w:p>
      <w:pPr>
        <w:pStyle w:val="Style35"/>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公司充分尊重和维护相关利益者的合法权益，实现社会、股东、公司、员工等各方利益的协调平衡，诚信对待供应商和 客户，坚持与相关利益者互利共赢的原则，共同推动公司持续、稳健发展。</w:t>
      </w:r>
    </w:p>
    <w:p>
      <w:pPr>
        <w:pStyle w:val="Style35"/>
        <w:keepNext w:val="0"/>
        <w:keepLines w:val="0"/>
        <w:widowControl w:val="0"/>
        <w:shd w:val="clear" w:color="auto" w:fill="auto"/>
        <w:tabs>
          <w:tab w:pos="518" w:val="left"/>
        </w:tabs>
        <w:bidi w:val="0"/>
        <w:spacing w:before="0" w:after="140" w:line="315" w:lineRule="exact"/>
        <w:ind w:left="0" w:right="0" w:firstLine="0"/>
        <w:jc w:val="left"/>
      </w:pPr>
      <w:bookmarkStart w:id="320" w:name="bookmark320"/>
      <w:r>
        <w:rPr>
          <w:color w:val="000000"/>
          <w:spacing w:val="0"/>
          <w:w w:val="100"/>
          <w:position w:val="0"/>
        </w:rPr>
        <w:t>（</w:t>
      </w:r>
      <w:bookmarkEnd w:id="320"/>
      <w:r>
        <w:rPr>
          <w:color w:val="000000"/>
          <w:spacing w:val="0"/>
          <w:w w:val="100"/>
          <w:position w:val="0"/>
        </w:rPr>
        <w:t>七）</w:t>
        <w:tab/>
        <w:t>关于信息披露与投资者关系管理</w:t>
      </w:r>
    </w:p>
    <w:p>
      <w:pPr>
        <w:pStyle w:val="Style35"/>
        <w:keepNext w:val="0"/>
        <w:keepLines w:val="0"/>
        <w:widowControl w:val="0"/>
        <w:shd w:val="clear" w:color="auto" w:fill="auto"/>
        <w:bidi w:val="0"/>
        <w:spacing w:before="0" w:after="340" w:line="313" w:lineRule="exact"/>
        <w:ind w:left="0" w:right="0"/>
        <w:jc w:val="both"/>
      </w:pPr>
      <w:r>
        <w:rPr>
          <w:color w:val="000000"/>
          <w:spacing w:val="0"/>
          <w:w w:val="100"/>
          <w:position w:val="0"/>
        </w:rPr>
        <w:t>公司严格按照中国证监会《上市公司信息披露管理办法》、《深圳证券交易所中小企业板上市公司规范运作指引》的规 定，以及公司《信息披露制度》、《投资者关系管理制度》的要求，履行信息披露义务。公司董事会秘书为信息披露及投资 者关系管理的负责人，通过采用投资者专线电话、电子邮箱、现场接待及深圳证券交易所互动易平台等多种方式，实现与广 大投资者及时、高效的沟通；并及时通过深交所互动易平台向广大股东展示投资者关系活动记录表，着力于提高公司信息披 露的透明度及公平性。《中国证券报》、《证券时报》为公司信息披露的指定报纸，巨潮资讯网</w:t>
      </w:r>
      <w:r>
        <w:rPr>
          <w:rFonts w:ascii="Times New Roman" w:eastAsia="Times New Roman" w:hAnsi="Times New Roman" w:cs="Times New Roman"/>
          <w:color w:val="000000"/>
          <w:spacing w:val="0"/>
          <w:w w:val="100"/>
          <w:position w:val="0"/>
        </w:rPr>
        <w:t>www.cnmfo.com.cn</w:t>
      </w:r>
      <w:r>
        <w:rPr>
          <w:color w:val="000000"/>
          <w:spacing w:val="0"/>
          <w:w w:val="100"/>
          <w:position w:val="0"/>
        </w:rPr>
        <w:t>为公司 信息披露的指定网站，严格按照有关规定真实、准确、完整、及时地披露有关信息，确保公司所有股东能够平等地获得信息。</w:t>
      </w:r>
    </w:p>
    <w:p>
      <w:pPr>
        <w:pStyle w:val="Style35"/>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公司治理与《公司法》和中国证监会相关规定的要求是否存在差异</w:t>
      </w:r>
    </w:p>
    <w:p>
      <w:pPr>
        <w:pStyle w:val="Style3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公司治理与《公司法》和中国证监会相关规定的要求不存在差异。</w:t>
      </w:r>
    </w:p>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公司治理专项活动开展情况以及内幕信息知情人登记管理制度的制定、实施情况</w:t>
      </w:r>
    </w:p>
    <w:p>
      <w:pPr>
        <w:pStyle w:val="Style35"/>
        <w:keepNext w:val="0"/>
        <w:keepLines w:val="0"/>
        <w:widowControl w:val="0"/>
        <w:shd w:val="clear" w:color="auto" w:fill="auto"/>
        <w:tabs>
          <w:tab w:pos="674" w:val="left"/>
        </w:tabs>
        <w:bidi w:val="0"/>
        <w:spacing w:before="0" w:after="0" w:line="317" w:lineRule="exact"/>
        <w:ind w:left="0" w:right="0" w:firstLine="0"/>
        <w:jc w:val="left"/>
      </w:pPr>
      <w:bookmarkStart w:id="321" w:name="bookmark321"/>
      <w:r>
        <w:rPr>
          <w:color w:val="000000"/>
          <w:spacing w:val="0"/>
          <w:w w:val="100"/>
          <w:position w:val="0"/>
        </w:rPr>
        <w:t>（</w:t>
      </w:r>
      <w:bookmarkEnd w:id="321"/>
      <w:r>
        <w:rPr>
          <w:color w:val="000000"/>
          <w:spacing w:val="0"/>
          <w:w w:val="100"/>
          <w:position w:val="0"/>
        </w:rPr>
        <w:t>一）</w:t>
        <w:tab/>
        <w:t>公司治理专项活动开展情况</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报告期内，公司继续加强并落实公司治理专项活动，主要开展情况如下：</w:t>
      </w:r>
    </w:p>
    <w:p>
      <w:pPr>
        <w:pStyle w:val="Style35"/>
        <w:keepNext w:val="0"/>
        <w:keepLines w:val="0"/>
        <w:widowControl w:val="0"/>
        <w:shd w:val="clear" w:color="auto" w:fill="auto"/>
        <w:tabs>
          <w:tab w:pos="694" w:val="left"/>
        </w:tabs>
        <w:bidi w:val="0"/>
        <w:spacing w:before="0" w:after="0" w:line="317" w:lineRule="exact"/>
        <w:ind w:left="0" w:right="0"/>
        <w:jc w:val="both"/>
      </w:pPr>
      <w:bookmarkStart w:id="322" w:name="bookmark322"/>
      <w:r>
        <w:rPr>
          <w:rFonts w:ascii="Times New Roman" w:eastAsia="Times New Roman" w:hAnsi="Times New Roman" w:cs="Times New Roman"/>
          <w:color w:val="000000"/>
          <w:spacing w:val="0"/>
          <w:w w:val="100"/>
          <w:position w:val="0"/>
        </w:rPr>
        <w:t>1</w:t>
      </w:r>
      <w:bookmarkEnd w:id="322"/>
      <w:r>
        <w:rPr>
          <w:color w:val="000000"/>
          <w:spacing w:val="0"/>
          <w:w w:val="100"/>
          <w:position w:val="0"/>
        </w:rPr>
        <w:t>、</w:t>
        <w:tab/>
        <w:t>为进一步完善公司法人治理结构并结合公司自身发展需求，公司对《公司章程》、《董事会议事规则》进行了修订， 并新建了《董事、监事和高级管理人员薪酬管理制度》；</w:t>
      </w:r>
    </w:p>
    <w:p>
      <w:pPr>
        <w:pStyle w:val="Style35"/>
        <w:keepNext w:val="0"/>
        <w:keepLines w:val="0"/>
        <w:widowControl w:val="0"/>
        <w:shd w:val="clear" w:color="auto" w:fill="auto"/>
        <w:tabs>
          <w:tab w:pos="694" w:val="left"/>
        </w:tabs>
        <w:bidi w:val="0"/>
        <w:spacing w:before="0" w:after="0" w:line="320" w:lineRule="exact"/>
        <w:ind w:left="0" w:right="0"/>
        <w:jc w:val="both"/>
      </w:pPr>
      <w:bookmarkStart w:id="323" w:name="bookmark323"/>
      <w:r>
        <w:rPr>
          <w:rFonts w:ascii="Times New Roman" w:eastAsia="Times New Roman" w:hAnsi="Times New Roman" w:cs="Times New Roman"/>
          <w:color w:val="000000"/>
          <w:spacing w:val="0"/>
          <w:w w:val="100"/>
          <w:position w:val="0"/>
        </w:rPr>
        <w:t>2</w:t>
      </w:r>
      <w:bookmarkEnd w:id="323"/>
      <w:r>
        <w:rPr>
          <w:color w:val="000000"/>
          <w:spacing w:val="0"/>
          <w:w w:val="100"/>
          <w:position w:val="0"/>
        </w:rPr>
        <w:t>、</w:t>
        <w:tab/>
        <w:t>鉴于公司第四届董事会、董事会专门委员会及监事会任期届满，公司严格按照《公司法》、《公司章程》等有关法律 法规的规定，履行完成第五届董事会、董事会专门委员会及监事会换届选举工作，以及高级管理人员的聘任工作；</w:t>
      </w:r>
    </w:p>
    <w:p>
      <w:pPr>
        <w:pStyle w:val="Style35"/>
        <w:keepNext w:val="0"/>
        <w:keepLines w:val="0"/>
        <w:widowControl w:val="0"/>
        <w:shd w:val="clear" w:color="auto" w:fill="auto"/>
        <w:tabs>
          <w:tab w:pos="704" w:val="left"/>
        </w:tabs>
        <w:bidi w:val="0"/>
        <w:spacing w:before="0" w:after="0" w:line="320" w:lineRule="exact"/>
        <w:ind w:left="0" w:right="0"/>
        <w:jc w:val="both"/>
      </w:pPr>
      <w:bookmarkStart w:id="324" w:name="bookmark324"/>
      <w:r>
        <w:rPr>
          <w:rFonts w:ascii="Times New Roman" w:eastAsia="Times New Roman" w:hAnsi="Times New Roman" w:cs="Times New Roman"/>
          <w:color w:val="000000"/>
          <w:spacing w:val="0"/>
          <w:w w:val="100"/>
          <w:position w:val="0"/>
        </w:rPr>
        <w:t>3</w:t>
      </w:r>
      <w:bookmarkEnd w:id="324"/>
      <w:r>
        <w:rPr>
          <w:color w:val="000000"/>
          <w:spacing w:val="0"/>
          <w:w w:val="100"/>
          <w:position w:val="0"/>
        </w:rPr>
        <w:t>、</w:t>
        <w:tab/>
        <w:t>根据北京证监局于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日下发的《关于进一步加强北京辖区中小板、创业板上市公司投资者关系管理工 作的通知》（京证监发</w:t>
      </w:r>
      <w:r>
        <w:rPr>
          <w:rFonts w:ascii="Times New Roman" w:eastAsia="Times New Roman" w:hAnsi="Times New Roman" w:cs="Times New Roman"/>
          <w:color w:val="000000"/>
          <w:spacing w:val="0"/>
          <w:w w:val="100"/>
          <w:position w:val="0"/>
        </w:rPr>
        <w:t>[2013]308</w:t>
      </w:r>
      <w:r>
        <w:rPr>
          <w:color w:val="000000"/>
          <w:spacing w:val="0"/>
          <w:w w:val="100"/>
          <w:position w:val="0"/>
        </w:rPr>
        <w:t>号），公司对投资者关系管理工作进行了系统梳理，并制定了</w:t>
      </w:r>
      <w:r>
        <w:rPr>
          <w:rFonts w:ascii="Times New Roman" w:eastAsia="Times New Roman" w:hAnsi="Times New Roman" w:cs="Times New Roman"/>
          <w:color w:val="000000"/>
          <w:spacing w:val="0"/>
          <w:w w:val="100"/>
          <w:position w:val="0"/>
        </w:rPr>
        <w:t>“</w:t>
      </w:r>
      <w:r>
        <w:rPr>
          <w:color w:val="000000"/>
          <w:spacing w:val="0"/>
          <w:w w:val="100"/>
          <w:position w:val="0"/>
        </w:rPr>
        <w:t>投资者关系管理工作改进计划</w:t>
      </w:r>
      <w:r>
        <w:rPr>
          <w:rFonts w:ascii="Times New Roman" w:eastAsia="Times New Roman" w:hAnsi="Times New Roman" w:cs="Times New Roman"/>
          <w:color w:val="000000"/>
          <w:spacing w:val="0"/>
          <w:w w:val="100"/>
          <w:position w:val="0"/>
        </w:rPr>
        <w:t>”</w:t>
      </w:r>
      <w:r>
        <w:rPr>
          <w:color w:val="000000"/>
          <w:spacing w:val="0"/>
          <w:w w:val="100"/>
          <w:position w:val="0"/>
        </w:rPr>
        <w:t>, 以进一步加强完善公司投资者关系管理工作，有效保障广大投资者的合法权益。</w:t>
      </w:r>
    </w:p>
    <w:p>
      <w:pPr>
        <w:pStyle w:val="Style35"/>
        <w:keepNext w:val="0"/>
        <w:keepLines w:val="0"/>
        <w:widowControl w:val="0"/>
        <w:shd w:val="clear" w:color="auto" w:fill="auto"/>
        <w:tabs>
          <w:tab w:pos="674" w:val="left"/>
        </w:tabs>
        <w:bidi w:val="0"/>
        <w:spacing w:before="0" w:after="0" w:line="317" w:lineRule="exact"/>
        <w:ind w:left="0" w:right="0" w:firstLine="0"/>
        <w:jc w:val="left"/>
      </w:pPr>
      <w:bookmarkStart w:id="325" w:name="bookmark325"/>
      <w:r>
        <w:rPr>
          <w:color w:val="000000"/>
          <w:spacing w:val="0"/>
          <w:w w:val="100"/>
          <w:position w:val="0"/>
        </w:rPr>
        <w:t>（</w:t>
      </w:r>
      <w:bookmarkEnd w:id="325"/>
      <w:r>
        <w:rPr>
          <w:color w:val="000000"/>
          <w:spacing w:val="0"/>
          <w:w w:val="100"/>
          <w:position w:val="0"/>
        </w:rPr>
        <w:t>二）</w:t>
        <w:tab/>
        <w:t>公司内幕信息知情人登记管理制度的制定、实施情况</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2010</w:t>
      </w:r>
      <w:r>
        <w:rPr>
          <w:color w:val="000000"/>
          <w:spacing w:val="0"/>
          <w:w w:val="100"/>
          <w:position w:val="0"/>
        </w:rPr>
        <w:t>年建立了《内幕信息知情人管理制度》。报告期内，公司严格按照《证券法》、《上市公司信息披露管理办法》 及《关于上市公司建立内幕信息知情人登记管理制度的规定》等法律、法规，以及公司《内幕信息知情人管理制度》的规定， 落实并执行了内幕信息知情人窗口期禁止买卖的提示告知，以及定期报告、重大资产重组等事项的内幕信息知情人登记备案 工作，公司能够有效的展开内幕信息管理工作，保护投资者合法权益。</w:t>
      </w:r>
    </w:p>
    <w:p>
      <w:pPr>
        <w:pStyle w:val="Style35"/>
        <w:keepNext w:val="0"/>
        <w:keepLines w:val="0"/>
        <w:widowControl w:val="0"/>
        <w:shd w:val="clear" w:color="auto" w:fill="auto"/>
        <w:bidi w:val="0"/>
        <w:spacing w:before="0" w:after="340" w:line="312" w:lineRule="exact"/>
        <w:ind w:left="0" w:right="0"/>
        <w:jc w:val="both"/>
      </w:pPr>
      <w:r>
        <w:rPr>
          <w:color w:val="000000"/>
          <w:spacing w:val="0"/>
          <w:w w:val="100"/>
          <w:position w:val="0"/>
        </w:rPr>
        <w:t>报告期内，公司未发生内幕信息知情人利用内幕信息买卖公司股票，以及监管部门查处和整改情况；公司董事、监事和 高级管理人员不存在违规买卖公司股票的情况。</w:t>
      </w:r>
    </w:p>
    <w:p>
      <w:pPr>
        <w:pStyle w:val="Style31"/>
        <w:keepNext/>
        <w:keepLines/>
        <w:widowControl w:val="0"/>
        <w:shd w:val="clear" w:color="auto" w:fill="auto"/>
        <w:bidi w:val="0"/>
        <w:spacing w:before="0" w:after="34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sz w:val="24"/>
          <w:szCs w:val="24"/>
        </w:rPr>
        <w:t>二</w:t>
      </w:r>
      <w:bookmarkEnd w:id="328"/>
      <w:r>
        <w:rPr>
          <w:color w:val="000000"/>
          <w:spacing w:val="0"/>
          <w:w w:val="100"/>
          <w:position w:val="0"/>
          <w:sz w:val="24"/>
          <w:szCs w:val="24"/>
        </w:rPr>
        <w:t>、报告期内召开的年度股东大会和临时股东大会的有关情况</w:t>
      </w:r>
      <w:bookmarkEnd w:id="326"/>
      <w:bookmarkEnd w:id="327"/>
      <w:bookmarkEnd w:id="329"/>
    </w:p>
    <w:p>
      <w:pPr>
        <w:pStyle w:val="Style40"/>
        <w:keepNext/>
        <w:keepLines/>
        <w:widowControl w:val="0"/>
        <w:shd w:val="clear" w:color="auto" w:fill="auto"/>
        <w:bidi w:val="0"/>
        <w:spacing w:before="0" w:after="34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1</w:t>
      </w:r>
      <w:bookmarkEnd w:id="332"/>
      <w:r>
        <w:rPr>
          <w:color w:val="000000"/>
          <w:spacing w:val="0"/>
          <w:w w:val="100"/>
          <w:position w:val="0"/>
        </w:rPr>
        <w:t>、本报告期年度股东大会情况</w:t>
      </w:r>
      <w:bookmarkEnd w:id="330"/>
      <w:bookmarkEnd w:id="331"/>
      <w:bookmarkEnd w:id="333"/>
    </w:p>
    <w:tbl>
      <w:tblPr>
        <w:tblOverlap w:val="never"/>
        <w:jc w:val="center"/>
        <w:tblLayout w:type="fixed"/>
      </w:tblPr>
      <w:tblGrid>
        <w:gridCol w:w="1598"/>
        <w:gridCol w:w="1594"/>
        <w:gridCol w:w="2054"/>
        <w:gridCol w:w="994"/>
        <w:gridCol w:w="1560"/>
        <w:gridCol w:w="177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56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rPr>
              <w:t>2012</w:t>
            </w:r>
            <w:r>
              <w:rPr>
                <w:color w:val="000000"/>
                <w:spacing w:val="0"/>
                <w:w w:val="100"/>
                <w:position w:val="0"/>
              </w:rPr>
              <w:t>年度董事会工作 报告》、</w:t>
            </w: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rPr>
              <w:t>2012</w:t>
            </w:r>
            <w:r>
              <w:rPr>
                <w:color w:val="000000"/>
                <w:spacing w:val="0"/>
                <w:w w:val="100"/>
                <w:position w:val="0"/>
              </w:rPr>
              <w:t>年度监事会 工作报告》、</w:t>
            </w: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rPr>
              <w:t>2012</w:t>
            </w:r>
            <w:r>
              <w:rPr>
                <w:color w:val="000000"/>
                <w:spacing w:val="0"/>
                <w:w w:val="100"/>
                <w:position w:val="0"/>
              </w:rPr>
              <w:t>年度财 务决算报告》、《</w:t>
            </w:r>
            <w:r>
              <w:rPr>
                <w:rFonts w:ascii="Times New Roman" w:eastAsia="Times New Roman" w:hAnsi="Times New Roman" w:cs="Times New Roman"/>
                <w:color w:val="000000"/>
                <w:spacing w:val="0"/>
                <w:w w:val="100"/>
                <w:position w:val="0"/>
              </w:rPr>
              <w:t>2012</w:t>
            </w:r>
            <w:r>
              <w:rPr>
                <w:color w:val="000000"/>
                <w:spacing w:val="0"/>
                <w:w w:val="100"/>
                <w:position w:val="0"/>
              </w:rPr>
              <w:t>年度 利润分配方案》、《</w:t>
            </w:r>
            <w:r>
              <w:rPr>
                <w:rFonts w:ascii="Times New Roman" w:eastAsia="Times New Roman" w:hAnsi="Times New Roman" w:cs="Times New Roman"/>
                <w:color w:val="000000"/>
                <w:spacing w:val="0"/>
                <w:w w:val="100"/>
                <w:position w:val="0"/>
              </w:rPr>
              <w:t>2012</w:t>
            </w:r>
            <w:r>
              <w:rPr>
                <w:color w:val="000000"/>
                <w:spacing w:val="0"/>
                <w:w w:val="100"/>
                <w:position w:val="0"/>
              </w:rPr>
              <w:t>年 度报告》及其摘要、《关于 续聘</w:t>
            </w:r>
            <w:r>
              <w:rPr>
                <w:rFonts w:ascii="Times New Roman" w:eastAsia="Times New Roman" w:hAnsi="Times New Roman" w:cs="Times New Roman"/>
                <w:color w:val="000000"/>
                <w:spacing w:val="0"/>
                <w:w w:val="100"/>
                <w:position w:val="0"/>
              </w:rPr>
              <w:t>2013</w:t>
            </w:r>
            <w:r>
              <w:rPr>
                <w:color w:val="000000"/>
                <w:spacing w:val="0"/>
                <w:w w:val="100"/>
                <w:position w:val="0"/>
              </w:rPr>
              <w:t>年度审计机构 的议案》、《董事、监事和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年度股东大会 决议公告》（公告编号 </w:t>
            </w:r>
            <w:r>
              <w:rPr>
                <w:rFonts w:ascii="Times New Roman" w:eastAsia="Times New Roman" w:hAnsi="Times New Roman" w:cs="Times New Roman"/>
                <w:color w:val="000000"/>
                <w:spacing w:val="0"/>
                <w:w w:val="100"/>
                <w:position w:val="0"/>
              </w:rPr>
              <w:t>2013-010</w:t>
            </w:r>
            <w:r>
              <w:rPr>
                <w:color w:val="000000"/>
                <w:spacing w:val="0"/>
                <w:w w:val="100"/>
                <w:position w:val="0"/>
              </w:rPr>
              <w:t>）</w:t>
            </w:r>
            <w:r>
              <w:rPr>
                <w:color w:val="000000"/>
                <w:spacing w:val="0"/>
                <w:w w:val="100"/>
                <w:position w:val="0"/>
              </w:rPr>
              <w:t xml:space="preserve">已披露于证 券时报、中国证券报和 巨潮资讯网 </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598"/>
        <w:gridCol w:w="1594"/>
        <w:gridCol w:w="2054"/>
        <w:gridCol w:w="994"/>
        <w:gridCol w:w="1560"/>
        <w:gridCol w:w="1776"/>
      </w:tblGrid>
      <w:tr>
        <w:trPr>
          <w:trHeight w:val="13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高级管理人员薪酬管理制 度》、《关于修订</w:t>
            </w:r>
            <w:r>
              <w:rPr>
                <w:color w:val="000000"/>
                <w:spacing w:val="0"/>
                <w:w w:val="100"/>
                <w:position w:val="0"/>
              </w:rPr>
              <w:t>〈</w:t>
            </w:r>
            <w:r>
              <w:rPr>
                <w:color w:val="000000"/>
                <w:spacing w:val="0"/>
                <w:w w:val="100"/>
                <w:position w:val="0"/>
              </w:rPr>
              <w:t xml:space="preserve">公司章程 </w:t>
            </w:r>
            <w:r>
              <w:rPr>
                <w:rFonts w:ascii="Times New Roman" w:eastAsia="Times New Roman" w:hAnsi="Times New Roman" w:cs="Times New Roman"/>
                <w:color w:val="000000"/>
                <w:spacing w:val="0"/>
                <w:w w:val="100"/>
                <w:position w:val="0"/>
              </w:rPr>
              <w:t>＞</w:t>
            </w:r>
            <w:r>
              <w:rPr>
                <w:color w:val="000000"/>
                <w:spacing w:val="0"/>
                <w:w w:val="100"/>
                <w:position w:val="0"/>
              </w:rPr>
              <w:t>的议案》、《关于修订</w:t>
            </w:r>
            <w:r>
              <w:rPr>
                <w:color w:val="000000"/>
                <w:spacing w:val="0"/>
                <w:w w:val="100"/>
                <w:position w:val="0"/>
              </w:rPr>
              <w:t>〈</w:t>
            </w:r>
            <w:r>
              <w:rPr>
                <w:color w:val="000000"/>
                <w:spacing w:val="0"/>
                <w:w w:val="100"/>
                <w:position w:val="0"/>
              </w:rPr>
              <w:t>董 事会议事规则</w:t>
            </w:r>
            <w:r>
              <w:rPr>
                <w:rFonts w:ascii="Times New Roman" w:eastAsia="Times New Roman" w:hAnsi="Times New Roman" w:cs="Times New Roman"/>
                <w:color w:val="000000"/>
                <w:spacing w:val="0"/>
                <w:w w:val="100"/>
                <w:position w:val="0"/>
              </w:rPr>
              <w:t>＞</w:t>
            </w:r>
            <w:r>
              <w:rPr>
                <w:color w:val="000000"/>
                <w:spacing w:val="0"/>
                <w:w w:val="100"/>
                <w:position w:val="0"/>
              </w:rPr>
              <w:t>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2</w:t>
      </w:r>
      <w:bookmarkEnd w:id="336"/>
      <w:r>
        <w:rPr>
          <w:color w:val="000000"/>
          <w:spacing w:val="0"/>
          <w:w w:val="100"/>
          <w:position w:val="0"/>
        </w:rPr>
        <w:t>、本报告期临时股东大会情况</w:t>
      </w:r>
      <w:bookmarkEnd w:id="334"/>
      <w:bookmarkEnd w:id="335"/>
      <w:bookmarkEnd w:id="337"/>
    </w:p>
    <w:tbl>
      <w:tblPr>
        <w:tblOverlap w:val="never"/>
        <w:jc w:val="center"/>
        <w:tblLayout w:type="fixed"/>
      </w:tblPr>
      <w:tblGrid>
        <w:gridCol w:w="1598"/>
        <w:gridCol w:w="1594"/>
        <w:gridCol w:w="2198"/>
        <w:gridCol w:w="850"/>
        <w:gridCol w:w="1560"/>
        <w:gridCol w:w="177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决议情况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2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《关于继续使用闲置自有 资金进行投资理财的议案》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 股东大会决议公告》</w:t>
            </w:r>
          </w:p>
          <w:p>
            <w:pPr>
              <w:pStyle w:val="Style27"/>
              <w:keepNext w:val="0"/>
              <w:keepLines w:val="0"/>
              <w:widowControl w:val="0"/>
              <w:shd w:val="clear" w:color="auto" w:fill="auto"/>
              <w:bidi w:val="0"/>
              <w:spacing w:before="0" w:after="80" w:line="317"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2013-022</w:t>
            </w:r>
            <w:r>
              <w:rPr>
                <w:color w:val="000000"/>
                <w:spacing w:val="0"/>
                <w:w w:val="100"/>
                <w:position w:val="0"/>
              </w:rPr>
              <w:t xml:space="preserve">） </w:t>
            </w:r>
            <w:r>
              <w:rPr>
                <w:color w:val="000000"/>
                <w:spacing w:val="0"/>
                <w:w w:val="100"/>
                <w:position w:val="0"/>
              </w:rPr>
              <w:t>已披露于证券时报、中 国证券报和巨潮资讯 网</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r>
        <w:trPr>
          <w:trHeight w:val="259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《关于公司董事会换届选 举暨选举第五届董事会非 独立董事的议案》、《关于公 司董事会换届选举暨选举 第五届董事会独立董事的 议案》、《关于公司监事会换 届选举暨选举第五届监事 会非职工代表监事的议案》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年第二次临时 股东大会决议公告》</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2013-037</w:t>
            </w:r>
            <w:r>
              <w:rPr>
                <w:color w:val="000000"/>
                <w:spacing w:val="0"/>
                <w:w w:val="100"/>
                <w:position w:val="0"/>
              </w:rPr>
              <w:t xml:space="preserve">） </w:t>
            </w:r>
            <w:r>
              <w:rPr>
                <w:color w:val="000000"/>
                <w:spacing w:val="0"/>
                <w:w w:val="100"/>
                <w:position w:val="0"/>
              </w:rPr>
              <w:t xml:space="preserve">已披露于证券时报、中 国证券报和巨潮资讯 网 </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338" w:name="bookmark338"/>
      <w:bookmarkStart w:id="339" w:name="bookmark339"/>
      <w:bookmarkStart w:id="340" w:name="bookmark340"/>
      <w:bookmarkStart w:id="341" w:name="bookmark341"/>
      <w:r>
        <w:rPr>
          <w:color w:val="000000"/>
          <w:spacing w:val="0"/>
          <w:w w:val="100"/>
          <w:position w:val="0"/>
          <w:sz w:val="24"/>
          <w:szCs w:val="24"/>
        </w:rPr>
        <w:t>三</w:t>
      </w:r>
      <w:bookmarkEnd w:id="340"/>
      <w:r>
        <w:rPr>
          <w:color w:val="000000"/>
          <w:spacing w:val="0"/>
          <w:w w:val="100"/>
          <w:position w:val="0"/>
          <w:sz w:val="24"/>
          <w:szCs w:val="24"/>
        </w:rPr>
        <w:t>、报告期内独立董事履行职责的情况</w:t>
      </w:r>
      <w:bookmarkEnd w:id="338"/>
      <w:bookmarkEnd w:id="339"/>
      <w:bookmarkEnd w:id="341"/>
    </w:p>
    <w:p>
      <w:pPr>
        <w:pStyle w:val="Style40"/>
        <w:keepNext/>
        <w:keepLines/>
        <w:widowControl w:val="0"/>
        <w:shd w:val="clear" w:color="auto" w:fill="auto"/>
        <w:bidi w:val="0"/>
        <w:spacing w:before="0" w:after="32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1</w:t>
      </w:r>
      <w:bookmarkEnd w:id="344"/>
      <w:r>
        <w:rPr>
          <w:color w:val="000000"/>
          <w:spacing w:val="0"/>
          <w:w w:val="100"/>
          <w:position w:val="0"/>
        </w:rPr>
        <w:t>、独立董事出席董事会及股东大会的情况</w:t>
      </w:r>
      <w:bookmarkEnd w:id="342"/>
      <w:bookmarkEnd w:id="343"/>
      <w:bookmarkEnd w:id="345"/>
    </w:p>
    <w:tbl>
      <w:tblPr>
        <w:tblOverlap w:val="never"/>
        <w:jc w:val="center"/>
        <w:tblLayout w:type="fixed"/>
      </w:tblPr>
      <w:tblGrid>
        <w:gridCol w:w="1627"/>
        <w:gridCol w:w="1325"/>
        <w:gridCol w:w="1325"/>
        <w:gridCol w:w="1320"/>
        <w:gridCol w:w="1325"/>
        <w:gridCol w:w="1325"/>
        <w:gridCol w:w="1334"/>
      </w:tblGrid>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刘汝林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120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12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韩凤岐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120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祝卫</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120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2</w:t>
      </w:r>
      <w:bookmarkEnd w:id="348"/>
      <w:r>
        <w:rPr>
          <w:color w:val="000000"/>
          <w:spacing w:val="0"/>
          <w:w w:val="100"/>
          <w:position w:val="0"/>
        </w:rPr>
        <w:t>、独立董事对公司有关事项提出异议的情况</w:t>
      </w:r>
      <w:bookmarkEnd w:id="346"/>
      <w:bookmarkEnd w:id="347"/>
      <w:bookmarkEnd w:id="349"/>
    </w:p>
    <w:p>
      <w:pPr>
        <w:pStyle w:val="Style35"/>
        <w:keepNext w:val="0"/>
        <w:keepLines w:val="0"/>
        <w:widowControl w:val="0"/>
        <w:shd w:val="clear" w:color="auto" w:fill="auto"/>
        <w:bidi w:val="0"/>
        <w:spacing w:before="0" w:after="320" w:line="240" w:lineRule="auto"/>
        <w:ind w:left="0" w:right="0" w:firstLine="0"/>
        <w:jc w:val="left"/>
      </w:pPr>
      <w:r>
        <w:rPr>
          <w:color w:val="000000"/>
          <w:spacing w:val="0"/>
          <w:w w:val="100"/>
          <w:position w:val="0"/>
        </w:rPr>
        <w:t>独立董事对公司有关事项是否提出异议</w:t>
      </w:r>
    </w:p>
    <w:p>
      <w:pPr>
        <w:pStyle w:val="Style3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报告期内独立董事对公司有关事项未提出异议。</w:t>
      </w:r>
    </w:p>
    <w:p>
      <w:pPr>
        <w:pStyle w:val="Style40"/>
        <w:keepNext/>
        <w:keepLines/>
        <w:widowControl w:val="0"/>
        <w:shd w:val="clear" w:color="auto" w:fill="auto"/>
        <w:bidi w:val="0"/>
        <w:spacing w:before="0" w:after="26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3</w:t>
      </w:r>
      <w:bookmarkEnd w:id="352"/>
      <w:r>
        <w:rPr>
          <w:color w:val="000000"/>
          <w:spacing w:val="0"/>
          <w:w w:val="100"/>
          <w:position w:val="0"/>
        </w:rPr>
        <w:t>、独立董事履行职责的其他说明</w:t>
      </w:r>
      <w:bookmarkEnd w:id="350"/>
      <w:bookmarkEnd w:id="351"/>
      <w:bookmarkEnd w:id="353"/>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独立董事对公司有关建议是否被采纳</w:t>
      </w:r>
    </w:p>
    <w:p>
      <w:pPr>
        <w:pStyle w:val="Style3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独立董事对公司有关建议被采纳或未被采纳的说明</w:t>
      </w:r>
    </w:p>
    <w:p>
      <w:pPr>
        <w:pStyle w:val="Style35"/>
        <w:keepNext w:val="0"/>
        <w:keepLines w:val="0"/>
        <w:widowControl w:val="0"/>
        <w:shd w:val="clear" w:color="auto" w:fill="auto"/>
        <w:bidi w:val="0"/>
        <w:spacing w:before="0" w:after="360" w:line="313" w:lineRule="exact"/>
        <w:ind w:left="0" w:right="0"/>
        <w:jc w:val="both"/>
      </w:pPr>
      <w:r>
        <w:rPr>
          <w:color w:val="000000"/>
          <w:spacing w:val="0"/>
          <w:w w:val="100"/>
          <w:position w:val="0"/>
        </w:rPr>
        <w:t>报告期内，公司独立董事严格按照《公司法》、《上市公司治理准则》、《深圳证券交易所中小企业板上市公司规范运 作指引》等法律法规及《公司章程》、《独立董事工作制度》的要求，忠实履行职责，充分发挥独立董事作用，维护公司股 东尤其是中小股东的利益。公司独立董事在报告期内通过参与公司董事会及其专门委员会、现场会谈考察等方式，及时了解 公司经营状况、财务状况、内部控制建设以及重大事项进展等情况，并对公司发展战略、对外投资、内控建设、人才规划等 方面提出建议。公司采纳了独立董事相关建议，并委托经营管理层组织相关工作的开展。</w:t>
      </w:r>
    </w:p>
    <w:p>
      <w:pPr>
        <w:pStyle w:val="Style31"/>
        <w:keepNext/>
        <w:keepLines/>
        <w:widowControl w:val="0"/>
        <w:shd w:val="clear" w:color="auto" w:fill="auto"/>
        <w:tabs>
          <w:tab w:pos="502" w:val="left"/>
        </w:tabs>
        <w:bidi w:val="0"/>
        <w:spacing w:before="0" w:after="260" w:line="240" w:lineRule="auto"/>
        <w:ind w:left="0" w:right="0" w:firstLine="0"/>
        <w:jc w:val="both"/>
      </w:pPr>
      <w:bookmarkStart w:id="354" w:name="bookmark354"/>
      <w:bookmarkStart w:id="355" w:name="bookmark355"/>
      <w:bookmarkStart w:id="356" w:name="bookmark356"/>
      <w:bookmarkStart w:id="357" w:name="bookmark357"/>
      <w:r>
        <w:rPr>
          <w:color w:val="000000"/>
          <w:spacing w:val="0"/>
          <w:w w:val="100"/>
          <w:position w:val="0"/>
          <w:sz w:val="24"/>
          <w:szCs w:val="24"/>
        </w:rPr>
        <w:t>四</w:t>
      </w:r>
      <w:bookmarkEnd w:id="356"/>
      <w:r>
        <w:rPr>
          <w:color w:val="000000"/>
          <w:spacing w:val="0"/>
          <w:w w:val="100"/>
          <w:position w:val="0"/>
          <w:sz w:val="24"/>
          <w:szCs w:val="24"/>
        </w:rPr>
        <w:t>、</w:t>
        <w:tab/>
        <w:t>董事会下设专门委员会在报告期内履行职责情况</w:t>
      </w:r>
      <w:bookmarkEnd w:id="354"/>
      <w:bookmarkEnd w:id="355"/>
      <w:bookmarkEnd w:id="357"/>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报告期内，董事会战略发展委员会、审计委员会、薪酬与考核委员会、提名委员会按照其议事规则、《深圳证券交易所 中小企业板上市公司规范运作指引》等规范的要求，组织召开专门委员会会议，认真履行有关职责。</w:t>
      </w:r>
    </w:p>
    <w:p>
      <w:pPr>
        <w:pStyle w:val="Style35"/>
        <w:keepNext w:val="0"/>
        <w:keepLines w:val="0"/>
        <w:widowControl w:val="0"/>
        <w:shd w:val="clear" w:color="auto" w:fill="auto"/>
        <w:tabs>
          <w:tab w:pos="531" w:val="left"/>
        </w:tabs>
        <w:bidi w:val="0"/>
        <w:spacing w:before="0" w:after="0" w:line="312" w:lineRule="exact"/>
        <w:ind w:left="0" w:right="0" w:firstLine="0"/>
        <w:jc w:val="left"/>
      </w:pPr>
      <w:bookmarkStart w:id="358" w:name="bookmark358"/>
      <w:r>
        <w:rPr>
          <w:color w:val="000000"/>
          <w:spacing w:val="0"/>
          <w:w w:val="100"/>
          <w:position w:val="0"/>
        </w:rPr>
        <w:t>（</w:t>
      </w:r>
      <w:bookmarkEnd w:id="358"/>
      <w:r>
        <w:rPr>
          <w:color w:val="000000"/>
          <w:spacing w:val="0"/>
          <w:w w:val="100"/>
          <w:position w:val="0"/>
        </w:rPr>
        <w:t>一）</w:t>
        <w:tab/>
        <w:t>董事会战略发展委员会</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报告期内，公司董事会战略发展委员会召开会议一次，审议通过了《关于公司组织机构调整的议案》。为顺应产业发展 趋势，公司董事会战略发展委员会同意合并、设立或撤销部分事业部，以促进公司持续健康发展。</w:t>
      </w:r>
    </w:p>
    <w:p>
      <w:pPr>
        <w:pStyle w:val="Style35"/>
        <w:keepNext w:val="0"/>
        <w:keepLines w:val="0"/>
        <w:widowControl w:val="0"/>
        <w:shd w:val="clear" w:color="auto" w:fill="auto"/>
        <w:tabs>
          <w:tab w:pos="531" w:val="left"/>
        </w:tabs>
        <w:bidi w:val="0"/>
        <w:spacing w:before="0" w:after="0" w:line="312" w:lineRule="exact"/>
        <w:ind w:left="0" w:right="0" w:firstLine="0"/>
        <w:jc w:val="left"/>
      </w:pPr>
      <w:bookmarkStart w:id="359" w:name="bookmark359"/>
      <w:r>
        <w:rPr>
          <w:color w:val="000000"/>
          <w:spacing w:val="0"/>
          <w:w w:val="100"/>
          <w:position w:val="0"/>
        </w:rPr>
        <w:t>（</w:t>
      </w:r>
      <w:bookmarkEnd w:id="359"/>
      <w:r>
        <w:rPr>
          <w:color w:val="000000"/>
          <w:spacing w:val="0"/>
          <w:w w:val="100"/>
          <w:position w:val="0"/>
        </w:rPr>
        <w:t>二）</w:t>
        <w:tab/>
        <w:t>董事会审计委员会</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报告期内，公司董事会审计委员会召开会议六次。在</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年度报告编制期间，公司董事会审计委员会委员通过审议审计 工作计划、财务报表、审计报告以及内部控制报告等文件，并与经营管理层和年审会计师现场沟通的方式，有效指导了公司 </w:t>
      </w:r>
      <w:r>
        <w:rPr>
          <w:rFonts w:ascii="Times New Roman" w:eastAsia="Times New Roman" w:hAnsi="Times New Roman" w:cs="Times New Roman"/>
          <w:color w:val="000000"/>
          <w:spacing w:val="0"/>
          <w:w w:val="100"/>
          <w:position w:val="0"/>
        </w:rPr>
        <w:t>2012</w:t>
      </w:r>
      <w:r>
        <w:rPr>
          <w:color w:val="000000"/>
          <w:spacing w:val="0"/>
          <w:w w:val="100"/>
          <w:position w:val="0"/>
        </w:rPr>
        <w:t>年度审计工作的开展，同时建议公司继续聘任立信会计师事务所（特殊普通合伙）提供</w:t>
      </w:r>
      <w:r>
        <w:rPr>
          <w:rFonts w:ascii="Times New Roman" w:eastAsia="Times New Roman" w:hAnsi="Times New Roman" w:cs="Times New Roman"/>
          <w:color w:val="000000"/>
          <w:spacing w:val="0"/>
          <w:w w:val="100"/>
          <w:position w:val="0"/>
        </w:rPr>
        <w:t>2 013</w:t>
      </w:r>
      <w:r>
        <w:rPr>
          <w:color w:val="000000"/>
          <w:spacing w:val="0"/>
          <w:w w:val="100"/>
          <w:position w:val="0"/>
        </w:rPr>
        <w:t>年年报及其他审计服务。通 过审议公司</w:t>
      </w:r>
      <w:r>
        <w:rPr>
          <w:rFonts w:ascii="Times New Roman" w:eastAsia="Times New Roman" w:hAnsi="Times New Roman" w:cs="Times New Roman"/>
          <w:color w:val="000000"/>
          <w:spacing w:val="0"/>
          <w:w w:val="100"/>
          <w:position w:val="0"/>
        </w:rPr>
        <w:t>2013</w:t>
      </w:r>
      <w:r>
        <w:rPr>
          <w:color w:val="000000"/>
          <w:spacing w:val="0"/>
          <w:w w:val="100"/>
          <w:position w:val="0"/>
        </w:rPr>
        <w:t>年第一季度、半年度、第三季度的财务报表和内部审计工作报告与计划，加强对公司财务和内部审计的监督 和核查。此外，鉴于公司原审计部负责人离职，公司董事会审计委员会通过查阅候选人资料并广泛征求意见讨论，向公司董 事会提名了新的审计部负责人。</w:t>
      </w:r>
    </w:p>
    <w:p>
      <w:pPr>
        <w:pStyle w:val="Style35"/>
        <w:keepNext w:val="0"/>
        <w:keepLines w:val="0"/>
        <w:widowControl w:val="0"/>
        <w:shd w:val="clear" w:color="auto" w:fill="auto"/>
        <w:tabs>
          <w:tab w:pos="531" w:val="left"/>
        </w:tabs>
        <w:bidi w:val="0"/>
        <w:spacing w:before="0" w:after="0" w:line="312" w:lineRule="exact"/>
        <w:ind w:left="0" w:right="0" w:firstLine="0"/>
        <w:jc w:val="left"/>
      </w:pPr>
      <w:bookmarkStart w:id="360" w:name="bookmark360"/>
      <w:r>
        <w:rPr>
          <w:color w:val="000000"/>
          <w:spacing w:val="0"/>
          <w:w w:val="100"/>
          <w:position w:val="0"/>
        </w:rPr>
        <w:t>（</w:t>
      </w:r>
      <w:bookmarkEnd w:id="360"/>
      <w:r>
        <w:rPr>
          <w:color w:val="000000"/>
          <w:spacing w:val="0"/>
          <w:w w:val="100"/>
          <w:position w:val="0"/>
        </w:rPr>
        <w:t>三）</w:t>
        <w:tab/>
        <w:t>董事会薪酬与考核委员会</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报告期内，公司董事会薪酬与考核委员会召开会议一次。为进一步完善公司薪酬体系，公司董事会薪酬与考核委员会起 草了《董事、监事和高级管理人员薪酬管理制度》并提交董事会审议。此外，根据公司</w:t>
      </w:r>
      <w:r>
        <w:rPr>
          <w:rFonts w:ascii="Times New Roman" w:eastAsia="Times New Roman" w:hAnsi="Times New Roman" w:cs="Times New Roman"/>
          <w:color w:val="000000"/>
          <w:spacing w:val="0"/>
          <w:w w:val="100"/>
          <w:position w:val="0"/>
        </w:rPr>
        <w:t>2012</w:t>
      </w:r>
      <w:r>
        <w:rPr>
          <w:color w:val="000000"/>
          <w:spacing w:val="0"/>
          <w:w w:val="100"/>
          <w:position w:val="0"/>
        </w:rPr>
        <w:t>年度业绩情况，对公司董事、高 级管理人员以及股权激励对象的</w:t>
      </w:r>
      <w:r>
        <w:rPr>
          <w:rFonts w:ascii="Times New Roman" w:eastAsia="Times New Roman" w:hAnsi="Times New Roman" w:cs="Times New Roman"/>
          <w:color w:val="000000"/>
          <w:spacing w:val="0"/>
          <w:w w:val="100"/>
          <w:position w:val="0"/>
        </w:rPr>
        <w:t>2012</w:t>
      </w:r>
      <w:r>
        <w:rPr>
          <w:color w:val="000000"/>
          <w:spacing w:val="0"/>
          <w:w w:val="100"/>
          <w:position w:val="0"/>
        </w:rPr>
        <w:t>年度绩效考核情况进行审查，并确定公司董事和高级管理人员</w:t>
      </w:r>
      <w:r>
        <w:rPr>
          <w:rFonts w:ascii="Times New Roman" w:eastAsia="Times New Roman" w:hAnsi="Times New Roman" w:cs="Times New Roman"/>
          <w:color w:val="000000"/>
          <w:spacing w:val="0"/>
          <w:w w:val="100"/>
          <w:position w:val="0"/>
        </w:rPr>
        <w:t>2013</w:t>
      </w:r>
      <w:r>
        <w:rPr>
          <w:color w:val="000000"/>
          <w:spacing w:val="0"/>
          <w:w w:val="100"/>
          <w:position w:val="0"/>
        </w:rPr>
        <w:t>年度基本年薪。</w:t>
      </w:r>
    </w:p>
    <w:p>
      <w:pPr>
        <w:pStyle w:val="Style35"/>
        <w:keepNext w:val="0"/>
        <w:keepLines w:val="0"/>
        <w:widowControl w:val="0"/>
        <w:shd w:val="clear" w:color="auto" w:fill="auto"/>
        <w:tabs>
          <w:tab w:pos="531" w:val="left"/>
        </w:tabs>
        <w:bidi w:val="0"/>
        <w:spacing w:before="0" w:after="0" w:line="312" w:lineRule="exact"/>
        <w:ind w:left="0" w:right="0" w:firstLine="0"/>
        <w:jc w:val="left"/>
      </w:pPr>
      <w:bookmarkStart w:id="361" w:name="bookmark361"/>
      <w:r>
        <w:rPr>
          <w:color w:val="000000"/>
          <w:spacing w:val="0"/>
          <w:w w:val="100"/>
          <w:position w:val="0"/>
        </w:rPr>
        <w:t>（</w:t>
      </w:r>
      <w:bookmarkEnd w:id="361"/>
      <w:r>
        <w:rPr>
          <w:color w:val="000000"/>
          <w:spacing w:val="0"/>
          <w:w w:val="100"/>
          <w:position w:val="0"/>
        </w:rPr>
        <w:t>四）</w:t>
        <w:tab/>
        <w:t>董事会提名委员会</w:t>
      </w:r>
    </w:p>
    <w:p>
      <w:pPr>
        <w:pStyle w:val="Style35"/>
        <w:keepNext w:val="0"/>
        <w:keepLines w:val="0"/>
        <w:widowControl w:val="0"/>
        <w:shd w:val="clear" w:color="auto" w:fill="auto"/>
        <w:bidi w:val="0"/>
        <w:spacing w:before="0" w:after="360" w:line="312" w:lineRule="exact"/>
        <w:ind w:left="0" w:right="0"/>
        <w:jc w:val="both"/>
      </w:pPr>
      <w:r>
        <w:rPr>
          <w:color w:val="000000"/>
          <w:spacing w:val="0"/>
          <w:w w:val="100"/>
          <w:position w:val="0"/>
        </w:rPr>
        <w:t>报告期内，公司董事会提名委员会召开会议一次。鉴于公司第四届董事会任期届满，公司董事会提名委员会认真审查董 事候选人及高级管理人员候选人的相关资料，并征求了候选人意见，向公司董事会提名了第五届董事会董事候选人及高级管 理人员候选人。</w:t>
      </w:r>
    </w:p>
    <w:p>
      <w:pPr>
        <w:pStyle w:val="Style31"/>
        <w:keepNext/>
        <w:keepLines/>
        <w:widowControl w:val="0"/>
        <w:shd w:val="clear" w:color="auto" w:fill="auto"/>
        <w:tabs>
          <w:tab w:pos="517" w:val="left"/>
        </w:tabs>
        <w:bidi w:val="0"/>
        <w:spacing w:before="0" w:after="26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sz w:val="24"/>
          <w:szCs w:val="24"/>
        </w:rPr>
        <w:t>五</w:t>
      </w:r>
      <w:bookmarkEnd w:id="364"/>
      <w:r>
        <w:rPr>
          <w:color w:val="000000"/>
          <w:spacing w:val="0"/>
          <w:w w:val="100"/>
          <w:position w:val="0"/>
          <w:sz w:val="24"/>
          <w:szCs w:val="24"/>
        </w:rPr>
        <w:t>、</w:t>
        <w:tab/>
        <w:t>监事会工作情况</w:t>
      </w:r>
      <w:bookmarkEnd w:id="362"/>
      <w:bookmarkEnd w:id="363"/>
      <w:bookmarkEnd w:id="365"/>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监事会在报告期内的监督活动中发现公司是否存在风险</w:t>
      </w:r>
    </w:p>
    <w:p>
      <w:pPr>
        <w:pStyle w:val="Style3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监事会对报告期内的监督事项无异议。</w:t>
      </w:r>
    </w:p>
    <w:p>
      <w:pPr>
        <w:pStyle w:val="Style31"/>
        <w:keepNext/>
        <w:keepLines/>
        <w:widowControl w:val="0"/>
        <w:shd w:val="clear" w:color="auto" w:fill="auto"/>
        <w:tabs>
          <w:tab w:pos="510" w:val="left"/>
        </w:tabs>
        <w:bidi w:val="0"/>
        <w:spacing w:before="0" w:after="260" w:line="240" w:lineRule="auto"/>
        <w:ind w:left="0" w:right="0" w:firstLine="0"/>
        <w:jc w:val="both"/>
      </w:pPr>
      <w:bookmarkStart w:id="366" w:name="bookmark366"/>
      <w:bookmarkStart w:id="367" w:name="bookmark367"/>
      <w:bookmarkStart w:id="368" w:name="bookmark368"/>
      <w:bookmarkStart w:id="369" w:name="bookmark369"/>
      <w:r>
        <w:rPr>
          <w:color w:val="000000"/>
          <w:spacing w:val="0"/>
          <w:w w:val="100"/>
          <w:position w:val="0"/>
          <w:sz w:val="24"/>
          <w:szCs w:val="24"/>
        </w:rPr>
        <w:t>六</w:t>
      </w:r>
      <w:bookmarkEnd w:id="368"/>
      <w:r>
        <w:rPr>
          <w:color w:val="000000"/>
          <w:spacing w:val="0"/>
          <w:w w:val="100"/>
          <w:position w:val="0"/>
          <w:sz w:val="24"/>
          <w:szCs w:val="24"/>
        </w:rPr>
        <w:t>、</w:t>
        <w:tab/>
        <w:t>公司相对于控股股东在业务、人员、资产、机构、财务等方面的独立完整情况</w:t>
      </w:r>
      <w:bookmarkEnd w:id="366"/>
      <w:bookmarkEnd w:id="367"/>
      <w:bookmarkEnd w:id="369"/>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公司的控股股东是北京久其科技投资有限公司。该控股股东行为规范，没有超越股东大会直接或通过其他途径间接干预 公司的决策和经营活动。公司董事会、监事会、经理会能够独立运作，公司与控股股东在业务、人员、资产、机构、财务等 方面完全分开，具有独立完整的业务及自主经营能力。</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业务独立情况：公司独立从事业务经营，拥有独立产品研发、销售采购和技术服务运作体系和独立的商标权、著作权等 知识产权，与控股股东及其关联企业不存在依赖关系。</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人员独立情况：公司的人事管理和绩效管理完全独立，与控股股东及其关联企业不存在依赖关系。</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资产独立情况：公司所拥有的生产经营场所房屋所有权、土地使用权、相关配套设施、工业产权和非专利技术等有形和 无形资产完全独立于控股股东及其关联企业。</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机构独立情况：公司与控股股东及其关联企业在机构设置方面不存在交叉关联及上下级关系情况。</w:t>
      </w:r>
    </w:p>
    <w:p>
      <w:pPr>
        <w:pStyle w:val="Style35"/>
        <w:keepNext w:val="0"/>
        <w:keepLines w:val="0"/>
        <w:widowControl w:val="0"/>
        <w:shd w:val="clear" w:color="auto" w:fill="auto"/>
        <w:bidi w:val="0"/>
        <w:spacing w:before="0" w:after="360" w:line="312" w:lineRule="exact"/>
        <w:ind w:left="0" w:right="0"/>
        <w:jc w:val="both"/>
      </w:pPr>
      <w:r>
        <w:rPr>
          <w:color w:val="000000"/>
          <w:spacing w:val="0"/>
          <w:w w:val="100"/>
          <w:position w:val="0"/>
        </w:rPr>
        <w:t>财务独立情况：公司拥有独立的财务会计部门，独立的会计核算体系和财务管理制度。公司独立做出财务决策，并拥有 独立银行账户，依法独立纳税。</w:t>
      </w:r>
    </w:p>
    <w:p>
      <w:pPr>
        <w:pStyle w:val="Style31"/>
        <w:keepNext/>
        <w:keepLines/>
        <w:widowControl w:val="0"/>
        <w:shd w:val="clear" w:color="auto" w:fill="auto"/>
        <w:tabs>
          <w:tab w:pos="510" w:val="left"/>
        </w:tabs>
        <w:bidi w:val="0"/>
        <w:spacing w:before="0" w:after="26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sz w:val="24"/>
          <w:szCs w:val="24"/>
        </w:rPr>
        <w:t>七</w:t>
      </w:r>
      <w:bookmarkEnd w:id="372"/>
      <w:r>
        <w:rPr>
          <w:color w:val="000000"/>
          <w:spacing w:val="0"/>
          <w:w w:val="100"/>
          <w:position w:val="0"/>
          <w:sz w:val="24"/>
          <w:szCs w:val="24"/>
        </w:rPr>
        <w:t>、</w:t>
        <w:tab/>
        <w:t>高级管理人员的考评及激励情况</w:t>
      </w:r>
      <w:bookmarkEnd w:id="370"/>
      <w:bookmarkEnd w:id="371"/>
      <w:bookmarkEnd w:id="373"/>
    </w:p>
    <w:p>
      <w:pPr>
        <w:pStyle w:val="Style35"/>
        <w:keepNext w:val="0"/>
        <w:keepLines w:val="0"/>
        <w:widowControl w:val="0"/>
        <w:shd w:val="clear" w:color="auto" w:fill="auto"/>
        <w:bidi w:val="0"/>
        <w:spacing w:before="0" w:after="0" w:line="314" w:lineRule="exact"/>
        <w:ind w:left="0" w:right="0"/>
        <w:jc w:val="both"/>
        <w:sectPr>
          <w:footnotePr>
            <w:pos w:val="pageBottom"/>
            <w:numFmt w:val="decimal"/>
            <w:numRestart w:val="continuous"/>
          </w:footnotePr>
          <w:pgSz w:w="11900" w:h="16840"/>
          <w:pgMar w:top="1383" w:right="1064" w:bottom="1450" w:left="1059" w:header="0" w:footer="3" w:gutter="0"/>
          <w:cols w:space="720"/>
          <w:noEndnote/>
          <w:rtlGutter w:val="0"/>
          <w:docGrid w:linePitch="360"/>
        </w:sectPr>
      </w:pPr>
      <w:r>
        <w:rPr>
          <w:color w:val="000000"/>
          <w:spacing w:val="0"/>
          <w:w w:val="100"/>
          <w:position w:val="0"/>
        </w:rPr>
        <w:t>报告期内，公司董事会薪酬与考核委员会起草了《董事、监事和高级管理人员薪酬管理制度》，该制度已经公司董事会 和股东大会审议通过。根据相关制度，公司高级管理人员薪酬由基本年薪和浮动奖金两部分构成，其中基本年薪根据个人工 作职务、岗位级别标准按月发放；浮动奖金根据公司经营业绩和个人绩效考核情况确定。每个会计年度结束之后，公司董事 会薪酬与考核委员会负责对高级管理人员的绩效考核成绩与薪酬进行审查，确定其上一年度年终奖金及当年度基本年薪。</w:t>
      </w:r>
    </w:p>
    <w:p>
      <w:pPr>
        <w:pStyle w:val="Style17"/>
        <w:keepNext/>
        <w:keepLines/>
        <w:widowControl w:val="0"/>
        <w:shd w:val="clear" w:color="auto" w:fill="auto"/>
        <w:bidi w:val="0"/>
        <w:spacing w:before="540" w:after="520" w:line="240" w:lineRule="auto"/>
        <w:ind w:left="0" w:right="0" w:firstLine="0"/>
        <w:jc w:val="center"/>
      </w:pPr>
      <w:bookmarkStart w:id="374" w:name="bookmark374"/>
      <w:bookmarkStart w:id="375" w:name="bookmark375"/>
      <w:bookmarkStart w:id="376" w:name="bookmark376"/>
      <w:r>
        <w:rPr>
          <w:color w:val="000000"/>
          <w:spacing w:val="0"/>
          <w:w w:val="100"/>
          <w:position w:val="0"/>
        </w:rPr>
        <w:t>第九节内部控制</w:t>
      </w:r>
      <w:bookmarkEnd w:id="374"/>
      <w:bookmarkEnd w:id="375"/>
      <w:bookmarkEnd w:id="376"/>
    </w:p>
    <w:p>
      <w:pPr>
        <w:pStyle w:val="Style31"/>
        <w:keepNext/>
        <w:keepLines/>
        <w:widowControl w:val="0"/>
        <w:shd w:val="clear" w:color="auto" w:fill="auto"/>
        <w:bidi w:val="0"/>
        <w:spacing w:before="0" w:after="260" w:line="240" w:lineRule="auto"/>
        <w:ind w:left="0" w:right="0" w:firstLine="0"/>
        <w:jc w:val="left"/>
      </w:pPr>
      <w:bookmarkStart w:id="377" w:name="bookmark377"/>
      <w:bookmarkStart w:id="378" w:name="bookmark378"/>
      <w:bookmarkStart w:id="379" w:name="bookmark379"/>
      <w:bookmarkStart w:id="380" w:name="bookmark380"/>
      <w:r>
        <w:rPr>
          <w:color w:val="000000"/>
          <w:spacing w:val="0"/>
          <w:w w:val="100"/>
          <w:position w:val="0"/>
          <w:sz w:val="24"/>
          <w:szCs w:val="24"/>
        </w:rPr>
        <w:t>一</w:t>
      </w:r>
      <w:bookmarkEnd w:id="379"/>
      <w:r>
        <w:rPr>
          <w:color w:val="000000"/>
          <w:spacing w:val="0"/>
          <w:w w:val="100"/>
          <w:position w:val="0"/>
          <w:sz w:val="24"/>
          <w:szCs w:val="24"/>
        </w:rPr>
        <w:t>、内部控制建设情况</w:t>
      </w:r>
      <w:bookmarkEnd w:id="377"/>
      <w:bookmarkEnd w:id="378"/>
      <w:bookmarkEnd w:id="380"/>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公司董事会负责指导内部控制的建立健全及有效实施，监事会负责对各项内部控制进行监督，经营管理层负责组织各项 内部控制措施的日常运行。报告期，公司依据《企业内部控制基本规范》及其配套指引的相关要求，并结合自身实际情况， 持续调整并规范公司内控管理相关制度流程，进一步健全公司法人治理结构，完善内部控制体系建设，提升公司经营运作水 平。</w:t>
      </w:r>
    </w:p>
    <w:p>
      <w:pPr>
        <w:pStyle w:val="Style35"/>
        <w:keepNext w:val="0"/>
        <w:keepLines w:val="0"/>
        <w:widowControl w:val="0"/>
        <w:shd w:val="clear" w:color="auto" w:fill="auto"/>
        <w:tabs>
          <w:tab w:pos="625" w:val="left"/>
        </w:tabs>
        <w:bidi w:val="0"/>
        <w:spacing w:before="0" w:after="0" w:line="312" w:lineRule="exact"/>
        <w:ind w:left="0" w:right="0" w:firstLine="0"/>
        <w:jc w:val="left"/>
      </w:pPr>
      <w:bookmarkStart w:id="381" w:name="bookmark381"/>
      <w:r>
        <w:rPr>
          <w:color w:val="000000"/>
          <w:spacing w:val="0"/>
          <w:w w:val="100"/>
          <w:position w:val="0"/>
        </w:rPr>
        <w:t>（</w:t>
      </w:r>
      <w:bookmarkEnd w:id="381"/>
      <w:r>
        <w:rPr>
          <w:color w:val="000000"/>
          <w:spacing w:val="0"/>
          <w:w w:val="100"/>
          <w:position w:val="0"/>
        </w:rPr>
        <w:t>一）</w:t>
        <w:tab/>
        <w:t>组织架构</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公司的法人治理结构由股东大会、董事会、监事会和经理会组成，通过制定议事规则明确了各级组织的职责和权限，并 在董事会下设四个专门委员会，以增强董事会专业履职能力。为满足公司发展需要，以优化资源配置、提升管理效能、增强 核心竞争力为导向，公司持续调整并完善组织架构建设，强化岗位职责与任务分工，切实推进各责任中心计划目标的落实与 执行，促进事业部模式下公司经营管理成效的提升。</w:t>
      </w:r>
    </w:p>
    <w:p>
      <w:pPr>
        <w:pStyle w:val="Style35"/>
        <w:keepNext w:val="0"/>
        <w:keepLines w:val="0"/>
        <w:widowControl w:val="0"/>
        <w:shd w:val="clear" w:color="auto" w:fill="auto"/>
        <w:tabs>
          <w:tab w:pos="625" w:val="left"/>
        </w:tabs>
        <w:bidi w:val="0"/>
        <w:spacing w:before="0" w:after="0" w:line="312" w:lineRule="exact"/>
        <w:ind w:left="0" w:right="0" w:firstLine="0"/>
        <w:jc w:val="left"/>
      </w:pPr>
      <w:bookmarkStart w:id="382" w:name="bookmark382"/>
      <w:r>
        <w:rPr>
          <w:color w:val="000000"/>
          <w:spacing w:val="0"/>
          <w:w w:val="100"/>
          <w:position w:val="0"/>
        </w:rPr>
        <w:t>（</w:t>
      </w:r>
      <w:bookmarkEnd w:id="382"/>
      <w:r>
        <w:rPr>
          <w:color w:val="000000"/>
          <w:spacing w:val="0"/>
          <w:w w:val="100"/>
          <w:position w:val="0"/>
        </w:rPr>
        <w:t>二）</w:t>
        <w:tab/>
        <w:t>发展战略</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公司董事会战略发展委员会负责管理公司的发展战略。公司经理会负责组织对公司发展目标和战略规划进行可行性研究 和论证，同时为了更好地落实战略规划并促进其成效，公司在经理会下设技术与产品管理委员会、项目管理委员会、财经管 理委员会、企业文化管理委员会和顾问管理委员会，并建立了相关委员会章程，对公司经营发展所涉及的多层面战略规划进 行分解，确定执行战略的阶段和计划，推进战略的落地实施，保障战略目标的达成。</w:t>
      </w:r>
    </w:p>
    <w:p>
      <w:pPr>
        <w:pStyle w:val="Style35"/>
        <w:keepNext w:val="0"/>
        <w:keepLines w:val="0"/>
        <w:widowControl w:val="0"/>
        <w:shd w:val="clear" w:color="auto" w:fill="auto"/>
        <w:tabs>
          <w:tab w:pos="625" w:val="left"/>
        </w:tabs>
        <w:bidi w:val="0"/>
        <w:spacing w:before="0" w:after="0" w:line="312" w:lineRule="exact"/>
        <w:ind w:left="0" w:right="0" w:firstLine="0"/>
        <w:jc w:val="left"/>
      </w:pPr>
      <w:bookmarkStart w:id="383" w:name="bookmark383"/>
      <w:r>
        <w:rPr>
          <w:color w:val="000000"/>
          <w:spacing w:val="0"/>
          <w:w w:val="100"/>
          <w:position w:val="0"/>
        </w:rPr>
        <w:t>（</w:t>
      </w:r>
      <w:bookmarkEnd w:id="383"/>
      <w:r>
        <w:rPr>
          <w:color w:val="000000"/>
          <w:spacing w:val="0"/>
          <w:w w:val="100"/>
          <w:position w:val="0"/>
        </w:rPr>
        <w:t>三）</w:t>
        <w:tab/>
        <w:t>人力资源</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公司充分重视人力资源管理建设工作，结合公司实际情况及人力资源战略的要求，围绕人员的引进、开发、培养、考核、 激励、退出等建立了较为完善的人力资源管控体系，并通过优化人才结构、合理配置资源进一步增强人员复用性、削减冗余 人力成本，同时持续探索并完善适应公司发展且行之有效的绩效考核与激励机制，为逐步构建高水平的人才梯队打下基础。</w:t>
      </w:r>
    </w:p>
    <w:p>
      <w:pPr>
        <w:pStyle w:val="Style35"/>
        <w:keepNext w:val="0"/>
        <w:keepLines w:val="0"/>
        <w:widowControl w:val="0"/>
        <w:shd w:val="clear" w:color="auto" w:fill="auto"/>
        <w:tabs>
          <w:tab w:pos="625" w:val="left"/>
        </w:tabs>
        <w:bidi w:val="0"/>
        <w:spacing w:before="0" w:after="0" w:line="312" w:lineRule="exact"/>
        <w:ind w:left="0" w:right="0" w:firstLine="0"/>
        <w:jc w:val="left"/>
      </w:pPr>
      <w:bookmarkStart w:id="384" w:name="bookmark384"/>
      <w:r>
        <w:rPr>
          <w:color w:val="000000"/>
          <w:spacing w:val="0"/>
          <w:w w:val="100"/>
          <w:position w:val="0"/>
        </w:rPr>
        <w:t>（</w:t>
      </w:r>
      <w:bookmarkEnd w:id="384"/>
      <w:r>
        <w:rPr>
          <w:color w:val="000000"/>
          <w:spacing w:val="0"/>
          <w:w w:val="100"/>
          <w:position w:val="0"/>
        </w:rPr>
        <w:t>四）</w:t>
        <w:tab/>
        <w:t>企业文化</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公司企业文化管理委员会负责研究并制定文化战略和方针政策，组织开展有关工作及活动。以《久其企业文化手册（总 纲）》为总领，公司经过多年积累沉淀与传承发展，形成了独具特色的久其文化体系，围绕久其的使命与愿景，树立了久其 价值观与核心价值，以文化营造团结进取的企业氛围，以文化促动全员向心力和凝聚力，印证并深化了文化对于管理、人才、 研发、市场、服务等的重要意义和作用。</w:t>
      </w:r>
    </w:p>
    <w:p>
      <w:pPr>
        <w:pStyle w:val="Style35"/>
        <w:keepNext w:val="0"/>
        <w:keepLines w:val="0"/>
        <w:widowControl w:val="0"/>
        <w:shd w:val="clear" w:color="auto" w:fill="auto"/>
        <w:tabs>
          <w:tab w:pos="625" w:val="left"/>
        </w:tabs>
        <w:bidi w:val="0"/>
        <w:spacing w:before="0" w:after="0" w:line="312" w:lineRule="exact"/>
        <w:ind w:left="0" w:right="0" w:firstLine="0"/>
        <w:jc w:val="left"/>
      </w:pPr>
      <w:bookmarkStart w:id="385" w:name="bookmark385"/>
      <w:r>
        <w:rPr>
          <w:color w:val="000000"/>
          <w:spacing w:val="0"/>
          <w:w w:val="100"/>
          <w:position w:val="0"/>
        </w:rPr>
        <w:t>（</w:t>
      </w:r>
      <w:bookmarkEnd w:id="385"/>
      <w:r>
        <w:rPr>
          <w:color w:val="000000"/>
          <w:spacing w:val="0"/>
          <w:w w:val="100"/>
          <w:position w:val="0"/>
        </w:rPr>
        <w:t>五）</w:t>
        <w:tab/>
        <w:t>资金活动</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公司对资金活动实施集中归口管理，对资金的使用和收支建立了严格的审批程序，并对与资金业务有关的岗位实行不相 容职务的分离，公司根据年度经营计划和绩效目标，科学合理地统筹调度资金，提高资金使用效率。公司设立了投资工作团 队，建立了投资管理相关制度，依据公司的投资计划目标，广泛搜寻适合公司战略发展需要的对外投资项目，实施充分有效 的投资调研，拟订投资方案，关注投资收益和风险，支撑管理层投资决策，确保投资目标的实现。</w:t>
      </w:r>
    </w:p>
    <w:p>
      <w:pPr>
        <w:pStyle w:val="Style35"/>
        <w:keepNext w:val="0"/>
        <w:keepLines w:val="0"/>
        <w:widowControl w:val="0"/>
        <w:shd w:val="clear" w:color="auto" w:fill="auto"/>
        <w:tabs>
          <w:tab w:pos="625" w:val="left"/>
        </w:tabs>
        <w:bidi w:val="0"/>
        <w:spacing w:before="0" w:after="0" w:line="312" w:lineRule="exact"/>
        <w:ind w:left="0" w:right="0" w:firstLine="0"/>
        <w:jc w:val="left"/>
      </w:pPr>
      <w:bookmarkStart w:id="386" w:name="bookmark386"/>
      <w:r>
        <w:rPr>
          <w:color w:val="000000"/>
          <w:spacing w:val="0"/>
          <w:w w:val="100"/>
          <w:position w:val="0"/>
        </w:rPr>
        <w:t>（</w:t>
      </w:r>
      <w:bookmarkEnd w:id="386"/>
      <w:r>
        <w:rPr>
          <w:color w:val="000000"/>
          <w:spacing w:val="0"/>
          <w:w w:val="100"/>
          <w:position w:val="0"/>
        </w:rPr>
        <w:t>六）</w:t>
        <w:tab/>
        <w:t>米购业务</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公司严格按照《采购管理制度》的流程规范执行采购业务，并设置采购负责人专岗。公司按照业务需求和实际情况，统 筹安排并制定采购计划，明确了请购、审批、购买、验收、付款等环节的职责和审批权限，根据不同的采购项目建立了比价 询价、供应商合作及招标的采购价格管控机制，并结合公司资产管理、资金管理的要求，强化采购验收入库及付款票据的管 控，进一步提升了采购业务规范性。</w:t>
      </w:r>
    </w:p>
    <w:p>
      <w:pPr>
        <w:pStyle w:val="Style35"/>
        <w:keepNext w:val="0"/>
        <w:keepLines w:val="0"/>
        <w:widowControl w:val="0"/>
        <w:shd w:val="clear" w:color="auto" w:fill="auto"/>
        <w:tabs>
          <w:tab w:pos="625" w:val="left"/>
        </w:tabs>
        <w:bidi w:val="0"/>
        <w:spacing w:before="0" w:after="0" w:line="312" w:lineRule="exact"/>
        <w:ind w:left="0" w:right="0" w:firstLine="0"/>
        <w:jc w:val="left"/>
      </w:pPr>
      <w:bookmarkStart w:id="387" w:name="bookmark387"/>
      <w:r>
        <w:rPr>
          <w:color w:val="000000"/>
          <w:spacing w:val="0"/>
          <w:w w:val="100"/>
          <w:position w:val="0"/>
        </w:rPr>
        <w:t>（</w:t>
      </w:r>
      <w:bookmarkEnd w:id="387"/>
      <w:r>
        <w:rPr>
          <w:color w:val="000000"/>
          <w:spacing w:val="0"/>
          <w:w w:val="100"/>
          <w:position w:val="0"/>
        </w:rPr>
        <w:t>七）</w:t>
        <w:tab/>
        <w:t>担保业务</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公司建立了《对外担保管理制度》，有效规范了公司及控股子公司对外担保事项的决策权限、申请及审核程序、日常管 </w:t>
      </w:r>
      <w:r>
        <w:rPr>
          <w:color w:val="000000"/>
          <w:spacing w:val="0"/>
          <w:w w:val="100"/>
          <w:position w:val="0"/>
        </w:rPr>
        <w:t>理、持续风险控制及信息披露的机制。公司及控股子公司在报告期内未发生对外担保事项。</w:t>
      </w:r>
    </w:p>
    <w:p>
      <w:pPr>
        <w:pStyle w:val="Style35"/>
        <w:keepNext w:val="0"/>
        <w:keepLines w:val="0"/>
        <w:widowControl w:val="0"/>
        <w:shd w:val="clear" w:color="auto" w:fill="auto"/>
        <w:tabs>
          <w:tab w:pos="626" w:val="left"/>
        </w:tabs>
        <w:bidi w:val="0"/>
        <w:spacing w:before="0" w:after="0" w:line="312" w:lineRule="exact"/>
        <w:ind w:left="0" w:right="0" w:firstLine="0"/>
        <w:jc w:val="left"/>
      </w:pPr>
      <w:bookmarkStart w:id="388" w:name="bookmark388"/>
      <w:r>
        <w:rPr>
          <w:color w:val="000000"/>
          <w:spacing w:val="0"/>
          <w:w w:val="100"/>
          <w:position w:val="0"/>
        </w:rPr>
        <w:t>（</w:t>
      </w:r>
      <w:bookmarkEnd w:id="388"/>
      <w:r>
        <w:rPr>
          <w:color w:val="000000"/>
          <w:spacing w:val="0"/>
          <w:w w:val="100"/>
          <w:position w:val="0"/>
        </w:rPr>
        <w:t>八）</w:t>
        <w:tab/>
        <w:t>资产管理</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为加强公司存货及固定资产的管理，维护资产安全和完整，公司设立专职部门并建立了存货与资产管理相关制度，明确 了资产出入库、维护、管理等的职责及流程规范，有效保障了公司资产的正常运转，提高了资产使用效率。在无形资产方面, 公司配备专职人员进行信息资产管理，并建立相关制度，能够对品牌、商标、软件著作权、土地使用权等无形资产实施有效 管理。公司法务负责公司资产的权益保护，有效防范侵权行为及法律风险。</w:t>
      </w:r>
    </w:p>
    <w:p>
      <w:pPr>
        <w:pStyle w:val="Style35"/>
        <w:keepNext w:val="0"/>
        <w:keepLines w:val="0"/>
        <w:widowControl w:val="0"/>
        <w:shd w:val="clear" w:color="auto" w:fill="auto"/>
        <w:tabs>
          <w:tab w:pos="626" w:val="left"/>
        </w:tabs>
        <w:bidi w:val="0"/>
        <w:spacing w:before="0" w:after="0" w:line="312" w:lineRule="exact"/>
        <w:ind w:left="0" w:right="0" w:firstLine="0"/>
        <w:jc w:val="left"/>
      </w:pPr>
      <w:bookmarkStart w:id="389" w:name="bookmark389"/>
      <w:r>
        <w:rPr>
          <w:color w:val="000000"/>
          <w:spacing w:val="0"/>
          <w:w w:val="100"/>
          <w:position w:val="0"/>
        </w:rPr>
        <w:t>（</w:t>
      </w:r>
      <w:bookmarkEnd w:id="389"/>
      <w:r>
        <w:rPr>
          <w:color w:val="000000"/>
          <w:spacing w:val="0"/>
          <w:w w:val="100"/>
          <w:position w:val="0"/>
        </w:rPr>
        <w:t>九）</w:t>
        <w:tab/>
        <w:t>销售业务</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经过十余年发展，公司以北京总部为核心在全国三十余个省市设立了分支机构，构筑了总分联动一体化的全国营销服务 网络。公司建立了适应自身业务特点的销售管理模式，并通过销售管理制度、产品报价策略、投标操作指南、客户服务白皮 书等制度规范不断改进、完善销售管理体系建设。公司采用信息化方式对销售计划、立项、费用、回款、维保等情况进行监 督管理，及时防范并应对销售过程可能产生的风险。</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（十）研究与开发</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公司技术与产品管理委员会负责评估并论证技术产品，以及研发过程相关战略和规划。自主创新的技术研发实力是公司 首要的核心竞争力，公司研发项目的执行过程严格遵循</w:t>
      </w:r>
      <w:r>
        <w:rPr>
          <w:rFonts w:ascii="Times New Roman" w:eastAsia="Times New Roman" w:hAnsi="Times New Roman" w:cs="Times New Roman"/>
          <w:color w:val="000000"/>
          <w:spacing w:val="0"/>
          <w:w w:val="100"/>
          <w:position w:val="0"/>
        </w:rPr>
        <w:t>CMMI</w:t>
      </w:r>
      <w:r>
        <w:rPr>
          <w:color w:val="000000"/>
          <w:spacing w:val="0"/>
          <w:w w:val="100"/>
          <w:position w:val="0"/>
        </w:rPr>
        <w:t>和</w:t>
      </w:r>
      <w:r>
        <w:rPr>
          <w:rFonts w:ascii="Times New Roman" w:eastAsia="Times New Roman" w:hAnsi="Times New Roman" w:cs="Times New Roman"/>
          <w:color w:val="000000"/>
          <w:spacing w:val="0"/>
          <w:w w:val="100"/>
          <w:position w:val="0"/>
        </w:rPr>
        <w:t>IS0900L2008</w:t>
      </w:r>
      <w:r>
        <w:rPr>
          <w:color w:val="000000"/>
          <w:spacing w:val="0"/>
          <w:w w:val="100"/>
          <w:position w:val="0"/>
        </w:rPr>
        <w:t>质量管理体系要求的规范和标准，并根据公 司研发项目和实施项目特点，制定了体系化、规范化的流程和标准，实现了从需求、设计、研发、测试，到实施、验收、维 护等项目全生命周期的质量控制和风险控制。</w:t>
      </w:r>
    </w:p>
    <w:p>
      <w:pPr>
        <w:pStyle w:val="Style35"/>
        <w:keepNext w:val="0"/>
        <w:keepLines w:val="0"/>
        <w:widowControl w:val="0"/>
        <w:shd w:val="clear" w:color="auto" w:fill="auto"/>
        <w:bidi w:val="0"/>
        <w:spacing w:before="0" w:after="0" w:line="312" w:lineRule="exact"/>
        <w:ind w:left="0" w:right="0" w:firstLine="0"/>
        <w:jc w:val="left"/>
      </w:pPr>
      <w:r>
        <w:rPr>
          <w:i/>
          <w:iCs/>
          <w:color w:val="000000"/>
          <w:spacing w:val="0"/>
          <w:w w:val="100"/>
          <w:position w:val="0"/>
          <w:sz w:val="19"/>
          <w:szCs w:val="19"/>
        </w:rPr>
        <w:t>（</w:t>
      </w:r>
      <w:r>
        <w:rPr>
          <w:color w:val="000000"/>
          <w:spacing w:val="0"/>
          <w:w w:val="100"/>
          <w:position w:val="0"/>
        </w:rPr>
        <w:t xml:space="preserve"> ）财务报告</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公司根据《企业会计准则》的规定，选择合法、合理且符合公司经营特点和发展状况的会计政策、会计估计来编制财务 报告，并就对财务报告产生重大影响的交易和事项的处理建立了相应的审批权限和程序，确保财务报告的真实性和完整性。 公司重视财务报告的分析利用，每季度、半年度、年度召开董事会审计委员会和董事会对财务报告进行审议，利用其反映的 综合信息，加强对经营管理相关问题的改进，提升公司管理水平。公司对外提供的财务报告严格遵循《企业会计准则》的规 定，需由公司法定代表人、财务总监和会计机构负责人共同签名并盖章。</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（十二）合同管理</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为了维护企业合法权益，公司建立了《合同管理制度》，并设立法务专岗负责合同管理相关工作。在合同订立过程中重 点关注合同主体、内容及形式的合法性，是否符合公司经济利益，以及双方的履约能力、权利义务及违约责任，除确保合同 条款内容完整、表述清晰外，还强化合同商务部分和技术部分的专业审核，避免出现重大疏漏或风险。合同签订后，通过公 司内部信息化系统可及时掌握合同的执行、交付等情况，实现对合同履约情况的监管。</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（十三）项目管理</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公司项目管理委员会指导项目监管部开展公司研发及实施项目的管理和监督工作，以保障项目质量与交付为目标，针对 研发及实施项目从项目前期的立项、计划、成本评审，到项目执行中的沟通反馈、问题跟踪，以及项目交付的质量评审、结 项、考核等，形成了较为完整并行之有效的管理制度和流程规范，并通过不断改进并完善项目激励机制，提升项目管理成效。</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（十四）内部信息传递</w:t>
      </w:r>
    </w:p>
    <w:p>
      <w:pPr>
        <w:pStyle w:val="Style35"/>
        <w:keepNext w:val="0"/>
        <w:keepLines w:val="0"/>
        <w:widowControl w:val="0"/>
        <w:shd w:val="clear" w:color="auto" w:fill="auto"/>
        <w:bidi w:val="0"/>
        <w:spacing w:before="0" w:after="360" w:line="312" w:lineRule="exact"/>
        <w:ind w:left="0" w:right="0"/>
        <w:jc w:val="left"/>
      </w:pPr>
      <w:r>
        <w:rPr>
          <w:color w:val="000000"/>
          <w:spacing w:val="0"/>
          <w:w w:val="100"/>
          <w:position w:val="0"/>
        </w:rPr>
        <w:t>公司制定了《信息披露制度》、《重大信息内部报告制度》、《内幕信息知情人管理制度》、《控股股东内幕信息管理制度》 及《分子公司管理制度》，建立了较为有效的内部信息传递机制，针对不同类型、不同密级的信息明确了传递层级和范围， 落实了信息知悉人的职责权限。报告期内，公司未发生因内部信息传递问题导致的内幕信息泄露风险。</w:t>
      </w:r>
    </w:p>
    <w:p>
      <w:pPr>
        <w:pStyle w:val="Style31"/>
        <w:keepNext/>
        <w:keepLines/>
        <w:widowControl w:val="0"/>
        <w:shd w:val="clear" w:color="auto" w:fill="auto"/>
        <w:bidi w:val="0"/>
        <w:spacing w:before="0" w:after="24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sz w:val="24"/>
          <w:szCs w:val="24"/>
        </w:rPr>
        <w:t>二</w:t>
      </w:r>
      <w:bookmarkEnd w:id="392"/>
      <w:r>
        <w:rPr>
          <w:color w:val="000000"/>
          <w:spacing w:val="0"/>
          <w:w w:val="100"/>
          <w:position w:val="0"/>
          <w:sz w:val="24"/>
          <w:szCs w:val="24"/>
        </w:rPr>
        <w:t>、董事会关于内部控制责任的声明</w:t>
      </w:r>
      <w:bookmarkEnd w:id="390"/>
      <w:bookmarkEnd w:id="391"/>
      <w:bookmarkEnd w:id="393"/>
    </w:p>
    <w:p>
      <w:pPr>
        <w:pStyle w:val="Style35"/>
        <w:keepNext w:val="0"/>
        <w:keepLines w:val="0"/>
        <w:widowControl w:val="0"/>
        <w:shd w:val="clear" w:color="auto" w:fill="auto"/>
        <w:bidi w:val="0"/>
        <w:spacing w:before="0" w:after="0" w:line="314" w:lineRule="exact"/>
        <w:ind w:left="0" w:right="0"/>
        <w:jc w:val="left"/>
      </w:pPr>
      <w:r>
        <w:rPr>
          <w:color w:val="000000"/>
          <w:spacing w:val="0"/>
          <w:w w:val="100"/>
          <w:position w:val="0"/>
        </w:rPr>
        <w:t>公司董事会对公司</w:t>
      </w:r>
      <w:r>
        <w:rPr>
          <w:rFonts w:ascii="Times New Roman" w:eastAsia="Times New Roman" w:hAnsi="Times New Roman" w:cs="Times New Roman"/>
          <w:color w:val="000000"/>
          <w:spacing w:val="0"/>
          <w:w w:val="100"/>
          <w:position w:val="0"/>
        </w:rPr>
        <w:t>2013</w:t>
      </w:r>
      <w:r>
        <w:rPr>
          <w:color w:val="000000"/>
          <w:spacing w:val="0"/>
          <w:w w:val="100"/>
          <w:position w:val="0"/>
        </w:rPr>
        <w:t>年度内部控制活动承担责任。公司董事会对公司内部控制进行了认真的自查和分析，认为：公 司具有比较完善的法人治理结构，内部控制体系较为健全，符合有关法律法规规定。公司内部控制制度能够得到有效地执行, 对控制和防范经营管理风险、保护投资者的合法权益、促进公司规范运作和健康发展起到了积极的作用，在公司未来的经营 发展中，公司需持续不断的推进内部控制体系建设，保证内部控制体系的有效性和完备性。</w:t>
      </w:r>
    </w:p>
    <w:p>
      <w:pPr>
        <w:pStyle w:val="Style31"/>
        <w:keepNext/>
        <w:keepLines/>
        <w:widowControl w:val="0"/>
        <w:shd w:val="clear" w:color="auto" w:fill="auto"/>
        <w:tabs>
          <w:tab w:pos="506" w:val="left"/>
        </w:tabs>
        <w:bidi w:val="0"/>
        <w:spacing w:before="0" w:after="24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sz w:val="24"/>
          <w:szCs w:val="24"/>
        </w:rPr>
        <w:t>三</w:t>
      </w:r>
      <w:bookmarkEnd w:id="396"/>
      <w:r>
        <w:rPr>
          <w:color w:val="000000"/>
          <w:spacing w:val="0"/>
          <w:w w:val="100"/>
          <w:position w:val="0"/>
          <w:sz w:val="24"/>
          <w:szCs w:val="24"/>
        </w:rPr>
        <w:t>、</w:t>
        <w:tab/>
        <w:t>建立财务报告内部控制的依据</w:t>
      </w:r>
      <w:bookmarkEnd w:id="394"/>
      <w:bookmarkEnd w:id="395"/>
      <w:bookmarkEnd w:id="397"/>
    </w:p>
    <w:p>
      <w:pPr>
        <w:pStyle w:val="Style35"/>
        <w:keepNext w:val="0"/>
        <w:keepLines w:val="0"/>
        <w:widowControl w:val="0"/>
        <w:shd w:val="clear" w:color="auto" w:fill="auto"/>
        <w:bidi w:val="0"/>
        <w:spacing w:before="0" w:after="360" w:line="314" w:lineRule="exact"/>
        <w:ind w:left="0" w:right="0"/>
        <w:jc w:val="both"/>
      </w:pPr>
      <w:r>
        <w:rPr>
          <w:color w:val="000000"/>
          <w:spacing w:val="0"/>
          <w:w w:val="100"/>
          <w:position w:val="0"/>
        </w:rPr>
        <w:t>按照《企业内部控制基本规范》和《企业内部控制应用指引》，公司持续完善内部财务管理体系，严格执行会计法律法 规和国家统一的会计准则并按要求编制财务报告，在进一步完善财务决策机制、内部会计控制及会计核算流程的基础上，加 强对财务报告编制，以及对外提供和分析利用财务报告的过程管理，明确相关工作流程和要求，落实责任，确保财务报告合 法合规、真实完整和有效利用。报告期内，公司不存在财务报告内部控制的重大缺陷。</w:t>
      </w:r>
    </w:p>
    <w:p>
      <w:pPr>
        <w:pStyle w:val="Style31"/>
        <w:keepNext/>
        <w:keepLines/>
        <w:widowControl w:val="0"/>
        <w:shd w:val="clear" w:color="auto" w:fill="auto"/>
        <w:tabs>
          <w:tab w:pos="506" w:val="left"/>
        </w:tabs>
        <w:bidi w:val="0"/>
        <w:spacing w:before="0" w:after="32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sz w:val="24"/>
          <w:szCs w:val="24"/>
        </w:rPr>
        <w:t>四</w:t>
      </w:r>
      <w:bookmarkEnd w:id="400"/>
      <w:r>
        <w:rPr>
          <w:color w:val="000000"/>
          <w:spacing w:val="0"/>
          <w:w w:val="100"/>
          <w:position w:val="0"/>
          <w:sz w:val="24"/>
          <w:szCs w:val="24"/>
        </w:rPr>
        <w:t>、</w:t>
        <w:tab/>
        <w:t>内部控制自我评价报告</w:t>
      </w:r>
      <w:bookmarkEnd w:id="398"/>
      <w:bookmarkEnd w:id="399"/>
      <w:bookmarkEnd w:id="401"/>
    </w:p>
    <w:tbl>
      <w:tblPr>
        <w:tblOverlap w:val="never"/>
        <w:jc w:val="center"/>
        <w:tblLayout w:type="fixed"/>
      </w:tblPr>
      <w:tblGrid>
        <w:gridCol w:w="3120"/>
        <w:gridCol w:w="6461"/>
      </w:tblGrid>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报告期内公司不存在财务报告内部控制重大缺陷或重要缺陷，亦未发现公司非财务报告内部控制重大缺陷或重要缺陷。</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内部控制自我评价报告全文披露日期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408"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内部控制自我评价报告全文披露索引</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年度内部控制评价报告》披露于巨潮资讯网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bl>
    <w:p>
      <w:pPr>
        <w:widowControl w:val="0"/>
        <w:spacing w:after="319" w:line="1" w:lineRule="exact"/>
      </w:pPr>
    </w:p>
    <w:p>
      <w:pPr>
        <w:pStyle w:val="Style31"/>
        <w:keepNext/>
        <w:keepLines/>
        <w:widowControl w:val="0"/>
        <w:shd w:val="clear" w:color="auto" w:fill="auto"/>
        <w:bidi w:val="0"/>
        <w:spacing w:before="0" w:after="240" w:line="240" w:lineRule="auto"/>
        <w:ind w:left="0" w:right="0" w:firstLine="0"/>
        <w:jc w:val="left"/>
      </w:pPr>
      <w:bookmarkStart w:id="402" w:name="bookmark402"/>
      <w:bookmarkStart w:id="403" w:name="bookmark403"/>
      <w:bookmarkStart w:id="404" w:name="bookmark404"/>
      <w:bookmarkStart w:id="405" w:name="bookmark405"/>
      <w:r>
        <w:rPr>
          <w:color w:val="000000"/>
          <w:spacing w:val="0"/>
          <w:w w:val="100"/>
          <w:position w:val="0"/>
          <w:sz w:val="24"/>
          <w:szCs w:val="24"/>
        </w:rPr>
        <w:t>五</w:t>
      </w:r>
      <w:bookmarkEnd w:id="404"/>
      <w:r>
        <w:rPr>
          <w:color w:val="000000"/>
          <w:spacing w:val="0"/>
          <w:w w:val="100"/>
          <w:position w:val="0"/>
          <w:sz w:val="24"/>
          <w:szCs w:val="24"/>
        </w:rPr>
        <w:t>、年度报告重大差错责任追究制度的建立与执行情况</w:t>
      </w:r>
      <w:bookmarkEnd w:id="402"/>
      <w:bookmarkEnd w:id="403"/>
      <w:bookmarkEnd w:id="405"/>
    </w:p>
    <w:p>
      <w:pPr>
        <w:pStyle w:val="Style35"/>
        <w:keepNext w:val="0"/>
        <w:keepLines w:val="0"/>
        <w:widowControl w:val="0"/>
        <w:shd w:val="clear" w:color="auto" w:fill="auto"/>
        <w:bidi w:val="0"/>
        <w:spacing w:before="0" w:after="320" w:line="314" w:lineRule="exact"/>
        <w:ind w:left="0" w:right="0"/>
        <w:jc w:val="both"/>
        <w:sectPr>
          <w:footnotePr>
            <w:pos w:val="pageBottom"/>
            <w:numFmt w:val="decimal"/>
            <w:numRestart w:val="continuous"/>
          </w:footnotePr>
          <w:pgSz w:w="11900" w:h="16840"/>
          <w:pgMar w:top="1388" w:right="1036" w:bottom="1647" w:left="1092" w:header="0" w:footer="3" w:gutter="0"/>
          <w:cols w:space="720"/>
          <w:noEndnote/>
          <w:rtlGutter w:val="0"/>
          <w:docGrid w:linePitch="360"/>
        </w:sectPr>
      </w:pPr>
      <w:r>
        <w:rPr>
          <w:color w:val="000000"/>
          <w:spacing w:val="0"/>
          <w:w w:val="100"/>
          <w:position w:val="0"/>
        </w:rPr>
        <w:t>根据《证券法》、《会计法》、《上市公司信息披露管理办法》、《上市公司治理准则》等法律、法规的要求，公司制定了《年 报信息披露重大差错责任追究制度》，明确了年度报告重大差错的责任追究机制，有效保障了信息披露的真实性、准确性、 完整性和及时性，提高年度报告信息披露的质量和透明度。报告期内，公司未发生重大会计差错更正、重大遗漏信息补充等 情况。</w:t>
      </w:r>
    </w:p>
    <w:p>
      <w:pPr>
        <w:pStyle w:val="Style17"/>
        <w:keepNext/>
        <w:keepLines/>
        <w:widowControl w:val="0"/>
        <w:shd w:val="clear" w:color="auto" w:fill="auto"/>
        <w:bidi w:val="0"/>
        <w:spacing w:before="280" w:after="480" w:line="240" w:lineRule="auto"/>
        <w:ind w:left="0" w:right="0" w:firstLine="0"/>
        <w:jc w:val="center"/>
      </w:pPr>
      <w:bookmarkStart w:id="406" w:name="bookmark406"/>
      <w:bookmarkStart w:id="407" w:name="bookmark407"/>
      <w:bookmarkStart w:id="408" w:name="bookmark408"/>
      <w:r>
        <w:rPr>
          <w:color w:val="000000"/>
          <w:spacing w:val="0"/>
          <w:w w:val="100"/>
          <w:position w:val="0"/>
        </w:rPr>
        <w:t>第十节财务报告</w:t>
      </w:r>
      <w:bookmarkEnd w:id="406"/>
      <w:bookmarkEnd w:id="407"/>
      <w:bookmarkEnd w:id="408"/>
    </w:p>
    <w:p>
      <w:pPr>
        <w:pStyle w:val="Style31"/>
        <w:keepNext/>
        <w:keepLines/>
        <w:widowControl w:val="0"/>
        <w:shd w:val="clear" w:color="auto" w:fill="auto"/>
        <w:bidi w:val="0"/>
        <w:spacing w:before="0" w:after="320" w:line="240" w:lineRule="auto"/>
        <w:ind w:left="0" w:right="0" w:firstLine="0"/>
        <w:jc w:val="left"/>
      </w:pPr>
      <w:bookmarkStart w:id="409" w:name="bookmark409"/>
      <w:bookmarkStart w:id="410" w:name="bookmark410"/>
      <w:bookmarkStart w:id="411" w:name="bookmark411"/>
      <w:r>
        <w:rPr>
          <w:color w:val="000000"/>
          <w:spacing w:val="0"/>
          <w:w w:val="100"/>
          <w:position w:val="0"/>
          <w:sz w:val="24"/>
          <w:szCs w:val="24"/>
        </w:rPr>
        <w:t>一、审计报告</w:t>
      </w:r>
      <w:bookmarkEnd w:id="409"/>
      <w:bookmarkEnd w:id="410"/>
      <w:bookmarkEnd w:id="411"/>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398"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rPr>
              <w:t>［2014］</w:t>
            </w:r>
            <w:r>
              <w:rPr>
                <w:color w:val="000000"/>
                <w:spacing w:val="0"/>
                <w:w w:val="100"/>
                <w:position w:val="0"/>
              </w:rPr>
              <w:t>第</w:t>
            </w:r>
            <w:r>
              <w:rPr>
                <w:rFonts w:ascii="Times New Roman" w:eastAsia="Times New Roman" w:hAnsi="Times New Roman" w:cs="Times New Roman"/>
                <w:color w:val="000000"/>
                <w:spacing w:val="0"/>
                <w:w w:val="100"/>
                <w:position w:val="0"/>
              </w:rPr>
              <w:t>710325</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陈勇波、隋振涛</w:t>
            </w:r>
          </w:p>
        </w:tc>
      </w:tr>
    </w:tbl>
    <w:p>
      <w:pPr>
        <w:pStyle w:val="Style33"/>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199" w:line="1" w:lineRule="exact"/>
      </w:pP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w:t>
      </w:r>
    </w:p>
    <w:p>
      <w:pPr>
        <w:pStyle w:val="Style66"/>
        <w:keepNext w:val="0"/>
        <w:keepLines w:val="0"/>
        <w:widowControl w:val="0"/>
        <w:shd w:val="clear" w:color="auto" w:fill="auto"/>
        <w:bidi w:val="0"/>
        <w:spacing w:before="0" w:after="320" w:line="331" w:lineRule="exact"/>
        <w:ind w:left="0" w:right="0" w:firstLine="7000"/>
        <w:jc w:val="both"/>
      </w:pPr>
      <w:r>
        <w:rPr>
          <w:color w:val="000000"/>
          <w:spacing w:val="0"/>
          <w:w w:val="100"/>
          <w:position w:val="0"/>
        </w:rPr>
        <w:t>信会师报字</w:t>
      </w:r>
      <w:r>
        <w:rPr>
          <w:rFonts w:ascii="Times New Roman" w:eastAsia="Times New Roman" w:hAnsi="Times New Roman" w:cs="Times New Roman"/>
          <w:color w:val="000000"/>
          <w:spacing w:val="0"/>
          <w:w w:val="100"/>
          <w:position w:val="0"/>
        </w:rPr>
        <w:t>［2014</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710325</w:t>
      </w:r>
      <w:r>
        <w:rPr>
          <w:color w:val="000000"/>
          <w:spacing w:val="0"/>
          <w:w w:val="100"/>
          <w:position w:val="0"/>
        </w:rPr>
        <w:t xml:space="preserve">号 </w:t>
      </w:r>
      <w:r>
        <w:rPr>
          <w:b/>
          <w:bCs/>
          <w:color w:val="000000"/>
          <w:spacing w:val="0"/>
          <w:w w:val="100"/>
          <w:position w:val="0"/>
        </w:rPr>
        <w:t>北京久其软件股份有限公司全体股东：</w:t>
      </w:r>
    </w:p>
    <w:p>
      <w:pPr>
        <w:pStyle w:val="Style66"/>
        <w:keepNext w:val="0"/>
        <w:keepLines w:val="0"/>
        <w:widowControl w:val="0"/>
        <w:shd w:val="clear" w:color="auto" w:fill="auto"/>
        <w:bidi w:val="0"/>
        <w:spacing w:before="0" w:after="0" w:line="300" w:lineRule="exact"/>
        <w:ind w:left="0" w:right="0"/>
        <w:jc w:val="both"/>
      </w:pPr>
      <w:r>
        <w:rPr>
          <w:color w:val="000000"/>
          <w:spacing w:val="0"/>
          <w:w w:val="100"/>
          <w:position w:val="0"/>
        </w:rPr>
        <w:t>我们审计了后附的北京久其软件股份有限公司（以下简称贵公司）财务报表，包括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资产负债表和合并资产负债表、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年度的利润表和合并利润表、</w:t>
      </w:r>
      <w:r>
        <w:rPr>
          <w:rFonts w:ascii="Times New Roman" w:eastAsia="Times New Roman" w:hAnsi="Times New Roman" w:cs="Times New Roman"/>
          <w:color w:val="000000"/>
          <w:spacing w:val="0"/>
          <w:w w:val="100"/>
          <w:position w:val="0"/>
        </w:rPr>
        <w:t>2013</w:t>
      </w:r>
      <w:r>
        <w:rPr>
          <w:color w:val="000000"/>
          <w:spacing w:val="0"/>
          <w:w w:val="100"/>
          <w:position w:val="0"/>
        </w:rPr>
        <w:t>年度的现金流量表和合并现金流量 表、</w:t>
      </w:r>
      <w:r>
        <w:rPr>
          <w:rFonts w:ascii="Times New Roman" w:eastAsia="Times New Roman" w:hAnsi="Times New Roman" w:cs="Times New Roman"/>
          <w:color w:val="000000"/>
          <w:spacing w:val="0"/>
          <w:w w:val="100"/>
          <w:position w:val="0"/>
        </w:rPr>
        <w:t>2013</w:t>
      </w:r>
      <w:r>
        <w:rPr>
          <w:color w:val="000000"/>
          <w:spacing w:val="0"/>
          <w:w w:val="100"/>
          <w:position w:val="0"/>
        </w:rPr>
        <w:t>年度的所有者权益变动表和合并所有者权益变动表以及财务报表附注。</w:t>
      </w:r>
    </w:p>
    <w:p>
      <w:pPr>
        <w:pStyle w:val="Style66"/>
        <w:keepNext w:val="0"/>
        <w:keepLines w:val="0"/>
        <w:widowControl w:val="0"/>
        <w:shd w:val="clear" w:color="auto" w:fill="auto"/>
        <w:tabs>
          <w:tab w:pos="1183" w:val="left"/>
        </w:tabs>
        <w:bidi w:val="0"/>
        <w:spacing w:before="0" w:after="0" w:line="300" w:lineRule="exact"/>
        <w:ind w:left="0" w:right="0" w:firstLine="700"/>
        <w:jc w:val="both"/>
      </w:pPr>
      <w:bookmarkStart w:id="412" w:name="bookmark412"/>
      <w:r>
        <w:rPr>
          <w:b/>
          <w:bCs/>
          <w:color w:val="000000"/>
          <w:spacing w:val="0"/>
          <w:w w:val="100"/>
          <w:position w:val="0"/>
        </w:rPr>
        <w:t>一</w:t>
      </w:r>
      <w:bookmarkEnd w:id="412"/>
      <w:r>
        <w:rPr>
          <w:b/>
          <w:bCs/>
          <w:color w:val="000000"/>
          <w:spacing w:val="0"/>
          <w:w w:val="100"/>
          <w:position w:val="0"/>
        </w:rPr>
        <w:t>、</w:t>
        <w:tab/>
        <w:t>管理层对财务报表的责任</w:t>
      </w:r>
    </w:p>
    <w:p>
      <w:pPr>
        <w:pStyle w:val="Style66"/>
        <w:keepNext w:val="0"/>
        <w:keepLines w:val="0"/>
        <w:widowControl w:val="0"/>
        <w:shd w:val="clear" w:color="auto" w:fill="auto"/>
        <w:bidi w:val="0"/>
        <w:spacing w:before="0" w:after="0" w:line="300" w:lineRule="exact"/>
        <w:ind w:left="0" w:right="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 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 舞弊或错误导致的重大错报。</w:t>
      </w:r>
    </w:p>
    <w:p>
      <w:pPr>
        <w:pStyle w:val="Style66"/>
        <w:keepNext w:val="0"/>
        <w:keepLines w:val="0"/>
        <w:widowControl w:val="0"/>
        <w:shd w:val="clear" w:color="auto" w:fill="auto"/>
        <w:tabs>
          <w:tab w:pos="1183" w:val="left"/>
        </w:tabs>
        <w:bidi w:val="0"/>
        <w:spacing w:before="0" w:after="0" w:line="293" w:lineRule="exact"/>
        <w:ind w:left="0" w:right="0" w:firstLine="700"/>
        <w:jc w:val="both"/>
      </w:pPr>
      <w:bookmarkStart w:id="413" w:name="bookmark413"/>
      <w:r>
        <w:rPr>
          <w:b/>
          <w:bCs/>
          <w:color w:val="000000"/>
          <w:spacing w:val="0"/>
          <w:w w:val="100"/>
          <w:position w:val="0"/>
        </w:rPr>
        <w:t>二</w:t>
      </w:r>
      <w:bookmarkEnd w:id="413"/>
      <w:r>
        <w:rPr>
          <w:b/>
          <w:bCs/>
          <w:color w:val="000000"/>
          <w:spacing w:val="0"/>
          <w:w w:val="100"/>
          <w:position w:val="0"/>
        </w:rPr>
        <w:t>、</w:t>
        <w:tab/>
        <w:t>注册会计师的责任</w:t>
      </w:r>
    </w:p>
    <w:p>
      <w:pPr>
        <w:pStyle w:val="Style66"/>
        <w:keepNext w:val="0"/>
        <w:keepLines w:val="0"/>
        <w:widowControl w:val="0"/>
        <w:shd w:val="clear" w:color="auto" w:fill="auto"/>
        <w:bidi w:val="0"/>
        <w:spacing w:before="0" w:after="0" w:line="293" w:lineRule="exact"/>
        <w:ind w:left="0" w:right="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66"/>
        <w:keepNext w:val="0"/>
        <w:keepLines w:val="0"/>
        <w:widowControl w:val="0"/>
        <w:shd w:val="clear" w:color="auto" w:fill="auto"/>
        <w:bidi w:val="0"/>
        <w:spacing w:before="0" w:after="0" w:line="313" w:lineRule="exact"/>
        <w:ind w:left="0" w:right="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66"/>
        <w:keepNext w:val="0"/>
        <w:keepLines w:val="0"/>
        <w:widowControl w:val="0"/>
        <w:shd w:val="clear" w:color="auto" w:fill="auto"/>
        <w:bidi w:val="0"/>
        <w:spacing w:before="0" w:after="320" w:line="313" w:lineRule="exact"/>
        <w:ind w:left="0" w:right="0"/>
        <w:jc w:val="left"/>
      </w:pPr>
      <w:r>
        <w:rPr>
          <w:color w:val="000000"/>
          <w:spacing w:val="0"/>
          <w:w w:val="100"/>
          <w:position w:val="0"/>
        </w:rPr>
        <w:t>我们相信，我们获取的审计证据是充分、适当的，为发表审计意见提供了基础。</w:t>
      </w:r>
    </w:p>
    <w:p>
      <w:pPr>
        <w:pStyle w:val="Style40"/>
        <w:keepNext/>
        <w:keepLines/>
        <w:widowControl w:val="0"/>
        <w:shd w:val="clear" w:color="auto" w:fill="auto"/>
        <w:tabs>
          <w:tab w:pos="1183" w:val="left"/>
        </w:tabs>
        <w:bidi w:val="0"/>
        <w:spacing w:before="0" w:after="0" w:line="302" w:lineRule="exact"/>
        <w:ind w:left="0" w:right="0" w:firstLine="700"/>
        <w:jc w:val="both"/>
      </w:pPr>
      <w:bookmarkStart w:id="414" w:name="bookmark414"/>
      <w:bookmarkStart w:id="415" w:name="bookmark415"/>
      <w:bookmarkStart w:id="416" w:name="bookmark416"/>
      <w:bookmarkStart w:id="417" w:name="bookmark417"/>
      <w:r>
        <w:rPr>
          <w:color w:val="000000"/>
          <w:spacing w:val="0"/>
          <w:w w:val="100"/>
          <w:position w:val="0"/>
        </w:rPr>
        <w:t>三</w:t>
      </w:r>
      <w:bookmarkEnd w:id="416"/>
      <w:r>
        <w:rPr>
          <w:color w:val="000000"/>
          <w:spacing w:val="0"/>
          <w:w w:val="100"/>
          <w:position w:val="0"/>
        </w:rPr>
        <w:t>、</w:t>
        <w:tab/>
        <w:t>审计意见</w:t>
      </w:r>
      <w:bookmarkEnd w:id="414"/>
      <w:bookmarkEnd w:id="415"/>
      <w:bookmarkEnd w:id="417"/>
    </w:p>
    <w:p>
      <w:pPr>
        <w:pStyle w:val="Style66"/>
        <w:keepNext w:val="0"/>
        <w:keepLines w:val="0"/>
        <w:widowControl w:val="0"/>
        <w:shd w:val="clear" w:color="auto" w:fill="auto"/>
        <w:bidi w:val="0"/>
        <w:spacing w:before="0" w:after="320" w:line="302" w:lineRule="exact"/>
        <w:ind w:left="0" w:right="0"/>
        <w:jc w:val="both"/>
      </w:pPr>
      <w:r>
        <w:rPr>
          <w:color w:val="000000"/>
          <w:spacing w:val="0"/>
          <w:w w:val="100"/>
          <w:position w:val="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年度的经营成果和现金流量。</w:t>
      </w:r>
    </w:p>
    <w:p>
      <w:pPr>
        <w:pStyle w:val="Style66"/>
        <w:keepNext w:val="0"/>
        <w:keepLines w:val="0"/>
        <w:widowControl w:val="0"/>
        <w:shd w:val="clear" w:color="auto" w:fill="auto"/>
        <w:tabs>
          <w:tab w:pos="3715" w:val="left"/>
        </w:tabs>
        <w:bidi w:val="0"/>
        <w:spacing w:before="0" w:after="320"/>
        <w:ind w:left="0" w:right="0" w:firstLine="0"/>
        <w:jc w:val="left"/>
      </w:pPr>
      <w:r>
        <w:rPr>
          <w:b/>
          <w:bCs/>
          <w:color w:val="000000"/>
          <w:spacing w:val="0"/>
          <w:w w:val="100"/>
          <w:position w:val="0"/>
        </w:rPr>
        <w:t>立信会计师事务所（特殊普通合伙）</w:t>
        <w:tab/>
        <w:t>中国注册会计师：陈勇波</w:t>
      </w:r>
    </w:p>
    <w:p>
      <w:pPr>
        <w:pStyle w:val="Style66"/>
        <w:keepNext w:val="0"/>
        <w:keepLines w:val="0"/>
        <w:widowControl w:val="0"/>
        <w:shd w:val="clear" w:color="auto" w:fill="auto"/>
        <w:tabs>
          <w:tab w:pos="4151" w:val="left"/>
        </w:tabs>
        <w:bidi w:val="0"/>
        <w:spacing w:before="0" w:after="100"/>
        <w:ind w:left="1060" w:right="0" w:firstLine="0"/>
        <w:jc w:val="left"/>
      </w:pPr>
      <w:r>
        <w:rPr>
          <w:b/>
          <w:bCs/>
          <w:color w:val="000000"/>
          <w:spacing w:val="0"/>
          <w:w w:val="100"/>
          <w:position w:val="0"/>
        </w:rPr>
        <w:t>中国•上海</w:t>
        <w:tab/>
        <w:t>中国注册会计师：隋振涛</w:t>
      </w:r>
      <w:r>
        <w:br w:type="page"/>
      </w:r>
    </w:p>
    <w:p>
      <w:pPr>
        <w:pStyle w:val="Style40"/>
        <w:keepNext/>
        <w:keepLines/>
        <w:widowControl w:val="0"/>
        <w:shd w:val="clear" w:color="auto" w:fill="auto"/>
        <w:bidi w:val="0"/>
        <w:spacing w:before="0" w:after="360" w:line="240" w:lineRule="auto"/>
        <w:ind w:left="0" w:right="0" w:firstLine="0"/>
        <w:jc w:val="right"/>
      </w:pPr>
      <w:bookmarkStart w:id="418" w:name="bookmark418"/>
      <w:bookmarkStart w:id="419" w:name="bookmark419"/>
      <w:bookmarkStart w:id="420" w:name="bookmark420"/>
      <w:r>
        <w:rPr>
          <w:color w:val="000000"/>
          <w:spacing w:val="0"/>
          <w:w w:val="100"/>
          <w:position w:val="0"/>
        </w:rPr>
        <w:t>二。一四年三月二十三日</w:t>
      </w:r>
      <w:bookmarkEnd w:id="418"/>
      <w:bookmarkEnd w:id="419"/>
      <w:bookmarkEnd w:id="420"/>
    </w:p>
    <w:p>
      <w:pPr>
        <w:pStyle w:val="Style31"/>
        <w:keepNext/>
        <w:keepLines/>
        <w:widowControl w:val="0"/>
        <w:shd w:val="clear" w:color="auto" w:fill="auto"/>
        <w:bidi w:val="0"/>
        <w:spacing w:before="0" w:after="360" w:line="240" w:lineRule="auto"/>
        <w:ind w:left="0" w:right="0" w:firstLine="0"/>
        <w:jc w:val="left"/>
      </w:pPr>
      <w:bookmarkStart w:id="421" w:name="bookmark421"/>
      <w:bookmarkStart w:id="422" w:name="bookmark422"/>
      <w:bookmarkStart w:id="423" w:name="bookmark423"/>
      <w:r>
        <w:rPr>
          <w:color w:val="000000"/>
          <w:spacing w:val="0"/>
          <w:w w:val="100"/>
          <w:position w:val="0"/>
          <w:sz w:val="24"/>
          <w:szCs w:val="24"/>
        </w:rPr>
        <w:t>二、财务报表</w:t>
      </w:r>
      <w:bookmarkEnd w:id="421"/>
      <w:bookmarkEnd w:id="422"/>
      <w:bookmarkEnd w:id="423"/>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40"/>
        <w:keepNext/>
        <w:keepLines/>
        <w:widowControl w:val="0"/>
        <w:shd w:val="clear" w:color="auto" w:fill="auto"/>
        <w:bidi w:val="0"/>
        <w:spacing w:before="0" w:after="36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1</w:t>
      </w:r>
      <w:bookmarkEnd w:id="426"/>
      <w:r>
        <w:rPr>
          <w:color w:val="000000"/>
          <w:spacing w:val="0"/>
          <w:w w:val="100"/>
          <w:position w:val="0"/>
        </w:rPr>
        <w:t>、合并资产负债表</w:t>
      </w:r>
      <w:bookmarkEnd w:id="424"/>
      <w:bookmarkEnd w:id="425"/>
      <w:bookmarkEnd w:id="427"/>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编制单位：北京久其软件股份有限公司</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234,712,889.08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231,128,801.80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80,788,375.18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70,685,791.77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280,000.00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67,084,987.90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61,047,578.77</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3,692,601.45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1,469,727.83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14,674,840.04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11,366,382.16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1,210,750.04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519,813.04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402,364,443.69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376,498,095.37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71,795,068.49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30,824,383.56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71,305,706.12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73,092,382.31</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146,655,804.41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154,792,553.98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1,871,701.00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1,871,701.00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60,257,423.39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39,819,507.79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5,604,111.69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21,172,335.16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2,971,594.34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2,086,691.88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3,861,638.64</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381,941.44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432,323.91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359,958,448.42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328,838,420.69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762,322,892.11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705,336,516.06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2,973,322.20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2,937,239.92</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2,331,493.98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1,769,636.00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32,581,140.45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20,154,165.35</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8,744,472.73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5,181,868.11</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687,583.46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687,583.46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3,547,701.87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4,442,466.80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50,865,714.69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35,252,959.64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78,837.52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68,579.18</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1,528,773.84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1,700,000.00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1,607,611.36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1,768,579.18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52,473,326.05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37,021,538.82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175,795,305.00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175,795,305.00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275,919,230.51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275,919,230.51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38,841,898.35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32,871,261.46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218,193,819.13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182,310,083.56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708,750,252.99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666,895,880.53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1,099,313.07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1,419,096.71</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709,849,566.06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668,314,977.24</w:t>
            </w:r>
          </w:p>
        </w:tc>
      </w:tr>
      <w:tr>
        <w:trPr>
          <w:trHeight w:val="725"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762,322,892.11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705,336,516.06</w:t>
            </w:r>
          </w:p>
        </w:tc>
      </w:tr>
    </w:tbl>
    <w:p>
      <w:pPr>
        <w:widowControl w:val="0"/>
        <w:spacing w:line="1" w:lineRule="exact"/>
        <w:sectPr>
          <w:footnotePr>
            <w:pos w:val="pageBottom"/>
            <w:numFmt w:val="decimal"/>
            <w:numRestart w:val="continuous"/>
          </w:footnotePr>
          <w:pgSz w:w="11900" w:h="16840"/>
          <w:pgMar w:top="1436" w:right="1118" w:bottom="1719" w:left="1100" w:header="0" w:footer="3" w:gutter="0"/>
          <w:cols w:space="720"/>
          <w:noEndnote/>
          <w:rtlGutter w:val="0"/>
          <w:docGrid w:linePitch="360"/>
        </w:sectPr>
      </w:pPr>
      <w:r>
        <mc:AlternateContent>
          <mc:Choice Requires="wps">
            <w:drawing>
              <wp:anchor distT="152400" distB="0" distL="114300" distR="5143500" simplePos="0" relativeHeight="125829392" behindDoc="0" locked="0" layoutInCell="1" allowOverlap="1">
                <wp:simplePos x="0" y="0"/>
                <wp:positionH relativeFrom="page">
                  <wp:posOffset>701675</wp:posOffset>
                </wp:positionH>
                <wp:positionV relativeFrom="margin">
                  <wp:posOffset>7318375</wp:posOffset>
                </wp:positionV>
                <wp:extent cx="1051560" cy="149225"/>
                <wp:wrapTopAndBottom/>
                <wp:docPr id="28" name="Shape 28"/>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法定代表人：赵福君</w:t>
                            </w:r>
                          </w:p>
                        </w:txbxContent>
                      </wps:txbx>
                      <wps:bodyPr wrap="none" lIns="0" tIns="0" rIns="0" bIns="0">
                        <a:noAutoFit/>
                      </wps:bodyPr>
                    </wps:wsp>
                  </a:graphicData>
                </a:graphic>
              </wp:anchor>
            </w:drawing>
          </mc:Choice>
          <mc:Fallback>
            <w:pict>
              <v:shape id="_x0000_s1054" type="#_x0000_t202" style="position:absolute;margin-left:55.25pt;margin-top:576.25pt;width:82.799999999999997pt;height:11.75pt;z-index:-125829361;mso-wrap-distance-left:9.pt;mso-wrap-distance-top:12.pt;mso-wrap-distance-right:40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法定代表人：赵福君</w:t>
                      </w:r>
                    </w:p>
                  </w:txbxContent>
                </v:textbox>
                <w10:wrap type="topAndBottom" anchorx="page" anchory="margin"/>
              </v:shape>
            </w:pict>
          </mc:Fallback>
        </mc:AlternateContent>
      </w:r>
      <w:r>
        <mc:AlternateContent>
          <mc:Choice Requires="wps">
            <w:drawing>
              <wp:anchor distT="152400" distB="3175" distL="2287270" distR="2513330" simplePos="0" relativeHeight="125829394" behindDoc="0" locked="0" layoutInCell="1" allowOverlap="1">
                <wp:simplePos x="0" y="0"/>
                <wp:positionH relativeFrom="page">
                  <wp:posOffset>2874645</wp:posOffset>
                </wp:positionH>
                <wp:positionV relativeFrom="margin">
                  <wp:posOffset>7318375</wp:posOffset>
                </wp:positionV>
                <wp:extent cx="1508760" cy="146050"/>
                <wp:wrapTopAndBottom/>
                <wp:docPr id="30" name="Shape 30"/>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主管会计工作负责人：邱安超</w:t>
                            </w:r>
                          </w:p>
                        </w:txbxContent>
                      </wps:txbx>
                      <wps:bodyPr wrap="none" lIns="0" tIns="0" rIns="0" bIns="0">
                        <a:noAutoFit/>
                      </wps:bodyPr>
                    </wps:wsp>
                  </a:graphicData>
                </a:graphic>
              </wp:anchor>
            </w:drawing>
          </mc:Choice>
          <mc:Fallback>
            <w:pict>
              <v:shape id="_x0000_s1056" type="#_x0000_t202" style="position:absolute;margin-left:226.34999999999999pt;margin-top:576.25pt;width:118.8pt;height:11.5pt;z-index:-125829359;mso-wrap-distance-left:180.09999999999999pt;mso-wrap-distance-top:12.pt;mso-wrap-distance-right:197.90000000000001pt;mso-wrap-distance-bottom:0.2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主管会计工作负责人：邱安超</w:t>
                      </w:r>
                    </w:p>
                  </w:txbxContent>
                </v:textbox>
                <w10:wrap type="topAndBottom" anchorx="page" anchory="margin"/>
              </v:shape>
            </w:pict>
          </mc:Fallback>
        </mc:AlternateContent>
      </w:r>
      <w:r>
        <mc:AlternateContent>
          <mc:Choice Requires="wps">
            <w:drawing>
              <wp:anchor distT="152400" distB="0" distL="4911725" distR="114300" simplePos="0" relativeHeight="125829396" behindDoc="0" locked="0" layoutInCell="1" allowOverlap="1">
                <wp:simplePos x="0" y="0"/>
                <wp:positionH relativeFrom="page">
                  <wp:posOffset>5499100</wp:posOffset>
                </wp:positionH>
                <wp:positionV relativeFrom="margin">
                  <wp:posOffset>7318375</wp:posOffset>
                </wp:positionV>
                <wp:extent cx="1283335" cy="149225"/>
                <wp:wrapTopAndBottom/>
                <wp:docPr id="32" name="Shape 32"/>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会计机构负责人：马巧红</w:t>
                            </w:r>
                          </w:p>
                        </w:txbxContent>
                      </wps:txbx>
                      <wps:bodyPr wrap="none" lIns="0" tIns="0" rIns="0" bIns="0">
                        <a:noAutoFit/>
                      </wps:bodyPr>
                    </wps:wsp>
                  </a:graphicData>
                </a:graphic>
              </wp:anchor>
            </w:drawing>
          </mc:Choice>
          <mc:Fallback>
            <w:pict>
              <v:shape id="_x0000_s1058" type="#_x0000_t202" style="position:absolute;margin-left:433.pt;margin-top:576.25pt;width:101.05pt;height:11.75pt;z-index:-125829357;mso-wrap-distance-left:386.75pt;mso-wrap-distance-top:12.pt;mso-wrap-distance-right: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会计机构负责人：马巧红</w:t>
                      </w:r>
                    </w:p>
                  </w:txbxContent>
                </v:textbox>
                <w10:wrap type="topAndBottom" anchorx="page" anchory="margin"/>
              </v:shape>
            </w:pict>
          </mc:Fallback>
        </mc:AlternateContent>
      </w:r>
    </w:p>
    <w:p>
      <w:pPr>
        <w:widowControl w:val="0"/>
        <w:spacing w:before="23" w:after="2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74" w:right="0" w:bottom="1369" w:left="0" w:header="0" w:footer="3" w:gutter="0"/>
          <w:cols w:space="720"/>
          <w:noEndnote/>
          <w:rtlGutter w:val="0"/>
          <w:docGrid w:linePitch="360"/>
        </w:sectPr>
      </w:pPr>
    </w:p>
    <w:p>
      <w:pPr>
        <w:pStyle w:val="Style40"/>
        <w:keepNext/>
        <w:keepLines/>
        <w:widowControl w:val="0"/>
        <w:shd w:val="clear" w:color="auto" w:fill="auto"/>
        <w:bidi w:val="0"/>
        <w:spacing w:before="0" w:after="380" w:line="240" w:lineRule="auto"/>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2</w:t>
      </w:r>
      <w:bookmarkEnd w:id="430"/>
      <w:r>
        <w:rPr>
          <w:color w:val="000000"/>
          <w:spacing w:val="0"/>
          <w:w w:val="100"/>
          <w:position w:val="0"/>
        </w:rPr>
        <w:t>、母公司资产负债表</w:t>
      </w:r>
      <w:bookmarkEnd w:id="428"/>
      <w:bookmarkEnd w:id="429"/>
      <w:bookmarkEnd w:id="431"/>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编制单位：北京久其软件股份有限公司</w:t>
      </w:r>
    </w:p>
    <w:p>
      <w:pPr>
        <w:pStyle w:val="Style35"/>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41275" distB="0" distL="0" distR="0" simplePos="0" relativeHeight="125829398" behindDoc="0" locked="0" layoutInCell="1" allowOverlap="1">
                <wp:simplePos x="0" y="0"/>
                <wp:positionH relativeFrom="page">
                  <wp:posOffset>1527810</wp:posOffset>
                </wp:positionH>
                <wp:positionV relativeFrom="paragraph">
                  <wp:posOffset>41275</wp:posOffset>
                </wp:positionV>
                <wp:extent cx="252730" cy="146050"/>
                <wp:wrapTopAndBottom/>
                <wp:docPr id="34" name="Shape 34"/>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35"/>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60" type="#_x0000_t202" style="position:absolute;margin-left:120.3pt;margin-top:3.25pt;width:19.900000000000002pt;height:11.5pt;z-index:-125829355;mso-wrap-distance-left:0;mso-wrap-distance-top:3.25pt;mso-wrap-distance-right:0;mso-position-horizontal-relative:page" filled="f" stroked="f">
                <v:textbox inset="0,0,0,0">
                  <w:txbxContent>
                    <w:p>
                      <w:pPr>
                        <w:pStyle w:val="Style35"/>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400" behindDoc="0" locked="0" layoutInCell="1" allowOverlap="1">
                <wp:simplePos x="0" y="0"/>
                <wp:positionH relativeFrom="page">
                  <wp:posOffset>3405505</wp:posOffset>
                </wp:positionH>
                <wp:positionV relativeFrom="paragraph">
                  <wp:posOffset>38100</wp:posOffset>
                </wp:positionV>
                <wp:extent cx="481330" cy="149225"/>
                <wp:wrapTopAndBottom/>
                <wp:docPr id="36" name="Shape 36"/>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5"/>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062" type="#_x0000_t202" style="position:absolute;margin-left:268.14999999999998pt;margin-top:3.pt;width:37.899999999999999pt;height:11.75pt;z-index:-125829353;mso-wrap-distance-left:0;mso-wrap-distance-top:3.pt;mso-wrap-distance-right:0;mso-position-horizontal-relative:page" filled="f" stroked="f">
                <v:textbox inset="0,0,0,0">
                  <w:txbxContent>
                    <w:p>
                      <w:pPr>
                        <w:pStyle w:val="Style35"/>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38100" distB="0" distL="0" distR="0" simplePos="0" relativeHeight="125829402" behindDoc="0" locked="0" layoutInCell="1" allowOverlap="1">
                <wp:simplePos x="0" y="0"/>
                <wp:positionH relativeFrom="page">
                  <wp:posOffset>5499100</wp:posOffset>
                </wp:positionH>
                <wp:positionV relativeFrom="paragraph">
                  <wp:posOffset>38100</wp:posOffset>
                </wp:positionV>
                <wp:extent cx="484505" cy="149225"/>
                <wp:wrapTopAndBottom/>
                <wp:docPr id="38" name="Shape 38"/>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5"/>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1064" type="#_x0000_t202" style="position:absolute;margin-left:433.pt;margin-top:3.pt;width:38.149999999999999pt;height:11.75pt;z-index:-125829351;mso-wrap-distance-left:0;mso-wrap-distance-top:3.pt;mso-wrap-distance-right:0;mso-position-horizontal-relative:page" filled="f" stroked="f">
                <v:textbox inset="0,0,0,0">
                  <w:txbxContent>
                    <w:p>
                      <w:pPr>
                        <w:pStyle w:val="Style35"/>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r>
        <w:br w:type="page"/>
      </w:r>
    </w:p>
    <w:tbl>
      <w:tblPr>
        <w:tblOverlap w:val="never"/>
        <w:jc w:val="center"/>
        <w:tblLayout w:type="fixed"/>
      </w:tblPr>
      <w:tblGrid>
        <w:gridCol w:w="2966"/>
        <w:gridCol w:w="3302"/>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179,340,576.95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161,253,970.12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80,788,375.18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70,685,791.77</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280,000.00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57,408,389.69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55,098,470.77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3,684,440.23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1,437,209.47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15,920,000.00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17,090,605.25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13,501,950.60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1,062,781.24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331,639.11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339,575,168.54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318,509,031.84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71,795,068.49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30,824,383.56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117,901,630.70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122,639,316.96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126,778,388.27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136,389,767.42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1,871,701.00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1,871,701.00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55,936,500.84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36,895,899.40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5,604,111.69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21,172,335.16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1,835,109.18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3,418,787.22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347,606.86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387,493.16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382,070,117.03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353,599,683.88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721,645,285.57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672,108,715.72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02"/>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2,318,459.70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1,605,256.20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1,504,131.58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1,098,184.00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23,455,210.62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17,130,776.91</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5,870,795.15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2,690,170.20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1,988,726.04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5,042,236.55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35,137,323.09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27,566,623.86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78,837.52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68,579.18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1,528,773.84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1,700,000.00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1,607,611.36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1,768,579.18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36,744,934.45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29,335,203.04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175,795,305.00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175,795,305.00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277,971,196.61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277,971,196.61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38,841,898.35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32,871,261.46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192,291,951.16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156,135,749.61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684,900,351.12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642,773,512.68</w:t>
            </w:r>
          </w:p>
        </w:tc>
      </w:tr>
      <w:tr>
        <w:trPr>
          <w:trHeight w:val="422"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负债和所有者权益（或股东权益）总</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721,645,285.57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672,108,715.72</w:t>
            </w:r>
          </w:p>
        </w:tc>
      </w:tr>
    </w:tbl>
    <w:p>
      <w:pPr>
        <w:spacing w:lineRule="exact" w:line="1"/>
        <w:rPr>
          <w:sz w:val="2"/>
          <w:szCs w:val="2"/>
        </w:rPr>
      </w:pPr>
      <w:r>
        <w:br w:type="page"/>
      </w:r>
    </w:p>
    <w:p>
      <w:pPr>
        <w:widowControl w:val="0"/>
        <w:spacing w:line="1" w:lineRule="exact"/>
      </w:pPr>
      <w:r>
        <mc:AlternateContent>
          <mc:Choice Requires="wps">
            <w:drawing>
              <wp:anchor distT="450850" distB="153035" distL="0" distR="0" simplePos="0" relativeHeight="125829404" behindDoc="0" locked="0" layoutInCell="1" allowOverlap="1">
                <wp:simplePos x="0" y="0"/>
                <wp:positionH relativeFrom="page">
                  <wp:posOffset>711200</wp:posOffset>
                </wp:positionH>
                <wp:positionV relativeFrom="paragraph">
                  <wp:posOffset>450850</wp:posOffset>
                </wp:positionV>
                <wp:extent cx="1051560" cy="149225"/>
                <wp:wrapTopAndBottom/>
                <wp:docPr id="40" name="Shape 40"/>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法定代表人：赵福君</w:t>
                            </w:r>
                          </w:p>
                        </w:txbxContent>
                      </wps:txbx>
                      <wps:bodyPr wrap="none" lIns="0" tIns="0" rIns="0" bIns="0">
                        <a:noAutoFit/>
                      </wps:bodyPr>
                    </wps:wsp>
                  </a:graphicData>
                </a:graphic>
              </wp:anchor>
            </w:drawing>
          </mc:Choice>
          <mc:Fallback>
            <w:pict>
              <v:shape id="_x0000_s1066" type="#_x0000_t202" style="position:absolute;margin-left:56.pt;margin-top:35.5pt;width:82.799999999999997pt;height:11.75pt;z-index:-125829349;mso-wrap-distance-left:0;mso-wrap-distance-top:35.5pt;mso-wrap-distance-right:0;mso-wrap-distance-bottom:12.050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法定代表人：赵福君</w:t>
                      </w:r>
                    </w:p>
                  </w:txbxContent>
                </v:textbox>
                <w10:wrap type="topAndBottom" anchorx="page"/>
              </v:shape>
            </w:pict>
          </mc:Fallback>
        </mc:AlternateContent>
      </w:r>
      <w:r>
        <w:drawing>
          <wp:anchor distT="0" distB="524510" distL="0" distR="0" simplePos="0" relativeHeight="125829406" behindDoc="0" locked="0" layoutInCell="1" allowOverlap="1">
            <wp:simplePos x="0" y="0"/>
            <wp:positionH relativeFrom="page">
              <wp:posOffset>2607310</wp:posOffset>
            </wp:positionH>
            <wp:positionV relativeFrom="paragraph">
              <wp:posOffset>0</wp:posOffset>
            </wp:positionV>
            <wp:extent cx="2096770" cy="231775"/>
            <wp:wrapTopAndBottom/>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15"/>
                    <a:stretch/>
                  </pic:blipFill>
                  <pic:spPr>
                    <a:xfrm>
                      <a:ext cx="2096770" cy="231775"/>
                    </a:xfrm>
                    <a:prstGeom prst="rect"/>
                  </pic:spPr>
                </pic:pic>
              </a:graphicData>
            </a:graphic>
          </wp:anchor>
        </w:drawing>
      </w:r>
      <w:r>
        <w:drawing>
          <wp:anchor distT="0" distB="524510" distL="0" distR="0" simplePos="0" relativeHeight="125829407" behindDoc="0" locked="0" layoutInCell="1" allowOverlap="1">
            <wp:simplePos x="0" y="0"/>
            <wp:positionH relativeFrom="page">
              <wp:posOffset>4704080</wp:posOffset>
            </wp:positionH>
            <wp:positionV relativeFrom="paragraph">
              <wp:posOffset>0</wp:posOffset>
            </wp:positionV>
            <wp:extent cx="2096770" cy="231775"/>
            <wp:wrapTopAndBottom/>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17"/>
                    <a:stretch/>
                  </pic:blipFill>
                  <pic:spPr>
                    <a:xfrm>
                      <a:ext cx="2096770" cy="231775"/>
                    </a:xfrm>
                    <a:prstGeom prst="rect"/>
                  </pic:spPr>
                </pic:pic>
              </a:graphicData>
            </a:graphic>
          </wp:anchor>
        </w:drawing>
      </w:r>
      <w:r>
        <mc:AlternateContent>
          <mc:Choice Requires="wps">
            <w:drawing>
              <wp:anchor distT="450850" distB="158750" distL="0" distR="0" simplePos="0" relativeHeight="125829408" behindDoc="0" locked="0" layoutInCell="1" allowOverlap="1">
                <wp:simplePos x="0" y="0"/>
                <wp:positionH relativeFrom="page">
                  <wp:posOffset>2884170</wp:posOffset>
                </wp:positionH>
                <wp:positionV relativeFrom="paragraph">
                  <wp:posOffset>450850</wp:posOffset>
                </wp:positionV>
                <wp:extent cx="1508760" cy="143510"/>
                <wp:wrapTopAndBottom/>
                <wp:docPr id="46" name="Shape 46"/>
                <a:graphic xmlns:a="http://schemas.openxmlformats.org/drawingml/2006/main">
                  <a:graphicData uri="http://schemas.microsoft.com/office/word/2010/wordprocessingShape">
                    <wps:wsp>
                      <wps:cNvSpPr txBox="1"/>
                      <wps:spPr>
                        <a:xfrm>
                          <a:ext cx="1508760" cy="1435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主管会计工作负责人：邱安超</w:t>
                            </w:r>
                          </w:p>
                        </w:txbxContent>
                      </wps:txbx>
                      <wps:bodyPr wrap="none" lIns="0" tIns="0" rIns="0" bIns="0">
                        <a:noAutoFit/>
                      </wps:bodyPr>
                    </wps:wsp>
                  </a:graphicData>
                </a:graphic>
              </wp:anchor>
            </w:drawing>
          </mc:Choice>
          <mc:Fallback>
            <w:pict>
              <v:shape id="_x0000_s1072" type="#_x0000_t202" style="position:absolute;margin-left:227.09999999999999pt;margin-top:35.5pt;width:118.8pt;height:11.300000000000001pt;z-index:-125829345;mso-wrap-distance-left:0;mso-wrap-distance-top:35.5pt;mso-wrap-distance-right:0;mso-wrap-distance-bottom:12.5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主管会计工作负责人：邱安超</w:t>
                      </w:r>
                    </w:p>
                  </w:txbxContent>
                </v:textbox>
                <w10:wrap type="topAndBottom" anchorx="page"/>
              </v:shape>
            </w:pict>
          </mc:Fallback>
        </mc:AlternateContent>
      </w:r>
      <w:r>
        <mc:AlternateContent>
          <mc:Choice Requires="wps">
            <w:drawing>
              <wp:anchor distT="450850" distB="153035" distL="0" distR="0" simplePos="0" relativeHeight="125829410" behindDoc="0" locked="0" layoutInCell="1" allowOverlap="1">
                <wp:simplePos x="0" y="0"/>
                <wp:positionH relativeFrom="page">
                  <wp:posOffset>5508625</wp:posOffset>
                </wp:positionH>
                <wp:positionV relativeFrom="paragraph">
                  <wp:posOffset>450850</wp:posOffset>
                </wp:positionV>
                <wp:extent cx="1283335" cy="149225"/>
                <wp:wrapTopAndBottom/>
                <wp:docPr id="48" name="Shape 48"/>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会计机构负责人：马巧红</w:t>
                            </w:r>
                          </w:p>
                        </w:txbxContent>
                      </wps:txbx>
                      <wps:bodyPr wrap="none" lIns="0" tIns="0" rIns="0" bIns="0">
                        <a:noAutoFit/>
                      </wps:bodyPr>
                    </wps:wsp>
                  </a:graphicData>
                </a:graphic>
              </wp:anchor>
            </w:drawing>
          </mc:Choice>
          <mc:Fallback>
            <w:pict>
              <v:shape id="_x0000_s1074" type="#_x0000_t202" style="position:absolute;margin-left:433.75pt;margin-top:35.5pt;width:101.05pt;height:11.75pt;z-index:-125829343;mso-wrap-distance-left:0;mso-wrap-distance-top:35.5pt;mso-wrap-distance-right:0;mso-wrap-distance-bottom:12.050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会计机构负责人：马巧红</w:t>
                      </w:r>
                    </w:p>
                  </w:txbxContent>
                </v:textbox>
                <w10:wrap type="topAndBottom" anchorx="page"/>
              </v:shape>
            </w:pict>
          </mc:Fallback>
        </mc:AlternateContent>
      </w:r>
    </w:p>
    <w:p>
      <w:pPr>
        <w:pStyle w:val="Style40"/>
        <w:keepNext/>
        <w:keepLines/>
        <w:widowControl w:val="0"/>
        <w:shd w:val="clear" w:color="auto" w:fill="auto"/>
        <w:bidi w:val="0"/>
        <w:spacing w:before="0" w:after="360" w:line="240" w:lineRule="auto"/>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3</w:t>
      </w:r>
      <w:bookmarkEnd w:id="434"/>
      <w:r>
        <w:rPr>
          <w:color w:val="000000"/>
          <w:spacing w:val="0"/>
          <w:w w:val="100"/>
          <w:position w:val="0"/>
        </w:rPr>
        <w:t>、合并利润表</w:t>
      </w:r>
      <w:bookmarkEnd w:id="432"/>
      <w:bookmarkEnd w:id="433"/>
      <w:bookmarkEnd w:id="435"/>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编制单位：北京久其软件股份有限公司</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289,545,451.00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247,321,193.27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289,545,451.00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247,321,193.27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236,958,371.95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238,353,086.64</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7,834,873.69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9,125,865.63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营业税金及附加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2,075,704.38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3,181,832.55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22,057,660.82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23,553,136.22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204,184,074.84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205,666,721.72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-3,226,552.73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-5,870,785.57</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资产减值损失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4,032,610.95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2,696,316.09</w:t>
            </w: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102,583.41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685,791.77</w:t>
            </w:r>
          </w:p>
        </w:tc>
      </w:tr>
      <w:tr>
        <w:trPr>
          <w:trHeight w:val="71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2" w:lineRule="exact"/>
              <w:ind w:left="0" w:right="0" w:firstLine="92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4,480,808.63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-1,709,109.97</w:t>
            </w: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100" w:line="240" w:lineRule="auto"/>
              <w:ind w:left="0" w:right="0" w:firstLine="920"/>
              <w:jc w:val="both"/>
            </w:pPr>
            <w:r>
              <w:rPr>
                <w:color w:val="000000"/>
                <w:spacing w:val="0"/>
                <w:w w:val="100"/>
                <w:position w:val="0"/>
              </w:rPr>
              <w:t>其中：对联营企业和合营</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-1,786,676.19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-2,697,223.67</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92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57,170,471.09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7,944,788.43</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8,020,193.25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14,647,698.77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1,844,579.65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119,748.83</w:t>
            </w: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2" w:lineRule="exact"/>
              <w:ind w:left="0" w:right="0" w:firstLine="92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843,367.17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115,149.45</w:t>
            </w:r>
          </w:p>
        </w:tc>
      </w:tr>
      <w:tr>
        <w:trPr>
          <w:trHeight w:val="710"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63,346,084.69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22,472,738.37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4,231,965.37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3,288,209.50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59,114,119.32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19,184,528.87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59,433,902.96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19,533,232.88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-319,783.64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-348,704.01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六、每股收益：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0.1111</w:t>
            </w:r>
          </w:p>
        </w:tc>
      </w:tr>
      <w:tr>
        <w:trPr>
          <w:trHeight w:val="398"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0.3381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0.1111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59,114,119.32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19,184,528.87</w:t>
            </w:r>
          </w:p>
        </w:tc>
      </w:tr>
      <w:tr>
        <w:trPr>
          <w:trHeight w:val="71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59,433,902.96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19,533,232.88</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-319,783.64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-348,704.01</w:t>
            </w:r>
          </w:p>
        </w:tc>
      </w:tr>
    </w:tbl>
    <w:p>
      <w:pPr>
        <w:pStyle w:val="Style40"/>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412" behindDoc="0" locked="0" layoutInCell="1" allowOverlap="1">
                <wp:simplePos x="0" y="0"/>
                <wp:positionH relativeFrom="page">
                  <wp:posOffset>711200</wp:posOffset>
                </wp:positionH>
                <wp:positionV relativeFrom="margin">
                  <wp:posOffset>5142230</wp:posOffset>
                </wp:positionV>
                <wp:extent cx="1051560" cy="149225"/>
                <wp:wrapTopAndBottom/>
                <wp:docPr id="50" name="Shape 50"/>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法定代表人：赵福君</w:t>
                            </w:r>
                          </w:p>
                        </w:txbxContent>
                      </wps:txbx>
                      <wps:bodyPr wrap="none" lIns="0" tIns="0" rIns="0" bIns="0">
                        <a:noAutoFit/>
                      </wps:bodyPr>
                    </wps:wsp>
                  </a:graphicData>
                </a:graphic>
              </wp:anchor>
            </w:drawing>
          </mc:Choice>
          <mc:Fallback>
            <w:pict>
              <v:shape id="_x0000_s1076" type="#_x0000_t202" style="position:absolute;margin-left:56.pt;margin-top:404.90000000000003pt;width:82.799999999999997pt;height:11.75pt;z-index:-125829341;mso-wrap-distance-left:9.pt;mso-wrap-distance-top:12.pt;mso-wrap-distance-right:40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法定代表人：赵福君</w:t>
                      </w:r>
                    </w:p>
                  </w:txbxContent>
                </v:textbox>
                <w10:wrap type="topAndBottom" anchorx="page" anchory="margin"/>
              </v:shape>
            </w:pict>
          </mc:Fallback>
        </mc:AlternateContent>
      </w:r>
      <w:r>
        <mc:AlternateContent>
          <mc:Choice Requires="wps">
            <w:drawing>
              <wp:anchor distT="152400" distB="5715" distL="2287270" distR="2513330" simplePos="0" relativeHeight="125829414" behindDoc="0" locked="0" layoutInCell="1" allowOverlap="1">
                <wp:simplePos x="0" y="0"/>
                <wp:positionH relativeFrom="page">
                  <wp:posOffset>2884170</wp:posOffset>
                </wp:positionH>
                <wp:positionV relativeFrom="margin">
                  <wp:posOffset>5142230</wp:posOffset>
                </wp:positionV>
                <wp:extent cx="1508760" cy="143510"/>
                <wp:wrapTopAndBottom/>
                <wp:docPr id="52" name="Shape 52"/>
                <a:graphic xmlns:a="http://schemas.openxmlformats.org/drawingml/2006/main">
                  <a:graphicData uri="http://schemas.microsoft.com/office/word/2010/wordprocessingShape">
                    <wps:wsp>
                      <wps:cNvSpPr txBox="1"/>
                      <wps:spPr>
                        <a:xfrm>
                          <a:ext cx="1508760" cy="1435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主管会计工作负责人：邱安超</w:t>
                            </w:r>
                          </w:p>
                        </w:txbxContent>
                      </wps:txbx>
                      <wps:bodyPr wrap="none" lIns="0" tIns="0" rIns="0" bIns="0">
                        <a:noAutoFit/>
                      </wps:bodyPr>
                    </wps:wsp>
                  </a:graphicData>
                </a:graphic>
              </wp:anchor>
            </w:drawing>
          </mc:Choice>
          <mc:Fallback>
            <w:pict>
              <v:shape id="_x0000_s1078" type="#_x0000_t202" style="position:absolute;margin-left:227.09999999999999pt;margin-top:404.90000000000003pt;width:118.8pt;height:11.300000000000001pt;z-index:-125829339;mso-wrap-distance-left:180.09999999999999pt;mso-wrap-distance-top:12.pt;mso-wrap-distance-right:197.90000000000001pt;mso-wrap-distance-bottom:0.4500000000000000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主管会计工作负责人：邱安超</w:t>
                      </w:r>
                    </w:p>
                  </w:txbxContent>
                </v:textbox>
                <w10:wrap type="topAndBottom" anchorx="page" anchory="margin"/>
              </v:shape>
            </w:pict>
          </mc:Fallback>
        </mc:AlternateContent>
      </w:r>
      <w:r>
        <mc:AlternateContent>
          <mc:Choice Requires="wps">
            <w:drawing>
              <wp:anchor distT="152400" distB="0" distL="4911725" distR="114300" simplePos="0" relativeHeight="125829416" behindDoc="0" locked="0" layoutInCell="1" allowOverlap="1">
                <wp:simplePos x="0" y="0"/>
                <wp:positionH relativeFrom="page">
                  <wp:posOffset>5508625</wp:posOffset>
                </wp:positionH>
                <wp:positionV relativeFrom="margin">
                  <wp:posOffset>5142230</wp:posOffset>
                </wp:positionV>
                <wp:extent cx="1283335" cy="149225"/>
                <wp:wrapTopAndBottom/>
                <wp:docPr id="54" name="Shape 54"/>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会计机构负责人：马巧红</w:t>
                            </w:r>
                          </w:p>
                        </w:txbxContent>
                      </wps:txbx>
                      <wps:bodyPr wrap="none" lIns="0" tIns="0" rIns="0" bIns="0">
                        <a:noAutoFit/>
                      </wps:bodyPr>
                    </wps:wsp>
                  </a:graphicData>
                </a:graphic>
              </wp:anchor>
            </w:drawing>
          </mc:Choice>
          <mc:Fallback>
            <w:pict>
              <v:shape id="_x0000_s1080" type="#_x0000_t202" style="position:absolute;margin-left:433.75pt;margin-top:404.90000000000003pt;width:101.05pt;height:11.75pt;z-index:-125829337;mso-wrap-distance-left:386.75pt;mso-wrap-distance-top:12.pt;mso-wrap-distance-right: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会计机构负责人：马巧红</w:t>
                      </w:r>
                    </w:p>
                  </w:txbxContent>
                </v:textbox>
                <w10:wrap type="topAndBottom" anchorx="page" anchory="margin"/>
              </v:shape>
            </w:pict>
          </mc:Fallback>
        </mc:AlternateContent>
      </w: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4</w:t>
      </w:r>
      <w:bookmarkEnd w:id="438"/>
      <w:r>
        <w:rPr>
          <w:color w:val="000000"/>
          <w:spacing w:val="0"/>
          <w:w w:val="100"/>
          <w:position w:val="0"/>
        </w:rPr>
        <w:t>、母公司利润表</w:t>
      </w:r>
      <w:bookmarkEnd w:id="436"/>
      <w:bookmarkEnd w:id="437"/>
      <w:bookmarkEnd w:id="439"/>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编制单位：北京久其软件股份有限公司</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240,619,317.80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204,625,735.33</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6,543,346.02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8,437,400.96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1,416,235.69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2,013,730.92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17,450,530.72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20,953,356.86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161,993,967.97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176,570,583.44</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-2,512,525.56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-4,968,476.35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1,054,725.84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1,011,638.96</w:t>
            </w:r>
          </w:p>
        </w:tc>
      </w:tr>
      <w:tr>
        <w:trPr>
          <w:trHeight w:val="725"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0" w:after="0" w:line="283" w:lineRule="exact"/>
              <w:ind w:left="360" w:right="0" w:firstLine="20"/>
              <w:jc w:val="left"/>
            </w:pPr>
            <w:r>
              <w:rPr>
                <w:color w:val="000000"/>
                <w:spacing w:val="0"/>
                <w:w w:val="100"/>
                <w:position w:val="0"/>
              </w:rPr>
              <w:t>加：公允价值变动收益（损失以 号填列）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102,583.41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685,791.77</w:t>
            </w:r>
          </w:p>
        </w:tc>
      </w:tr>
    </w:tbl>
    <w:p>
      <w:pPr>
        <w:widowControl w:val="0"/>
        <w:spacing w:line="1" w:lineRule="exact"/>
      </w:pPr>
      <w:r>
        <w:br w:type="page"/>
      </w:r>
    </w:p>
    <w:tbl>
      <w:tblPr>
        <w:tblOverlap w:val="never"/>
        <w:jc w:val="center"/>
        <w:tblLayout w:type="fixed"/>
      </w:tblPr>
      <w:tblGrid>
        <w:gridCol w:w="2966"/>
        <w:gridCol w:w="3302"/>
        <w:gridCol w:w="3312"/>
      </w:tblGrid>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3,797,735.43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14,210,890.03</w:t>
            </w:r>
          </w:p>
        </w:tc>
      </w:tr>
      <w:tr>
        <w:trPr>
          <w:trHeight w:val="71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-1,786,676.19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-2,697,223.67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58,573,355.96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15,504,182.34</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5,989,212.93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10,769,119.50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1,773,270.60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72,245.51</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772,315.36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69,924.84</w:t>
            </w: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i/>
                <w:iCs/>
                <w:color w:val="000000"/>
                <w:spacing w:val="0"/>
                <w:w w:val="100"/>
                <w:position w:val="0"/>
              </w:rPr>
              <w:t>“</w:t>
            </w:r>
            <w:r>
              <w:rPr>
                <w:i/>
                <w:iCs/>
                <w:color w:val="000000"/>
                <w:spacing w:val="0"/>
                <w:w w:val="100"/>
                <w:position w:val="0"/>
                <w:sz w:val="19"/>
                <w:szCs w:val="19"/>
              </w:rPr>
              <w:t>一</w:t>
            </w:r>
            <w:r>
              <w:rPr>
                <w:rFonts w:ascii="Times New Roman" w:eastAsia="Times New Roman" w:hAnsi="Times New Roman" w:cs="Times New Roman"/>
                <w:i/>
                <w:iCs/>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62,789,298.29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26,201,056.33</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3,082,929.35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1,168,402.24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59,706,368.94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25,032,654.09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0.1424</w:t>
            </w:r>
          </w:p>
        </w:tc>
      </w:tr>
      <w:tr>
        <w:trPr>
          <w:trHeight w:val="398"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0.3396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0.1424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59,706,368.94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25,032,654.09</w:t>
            </w:r>
          </w:p>
        </w:tc>
      </w:tr>
    </w:tbl>
    <w:p>
      <w:pPr>
        <w:pStyle w:val="Style40"/>
        <w:keepNext/>
        <w:keepLines/>
        <w:widowControl w:val="0"/>
        <w:shd w:val="clear" w:color="auto" w:fill="auto"/>
        <w:bidi w:val="0"/>
        <w:spacing w:before="0" w:after="360" w:line="240" w:lineRule="auto"/>
        <w:ind w:left="0" w:right="0" w:firstLine="0"/>
        <w:jc w:val="left"/>
      </w:pPr>
      <w:r>
        <mc:AlternateContent>
          <mc:Choice Requires="wps">
            <w:drawing>
              <wp:anchor distT="152400" distB="0" distL="114300" distR="5143500" simplePos="0" relativeHeight="125829418" behindDoc="0" locked="0" layoutInCell="1" allowOverlap="1">
                <wp:simplePos x="0" y="0"/>
                <wp:positionH relativeFrom="page">
                  <wp:posOffset>711200</wp:posOffset>
                </wp:positionH>
                <wp:positionV relativeFrom="margin">
                  <wp:posOffset>4434840</wp:posOffset>
                </wp:positionV>
                <wp:extent cx="1051560" cy="149225"/>
                <wp:wrapTopAndBottom/>
                <wp:docPr id="56" name="Shape 56"/>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法定代表人：赵福君</w:t>
                            </w:r>
                          </w:p>
                        </w:txbxContent>
                      </wps:txbx>
                      <wps:bodyPr wrap="none" lIns="0" tIns="0" rIns="0" bIns="0">
                        <a:noAutoFit/>
                      </wps:bodyPr>
                    </wps:wsp>
                  </a:graphicData>
                </a:graphic>
              </wp:anchor>
            </w:drawing>
          </mc:Choice>
          <mc:Fallback>
            <w:pict>
              <v:shape id="_x0000_s1082" type="#_x0000_t202" style="position:absolute;margin-left:56.pt;margin-top:349.19999999999999pt;width:82.799999999999997pt;height:11.75pt;z-index:-125829335;mso-wrap-distance-left:9.pt;mso-wrap-distance-top:12.pt;mso-wrap-distance-right:40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法定代表人：赵福君</w:t>
                      </w:r>
                    </w:p>
                  </w:txbxContent>
                </v:textbox>
                <w10:wrap type="topAndBottom" anchorx="page" anchory="margin"/>
              </v:shape>
            </w:pict>
          </mc:Fallback>
        </mc:AlternateContent>
      </w:r>
      <w:r>
        <mc:AlternateContent>
          <mc:Choice Requires="wps">
            <w:drawing>
              <wp:anchor distT="152400" distB="5715" distL="2287270" distR="2513330" simplePos="0" relativeHeight="125829420" behindDoc="0" locked="0" layoutInCell="1" allowOverlap="1">
                <wp:simplePos x="0" y="0"/>
                <wp:positionH relativeFrom="page">
                  <wp:posOffset>2884170</wp:posOffset>
                </wp:positionH>
                <wp:positionV relativeFrom="margin">
                  <wp:posOffset>4434840</wp:posOffset>
                </wp:positionV>
                <wp:extent cx="1508760" cy="143510"/>
                <wp:wrapTopAndBottom/>
                <wp:docPr id="58" name="Shape 58"/>
                <a:graphic xmlns:a="http://schemas.openxmlformats.org/drawingml/2006/main">
                  <a:graphicData uri="http://schemas.microsoft.com/office/word/2010/wordprocessingShape">
                    <wps:wsp>
                      <wps:cNvSpPr txBox="1"/>
                      <wps:spPr>
                        <a:xfrm>
                          <a:ext cx="1508760" cy="1435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主管会计工作负责人：邱安超</w:t>
                            </w:r>
                          </w:p>
                        </w:txbxContent>
                      </wps:txbx>
                      <wps:bodyPr wrap="none" lIns="0" tIns="0" rIns="0" bIns="0">
                        <a:noAutoFit/>
                      </wps:bodyPr>
                    </wps:wsp>
                  </a:graphicData>
                </a:graphic>
              </wp:anchor>
            </w:drawing>
          </mc:Choice>
          <mc:Fallback>
            <w:pict>
              <v:shape id="_x0000_s1084" type="#_x0000_t202" style="position:absolute;margin-left:227.09999999999999pt;margin-top:349.19999999999999pt;width:118.8pt;height:11.300000000000001pt;z-index:-125829333;mso-wrap-distance-left:180.09999999999999pt;mso-wrap-distance-top:12.pt;mso-wrap-distance-right:197.90000000000001pt;mso-wrap-distance-bottom:0.4500000000000000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主管会计工作负责人：邱安超</w:t>
                      </w:r>
                    </w:p>
                  </w:txbxContent>
                </v:textbox>
                <w10:wrap type="topAndBottom" anchorx="page" anchory="margin"/>
              </v:shape>
            </w:pict>
          </mc:Fallback>
        </mc:AlternateContent>
      </w:r>
      <w:r>
        <mc:AlternateContent>
          <mc:Choice Requires="wps">
            <w:drawing>
              <wp:anchor distT="152400" distB="0" distL="4911725" distR="114300" simplePos="0" relativeHeight="125829422" behindDoc="0" locked="0" layoutInCell="1" allowOverlap="1">
                <wp:simplePos x="0" y="0"/>
                <wp:positionH relativeFrom="page">
                  <wp:posOffset>5508625</wp:posOffset>
                </wp:positionH>
                <wp:positionV relativeFrom="margin">
                  <wp:posOffset>4434840</wp:posOffset>
                </wp:positionV>
                <wp:extent cx="1283335" cy="149225"/>
                <wp:wrapTopAndBottom/>
                <wp:docPr id="60" name="Shape 60"/>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会计机构负责人：马巧红</w:t>
                            </w:r>
                          </w:p>
                        </w:txbxContent>
                      </wps:txbx>
                      <wps:bodyPr wrap="none" lIns="0" tIns="0" rIns="0" bIns="0">
                        <a:noAutoFit/>
                      </wps:bodyPr>
                    </wps:wsp>
                  </a:graphicData>
                </a:graphic>
              </wp:anchor>
            </w:drawing>
          </mc:Choice>
          <mc:Fallback>
            <w:pict>
              <v:shape id="_x0000_s1086" type="#_x0000_t202" style="position:absolute;margin-left:433.75pt;margin-top:349.19999999999999pt;width:101.05pt;height:11.75pt;z-index:-125829331;mso-wrap-distance-left:386.75pt;mso-wrap-distance-top:12.pt;mso-wrap-distance-right: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会计机构负责人：马巧红</w:t>
                      </w:r>
                    </w:p>
                  </w:txbxContent>
                </v:textbox>
                <w10:wrap type="topAndBottom" anchorx="page" anchory="margin"/>
              </v:shape>
            </w:pict>
          </mc:Fallback>
        </mc:AlternateContent>
      </w: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5</w:t>
      </w:r>
      <w:bookmarkEnd w:id="442"/>
      <w:r>
        <w:rPr>
          <w:color w:val="000000"/>
          <w:spacing w:val="0"/>
          <w:w w:val="100"/>
          <w:position w:val="0"/>
        </w:rPr>
        <w:t>、合并现金流量表</w:t>
      </w:r>
      <w:bookmarkEnd w:id="440"/>
      <w:bookmarkEnd w:id="441"/>
      <w:bookmarkEnd w:id="443"/>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编制单位：北京久其软件股份有限公司</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295,511,310.42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252,934,518.34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02"/>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5,543,936.02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5,694,734.95</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5,388,495.35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16,591,573.45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306,443,741.79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275,220,826.74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10,984,511.20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11,440,308.59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159,591,685.48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143,575,403.62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17,147,444.70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16,898,230.74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46,619,150.71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60,718,667.99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234,342,792.09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232,632,610.94</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72,100,949.70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42,588,215.80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350,242,535.62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28,100,000.00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2,054,264.27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163,730.14</w:t>
            </w:r>
          </w:p>
        </w:tc>
      </w:tr>
      <w:tr>
        <w:trPr>
          <w:trHeight w:val="710"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297,417.26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268,454.23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352,594,217.15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28,532,184.37</w:t>
            </w:r>
          </w:p>
        </w:tc>
      </w:tr>
      <w:tr>
        <w:trPr>
          <w:trHeight w:val="710"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12,769,718.98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27,741,048.93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397,000,000.00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129,452,500.00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409,769,718.98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157,193,548.93</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-57,175,501.83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-128,661,364.56</w:t>
            </w:r>
          </w:p>
        </w:tc>
      </w:tr>
    </w:tbl>
    <w:p>
      <w:pPr>
        <w:widowControl w:val="0"/>
        <w:spacing w:line="1" w:lineRule="exact"/>
      </w:pPr>
      <w:r>
        <w:br w:type="page"/>
      </w:r>
    </w:p>
    <w:tbl>
      <w:tblPr>
        <w:tblOverlap w:val="never"/>
        <w:jc w:val="center"/>
        <w:tblLayout w:type="fixed"/>
      </w:tblPr>
      <w:tblGrid>
        <w:gridCol w:w="2966"/>
        <w:gridCol w:w="3302"/>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17,659,530.50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21,974,413.20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17,659,530.50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21,974,413.20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-17,659,530.50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-21,974,413.20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-2,734,082.63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-108,047,561.96</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227,967,441.43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336,015,003.39</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225,233,358.80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227,967,441.43</w:t>
            </w:r>
          </w:p>
        </w:tc>
      </w:tr>
    </w:tbl>
    <w:p>
      <w:pPr>
        <w:pStyle w:val="Style40"/>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424" behindDoc="0" locked="0" layoutInCell="1" allowOverlap="1">
                <wp:simplePos x="0" y="0"/>
                <wp:positionH relativeFrom="page">
                  <wp:posOffset>711200</wp:posOffset>
                </wp:positionH>
                <wp:positionV relativeFrom="margin">
                  <wp:posOffset>5398135</wp:posOffset>
                </wp:positionV>
                <wp:extent cx="1051560" cy="149225"/>
                <wp:wrapTopAndBottom/>
                <wp:docPr id="62" name="Shape 62"/>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法定代表人：赵福君</w:t>
                            </w:r>
                          </w:p>
                        </w:txbxContent>
                      </wps:txbx>
                      <wps:bodyPr wrap="none" lIns="0" tIns="0" rIns="0" bIns="0">
                        <a:noAutoFit/>
                      </wps:bodyPr>
                    </wps:wsp>
                  </a:graphicData>
                </a:graphic>
              </wp:anchor>
            </w:drawing>
          </mc:Choice>
          <mc:Fallback>
            <w:pict>
              <v:shape id="_x0000_s1088" type="#_x0000_t202" style="position:absolute;margin-left:56.pt;margin-top:425.05000000000001pt;width:82.799999999999997pt;height:11.75pt;z-index:-125829329;mso-wrap-distance-left:9.pt;mso-wrap-distance-top:12.pt;mso-wrap-distance-right:40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法定代表人：赵福君</w:t>
                      </w:r>
                    </w:p>
                  </w:txbxContent>
                </v:textbox>
                <w10:wrap type="topAndBottom" anchorx="page" anchory="margin"/>
              </v:shape>
            </w:pict>
          </mc:Fallback>
        </mc:AlternateContent>
      </w:r>
      <w:r>
        <mc:AlternateContent>
          <mc:Choice Requires="wps">
            <w:drawing>
              <wp:anchor distT="152400" distB="5715" distL="2287270" distR="2513330" simplePos="0" relativeHeight="125829426" behindDoc="0" locked="0" layoutInCell="1" allowOverlap="1">
                <wp:simplePos x="0" y="0"/>
                <wp:positionH relativeFrom="page">
                  <wp:posOffset>2884170</wp:posOffset>
                </wp:positionH>
                <wp:positionV relativeFrom="margin">
                  <wp:posOffset>5398135</wp:posOffset>
                </wp:positionV>
                <wp:extent cx="1508760" cy="143510"/>
                <wp:wrapTopAndBottom/>
                <wp:docPr id="64" name="Shape 64"/>
                <a:graphic xmlns:a="http://schemas.openxmlformats.org/drawingml/2006/main">
                  <a:graphicData uri="http://schemas.microsoft.com/office/word/2010/wordprocessingShape">
                    <wps:wsp>
                      <wps:cNvSpPr txBox="1"/>
                      <wps:spPr>
                        <a:xfrm>
                          <a:ext cx="1508760" cy="1435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主管会计工作负责人：邱安超</w:t>
                            </w:r>
                          </w:p>
                        </w:txbxContent>
                      </wps:txbx>
                      <wps:bodyPr wrap="none" lIns="0" tIns="0" rIns="0" bIns="0">
                        <a:noAutoFit/>
                      </wps:bodyPr>
                    </wps:wsp>
                  </a:graphicData>
                </a:graphic>
              </wp:anchor>
            </w:drawing>
          </mc:Choice>
          <mc:Fallback>
            <w:pict>
              <v:shape id="_x0000_s1090" type="#_x0000_t202" style="position:absolute;margin-left:227.09999999999999pt;margin-top:425.05000000000001pt;width:118.8pt;height:11.300000000000001pt;z-index:-125829327;mso-wrap-distance-left:180.09999999999999pt;mso-wrap-distance-top:12.pt;mso-wrap-distance-right:197.90000000000001pt;mso-wrap-distance-bottom:0.4500000000000000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主管会计工作负责人：邱安超</w:t>
                      </w:r>
                    </w:p>
                  </w:txbxContent>
                </v:textbox>
                <w10:wrap type="topAndBottom" anchorx="page" anchory="margin"/>
              </v:shape>
            </w:pict>
          </mc:Fallback>
        </mc:AlternateContent>
      </w:r>
      <w:r>
        <mc:AlternateContent>
          <mc:Choice Requires="wps">
            <w:drawing>
              <wp:anchor distT="152400" distB="0" distL="4911725" distR="114300" simplePos="0" relativeHeight="125829428" behindDoc="0" locked="0" layoutInCell="1" allowOverlap="1">
                <wp:simplePos x="0" y="0"/>
                <wp:positionH relativeFrom="page">
                  <wp:posOffset>5508625</wp:posOffset>
                </wp:positionH>
                <wp:positionV relativeFrom="margin">
                  <wp:posOffset>5398135</wp:posOffset>
                </wp:positionV>
                <wp:extent cx="1283335" cy="149225"/>
                <wp:wrapTopAndBottom/>
                <wp:docPr id="66" name="Shape 66"/>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会计机构负责人：马巧红</w:t>
                            </w:r>
                          </w:p>
                        </w:txbxContent>
                      </wps:txbx>
                      <wps:bodyPr wrap="none" lIns="0" tIns="0" rIns="0" bIns="0">
                        <a:noAutoFit/>
                      </wps:bodyPr>
                    </wps:wsp>
                  </a:graphicData>
                </a:graphic>
              </wp:anchor>
            </w:drawing>
          </mc:Choice>
          <mc:Fallback>
            <w:pict>
              <v:shape id="_x0000_s1092" type="#_x0000_t202" style="position:absolute;margin-left:433.75pt;margin-top:425.05000000000001pt;width:101.05pt;height:11.75pt;z-index:-125829325;mso-wrap-distance-left:386.75pt;mso-wrap-distance-top:12.pt;mso-wrap-distance-right: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会计机构负责人：马巧红</w:t>
                      </w:r>
                    </w:p>
                  </w:txbxContent>
                </v:textbox>
                <w10:wrap type="topAndBottom" anchorx="page" anchory="margin"/>
              </v:shape>
            </w:pict>
          </mc:Fallback>
        </mc:AlternateContent>
      </w: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6</w:t>
      </w:r>
      <w:bookmarkEnd w:id="446"/>
      <w:r>
        <w:rPr>
          <w:color w:val="000000"/>
          <w:spacing w:val="0"/>
          <w:w w:val="100"/>
          <w:position w:val="0"/>
        </w:rPr>
        <w:t>、母公司现金流量表</w:t>
      </w:r>
      <w:bookmarkEnd w:id="444"/>
      <w:bookmarkEnd w:id="445"/>
      <w:bookmarkEnd w:id="447"/>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编制单位：北京久其软件股份有限公司</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246,341,322.01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206,379,348.92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4,878,351.56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4,265,715.68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3,383,886.98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13,233,778.25</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254,603,560.55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223,878,842.85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9,746,453.06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9,462,115.17</w:t>
            </w:r>
          </w:p>
        </w:tc>
      </w:tr>
      <w:tr>
        <w:trPr>
          <w:trHeight w:val="725"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126,666,650.45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119,145,472.47</w:t>
            </w:r>
          </w:p>
        </w:tc>
      </w:tr>
    </w:tbl>
    <w:p>
      <w:pPr>
        <w:widowControl w:val="0"/>
        <w:spacing w:line="1" w:lineRule="exact"/>
      </w:pPr>
      <w:r>
        <w:br w:type="page"/>
      </w:r>
    </w:p>
    <w:tbl>
      <w:tblPr>
        <w:tblOverlap w:val="never"/>
        <w:jc w:val="center"/>
        <w:tblLayout w:type="fixed"/>
      </w:tblPr>
      <w:tblGrid>
        <w:gridCol w:w="2966"/>
        <w:gridCol w:w="3302"/>
        <w:gridCol w:w="3312"/>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11,732,793.32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11,852,959.10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40,576,190.97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53,924,830.09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188,722,087.80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194,385,376.83</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65,881,472.75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29,493,466.02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350,536,623.32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28,100,000.00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17,974,264.27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163,730.14</w:t>
            </w:r>
          </w:p>
        </w:tc>
      </w:tr>
      <w:tr>
        <w:trPr>
          <w:trHeight w:val="710"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4,381,024.12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235,991.16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372,891,911.71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28,499,721.30</w:t>
            </w:r>
          </w:p>
        </w:tc>
      </w:tr>
      <w:tr>
        <w:trPr>
          <w:trHeight w:val="710"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12,313,417.04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26,976,341.39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397,000,000.00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131,452,500.00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409,313,417.04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158,428,841.39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-36,421,505.33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-129,929,120.09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17,579,530.50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21,974,413.20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17,579,530.50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21,974,413.20</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-17,579,530.50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-21,974,413.20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11,880,436.92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-122,410,067.27</w:t>
            </w:r>
          </w:p>
        </w:tc>
      </w:tr>
    </w:tbl>
    <w:p>
      <w:pPr>
        <w:widowControl w:val="0"/>
        <w:spacing w:line="1" w:lineRule="exact"/>
      </w:pPr>
      <w:r>
        <w:br w:type="page"/>
      </w:r>
    </w:p>
    <w:tbl>
      <w:tblPr>
        <w:tblOverlap w:val="never"/>
        <w:jc w:val="center"/>
        <w:tblLayout w:type="fixed"/>
      </w:tblPr>
      <w:tblGrid>
        <w:gridCol w:w="2966"/>
        <w:gridCol w:w="3302"/>
        <w:gridCol w:w="3312"/>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158,092,609.75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280,502,677.02</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169,973,046.67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158,092,609.75</w:t>
            </w:r>
          </w:p>
        </w:tc>
      </w:tr>
    </w:tbl>
    <w:p>
      <w:pPr>
        <w:widowControl w:val="0"/>
        <w:spacing w:after="359" w:line="1" w:lineRule="exact"/>
      </w:pPr>
    </w:p>
    <w:p>
      <w:pPr>
        <w:pStyle w:val="Style35"/>
        <w:keepNext w:val="0"/>
        <w:keepLines w:val="0"/>
        <w:widowControl w:val="0"/>
        <w:shd w:val="clear" w:color="auto" w:fill="auto"/>
        <w:tabs>
          <w:tab w:pos="3370" w:val="left"/>
          <w:tab w:pos="7493" w:val="left"/>
        </w:tabs>
        <w:bidi w:val="0"/>
        <w:spacing w:before="0" w:after="360" w:line="240" w:lineRule="auto"/>
        <w:ind w:left="0" w:right="0" w:firstLine="0"/>
        <w:jc w:val="left"/>
      </w:pPr>
      <w:r>
        <w:rPr>
          <w:color w:val="000000"/>
          <w:spacing w:val="0"/>
          <w:w w:val="100"/>
          <w:position w:val="0"/>
        </w:rPr>
        <w:t>法定代表人：赵福君</w:t>
        <w:tab/>
        <w:t>主管会计工作负责人：邱安超</w:t>
        <w:tab/>
        <w:t>会计机构负责人：马巧红</w:t>
      </w:r>
    </w:p>
    <w:p>
      <w:pPr>
        <w:pStyle w:val="Style40"/>
        <w:keepNext/>
        <w:keepLines/>
        <w:widowControl w:val="0"/>
        <w:shd w:val="clear" w:color="auto" w:fill="auto"/>
        <w:bidi w:val="0"/>
        <w:spacing w:before="0" w:after="36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7</w:t>
      </w:r>
      <w:bookmarkEnd w:id="450"/>
      <w:r>
        <w:rPr>
          <w:color w:val="000000"/>
          <w:spacing w:val="0"/>
          <w:w w:val="100"/>
          <w:position w:val="0"/>
        </w:rPr>
        <w:t>、合并所有者权益变动表</w:t>
      </w:r>
      <w:bookmarkEnd w:id="448"/>
      <w:bookmarkEnd w:id="449"/>
      <w:bookmarkEnd w:id="451"/>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编制单位：北京久其软件股份有限公司</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2"/>
        <w:gridCol w:w="686"/>
        <w:gridCol w:w="686"/>
        <w:gridCol w:w="686"/>
        <w:gridCol w:w="686"/>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24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175,795</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275,919,</w:t>
            </w:r>
          </w:p>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32,871,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182,310,</w:t>
            </w:r>
          </w:p>
          <w:p>
            <w:pPr>
              <w:pStyle w:val="Style2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083.56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1,419,096</w:t>
            </w:r>
          </w:p>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668,314,97</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7.24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24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175,795</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275,919,</w:t>
            </w:r>
          </w:p>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32,871,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182,310,</w:t>
            </w:r>
          </w:p>
          <w:p>
            <w:pPr>
              <w:pStyle w:val="Style2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083.56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1,419,096</w:t>
            </w:r>
          </w:p>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668,314,97</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7.24</w:t>
            </w: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5,970,6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35,883,7</w:t>
            </w:r>
          </w:p>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-319,783.</w:t>
            </w:r>
          </w:p>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41,534,588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59,433,9</w:t>
            </w:r>
          </w:p>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-319,783.</w:t>
            </w:r>
          </w:p>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59,114,119</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59,433,9</w:t>
            </w:r>
          </w:p>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-319,783.</w:t>
            </w:r>
          </w:p>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59,114,119</w:t>
            </w:r>
          </w:p>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5,970,6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-23,550,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-17,579,53</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0.50</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5,970,6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-5,970,6</w:t>
            </w:r>
          </w:p>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2"/>
        <w:gridCol w:w="686"/>
        <w:gridCol w:w="686"/>
        <w:gridCol w:w="686"/>
        <w:gridCol w:w="686"/>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-17,579,</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-17,579,53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24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175,795</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,305.00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275,919,</w:t>
            </w:r>
          </w:p>
          <w:p>
            <w:pPr>
              <w:pStyle w:val="Style2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230.51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38,841,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218,193,</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1,099,313</w:t>
            </w:r>
          </w:p>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.07</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709,849,56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2"/>
        <w:gridCol w:w="686"/>
        <w:gridCol w:w="686"/>
        <w:gridCol w:w="686"/>
        <w:gridCol w:w="686"/>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资本公</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24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109,872</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,066.00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330,015,</w:t>
            </w:r>
          </w:p>
          <w:p>
            <w:pPr>
              <w:pStyle w:val="Style2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020.98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30,367,</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187,254,</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1,315,423</w:t>
            </w:r>
          </w:p>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658,825,03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109,872</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,066.00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330,015,</w:t>
            </w:r>
          </w:p>
          <w:p>
            <w:pPr>
              <w:pStyle w:val="Style2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020.98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30,367,</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187,254,</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1,315,423</w:t>
            </w:r>
          </w:p>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658,825,03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w:t>
            </w: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65,923,</w:t>
            </w:r>
          </w:p>
          <w:p>
            <w:pPr>
              <w:pStyle w:val="Style2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239.00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-54,095,</w:t>
            </w:r>
          </w:p>
          <w:p>
            <w:pPr>
              <w:pStyle w:val="Style2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790.47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2,503,2</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-4,944,4</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103,672.8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9,489,941.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19,533,2</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-348,704.</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19,184,528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r>
    </w:tbl>
    <w:p>
      <w:pPr>
        <w:widowControl w:val="0"/>
        <w:spacing w:line="1" w:lineRule="exact"/>
      </w:pPr>
      <w:r>
        <w:br w:type="page"/>
      </w:r>
    </w:p>
    <w:tbl>
      <w:tblPr>
        <w:tblOverlap w:val="never"/>
        <w:jc w:val="center"/>
        <w:tblLayout w:type="fixed"/>
      </w:tblPr>
      <w:tblGrid>
        <w:gridCol w:w="2371"/>
        <w:gridCol w:w="682"/>
        <w:gridCol w:w="686"/>
        <w:gridCol w:w="686"/>
        <w:gridCol w:w="686"/>
        <w:gridCol w:w="686"/>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19,533,2</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-348,704.</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19,184,528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11,827,4</w:t>
            </w:r>
          </w:p>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532,376.8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12,359,825</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13,712,3</w:t>
            </w:r>
          </w:p>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13,712,325</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-1,884,8</w:t>
            </w:r>
          </w:p>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532,376.8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-1,352,500.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24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2,503,2</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-24,477,</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-80,000.0</w:t>
            </w:r>
          </w:p>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-22,054,41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2,503,2</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-2,503,2</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-21,974,</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-80,000.0</w:t>
            </w:r>
          </w:p>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-22,054,41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65,923,</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-65,923,</w:t>
            </w:r>
          </w:p>
          <w:p>
            <w:pPr>
              <w:pStyle w:val="Style2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65,923,</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-65,923,</w:t>
            </w:r>
          </w:p>
          <w:p>
            <w:pPr>
              <w:pStyle w:val="Style2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24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175,795</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275,919,</w:t>
            </w:r>
          </w:p>
          <w:p>
            <w:pPr>
              <w:pStyle w:val="Style2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230.51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32,871,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182,310,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1,419,096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668,314,97</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w:t>
            </w:r>
          </w:p>
        </w:tc>
      </w:tr>
    </w:tbl>
    <w:p>
      <w:pPr>
        <w:pStyle w:val="Style40"/>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430" behindDoc="0" locked="0" layoutInCell="1" allowOverlap="1">
                <wp:simplePos x="0" y="0"/>
                <wp:positionH relativeFrom="page">
                  <wp:posOffset>738505</wp:posOffset>
                </wp:positionH>
                <wp:positionV relativeFrom="margin">
                  <wp:posOffset>7806055</wp:posOffset>
                </wp:positionV>
                <wp:extent cx="1051560" cy="149225"/>
                <wp:wrapTopAndBottom/>
                <wp:docPr id="68" name="Shape 68"/>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法定代表人：赵福君</w:t>
                            </w:r>
                          </w:p>
                        </w:txbxContent>
                      </wps:txbx>
                      <wps:bodyPr wrap="none" lIns="0" tIns="0" rIns="0" bIns="0">
                        <a:noAutoFit/>
                      </wps:bodyPr>
                    </wps:wsp>
                  </a:graphicData>
                </a:graphic>
              </wp:anchor>
            </w:drawing>
          </mc:Choice>
          <mc:Fallback>
            <w:pict>
              <v:shape id="_x0000_s1094" type="#_x0000_t202" style="position:absolute;margin-left:58.149999999999999pt;margin-top:614.64999999999998pt;width:82.799999999999997pt;height:11.75pt;z-index:-125829323;mso-wrap-distance-left:9.pt;mso-wrap-distance-top:12.pt;mso-wrap-distance-right:40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法定代表人：赵福君</w:t>
                      </w:r>
                    </w:p>
                  </w:txbxContent>
                </v:textbox>
                <w10:wrap type="topAndBottom" anchorx="page" anchory="margin"/>
              </v:shape>
            </w:pict>
          </mc:Fallback>
        </mc:AlternateContent>
      </w:r>
      <w:r>
        <mc:AlternateContent>
          <mc:Choice Requires="wps">
            <w:drawing>
              <wp:anchor distT="152400" distB="3175" distL="2287270" distR="2513330" simplePos="0" relativeHeight="125829432" behindDoc="0" locked="0" layoutInCell="1" allowOverlap="1">
                <wp:simplePos x="0" y="0"/>
                <wp:positionH relativeFrom="page">
                  <wp:posOffset>2911475</wp:posOffset>
                </wp:positionH>
                <wp:positionV relativeFrom="margin">
                  <wp:posOffset>7806055</wp:posOffset>
                </wp:positionV>
                <wp:extent cx="1508760" cy="146050"/>
                <wp:wrapTopAndBottom/>
                <wp:docPr id="70" name="Shape 70"/>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主管会计工作负责人：邱安超</w:t>
                            </w:r>
                          </w:p>
                        </w:txbxContent>
                      </wps:txbx>
                      <wps:bodyPr wrap="none" lIns="0" tIns="0" rIns="0" bIns="0">
                        <a:noAutoFit/>
                      </wps:bodyPr>
                    </wps:wsp>
                  </a:graphicData>
                </a:graphic>
              </wp:anchor>
            </w:drawing>
          </mc:Choice>
          <mc:Fallback>
            <w:pict>
              <v:shape id="_x0000_s1096" type="#_x0000_t202" style="position:absolute;margin-left:229.25pt;margin-top:614.64999999999998pt;width:118.8pt;height:11.5pt;z-index:-125829321;mso-wrap-distance-left:180.09999999999999pt;mso-wrap-distance-top:12.pt;mso-wrap-distance-right:197.90000000000001pt;mso-wrap-distance-bottom:0.2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主管会计工作负责人：邱安超</w:t>
                      </w:r>
                    </w:p>
                  </w:txbxContent>
                </v:textbox>
                <w10:wrap type="topAndBottom" anchorx="page" anchory="margin"/>
              </v:shape>
            </w:pict>
          </mc:Fallback>
        </mc:AlternateContent>
      </w:r>
      <w:r>
        <mc:AlternateContent>
          <mc:Choice Requires="wps">
            <w:drawing>
              <wp:anchor distT="152400" distB="0" distL="4911725" distR="114300" simplePos="0" relativeHeight="125829434" behindDoc="0" locked="0" layoutInCell="1" allowOverlap="1">
                <wp:simplePos x="0" y="0"/>
                <wp:positionH relativeFrom="page">
                  <wp:posOffset>5535930</wp:posOffset>
                </wp:positionH>
                <wp:positionV relativeFrom="margin">
                  <wp:posOffset>7806055</wp:posOffset>
                </wp:positionV>
                <wp:extent cx="1283335" cy="149225"/>
                <wp:wrapTopAndBottom/>
                <wp:docPr id="72" name="Shape 72"/>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会计机构负责人：马巧红</w:t>
                            </w:r>
                          </w:p>
                        </w:txbxContent>
                      </wps:txbx>
                      <wps:bodyPr wrap="none" lIns="0" tIns="0" rIns="0" bIns="0">
                        <a:noAutoFit/>
                      </wps:bodyPr>
                    </wps:wsp>
                  </a:graphicData>
                </a:graphic>
              </wp:anchor>
            </w:drawing>
          </mc:Choice>
          <mc:Fallback>
            <w:pict>
              <v:shape id="_x0000_s1098" type="#_x0000_t202" style="position:absolute;margin-left:435.90000000000003pt;margin-top:614.64999999999998pt;width:101.05pt;height:11.75pt;z-index:-125829319;mso-wrap-distance-left:386.75pt;mso-wrap-distance-top:12.pt;mso-wrap-distance-right: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会计机构负责人：马巧红</w:t>
                      </w:r>
                    </w:p>
                  </w:txbxContent>
                </v:textbox>
                <w10:wrap type="topAndBottom" anchorx="page" anchory="margin"/>
              </v:shape>
            </w:pict>
          </mc:Fallback>
        </mc:AlternateContent>
      </w: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8</w:t>
      </w:r>
      <w:bookmarkEnd w:id="454"/>
      <w:r>
        <w:rPr>
          <w:color w:val="000000"/>
          <w:spacing w:val="0"/>
          <w:w w:val="100"/>
          <w:position w:val="0"/>
        </w:rPr>
        <w:t>、母公司所有者权益变动表</w:t>
      </w:r>
      <w:bookmarkEnd w:id="452"/>
      <w:bookmarkEnd w:id="453"/>
      <w:bookmarkEnd w:id="455"/>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编制单位：北京久其软件股份有限公司</w:t>
      </w:r>
      <w:r>
        <w:br w:type="page"/>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77"/>
        <w:gridCol w:w="888"/>
        <w:gridCol w:w="883"/>
        <w:gridCol w:w="883"/>
        <w:gridCol w:w="888"/>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24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175,795,30</w:t>
            </w:r>
          </w:p>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277,971,19</w:t>
            </w:r>
          </w:p>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32,871,261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156,135,74</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9.61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642,773,51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24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175,795,30</w:t>
            </w:r>
          </w:p>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277,971,19</w:t>
            </w:r>
          </w:p>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32,871,261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156,135,74</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9.61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642,773,51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w:t>
            </w:r>
          </w:p>
        </w:tc>
      </w:tr>
      <w:tr>
        <w:trPr>
          <w:trHeight w:val="71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5,970,636.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36,156,201</w:t>
            </w:r>
          </w:p>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42,126,838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59,706,368</w:t>
            </w:r>
          </w:p>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59,706,368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59,706,368</w:t>
            </w:r>
          </w:p>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59,706,368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5,970,636.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-23,550,16</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-17,579,53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5,970,636.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-5,970,636.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-17,579,53</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-17,579,53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398"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77"/>
        <w:gridCol w:w="888"/>
        <w:gridCol w:w="883"/>
        <w:gridCol w:w="883"/>
        <w:gridCol w:w="888"/>
        <w:gridCol w:w="888"/>
        <w:gridCol w:w="883"/>
        <w:gridCol w:w="888"/>
        <w:gridCol w:w="90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24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175,795,30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277,971,19</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38,841,898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192,291,95</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684,900,35</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888"/>
        <w:gridCol w:w="883"/>
        <w:gridCol w:w="883"/>
        <w:gridCol w:w="888"/>
        <w:gridCol w:w="883"/>
        <w:gridCol w:w="883"/>
        <w:gridCol w:w="883"/>
        <w:gridCol w:w="893"/>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24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109,872,06</w:t>
            </w:r>
          </w:p>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330,182,11</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30,367,996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155,580,77</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626,002,94</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24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109,872,06</w:t>
            </w:r>
          </w:p>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330,182,11</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30,367,996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155,580,77</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626,002,94</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w:t>
            </w: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三、本期增减变动金额（减少以</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65,923,239</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-52,210,91</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2,503,265.</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240" w:after="0" w:line="240" w:lineRule="auto"/>
              <w:ind w:left="0" w:right="0" w:firstLine="0"/>
              <w:jc w:val="both"/>
            </w:pPr>
            <w:r>
              <w:rPr>
                <w:rFonts w:ascii="Times New Roman" w:eastAsia="Times New Roman" w:hAnsi="Times New Roman" w:cs="Times New Roman"/>
                <w:color w:val="000000"/>
                <w:spacing w:val="0"/>
                <w:w w:val="100"/>
                <w:position w:val="0"/>
              </w:rPr>
              <w:t>554,975.48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16,770,566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25,032,654</w:t>
            </w:r>
          </w:p>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25,032,654</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25,032,654</w:t>
            </w:r>
          </w:p>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25,032,654</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13,712,325</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13,712,325</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13,712,325</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13,712,325</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r>
      <w:tr>
        <w:trPr>
          <w:trHeight w:val="403"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2,503,265.</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-24,477,67</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-21,974,41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2,503,265.</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-2,503,265.</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-21,974,41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-21,974,41</w:t>
            </w:r>
          </w:p>
        </w:tc>
      </w:tr>
    </w:tbl>
    <w:p>
      <w:pPr>
        <w:widowControl w:val="0"/>
        <w:spacing w:line="1" w:lineRule="exact"/>
      </w:pPr>
    </w:p>
    <w:tbl>
      <w:tblPr>
        <w:tblOverlap w:val="never"/>
        <w:jc w:val="center"/>
        <w:tblLayout w:type="fixed"/>
      </w:tblPr>
      <w:tblGrid>
        <w:gridCol w:w="2496"/>
        <w:gridCol w:w="888"/>
        <w:gridCol w:w="883"/>
        <w:gridCol w:w="883"/>
        <w:gridCol w:w="888"/>
        <w:gridCol w:w="883"/>
        <w:gridCol w:w="883"/>
        <w:gridCol w:w="883"/>
        <w:gridCol w:w="89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65,923,239</w:t>
            </w:r>
          </w:p>
          <w:p>
            <w:pPr>
              <w:pStyle w:val="Style2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-65,923,23</w:t>
            </w:r>
          </w:p>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65,923,239</w:t>
            </w:r>
          </w:p>
          <w:p>
            <w:pPr>
              <w:pStyle w:val="Style2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-65,923,23</w:t>
            </w:r>
          </w:p>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24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175,795,30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277,971,19</w:t>
            </w:r>
          </w:p>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32,871,261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156,135,74</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642,773,51</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w:t>
            </w:r>
          </w:p>
        </w:tc>
      </w:tr>
    </w:tbl>
    <w:p>
      <w:pPr>
        <w:widowControl w:val="0"/>
        <w:spacing w:after="259" w:line="1" w:lineRule="exact"/>
      </w:pPr>
    </w:p>
    <w:p>
      <w:pPr>
        <w:pStyle w:val="Style35"/>
        <w:keepNext w:val="0"/>
        <w:keepLines w:val="0"/>
        <w:widowControl w:val="0"/>
        <w:shd w:val="clear" w:color="auto" w:fill="auto"/>
        <w:tabs>
          <w:tab w:pos="3365" w:val="left"/>
          <w:tab w:pos="7488" w:val="left"/>
        </w:tabs>
        <w:bidi w:val="0"/>
        <w:spacing w:before="0" w:after="320" w:line="313" w:lineRule="exact"/>
        <w:ind w:left="0" w:right="0" w:firstLine="0"/>
        <w:jc w:val="both"/>
      </w:pPr>
      <w:r>
        <w:rPr>
          <w:color w:val="000000"/>
          <w:spacing w:val="0"/>
          <w:w w:val="100"/>
          <w:position w:val="0"/>
        </w:rPr>
        <w:t>法定代表人：赵福君</w:t>
        <w:tab/>
        <w:t>主管会计工作负责人：邱安超</w:t>
        <w:tab/>
        <w:t>会计机构负责人：马巧红</w:t>
      </w:r>
    </w:p>
    <w:p>
      <w:pPr>
        <w:pStyle w:val="Style31"/>
        <w:keepNext/>
        <w:keepLines/>
        <w:widowControl w:val="0"/>
        <w:shd w:val="clear" w:color="auto" w:fill="auto"/>
        <w:bidi w:val="0"/>
        <w:spacing w:before="0" w:after="260" w:line="240" w:lineRule="auto"/>
        <w:ind w:left="0" w:right="0" w:firstLine="0"/>
        <w:jc w:val="both"/>
      </w:pPr>
      <w:bookmarkStart w:id="456" w:name="bookmark456"/>
      <w:bookmarkStart w:id="457" w:name="bookmark457"/>
      <w:bookmarkStart w:id="458" w:name="bookmark458"/>
      <w:bookmarkStart w:id="459" w:name="bookmark459"/>
      <w:r>
        <w:rPr>
          <w:color w:val="000000"/>
          <w:spacing w:val="0"/>
          <w:w w:val="100"/>
          <w:position w:val="0"/>
          <w:sz w:val="24"/>
          <w:szCs w:val="24"/>
        </w:rPr>
        <w:t>三</w:t>
      </w:r>
      <w:bookmarkEnd w:id="458"/>
      <w:r>
        <w:rPr>
          <w:color w:val="000000"/>
          <w:spacing w:val="0"/>
          <w:w w:val="100"/>
          <w:position w:val="0"/>
          <w:sz w:val="24"/>
          <w:szCs w:val="24"/>
        </w:rPr>
        <w:t>、公司基本情况</w:t>
      </w:r>
      <w:bookmarkEnd w:id="456"/>
      <w:bookmarkEnd w:id="457"/>
      <w:bookmarkEnd w:id="459"/>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北京久其软件股份有限公司（以下简称公司）成立于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日，原名为北京久其北方软件技术有限公司，是经北 京市工商行政管理局批准，由自然人董泰湘出资</w:t>
      </w:r>
      <w:r>
        <w:rPr>
          <w:rFonts w:ascii="Times New Roman" w:eastAsia="Times New Roman" w:hAnsi="Times New Roman" w:cs="Times New Roman"/>
          <w:color w:val="000000"/>
          <w:spacing w:val="0"/>
          <w:w w:val="100"/>
          <w:position w:val="0"/>
        </w:rPr>
        <w:t>25</w:t>
      </w:r>
      <w:r>
        <w:rPr>
          <w:color w:val="000000"/>
          <w:spacing w:val="0"/>
          <w:w w:val="100"/>
          <w:position w:val="0"/>
        </w:rPr>
        <w:t>万元，自然人赵福君出资</w:t>
      </w:r>
      <w:r>
        <w:rPr>
          <w:rFonts w:ascii="Times New Roman" w:eastAsia="Times New Roman" w:hAnsi="Times New Roman" w:cs="Times New Roman"/>
          <w:color w:val="000000"/>
          <w:spacing w:val="0"/>
          <w:w w:val="100"/>
          <w:position w:val="0"/>
        </w:rPr>
        <w:t>20</w:t>
      </w:r>
      <w:r>
        <w:rPr>
          <w:color w:val="000000"/>
          <w:spacing w:val="0"/>
          <w:w w:val="100"/>
          <w:position w:val="0"/>
        </w:rPr>
        <w:t>万元，自然人欧阳曜出资</w:t>
      </w:r>
      <w:r>
        <w:rPr>
          <w:rFonts w:ascii="Times New Roman" w:eastAsia="Times New Roman" w:hAnsi="Times New Roman" w:cs="Times New Roman"/>
          <w:color w:val="000000"/>
          <w:spacing w:val="0"/>
          <w:w w:val="100"/>
          <w:position w:val="0"/>
        </w:rPr>
        <w:t>5</w:t>
      </w:r>
      <w:r>
        <w:rPr>
          <w:color w:val="000000"/>
          <w:spacing w:val="0"/>
          <w:w w:val="100"/>
          <w:position w:val="0"/>
        </w:rPr>
        <w:t>万元设立的有限责 任公司。上述出资业经北京中之光会计师事务所审验，并出具（</w:t>
      </w:r>
      <w:r>
        <w:rPr>
          <w:rFonts w:ascii="Times New Roman" w:eastAsia="Times New Roman" w:hAnsi="Times New Roman" w:cs="Times New Roman"/>
          <w:color w:val="000000"/>
          <w:spacing w:val="0"/>
          <w:w w:val="100"/>
          <w:position w:val="0"/>
        </w:rPr>
        <w:t>99</w:t>
      </w:r>
      <w:r>
        <w:rPr>
          <w:color w:val="000000"/>
          <w:spacing w:val="0"/>
          <w:w w:val="100"/>
          <w:position w:val="0"/>
        </w:rPr>
        <w:t>）京之验字第</w:t>
      </w:r>
      <w:r>
        <w:rPr>
          <w:rFonts w:ascii="Times New Roman" w:eastAsia="Times New Roman" w:hAnsi="Times New Roman" w:cs="Times New Roman"/>
          <w:color w:val="000000"/>
          <w:spacing w:val="0"/>
          <w:w w:val="100"/>
          <w:position w:val="0"/>
        </w:rPr>
        <w:t>606</w:t>
      </w:r>
      <w:r>
        <w:rPr>
          <w:color w:val="000000"/>
          <w:spacing w:val="0"/>
          <w:w w:val="100"/>
          <w:position w:val="0"/>
        </w:rPr>
        <w:t>号验资报告予以验证。</w:t>
      </w:r>
    </w:p>
    <w:p>
      <w:pPr>
        <w:pStyle w:val="Style35"/>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日，公司增加注册资本</w:t>
      </w:r>
      <w:r>
        <w:rPr>
          <w:rFonts w:ascii="Times New Roman" w:eastAsia="Times New Roman" w:hAnsi="Times New Roman" w:cs="Times New Roman"/>
          <w:color w:val="000000"/>
          <w:spacing w:val="0"/>
          <w:w w:val="100"/>
          <w:position w:val="0"/>
        </w:rPr>
        <w:t>450</w:t>
      </w:r>
      <w:r>
        <w:rPr>
          <w:color w:val="000000"/>
          <w:spacing w:val="0"/>
          <w:w w:val="100"/>
          <w:position w:val="0"/>
        </w:rPr>
        <w:t>万元，分别由原股东董泰湘以货币形式追加投资</w:t>
      </w:r>
      <w:r>
        <w:rPr>
          <w:rFonts w:ascii="Times New Roman" w:eastAsia="Times New Roman" w:hAnsi="Times New Roman" w:cs="Times New Roman"/>
          <w:color w:val="000000"/>
          <w:spacing w:val="0"/>
          <w:w w:val="100"/>
          <w:position w:val="0"/>
        </w:rPr>
        <w:t>225</w:t>
      </w:r>
      <w:r>
        <w:rPr>
          <w:color w:val="000000"/>
          <w:spacing w:val="0"/>
          <w:w w:val="100"/>
          <w:position w:val="0"/>
        </w:rPr>
        <w:t>万元，原股东赵福君以货币 形式追加投资</w:t>
      </w:r>
      <w:r>
        <w:rPr>
          <w:rFonts w:ascii="Times New Roman" w:eastAsia="Times New Roman" w:hAnsi="Times New Roman" w:cs="Times New Roman"/>
          <w:color w:val="000000"/>
          <w:spacing w:val="0"/>
          <w:w w:val="100"/>
          <w:position w:val="0"/>
        </w:rPr>
        <w:t>160</w:t>
      </w:r>
      <w:r>
        <w:rPr>
          <w:color w:val="000000"/>
          <w:spacing w:val="0"/>
          <w:w w:val="100"/>
          <w:position w:val="0"/>
        </w:rPr>
        <w:t>万元，原股东欧阳曜以货币形式追加投资</w:t>
      </w:r>
      <w:r>
        <w:rPr>
          <w:rFonts w:ascii="Times New Roman" w:eastAsia="Times New Roman" w:hAnsi="Times New Roman" w:cs="Times New Roman"/>
          <w:color w:val="000000"/>
          <w:spacing w:val="0"/>
          <w:w w:val="100"/>
          <w:position w:val="0"/>
        </w:rPr>
        <w:t>45</w:t>
      </w:r>
      <w:r>
        <w:rPr>
          <w:color w:val="000000"/>
          <w:spacing w:val="0"/>
          <w:w w:val="100"/>
          <w:position w:val="0"/>
        </w:rPr>
        <w:t>万元，新股东李坤奇以货币形式投资</w:t>
      </w:r>
      <w:r>
        <w:rPr>
          <w:rFonts w:ascii="Times New Roman" w:eastAsia="Times New Roman" w:hAnsi="Times New Roman" w:cs="Times New Roman"/>
          <w:color w:val="000000"/>
          <w:spacing w:val="0"/>
          <w:w w:val="100"/>
          <w:position w:val="0"/>
        </w:rPr>
        <w:t>10</w:t>
      </w:r>
      <w:r>
        <w:rPr>
          <w:color w:val="000000"/>
          <w:spacing w:val="0"/>
          <w:w w:val="100"/>
          <w:position w:val="0"/>
        </w:rPr>
        <w:t>万元，新股东施瑞丰以 货币形式投资</w:t>
      </w:r>
      <w:r>
        <w:rPr>
          <w:rFonts w:ascii="Times New Roman" w:eastAsia="Times New Roman" w:hAnsi="Times New Roman" w:cs="Times New Roman"/>
          <w:color w:val="000000"/>
          <w:spacing w:val="0"/>
          <w:w w:val="100"/>
          <w:position w:val="0"/>
        </w:rPr>
        <w:t>10</w:t>
      </w:r>
      <w:r>
        <w:rPr>
          <w:color w:val="000000"/>
          <w:spacing w:val="0"/>
          <w:w w:val="100"/>
          <w:position w:val="0"/>
        </w:rPr>
        <w:t>万元，公司的注册资本由</w:t>
      </w:r>
      <w:r>
        <w:rPr>
          <w:rFonts w:ascii="Times New Roman" w:eastAsia="Times New Roman" w:hAnsi="Times New Roman" w:cs="Times New Roman"/>
          <w:color w:val="000000"/>
          <w:spacing w:val="0"/>
          <w:w w:val="100"/>
          <w:position w:val="0"/>
        </w:rPr>
        <w:t>50</w:t>
      </w:r>
      <w:r>
        <w:rPr>
          <w:color w:val="000000"/>
          <w:spacing w:val="0"/>
          <w:w w:val="100"/>
          <w:position w:val="0"/>
        </w:rPr>
        <w:t>万元变更为</w:t>
      </w:r>
      <w:r>
        <w:rPr>
          <w:rFonts w:ascii="Times New Roman" w:eastAsia="Times New Roman" w:hAnsi="Times New Roman" w:cs="Times New Roman"/>
          <w:color w:val="000000"/>
          <w:spacing w:val="0"/>
          <w:w w:val="100"/>
          <w:position w:val="0"/>
        </w:rPr>
        <w:t>500</w:t>
      </w:r>
      <w:r>
        <w:rPr>
          <w:color w:val="000000"/>
          <w:spacing w:val="0"/>
          <w:w w:val="100"/>
          <w:position w:val="0"/>
        </w:rPr>
        <w:t>万元。上述出资业经中科华会计师事务所有限公司审验，并出具 中科华验字（</w:t>
      </w:r>
      <w:r>
        <w:rPr>
          <w:rFonts w:ascii="Times New Roman" w:eastAsia="Times New Roman" w:hAnsi="Times New Roman" w:cs="Times New Roman"/>
          <w:color w:val="000000"/>
          <w:spacing w:val="0"/>
          <w:w w:val="100"/>
          <w:position w:val="0"/>
        </w:rPr>
        <w:t>2001</w:t>
      </w:r>
      <w:r>
        <w:rPr>
          <w:color w:val="000000"/>
          <w:spacing w:val="0"/>
          <w:w w:val="100"/>
          <w:position w:val="0"/>
        </w:rPr>
        <w:t>）第</w:t>
      </w:r>
      <w:r>
        <w:rPr>
          <w:rFonts w:ascii="Times New Roman" w:eastAsia="Times New Roman" w:hAnsi="Times New Roman" w:cs="Times New Roman"/>
          <w:color w:val="000000"/>
          <w:spacing w:val="0"/>
          <w:w w:val="100"/>
          <w:position w:val="0"/>
        </w:rPr>
        <w:t>1420</w:t>
      </w:r>
      <w:r>
        <w:rPr>
          <w:color w:val="000000"/>
          <w:spacing w:val="0"/>
          <w:w w:val="100"/>
          <w:position w:val="0"/>
        </w:rPr>
        <w:t>号验资报告予以验证。</w:t>
      </w:r>
    </w:p>
    <w:p>
      <w:pPr>
        <w:pStyle w:val="Style35"/>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日，公司再次增加注册资金，新增的</w:t>
      </w:r>
      <w:r>
        <w:rPr>
          <w:rFonts w:ascii="Times New Roman" w:eastAsia="Times New Roman" w:hAnsi="Times New Roman" w:cs="Times New Roman"/>
          <w:color w:val="000000"/>
          <w:spacing w:val="0"/>
          <w:w w:val="100"/>
          <w:position w:val="0"/>
        </w:rPr>
        <w:t>260</w:t>
      </w:r>
      <w:r>
        <w:rPr>
          <w:color w:val="000000"/>
          <w:spacing w:val="0"/>
          <w:w w:val="100"/>
          <w:position w:val="0"/>
        </w:rPr>
        <w:t>万元，全部由新股东北京久其科技投资有限公司以无形资产（非 专利技术）一</w:t>
      </w:r>
      <w:r>
        <w:rPr>
          <w:rFonts w:ascii="Times New Roman" w:eastAsia="Times New Roman" w:hAnsi="Times New Roman" w:cs="Times New Roman"/>
          <w:color w:val="000000"/>
          <w:spacing w:val="0"/>
          <w:w w:val="100"/>
          <w:position w:val="0"/>
        </w:rPr>
        <w:t>“</w:t>
      </w:r>
      <w:r>
        <w:rPr>
          <w:color w:val="000000"/>
          <w:spacing w:val="0"/>
          <w:w w:val="100"/>
          <w:position w:val="0"/>
        </w:rPr>
        <w:t>久其报表数据管理系统</w:t>
      </w:r>
      <w:r>
        <w:rPr>
          <w:rFonts w:ascii="Times New Roman" w:eastAsia="Times New Roman" w:hAnsi="Times New Roman" w:cs="Times New Roman"/>
          <w:color w:val="000000"/>
          <w:spacing w:val="0"/>
          <w:w w:val="100"/>
          <w:position w:val="0"/>
        </w:rPr>
        <w:t>V2.0”</w:t>
      </w:r>
      <w:r>
        <w:rPr>
          <w:color w:val="000000"/>
          <w:spacing w:val="0"/>
          <w:w w:val="100"/>
          <w:position w:val="0"/>
        </w:rPr>
        <w:t>软件技术的形式追加投入。公司的注册资本由原来的</w:t>
      </w:r>
      <w:r>
        <w:rPr>
          <w:rFonts w:ascii="Times New Roman" w:eastAsia="Times New Roman" w:hAnsi="Times New Roman" w:cs="Times New Roman"/>
          <w:color w:val="000000"/>
          <w:spacing w:val="0"/>
          <w:w w:val="100"/>
          <w:position w:val="0"/>
        </w:rPr>
        <w:t>500</w:t>
      </w:r>
      <w:r>
        <w:rPr>
          <w:color w:val="000000"/>
          <w:spacing w:val="0"/>
          <w:w w:val="100"/>
          <w:position w:val="0"/>
        </w:rPr>
        <w:t>万元变更为</w:t>
      </w:r>
      <w:r>
        <w:rPr>
          <w:rFonts w:ascii="Times New Roman" w:eastAsia="Times New Roman" w:hAnsi="Times New Roman" w:cs="Times New Roman"/>
          <w:color w:val="000000"/>
          <w:spacing w:val="0"/>
          <w:w w:val="100"/>
          <w:position w:val="0"/>
        </w:rPr>
        <w:t>760</w:t>
      </w:r>
      <w:r>
        <w:rPr>
          <w:color w:val="000000"/>
          <w:spacing w:val="0"/>
          <w:w w:val="100"/>
          <w:position w:val="0"/>
        </w:rPr>
        <w:t>万元。 上述增资业经中鸿信建元会计师事务所有限公司审验，并出具中鸿信建元验字（</w:t>
      </w:r>
      <w:r>
        <w:rPr>
          <w:rFonts w:ascii="Times New Roman" w:eastAsia="Times New Roman" w:hAnsi="Times New Roman" w:cs="Times New Roman"/>
          <w:color w:val="000000"/>
          <w:spacing w:val="0"/>
          <w:w w:val="100"/>
          <w:position w:val="0"/>
        </w:rPr>
        <w:t>2001</w:t>
      </w:r>
      <w:r>
        <w:rPr>
          <w:color w:val="000000"/>
          <w:spacing w:val="0"/>
          <w:w w:val="100"/>
          <w:position w:val="0"/>
        </w:rPr>
        <w:t>）第</w:t>
      </w:r>
      <w:r>
        <w:rPr>
          <w:rFonts w:ascii="Times New Roman" w:eastAsia="Times New Roman" w:hAnsi="Times New Roman" w:cs="Times New Roman"/>
          <w:color w:val="000000"/>
          <w:spacing w:val="0"/>
          <w:w w:val="100"/>
          <w:position w:val="0"/>
        </w:rPr>
        <w:t>56</w:t>
      </w:r>
      <w:r>
        <w:rPr>
          <w:color w:val="000000"/>
          <w:spacing w:val="0"/>
          <w:w w:val="100"/>
          <w:position w:val="0"/>
        </w:rPr>
        <w:t>号验资报告予以验证。</w:t>
      </w:r>
    </w:p>
    <w:p>
      <w:pPr>
        <w:pStyle w:val="Style35"/>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日，经京政体改股函</w:t>
      </w:r>
      <w:r>
        <w:rPr>
          <w:rFonts w:ascii="Times New Roman" w:eastAsia="Times New Roman" w:hAnsi="Times New Roman" w:cs="Times New Roman"/>
          <w:color w:val="000000"/>
          <w:spacing w:val="0"/>
          <w:w w:val="100"/>
          <w:position w:val="0"/>
        </w:rPr>
        <w:t>［2001］65</w:t>
      </w:r>
      <w:r>
        <w:rPr>
          <w:color w:val="000000"/>
          <w:spacing w:val="0"/>
          <w:w w:val="100"/>
          <w:position w:val="0"/>
        </w:rPr>
        <w:t>号文批准，公司整体改制为北京久其软件股份有限公司，并以截至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日止经中鸿信建元会计师事务所有限公司审计的净资产</w:t>
      </w:r>
      <w:r>
        <w:rPr>
          <w:rFonts w:ascii="Times New Roman" w:eastAsia="Times New Roman" w:hAnsi="Times New Roman" w:cs="Times New Roman"/>
          <w:color w:val="000000"/>
          <w:spacing w:val="0"/>
          <w:w w:val="100"/>
          <w:position w:val="0"/>
        </w:rPr>
        <w:t>45,740,037.00</w:t>
      </w:r>
      <w:r>
        <w:rPr>
          <w:color w:val="000000"/>
          <w:spacing w:val="0"/>
          <w:w w:val="100"/>
          <w:position w:val="0"/>
        </w:rPr>
        <w:t>元为基准，按</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的比例折股，改制后公司注册资 本</w:t>
      </w:r>
      <w:r>
        <w:rPr>
          <w:rFonts w:ascii="Times New Roman" w:eastAsia="Times New Roman" w:hAnsi="Times New Roman" w:cs="Times New Roman"/>
          <w:color w:val="000000"/>
          <w:spacing w:val="0"/>
          <w:w w:val="100"/>
          <w:position w:val="0"/>
        </w:rPr>
        <w:t>45,740,037.00</w:t>
      </w:r>
      <w:r>
        <w:rPr>
          <w:color w:val="000000"/>
          <w:spacing w:val="0"/>
          <w:w w:val="100"/>
          <w:position w:val="0"/>
        </w:rPr>
        <w:t>元，其中北京久其科技投资有限公司出资人民币</w:t>
      </w:r>
      <w:r>
        <w:rPr>
          <w:rFonts w:ascii="Times New Roman" w:eastAsia="Times New Roman" w:hAnsi="Times New Roman" w:cs="Times New Roman"/>
          <w:color w:val="000000"/>
          <w:spacing w:val="0"/>
          <w:w w:val="100"/>
          <w:position w:val="0"/>
        </w:rPr>
        <w:t>15,643,093.00</w:t>
      </w:r>
      <w:r>
        <w:rPr>
          <w:color w:val="000000"/>
          <w:spacing w:val="0"/>
          <w:w w:val="100"/>
          <w:position w:val="0"/>
        </w:rPr>
        <w:t>元，占注册资本的</w:t>
      </w:r>
      <w:r>
        <w:rPr>
          <w:rFonts w:ascii="Times New Roman" w:eastAsia="Times New Roman" w:hAnsi="Times New Roman" w:cs="Times New Roman"/>
          <w:color w:val="000000"/>
          <w:spacing w:val="0"/>
          <w:w w:val="100"/>
          <w:position w:val="0"/>
        </w:rPr>
        <w:t>34.20%</w:t>
      </w:r>
      <w:r>
        <w:rPr>
          <w:color w:val="000000"/>
          <w:spacing w:val="0"/>
          <w:w w:val="100"/>
          <w:position w:val="0"/>
        </w:rPr>
        <w:t xml:space="preserve">；董泰湘出资人民币 </w:t>
      </w:r>
      <w:r>
        <w:rPr>
          <w:rFonts w:ascii="Times New Roman" w:eastAsia="Times New Roman" w:hAnsi="Times New Roman" w:cs="Times New Roman"/>
          <w:color w:val="000000"/>
          <w:spacing w:val="0"/>
          <w:w w:val="100"/>
          <w:position w:val="0"/>
        </w:rPr>
        <w:t>15,048,472.00</w:t>
      </w:r>
      <w:r>
        <w:rPr>
          <w:color w:val="000000"/>
          <w:spacing w:val="0"/>
          <w:w w:val="100"/>
          <w:position w:val="0"/>
        </w:rPr>
        <w:t>元，占注册资本的</w:t>
      </w:r>
      <w:r>
        <w:rPr>
          <w:rFonts w:ascii="Times New Roman" w:eastAsia="Times New Roman" w:hAnsi="Times New Roman" w:cs="Times New Roman"/>
          <w:color w:val="000000"/>
          <w:spacing w:val="0"/>
          <w:w w:val="100"/>
          <w:position w:val="0"/>
        </w:rPr>
        <w:t>32.90%</w:t>
      </w:r>
      <w:r>
        <w:rPr>
          <w:color w:val="000000"/>
          <w:spacing w:val="0"/>
          <w:w w:val="100"/>
          <w:position w:val="0"/>
        </w:rPr>
        <w:t>；赵福君出资人民币</w:t>
      </w:r>
      <w:r>
        <w:rPr>
          <w:rFonts w:ascii="Times New Roman" w:eastAsia="Times New Roman" w:hAnsi="Times New Roman" w:cs="Times New Roman"/>
          <w:color w:val="000000"/>
          <w:spacing w:val="0"/>
          <w:w w:val="100"/>
          <w:position w:val="0"/>
        </w:rPr>
        <w:t>10,840,390.00</w:t>
      </w:r>
      <w:r>
        <w:rPr>
          <w:color w:val="000000"/>
          <w:spacing w:val="0"/>
          <w:w w:val="100"/>
          <w:position w:val="0"/>
        </w:rPr>
        <w:t>元，占注册资本的</w:t>
      </w:r>
      <w:r>
        <w:rPr>
          <w:rFonts w:ascii="Times New Roman" w:eastAsia="Times New Roman" w:hAnsi="Times New Roman" w:cs="Times New Roman"/>
          <w:color w:val="000000"/>
          <w:spacing w:val="0"/>
          <w:w w:val="100"/>
          <w:position w:val="0"/>
        </w:rPr>
        <w:t>23.70%</w:t>
      </w:r>
      <w:r>
        <w:rPr>
          <w:color w:val="000000"/>
          <w:spacing w:val="0"/>
          <w:w w:val="100"/>
          <w:position w:val="0"/>
        </w:rPr>
        <w:t xml:space="preserve">；欧阳曜出资人民币 </w:t>
      </w:r>
      <w:r>
        <w:rPr>
          <w:rFonts w:ascii="Times New Roman" w:eastAsia="Times New Roman" w:hAnsi="Times New Roman" w:cs="Times New Roman"/>
          <w:color w:val="000000"/>
          <w:spacing w:val="0"/>
          <w:w w:val="100"/>
          <w:position w:val="0"/>
        </w:rPr>
        <w:t>3,018,842.00</w:t>
      </w:r>
      <w:r>
        <w:rPr>
          <w:color w:val="000000"/>
          <w:spacing w:val="0"/>
          <w:w w:val="100"/>
          <w:position w:val="0"/>
        </w:rPr>
        <w:t>元，占注册资本的</w:t>
      </w:r>
      <w:r>
        <w:rPr>
          <w:rFonts w:ascii="Times New Roman" w:eastAsia="Times New Roman" w:hAnsi="Times New Roman" w:cs="Times New Roman"/>
          <w:color w:val="000000"/>
          <w:spacing w:val="0"/>
          <w:w w:val="100"/>
          <w:position w:val="0"/>
        </w:rPr>
        <w:t>6.60%</w:t>
      </w:r>
      <w:r>
        <w:rPr>
          <w:color w:val="000000"/>
          <w:spacing w:val="0"/>
          <w:w w:val="100"/>
          <w:position w:val="0"/>
        </w:rPr>
        <w:t>；李坤奇出资人民币</w:t>
      </w:r>
      <w:r>
        <w:rPr>
          <w:rFonts w:ascii="Times New Roman" w:eastAsia="Times New Roman" w:hAnsi="Times New Roman" w:cs="Times New Roman"/>
          <w:color w:val="000000"/>
          <w:spacing w:val="0"/>
          <w:w w:val="100"/>
          <w:position w:val="0"/>
        </w:rPr>
        <w:t>594,620.00</w:t>
      </w:r>
      <w:r>
        <w:rPr>
          <w:color w:val="000000"/>
          <w:spacing w:val="0"/>
          <w:w w:val="100"/>
          <w:position w:val="0"/>
        </w:rPr>
        <w:t>元，占注册资本的</w:t>
      </w:r>
      <w:r>
        <w:rPr>
          <w:rFonts w:ascii="Times New Roman" w:eastAsia="Times New Roman" w:hAnsi="Times New Roman" w:cs="Times New Roman"/>
          <w:color w:val="000000"/>
          <w:spacing w:val="0"/>
          <w:w w:val="100"/>
          <w:position w:val="0"/>
        </w:rPr>
        <w:t>1.30%</w:t>
      </w:r>
      <w:r>
        <w:rPr>
          <w:color w:val="000000"/>
          <w:spacing w:val="0"/>
          <w:w w:val="100"/>
          <w:position w:val="0"/>
        </w:rPr>
        <w:t>；施瑞丰出资人民币</w:t>
      </w:r>
      <w:r>
        <w:rPr>
          <w:rFonts w:ascii="Times New Roman" w:eastAsia="Times New Roman" w:hAnsi="Times New Roman" w:cs="Times New Roman"/>
          <w:color w:val="000000"/>
          <w:spacing w:val="0"/>
          <w:w w:val="100"/>
          <w:position w:val="0"/>
        </w:rPr>
        <w:t xml:space="preserve">594,620.00 </w:t>
      </w:r>
      <w:r>
        <w:rPr>
          <w:color w:val="000000"/>
          <w:spacing w:val="0"/>
          <w:w w:val="100"/>
          <w:position w:val="0"/>
        </w:rPr>
        <w:t>元，占注册资本的</w:t>
      </w:r>
      <w:r>
        <w:rPr>
          <w:rFonts w:ascii="Times New Roman" w:eastAsia="Times New Roman" w:hAnsi="Times New Roman" w:cs="Times New Roman"/>
          <w:color w:val="000000"/>
          <w:spacing w:val="0"/>
          <w:w w:val="100"/>
          <w:position w:val="0"/>
        </w:rPr>
        <w:t>1.30%</w:t>
      </w:r>
      <w:r>
        <w:rPr>
          <w:color w:val="000000"/>
          <w:spacing w:val="0"/>
          <w:w w:val="100"/>
          <w:position w:val="0"/>
        </w:rPr>
        <w:t>。上述行为业经中鸿信建元会计师事务所有限责任公司审验，并出具中鸿信建元验字</w:t>
      </w:r>
      <w:r>
        <w:rPr>
          <w:rFonts w:ascii="Times New Roman" w:eastAsia="Times New Roman" w:hAnsi="Times New Roman" w:cs="Times New Roman"/>
          <w:color w:val="000000"/>
          <w:spacing w:val="0"/>
          <w:w w:val="100"/>
          <w:position w:val="0"/>
        </w:rPr>
        <w:t>［2001］</w:t>
      </w:r>
      <w:r>
        <w:rPr>
          <w:color w:val="000000"/>
          <w:spacing w:val="0"/>
          <w:w w:val="100"/>
          <w:position w:val="0"/>
        </w:rPr>
        <w:t>第</w:t>
      </w:r>
      <w:r>
        <w:rPr>
          <w:rFonts w:ascii="Times New Roman" w:eastAsia="Times New Roman" w:hAnsi="Times New Roman" w:cs="Times New Roman"/>
          <w:color w:val="000000"/>
          <w:spacing w:val="0"/>
          <w:w w:val="100"/>
          <w:position w:val="0"/>
        </w:rPr>
        <w:t>61</w:t>
      </w:r>
      <w:r>
        <w:rPr>
          <w:color w:val="000000"/>
          <w:spacing w:val="0"/>
          <w:w w:val="100"/>
          <w:position w:val="0"/>
        </w:rPr>
        <w:t>号 验资报告予以验证。</w:t>
      </w:r>
    </w:p>
    <w:p>
      <w:pPr>
        <w:pStyle w:val="Style35"/>
        <w:keepNext w:val="0"/>
        <w:keepLines w:val="0"/>
        <w:widowControl w:val="0"/>
        <w:shd w:val="clear" w:color="auto" w:fill="auto"/>
        <w:bidi w:val="0"/>
        <w:spacing w:before="0" w:after="260" w:line="313"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2007</w:t>
      </w:r>
      <w:r>
        <w:rPr>
          <w:color w:val="000000"/>
          <w:spacing w:val="0"/>
          <w:w w:val="100"/>
          <w:position w:val="0"/>
        </w:rPr>
        <w:t>年度和</w:t>
      </w:r>
      <w:r>
        <w:rPr>
          <w:rFonts w:ascii="Times New Roman" w:eastAsia="Times New Roman" w:hAnsi="Times New Roman" w:cs="Times New Roman"/>
          <w:color w:val="000000"/>
          <w:spacing w:val="0"/>
          <w:w w:val="100"/>
          <w:position w:val="0"/>
        </w:rPr>
        <w:t>2008</w:t>
      </w:r>
      <w:r>
        <w:rPr>
          <w:color w:val="000000"/>
          <w:spacing w:val="0"/>
          <w:w w:val="100"/>
          <w:position w:val="0"/>
        </w:rPr>
        <w:t>年度股东大会决议和中国证券监督管理委员会证监许可</w:t>
      </w:r>
      <w:r>
        <w:rPr>
          <w:rFonts w:ascii="Times New Roman" w:eastAsia="Times New Roman" w:hAnsi="Times New Roman" w:cs="Times New Roman"/>
          <w:color w:val="000000"/>
          <w:spacing w:val="0"/>
          <w:w w:val="100"/>
          <w:position w:val="0"/>
        </w:rPr>
        <w:t>［2009］671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关于核准北京久其软件 股份有限公司首次公开发行股票的批复</w:t>
      </w:r>
      <w:r>
        <w:rPr>
          <w:rFonts w:ascii="Times New Roman" w:eastAsia="Times New Roman" w:hAnsi="Times New Roman" w:cs="Times New Roman"/>
          <w:color w:val="000000"/>
          <w:spacing w:val="0"/>
          <w:w w:val="100"/>
          <w:position w:val="0"/>
        </w:rPr>
        <w:t>”</w:t>
      </w:r>
      <w:r>
        <w:rPr>
          <w:color w:val="000000"/>
          <w:spacing w:val="0"/>
          <w:w w:val="100"/>
          <w:position w:val="0"/>
        </w:rPr>
        <w:t>规定，公司于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日前向不特定对象公开募集股份</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1,530</w:t>
      </w:r>
      <w:r>
        <w:rPr>
          <w:color w:val="000000"/>
          <w:spacing w:val="0"/>
          <w:w w:val="100"/>
          <w:position w:val="0"/>
        </w:rPr>
        <w:t>万股，增加 注册资本</w:t>
      </w:r>
      <w:r>
        <w:rPr>
          <w:rFonts w:ascii="Times New Roman" w:eastAsia="Times New Roman" w:hAnsi="Times New Roman" w:cs="Times New Roman"/>
          <w:color w:val="000000"/>
          <w:spacing w:val="0"/>
          <w:w w:val="100"/>
          <w:position w:val="0"/>
        </w:rPr>
        <w:t>1,530</w:t>
      </w:r>
      <w:r>
        <w:rPr>
          <w:color w:val="000000"/>
          <w:spacing w:val="0"/>
          <w:w w:val="100"/>
          <w:position w:val="0"/>
        </w:rPr>
        <w:t>万元，变更后的注册资本为人民币</w:t>
      </w:r>
      <w:r>
        <w:rPr>
          <w:rFonts w:ascii="Times New Roman" w:eastAsia="Times New Roman" w:hAnsi="Times New Roman" w:cs="Times New Roman"/>
          <w:color w:val="000000"/>
          <w:spacing w:val="0"/>
          <w:w w:val="100"/>
          <w:position w:val="0"/>
        </w:rPr>
        <w:t>6,104.0037</w:t>
      </w:r>
      <w:r>
        <w:rPr>
          <w:color w:val="000000"/>
          <w:spacing w:val="0"/>
          <w:w w:val="100"/>
          <w:position w:val="0"/>
        </w:rPr>
        <w:t>万元，上述募集资金到位情况业经大信会计师事务有限公司予以 验证，并出具大信验字</w:t>
      </w:r>
      <w:r>
        <w:rPr>
          <w:rFonts w:ascii="Times New Roman" w:eastAsia="Times New Roman" w:hAnsi="Times New Roman" w:cs="Times New Roman"/>
          <w:color w:val="000000"/>
          <w:spacing w:val="0"/>
          <w:w w:val="100"/>
          <w:position w:val="0"/>
        </w:rPr>
        <w:t>［2009</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1-0021</w:t>
      </w:r>
      <w:r>
        <w:rPr>
          <w:color w:val="000000"/>
          <w:spacing w:val="0"/>
          <w:w w:val="100"/>
          <w:position w:val="0"/>
        </w:rPr>
        <w:t>号《验资报告》。</w:t>
      </w:r>
    </w:p>
    <w:p>
      <w:pPr>
        <w:pStyle w:val="Style35"/>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月，根据</w:t>
      </w:r>
      <w:r>
        <w:rPr>
          <w:rFonts w:ascii="Times New Roman" w:eastAsia="Times New Roman" w:hAnsi="Times New Roman" w:cs="Times New Roman"/>
          <w:color w:val="000000"/>
          <w:spacing w:val="0"/>
          <w:w w:val="100"/>
          <w:position w:val="0"/>
        </w:rPr>
        <w:t>2009</w:t>
      </w:r>
      <w:r>
        <w:rPr>
          <w:color w:val="000000"/>
          <w:spacing w:val="0"/>
          <w:w w:val="100"/>
          <w:position w:val="0"/>
        </w:rPr>
        <w:t>年度股东大会通过的有关决议，公司以</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5</w:t>
      </w:r>
      <w:r>
        <w:rPr>
          <w:color w:val="000000"/>
          <w:spacing w:val="0"/>
          <w:w w:val="100"/>
          <w:position w:val="0"/>
        </w:rPr>
        <w:t>元（含 税），共计派送现金</w:t>
      </w:r>
      <w:r>
        <w:rPr>
          <w:rFonts w:ascii="Times New Roman" w:eastAsia="Times New Roman" w:hAnsi="Times New Roman" w:cs="Times New Roman"/>
          <w:color w:val="000000"/>
          <w:spacing w:val="0"/>
          <w:w w:val="100"/>
          <w:position w:val="0"/>
        </w:rPr>
        <w:t>30,520,018.50</w:t>
      </w:r>
      <w:r>
        <w:rPr>
          <w:color w:val="000000"/>
          <w:spacing w:val="0"/>
          <w:w w:val="100"/>
          <w:position w:val="0"/>
        </w:rPr>
        <w:t>元；并以资本公积向全体股东每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股，共计转增</w:t>
      </w:r>
      <w:r>
        <w:rPr>
          <w:rFonts w:ascii="Times New Roman" w:eastAsia="Times New Roman" w:hAnsi="Times New Roman" w:cs="Times New Roman"/>
          <w:color w:val="000000"/>
          <w:spacing w:val="0"/>
          <w:w w:val="100"/>
          <w:position w:val="0"/>
        </w:rPr>
        <w:t>48,832,029.00</w:t>
      </w:r>
      <w:r>
        <w:rPr>
          <w:color w:val="000000"/>
          <w:spacing w:val="0"/>
          <w:w w:val="100"/>
          <w:position w:val="0"/>
        </w:rPr>
        <w:t>股，转增后公司注册 资本变更为</w:t>
      </w:r>
      <w:r>
        <w:rPr>
          <w:rFonts w:ascii="Times New Roman" w:eastAsia="Times New Roman" w:hAnsi="Times New Roman" w:cs="Times New Roman"/>
          <w:color w:val="000000"/>
          <w:spacing w:val="0"/>
          <w:w w:val="100"/>
          <w:position w:val="0"/>
        </w:rPr>
        <w:t>10,987.2066</w:t>
      </w:r>
      <w:r>
        <w:rPr>
          <w:color w:val="000000"/>
          <w:spacing w:val="0"/>
          <w:w w:val="100"/>
          <w:position w:val="0"/>
        </w:rPr>
        <w:t>万元，上述变更业经大信会计师事务有限公司出具大信验资</w:t>
      </w:r>
      <w:r>
        <w:rPr>
          <w:rFonts w:ascii="Times New Roman" w:eastAsia="Times New Roman" w:hAnsi="Times New Roman" w:cs="Times New Roman"/>
          <w:color w:val="000000"/>
          <w:spacing w:val="0"/>
          <w:w w:val="100"/>
          <w:position w:val="0"/>
        </w:rPr>
        <w:t>［2010］</w:t>
      </w:r>
      <w:r>
        <w:rPr>
          <w:color w:val="000000"/>
          <w:spacing w:val="0"/>
          <w:w w:val="100"/>
          <w:position w:val="0"/>
        </w:rPr>
        <w:t>第</w:t>
      </w:r>
      <w:r>
        <w:rPr>
          <w:rFonts w:ascii="Times New Roman" w:eastAsia="Times New Roman" w:hAnsi="Times New Roman" w:cs="Times New Roman"/>
          <w:color w:val="000000"/>
          <w:spacing w:val="0"/>
          <w:w w:val="100"/>
          <w:position w:val="0"/>
        </w:rPr>
        <w:t>1-0030</w:t>
      </w:r>
      <w:r>
        <w:rPr>
          <w:color w:val="000000"/>
          <w:spacing w:val="0"/>
          <w:w w:val="100"/>
          <w:position w:val="0"/>
        </w:rPr>
        <w:t>号验资报告予以验证。</w:t>
      </w:r>
    </w:p>
    <w:p>
      <w:pPr>
        <w:pStyle w:val="Style35"/>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月，根据</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年度股东大会通过的有关决议，公司以</w:t>
      </w:r>
      <w:r>
        <w:rPr>
          <w:rFonts w:ascii="Times New Roman" w:eastAsia="Times New Roman" w:hAnsi="Times New Roman" w:cs="Times New Roman"/>
          <w:color w:val="000000"/>
          <w:spacing w:val="0"/>
          <w:w w:val="100"/>
          <w:position w:val="0"/>
        </w:rPr>
        <w:t>2011</w:t>
      </w:r>
      <w:r>
        <w:rPr>
          <w:color w:val="000000"/>
          <w:spacing w:val="0"/>
          <w:w w:val="100"/>
          <w:position w:val="0"/>
        </w:rPr>
        <w:t>年末总股本</w:t>
      </w:r>
      <w:r>
        <w:rPr>
          <w:rFonts w:ascii="Times New Roman" w:eastAsia="Times New Roman" w:hAnsi="Times New Roman" w:cs="Times New Roman"/>
          <w:color w:val="000000"/>
          <w:spacing w:val="0"/>
          <w:w w:val="100"/>
          <w:position w:val="0"/>
        </w:rPr>
        <w:t>109,872,066.00</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 股利</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，共计派发现金股利</w:t>
      </w:r>
      <w:r>
        <w:rPr>
          <w:rFonts w:ascii="Times New Roman" w:eastAsia="Times New Roman" w:hAnsi="Times New Roman" w:cs="Times New Roman"/>
          <w:color w:val="000000"/>
          <w:spacing w:val="0"/>
          <w:w w:val="100"/>
          <w:position w:val="0"/>
        </w:rPr>
        <w:t>21,974,413.20</w:t>
      </w:r>
      <w:r>
        <w:rPr>
          <w:color w:val="000000"/>
          <w:spacing w:val="0"/>
          <w:w w:val="100"/>
          <w:position w:val="0"/>
        </w:rPr>
        <w:t>元；并以资本公积向全体股东每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股，共计转增</w:t>
      </w:r>
      <w:r>
        <w:rPr>
          <w:rFonts w:ascii="Times New Roman" w:eastAsia="Times New Roman" w:hAnsi="Times New Roman" w:cs="Times New Roman"/>
          <w:color w:val="000000"/>
          <w:spacing w:val="0"/>
          <w:w w:val="100"/>
          <w:position w:val="0"/>
        </w:rPr>
        <w:t>65,923,239.00</w:t>
      </w:r>
      <w:r>
        <w:rPr>
          <w:color w:val="000000"/>
          <w:spacing w:val="0"/>
          <w:w w:val="100"/>
          <w:position w:val="0"/>
        </w:rPr>
        <w:t>股， 经转增后，公司的注册资本由原来的</w:t>
      </w:r>
      <w:r>
        <w:rPr>
          <w:rFonts w:ascii="Times New Roman" w:eastAsia="Times New Roman" w:hAnsi="Times New Roman" w:cs="Times New Roman"/>
          <w:color w:val="000000"/>
          <w:spacing w:val="0"/>
          <w:w w:val="100"/>
          <w:position w:val="0"/>
        </w:rPr>
        <w:t>10,987.2066</w:t>
      </w:r>
      <w:r>
        <w:rPr>
          <w:color w:val="000000"/>
          <w:spacing w:val="0"/>
          <w:w w:val="100"/>
          <w:position w:val="0"/>
        </w:rPr>
        <w:t>万元变更为</w:t>
      </w:r>
      <w:r>
        <w:rPr>
          <w:rFonts w:ascii="Times New Roman" w:eastAsia="Times New Roman" w:hAnsi="Times New Roman" w:cs="Times New Roman"/>
          <w:color w:val="000000"/>
          <w:spacing w:val="0"/>
          <w:w w:val="100"/>
          <w:position w:val="0"/>
        </w:rPr>
        <w:t>17,579.5305</w:t>
      </w:r>
      <w:r>
        <w:rPr>
          <w:color w:val="000000"/>
          <w:spacing w:val="0"/>
          <w:w w:val="100"/>
          <w:position w:val="0"/>
        </w:rPr>
        <w:t>万元，上述变更业经大信会计师事务有限公司出具大 信验字</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1-0056</w:t>
      </w:r>
      <w:r>
        <w:rPr>
          <w:color w:val="000000"/>
          <w:spacing w:val="0"/>
          <w:w w:val="100"/>
          <w:position w:val="0"/>
        </w:rPr>
        <w:t>号验资报告予以验证。</w:t>
      </w:r>
    </w:p>
    <w:p>
      <w:pPr>
        <w:pStyle w:val="Style35"/>
        <w:keepNext w:val="0"/>
        <w:keepLines w:val="0"/>
        <w:widowControl w:val="0"/>
        <w:shd w:val="clear" w:color="auto" w:fill="auto"/>
        <w:bidi w:val="0"/>
        <w:spacing w:before="0" w:after="160" w:line="314"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日，本公司的股本结构如下：</w:t>
      </w:r>
    </w:p>
    <w:tbl>
      <w:tblPr>
        <w:tblOverlap w:val="never"/>
        <w:jc w:val="center"/>
        <w:tblLayout w:type="fixed"/>
      </w:tblPr>
      <w:tblGrid>
        <w:gridCol w:w="3610"/>
        <w:gridCol w:w="1963"/>
        <w:gridCol w:w="2174"/>
      </w:tblGrid>
      <w:tr>
        <w:trPr>
          <w:trHeight w:val="36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持股数（股）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6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北京久其科技投资有限公司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45,182,172.00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25.70</w:t>
            </w:r>
          </w:p>
        </w:tc>
      </w:tr>
      <w:tr>
        <w:trPr>
          <w:trHeight w:val="36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董泰湘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36,110,798.00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20.54</w:t>
            </w:r>
          </w:p>
        </w:tc>
      </w:tr>
      <w:tr>
        <w:trPr>
          <w:trHeight w:val="36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23,617,123.00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13.43</w:t>
            </w:r>
          </w:p>
        </w:tc>
      </w:tr>
      <w:tr>
        <w:trPr>
          <w:trHeight w:val="36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7,240,885.00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4.12</w:t>
            </w:r>
          </w:p>
        </w:tc>
      </w:tr>
      <w:tr>
        <w:trPr>
          <w:trHeight w:val="36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施瑞丰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1,013,979.00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0.58</w:t>
            </w:r>
          </w:p>
        </w:tc>
      </w:tr>
      <w:tr>
        <w:trPr>
          <w:trHeight w:val="36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李坤奇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789,305.00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0.45</w:t>
            </w:r>
          </w:p>
        </w:tc>
      </w:tr>
      <w:tr>
        <w:trPr>
          <w:trHeight w:val="36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其他社会公众股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61,841,043.00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35.18</w:t>
            </w:r>
          </w:p>
        </w:tc>
      </w:tr>
      <w:tr>
        <w:trPr>
          <w:trHeight w:val="37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175,795,305.00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35"/>
        <w:keepNext w:val="0"/>
        <w:keepLines w:val="0"/>
        <w:widowControl w:val="0"/>
        <w:shd w:val="clear" w:color="auto" w:fill="auto"/>
        <w:bidi w:val="0"/>
        <w:spacing w:before="0" w:after="0" w:line="312" w:lineRule="exact"/>
        <w:ind w:left="38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日被北京市软件企业认定和软件产品登记机关认定为软件企业（证书编号：京</w:t>
      </w:r>
      <w:r>
        <w:rPr>
          <w:rFonts w:ascii="Times New Roman" w:eastAsia="Times New Roman" w:hAnsi="Times New Roman" w:cs="Times New Roman"/>
          <w:color w:val="000000"/>
          <w:spacing w:val="0"/>
          <w:w w:val="100"/>
          <w:position w:val="0"/>
        </w:rPr>
        <w:t>R—1999—0054</w:t>
      </w:r>
      <w:r>
        <w:rPr>
          <w:color w:val="000000"/>
          <w:spacing w:val="0"/>
          <w:w w:val="100"/>
          <w:position w:val="0"/>
        </w:rPr>
        <w:t xml:space="preserve">）。 </w:t>
      </w:r>
      <w:r>
        <w:rPr>
          <w:color w:val="000000"/>
          <w:spacing w:val="0"/>
          <w:w w:val="100"/>
          <w:position w:val="0"/>
        </w:rPr>
        <w:t>公司注册号：</w:t>
      </w:r>
      <w:r>
        <w:rPr>
          <w:rFonts w:ascii="Times New Roman" w:eastAsia="Times New Roman" w:hAnsi="Times New Roman" w:cs="Times New Roman"/>
          <w:color w:val="000000"/>
          <w:spacing w:val="0"/>
          <w:w w:val="100"/>
          <w:position w:val="0"/>
        </w:rPr>
        <w:t>110000000798536</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公司注册地址：北京市海淀区大慧寺路</w:t>
      </w:r>
      <w:r>
        <w:rPr>
          <w:rFonts w:ascii="Times New Roman" w:eastAsia="Times New Roman" w:hAnsi="Times New Roman" w:cs="Times New Roman"/>
          <w:color w:val="000000"/>
          <w:spacing w:val="0"/>
          <w:w w:val="100"/>
          <w:position w:val="0"/>
        </w:rPr>
        <w:t>5</w:t>
      </w:r>
      <w:r>
        <w:rPr>
          <w:color w:val="000000"/>
          <w:spacing w:val="0"/>
          <w:w w:val="100"/>
          <w:position w:val="0"/>
        </w:rPr>
        <w:t>号</w:t>
      </w:r>
      <w:r>
        <w:rPr>
          <w:rFonts w:ascii="Times New Roman" w:eastAsia="Times New Roman" w:hAnsi="Times New Roman" w:cs="Times New Roman"/>
          <w:color w:val="000000"/>
          <w:spacing w:val="0"/>
          <w:w w:val="100"/>
          <w:position w:val="0"/>
        </w:rPr>
        <w:t>3</w:t>
      </w:r>
      <w:r>
        <w:rPr>
          <w:color w:val="000000"/>
          <w:spacing w:val="0"/>
          <w:w w:val="100"/>
          <w:position w:val="0"/>
        </w:rPr>
        <w:t>号楼</w:t>
      </w:r>
      <w:r>
        <w:rPr>
          <w:rFonts w:ascii="Times New Roman" w:eastAsia="Times New Roman" w:hAnsi="Times New Roman" w:cs="Times New Roman"/>
          <w:color w:val="000000"/>
          <w:spacing w:val="0"/>
          <w:w w:val="100"/>
          <w:position w:val="0"/>
        </w:rPr>
        <w:t>3</w:t>
      </w:r>
      <w:r>
        <w:rPr>
          <w:color w:val="000000"/>
          <w:spacing w:val="0"/>
          <w:w w:val="100"/>
          <w:position w:val="0"/>
        </w:rPr>
        <w:t>层</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公司注册资本：</w:t>
      </w:r>
      <w:r>
        <w:rPr>
          <w:rFonts w:ascii="Times New Roman" w:eastAsia="Times New Roman" w:hAnsi="Times New Roman" w:cs="Times New Roman"/>
          <w:color w:val="000000"/>
          <w:spacing w:val="0"/>
          <w:w w:val="100"/>
          <w:position w:val="0"/>
        </w:rPr>
        <w:t>17,579.5305</w:t>
      </w:r>
      <w:r>
        <w:rPr>
          <w:color w:val="000000"/>
          <w:spacing w:val="0"/>
          <w:w w:val="100"/>
          <w:position w:val="0"/>
        </w:rPr>
        <w:t>万元</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公司法定代表人：赵福君</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公司行业性质：公司为管理软件开发企业，多年来公司产品在政府部门和企事业单位的基础统计信息管理、大型统计分 析、财务业务一体化集成应用系统等领域均有广泛应用。从行业细分角度而言，公司主要产品分别属于管理软件的报表管理 软件领域、电子政务软件领域、商业智能软件领域、集团管控软件领域。</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公司经营范围：许可经营项目：互联网信息服务业务。一般经营项目：电子计算机软件、硬件及外部设备的技术开发、 技术咨询、技术转让、技术服务、技术培训；经济贸易咨询、企业管理咨询；计算机系统服务；销售（含网上销售）电子计 算机软硬件及外部设备、打印纸及计算机耗材；计算机及外部设备租赁；技术进出口、货物进出口、代理进出口。</w:t>
      </w:r>
    </w:p>
    <w:p>
      <w:pPr>
        <w:pStyle w:val="Style35"/>
        <w:keepNext w:val="0"/>
        <w:keepLines w:val="0"/>
        <w:widowControl w:val="0"/>
        <w:shd w:val="clear" w:color="auto" w:fill="auto"/>
        <w:bidi w:val="0"/>
        <w:spacing w:before="0" w:after="80" w:line="315" w:lineRule="exact"/>
        <w:ind w:left="0" w:right="0"/>
        <w:jc w:val="both"/>
      </w:pPr>
      <w:r>
        <w:rPr>
          <w:color w:val="000000"/>
          <w:spacing w:val="0"/>
          <w:w w:val="100"/>
          <w:position w:val="0"/>
        </w:rPr>
        <w:t>公司主营业务和主要产品：公司主要从事报表管理软件、电子政务软件、 集团管控软件、商业智能软件等管理软件的 研究和开发，为政府部门和企业集团提供咨询及信息化管理解决方案，主要产品包括有决算报表、合并报表、商业智能、决 策分析、战略管理、全面预算、集中核算、财辅管理、资产管理、全面绩效、风险管理、项目管理、经营统计和综合业务应 用等。主营业务自设立以来未发生变更。</w:t>
      </w:r>
    </w:p>
    <w:p>
      <w:pPr>
        <w:pStyle w:val="Style35"/>
        <w:keepNext w:val="0"/>
        <w:keepLines w:val="0"/>
        <w:widowControl w:val="0"/>
        <w:shd w:val="clear" w:color="auto" w:fill="auto"/>
        <w:bidi w:val="0"/>
        <w:spacing w:before="0" w:after="80" w:line="240" w:lineRule="auto"/>
        <w:ind w:left="0" w:right="0"/>
        <w:jc w:val="both"/>
      </w:pPr>
      <w:r>
        <w:rPr>
          <w:color w:val="000000"/>
          <w:spacing w:val="0"/>
          <w:w w:val="100"/>
          <w:position w:val="0"/>
        </w:rPr>
        <w:t>公司基本组织架构如下：</w:t>
      </w:r>
      <w:r>
        <w:br w:type="page"/>
      </w:r>
    </w:p>
    <w:p>
      <w:pPr>
        <w:widowControl w:val="0"/>
        <w:spacing w:line="1" w:lineRule="exact"/>
      </w:pPr>
      <w:r>
        <w:drawing>
          <wp:anchor distT="0" distB="304800" distL="8890" distR="338455" simplePos="0" relativeHeight="125829436" behindDoc="0" locked="0" layoutInCell="1" allowOverlap="1">
            <wp:simplePos x="0" y="0"/>
            <wp:positionH relativeFrom="page">
              <wp:posOffset>1301750</wp:posOffset>
            </wp:positionH>
            <wp:positionV relativeFrom="paragraph">
              <wp:posOffset>0</wp:posOffset>
            </wp:positionV>
            <wp:extent cx="2761615" cy="3413760"/>
            <wp:wrapTopAndBottom/>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19"/>
                    <a:stretch/>
                  </pic:blipFill>
                  <pic:spPr>
                    <a:xfrm>
                      <a:ext cx="2761615" cy="341376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3764280</wp:posOffset>
                </wp:positionH>
                <wp:positionV relativeFrom="paragraph">
                  <wp:posOffset>225425</wp:posOffset>
                </wp:positionV>
                <wp:extent cx="365760" cy="103505"/>
                <wp:wrapNone/>
                <wp:docPr id="76" name="Shape 76"/>
                <a:graphic xmlns:a="http://schemas.openxmlformats.org/drawingml/2006/main">
                  <a:graphicData uri="http://schemas.microsoft.com/office/word/2010/wordprocessingShape">
                    <wps:wsp>
                      <wps:cNvSpPr txBox="1"/>
                      <wps:spPr>
                        <a:xfrm>
                          <a:ext cx="365760" cy="1035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b w:val="0"/>
                                <w:bCs w:val="0"/>
                                <w:color w:val="808080"/>
                                <w:spacing w:val="0"/>
                                <w:w w:val="100"/>
                                <w:position w:val="0"/>
                                <w:sz w:val="10"/>
                                <w:szCs w:val="10"/>
                              </w:rPr>
                              <w:t>软件研究院</w:t>
                            </w:r>
                          </w:p>
                        </w:txbxContent>
                      </wps:txbx>
                      <wps:bodyPr lIns="0" tIns="0" rIns="0" bIns="0">
                        <a:noAutoFit/>
                      </wps:bodyPr>
                    </wps:wsp>
                  </a:graphicData>
                </a:graphic>
              </wp:anchor>
            </w:drawing>
          </mc:Choice>
          <mc:Fallback>
            <w:pict>
              <v:shape id="_x0000_s1102" type="#_x0000_t202" style="position:absolute;margin-left:296.40000000000003pt;margin-top:17.75pt;width:28.800000000000001pt;height:8.1500000000000004pt;z-index:251657729;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b w:val="0"/>
                          <w:bCs w:val="0"/>
                          <w:color w:val="808080"/>
                          <w:spacing w:val="0"/>
                          <w:w w:val="100"/>
                          <w:position w:val="0"/>
                          <w:sz w:val="10"/>
                          <w:szCs w:val="10"/>
                        </w:rPr>
                        <w:t>软件研究院</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3764280</wp:posOffset>
                </wp:positionH>
                <wp:positionV relativeFrom="paragraph">
                  <wp:posOffset>377825</wp:posOffset>
                </wp:positionV>
                <wp:extent cx="433070" cy="100330"/>
                <wp:wrapNone/>
                <wp:docPr id="78" name="Shape 78"/>
                <a:graphic xmlns:a="http://schemas.openxmlformats.org/drawingml/2006/main">
                  <a:graphicData uri="http://schemas.microsoft.com/office/word/2010/wordprocessingShape">
                    <wps:wsp>
                      <wps:cNvSpPr txBox="1"/>
                      <wps:spPr>
                        <a:xfrm>
                          <a:ext cx="433070" cy="10033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b w:val="0"/>
                                <w:bCs w:val="0"/>
                                <w:color w:val="808080"/>
                                <w:spacing w:val="0"/>
                                <w:w w:val="100"/>
                                <w:position w:val="0"/>
                                <w:sz w:val="10"/>
                                <w:szCs w:val="10"/>
                              </w:rPr>
                              <w:t>蔼管监管中心</w:t>
                            </w:r>
                          </w:p>
                        </w:txbxContent>
                      </wps:txbx>
                      <wps:bodyPr lIns="0" tIns="0" rIns="0" bIns="0">
                        <a:noAutoFit/>
                      </wps:bodyPr>
                    </wps:wsp>
                  </a:graphicData>
                </a:graphic>
              </wp:anchor>
            </w:drawing>
          </mc:Choice>
          <mc:Fallback>
            <w:pict>
              <v:shape id="_x0000_s1104" type="#_x0000_t202" style="position:absolute;margin-left:296.40000000000003pt;margin-top:29.75pt;width:34.100000000000001pt;height:7.9000000000000004pt;z-index:251657731;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b w:val="0"/>
                          <w:bCs w:val="0"/>
                          <w:color w:val="808080"/>
                          <w:spacing w:val="0"/>
                          <w:w w:val="100"/>
                          <w:position w:val="0"/>
                          <w:sz w:val="10"/>
                          <w:szCs w:val="10"/>
                        </w:rPr>
                        <w:t>蔼管监管中心</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3533140</wp:posOffset>
                </wp:positionH>
                <wp:positionV relativeFrom="paragraph">
                  <wp:posOffset>835025</wp:posOffset>
                </wp:positionV>
                <wp:extent cx="734695" cy="100330"/>
                <wp:wrapNone/>
                <wp:docPr id="80" name="Shape 80"/>
                <a:graphic xmlns:a="http://schemas.openxmlformats.org/drawingml/2006/main">
                  <a:graphicData uri="http://schemas.microsoft.com/office/word/2010/wordprocessingShape">
                    <wps:wsp>
                      <wps:cNvSpPr txBox="1"/>
                      <wps:spPr>
                        <a:xfrm>
                          <a:ext cx="734695" cy="10033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rPr>
                                <w:sz w:val="10"/>
                                <w:szCs w:val="10"/>
                              </w:rPr>
                            </w:pPr>
                            <w:r>
                              <w:rPr>
                                <w:rFonts w:ascii="Arial" w:eastAsia="Arial" w:hAnsi="Arial" w:cs="Arial"/>
                                <w:color w:val="4B4848"/>
                                <w:spacing w:val="0"/>
                                <w:w w:val="100"/>
                                <w:position w:val="0"/>
                                <w:sz w:val="10"/>
                                <w:szCs w:val="10"/>
                              </w:rPr>
                              <w:t>―</w:t>
                            </w:r>
                            <w:r>
                              <w:rPr>
                                <w:rFonts w:ascii="Arial" w:eastAsia="Arial" w:hAnsi="Arial" w:cs="Arial"/>
                                <w:color w:val="895C60"/>
                                <w:spacing w:val="0"/>
                                <w:w w:val="100"/>
                                <w:position w:val="0"/>
                                <w:sz w:val="10"/>
                                <w:szCs w:val="10"/>
                              </w:rPr>
                              <w:t>O</w:t>
                            </w:r>
                            <w:r>
                              <w:rPr>
                                <w:rFonts w:ascii="SimSun" w:eastAsia="SimSun" w:hAnsi="SimSun" w:cs="SimSun"/>
                                <w:b w:val="0"/>
                                <w:bCs w:val="0"/>
                                <w:color w:val="808080"/>
                                <w:spacing w:val="0"/>
                                <w:w w:val="100"/>
                                <w:position w:val="0"/>
                                <w:sz w:val="10"/>
                                <w:szCs w:val="10"/>
                              </w:rPr>
                              <w:t>报表产胡*勘部</w:t>
                            </w:r>
                          </w:p>
                        </w:txbxContent>
                      </wps:txbx>
                      <wps:bodyPr lIns="0" tIns="0" rIns="0" bIns="0">
                        <a:noAutoFit/>
                      </wps:bodyPr>
                    </wps:wsp>
                  </a:graphicData>
                </a:graphic>
              </wp:anchor>
            </w:drawing>
          </mc:Choice>
          <mc:Fallback>
            <w:pict>
              <v:shape id="_x0000_s1106" type="#_x0000_t202" style="position:absolute;margin-left:278.19999999999999pt;margin-top:65.75pt;width:57.850000000000001pt;height:7.9000000000000004pt;z-index:251657733;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right"/>
                        <w:rPr>
                          <w:sz w:val="10"/>
                          <w:szCs w:val="10"/>
                        </w:rPr>
                      </w:pPr>
                      <w:r>
                        <w:rPr>
                          <w:rFonts w:ascii="Arial" w:eastAsia="Arial" w:hAnsi="Arial" w:cs="Arial"/>
                          <w:color w:val="4B4848"/>
                          <w:spacing w:val="0"/>
                          <w:w w:val="100"/>
                          <w:position w:val="0"/>
                          <w:sz w:val="10"/>
                          <w:szCs w:val="10"/>
                        </w:rPr>
                        <w:t>―</w:t>
                      </w:r>
                      <w:r>
                        <w:rPr>
                          <w:rFonts w:ascii="Arial" w:eastAsia="Arial" w:hAnsi="Arial" w:cs="Arial"/>
                          <w:color w:val="895C60"/>
                          <w:spacing w:val="0"/>
                          <w:w w:val="100"/>
                          <w:position w:val="0"/>
                          <w:sz w:val="10"/>
                          <w:szCs w:val="10"/>
                        </w:rPr>
                        <w:t>O</w:t>
                      </w:r>
                      <w:r>
                        <w:rPr>
                          <w:rFonts w:ascii="SimSun" w:eastAsia="SimSun" w:hAnsi="SimSun" w:cs="SimSun"/>
                          <w:b w:val="0"/>
                          <w:bCs w:val="0"/>
                          <w:color w:val="808080"/>
                          <w:spacing w:val="0"/>
                          <w:w w:val="100"/>
                          <w:position w:val="0"/>
                          <w:sz w:val="10"/>
                          <w:szCs w:val="10"/>
                        </w:rPr>
                        <w:t>报表产胡*勘部</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3533140</wp:posOffset>
                </wp:positionH>
                <wp:positionV relativeFrom="paragraph">
                  <wp:posOffset>981710</wp:posOffset>
                </wp:positionV>
                <wp:extent cx="749935" cy="103505"/>
                <wp:wrapNone/>
                <wp:docPr id="82" name="Shape 82"/>
                <a:graphic xmlns:a="http://schemas.openxmlformats.org/drawingml/2006/main">
                  <a:graphicData uri="http://schemas.microsoft.com/office/word/2010/wordprocessingShape">
                    <wps:wsp>
                      <wps:cNvSpPr txBox="1"/>
                      <wps:spPr>
                        <a:xfrm>
                          <a:ext cx="749935" cy="1035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rPr>
                                <w:sz w:val="10"/>
                                <w:szCs w:val="10"/>
                              </w:rPr>
                            </w:pPr>
                            <w:r>
                              <w:rPr>
                                <w:rFonts w:ascii="Arial" w:eastAsia="Arial" w:hAnsi="Arial" w:cs="Arial"/>
                                <w:color w:val="4B4848"/>
                                <w:spacing w:val="0"/>
                                <w:w w:val="100"/>
                                <w:position w:val="0"/>
                                <w:sz w:val="10"/>
                                <w:szCs w:val="10"/>
                              </w:rPr>
                              <w:t>—</w:t>
                            </w:r>
                            <w:r>
                              <w:rPr>
                                <w:rFonts w:ascii="Arial" w:eastAsia="Arial" w:hAnsi="Arial" w:cs="Arial"/>
                                <w:color w:val="666666"/>
                                <w:spacing w:val="0"/>
                                <w:w w:val="100"/>
                                <w:position w:val="0"/>
                                <w:sz w:val="10"/>
                                <w:szCs w:val="10"/>
                              </w:rPr>
                              <w:t>O GMC</w:t>
                            </w:r>
                            <w:r>
                              <w:rPr>
                                <w:rFonts w:ascii="SimSun" w:eastAsia="SimSun" w:hAnsi="SimSun" w:cs="SimSun"/>
                                <w:b w:val="0"/>
                                <w:bCs w:val="0"/>
                                <w:color w:val="808080"/>
                                <w:spacing w:val="0"/>
                                <w:w w:val="100"/>
                                <w:position w:val="0"/>
                                <w:sz w:val="10"/>
                                <w:szCs w:val="10"/>
                              </w:rPr>
                              <w:t>产</w:t>
                            </w:r>
                            <w:r>
                              <w:rPr>
                                <w:rFonts w:ascii="SimSun" w:eastAsia="SimSun" w:hAnsi="SimSun" w:cs="SimSun"/>
                                <w:b w:val="0"/>
                                <w:bCs w:val="0"/>
                                <w:color w:val="666666"/>
                                <w:spacing w:val="0"/>
                                <w:w w:val="100"/>
                                <w:position w:val="0"/>
                                <w:sz w:val="10"/>
                                <w:szCs w:val="10"/>
                              </w:rPr>
                              <w:t>品</w:t>
                            </w:r>
                            <w:r>
                              <w:rPr>
                                <w:rFonts w:ascii="SimSun" w:eastAsia="SimSun" w:hAnsi="SimSun" w:cs="SimSun"/>
                                <w:b w:val="0"/>
                                <w:bCs w:val="0"/>
                                <w:color w:val="808080"/>
                                <w:spacing w:val="0"/>
                                <w:w w:val="100"/>
                                <w:position w:val="0"/>
                                <w:sz w:val="10"/>
                                <w:szCs w:val="10"/>
                              </w:rPr>
                              <w:t>**</w:t>
                            </w:r>
                            <w:r>
                              <w:rPr>
                                <w:rFonts w:ascii="SimSun" w:eastAsia="SimSun" w:hAnsi="SimSun" w:cs="SimSun"/>
                                <w:b w:val="0"/>
                                <w:bCs w:val="0"/>
                                <w:color w:val="808080"/>
                                <w:spacing w:val="0"/>
                                <w:w w:val="100"/>
                                <w:position w:val="0"/>
                                <w:sz w:val="10"/>
                                <w:szCs w:val="10"/>
                              </w:rPr>
                              <w:t>部</w:t>
                            </w:r>
                          </w:p>
                        </w:txbxContent>
                      </wps:txbx>
                      <wps:bodyPr lIns="0" tIns="0" rIns="0" bIns="0">
                        <a:noAutoFit/>
                      </wps:bodyPr>
                    </wps:wsp>
                  </a:graphicData>
                </a:graphic>
              </wp:anchor>
            </w:drawing>
          </mc:Choice>
          <mc:Fallback>
            <w:pict>
              <v:shape id="_x0000_s1108" type="#_x0000_t202" style="position:absolute;margin-left:278.19999999999999pt;margin-top:77.299999999999997pt;width:59.050000000000004pt;height:8.1500000000000004pt;z-index:251657735;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right"/>
                        <w:rPr>
                          <w:sz w:val="10"/>
                          <w:szCs w:val="10"/>
                        </w:rPr>
                      </w:pPr>
                      <w:r>
                        <w:rPr>
                          <w:rFonts w:ascii="Arial" w:eastAsia="Arial" w:hAnsi="Arial" w:cs="Arial"/>
                          <w:color w:val="4B4848"/>
                          <w:spacing w:val="0"/>
                          <w:w w:val="100"/>
                          <w:position w:val="0"/>
                          <w:sz w:val="10"/>
                          <w:szCs w:val="10"/>
                        </w:rPr>
                        <w:t>—</w:t>
                      </w:r>
                      <w:r>
                        <w:rPr>
                          <w:rFonts w:ascii="Arial" w:eastAsia="Arial" w:hAnsi="Arial" w:cs="Arial"/>
                          <w:color w:val="666666"/>
                          <w:spacing w:val="0"/>
                          <w:w w:val="100"/>
                          <w:position w:val="0"/>
                          <w:sz w:val="10"/>
                          <w:szCs w:val="10"/>
                        </w:rPr>
                        <w:t>O GMC</w:t>
                      </w:r>
                      <w:r>
                        <w:rPr>
                          <w:rFonts w:ascii="SimSun" w:eastAsia="SimSun" w:hAnsi="SimSun" w:cs="SimSun"/>
                          <w:b w:val="0"/>
                          <w:bCs w:val="0"/>
                          <w:color w:val="808080"/>
                          <w:spacing w:val="0"/>
                          <w:w w:val="100"/>
                          <w:position w:val="0"/>
                          <w:sz w:val="10"/>
                          <w:szCs w:val="10"/>
                        </w:rPr>
                        <w:t>产</w:t>
                      </w:r>
                      <w:r>
                        <w:rPr>
                          <w:rFonts w:ascii="SimSun" w:eastAsia="SimSun" w:hAnsi="SimSun" w:cs="SimSun"/>
                          <w:b w:val="0"/>
                          <w:bCs w:val="0"/>
                          <w:color w:val="666666"/>
                          <w:spacing w:val="0"/>
                          <w:w w:val="100"/>
                          <w:position w:val="0"/>
                          <w:sz w:val="10"/>
                          <w:szCs w:val="10"/>
                        </w:rPr>
                        <w:t>品</w:t>
                      </w:r>
                      <w:r>
                        <w:rPr>
                          <w:rFonts w:ascii="SimSun" w:eastAsia="SimSun" w:hAnsi="SimSun" w:cs="SimSun"/>
                          <w:b w:val="0"/>
                          <w:bCs w:val="0"/>
                          <w:color w:val="808080"/>
                          <w:spacing w:val="0"/>
                          <w:w w:val="100"/>
                          <w:position w:val="0"/>
                          <w:sz w:val="10"/>
                          <w:szCs w:val="10"/>
                        </w:rPr>
                        <w:t>**</w:t>
                      </w:r>
                      <w:r>
                        <w:rPr>
                          <w:rFonts w:ascii="SimSun" w:eastAsia="SimSun" w:hAnsi="SimSun" w:cs="SimSun"/>
                          <w:b w:val="0"/>
                          <w:bCs w:val="0"/>
                          <w:color w:val="808080"/>
                          <w:spacing w:val="0"/>
                          <w:w w:val="100"/>
                          <w:position w:val="0"/>
                          <w:sz w:val="10"/>
                          <w:szCs w:val="10"/>
                        </w:rPr>
                        <w:t>部</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3533140</wp:posOffset>
                </wp:positionH>
                <wp:positionV relativeFrom="paragraph">
                  <wp:posOffset>1134110</wp:posOffset>
                </wp:positionV>
                <wp:extent cx="734695" cy="109855"/>
                <wp:wrapNone/>
                <wp:docPr id="84" name="Shape 84"/>
                <a:graphic xmlns:a="http://schemas.openxmlformats.org/drawingml/2006/main">
                  <a:graphicData uri="http://schemas.microsoft.com/office/word/2010/wordprocessingShape">
                    <wps:wsp>
                      <wps:cNvSpPr txBox="1"/>
                      <wps:spPr>
                        <a:xfrm>
                          <a:ext cx="734695" cy="10985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b w:val="0"/>
                                <w:bCs w:val="0"/>
                                <w:color w:val="4B4848"/>
                                <w:spacing w:val="0"/>
                                <w:w w:val="100"/>
                                <w:position w:val="0"/>
                                <w:sz w:val="10"/>
                                <w:szCs w:val="10"/>
                              </w:rPr>
                              <w:t>一</w:t>
                            </w:r>
                            <w:r>
                              <w:rPr>
                                <w:rFonts w:ascii="Arial" w:eastAsia="Arial" w:hAnsi="Arial" w:cs="Arial"/>
                                <w:color w:val="808080"/>
                                <w:spacing w:val="0"/>
                                <w:w w:val="100"/>
                                <w:position w:val="0"/>
                                <w:sz w:val="10"/>
                                <w:szCs w:val="10"/>
                              </w:rPr>
                              <w:t>O</w:t>
                            </w:r>
                            <w:r>
                              <w:rPr>
                                <w:rFonts w:ascii="SimSun" w:eastAsia="SimSun" w:hAnsi="SimSun" w:cs="SimSun"/>
                                <w:b w:val="0"/>
                                <w:bCs w:val="0"/>
                                <w:color w:val="808080"/>
                                <w:spacing w:val="0"/>
                                <w:w w:val="100"/>
                                <w:position w:val="0"/>
                                <w:sz w:val="10"/>
                                <w:szCs w:val="10"/>
                              </w:rPr>
                              <w:t>通信行史事</w:t>
                            </w:r>
                            <w:r>
                              <w:rPr>
                                <w:rFonts w:ascii="Arial" w:eastAsia="Arial" w:hAnsi="Arial" w:cs="Arial"/>
                                <w:color w:val="808080"/>
                                <w:spacing w:val="0"/>
                                <w:w w:val="100"/>
                                <w:position w:val="0"/>
                                <w:sz w:val="10"/>
                                <w:szCs w:val="10"/>
                              </w:rPr>
                              <w:t>W</w:t>
                            </w:r>
                            <w:r>
                              <w:rPr>
                                <w:rFonts w:ascii="SimSun" w:eastAsia="SimSun" w:hAnsi="SimSun" w:cs="SimSun"/>
                                <w:b w:val="0"/>
                                <w:bCs w:val="0"/>
                                <w:color w:val="808080"/>
                                <w:spacing w:val="0"/>
                                <w:w w:val="100"/>
                                <w:position w:val="0"/>
                                <w:sz w:val="10"/>
                                <w:szCs w:val="10"/>
                              </w:rPr>
                              <w:t>部</w:t>
                            </w:r>
                          </w:p>
                        </w:txbxContent>
                      </wps:txbx>
                      <wps:bodyPr lIns="0" tIns="0" rIns="0" bIns="0">
                        <a:noAutoFit/>
                      </wps:bodyPr>
                    </wps:wsp>
                  </a:graphicData>
                </a:graphic>
              </wp:anchor>
            </w:drawing>
          </mc:Choice>
          <mc:Fallback>
            <w:pict>
              <v:shape id="_x0000_s1110" type="#_x0000_t202" style="position:absolute;margin-left:278.19999999999999pt;margin-top:89.299999999999997pt;width:57.850000000000001pt;height:8.6500000000000004pt;z-index:251657737;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b w:val="0"/>
                          <w:bCs w:val="0"/>
                          <w:color w:val="4B4848"/>
                          <w:spacing w:val="0"/>
                          <w:w w:val="100"/>
                          <w:position w:val="0"/>
                          <w:sz w:val="10"/>
                          <w:szCs w:val="10"/>
                        </w:rPr>
                        <w:t>一</w:t>
                      </w:r>
                      <w:r>
                        <w:rPr>
                          <w:rFonts w:ascii="Arial" w:eastAsia="Arial" w:hAnsi="Arial" w:cs="Arial"/>
                          <w:color w:val="808080"/>
                          <w:spacing w:val="0"/>
                          <w:w w:val="100"/>
                          <w:position w:val="0"/>
                          <w:sz w:val="10"/>
                          <w:szCs w:val="10"/>
                        </w:rPr>
                        <w:t>O</w:t>
                      </w:r>
                      <w:r>
                        <w:rPr>
                          <w:rFonts w:ascii="SimSun" w:eastAsia="SimSun" w:hAnsi="SimSun" w:cs="SimSun"/>
                          <w:b w:val="0"/>
                          <w:bCs w:val="0"/>
                          <w:color w:val="808080"/>
                          <w:spacing w:val="0"/>
                          <w:w w:val="100"/>
                          <w:position w:val="0"/>
                          <w:sz w:val="10"/>
                          <w:szCs w:val="10"/>
                        </w:rPr>
                        <w:t>通信行史事</w:t>
                      </w:r>
                      <w:r>
                        <w:rPr>
                          <w:rFonts w:ascii="Arial" w:eastAsia="Arial" w:hAnsi="Arial" w:cs="Arial"/>
                          <w:color w:val="808080"/>
                          <w:spacing w:val="0"/>
                          <w:w w:val="100"/>
                          <w:position w:val="0"/>
                          <w:sz w:val="10"/>
                          <w:szCs w:val="10"/>
                        </w:rPr>
                        <w:t>W</w:t>
                      </w:r>
                      <w:r>
                        <w:rPr>
                          <w:rFonts w:ascii="SimSun" w:eastAsia="SimSun" w:hAnsi="SimSun" w:cs="SimSun"/>
                          <w:b w:val="0"/>
                          <w:bCs w:val="0"/>
                          <w:color w:val="808080"/>
                          <w:spacing w:val="0"/>
                          <w:w w:val="100"/>
                          <w:position w:val="0"/>
                          <w:sz w:val="10"/>
                          <w:szCs w:val="10"/>
                        </w:rPr>
                        <w:t>部</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3533140</wp:posOffset>
                </wp:positionH>
                <wp:positionV relativeFrom="paragraph">
                  <wp:posOffset>1286510</wp:posOffset>
                </wp:positionV>
                <wp:extent cx="865505" cy="109855"/>
                <wp:wrapNone/>
                <wp:docPr id="86" name="Shape 86"/>
                <a:graphic xmlns:a="http://schemas.openxmlformats.org/drawingml/2006/main">
                  <a:graphicData uri="http://schemas.microsoft.com/office/word/2010/wordprocessingShape">
                    <wps:wsp>
                      <wps:cNvSpPr txBox="1"/>
                      <wps:spPr>
                        <a:xfrm>
                          <a:ext cx="865505" cy="10985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rPr>
                                <w:sz w:val="10"/>
                                <w:szCs w:val="10"/>
                              </w:rPr>
                            </w:pPr>
                            <w:r>
                              <w:rPr>
                                <w:rFonts w:ascii="Arial" w:eastAsia="Arial" w:hAnsi="Arial" w:cs="Arial"/>
                                <w:color w:val="4B4848"/>
                                <w:spacing w:val="0"/>
                                <w:w w:val="100"/>
                                <w:position w:val="0"/>
                                <w:sz w:val="10"/>
                                <w:szCs w:val="10"/>
                              </w:rPr>
                              <w:t>―</w:t>
                            </w:r>
                            <w:r>
                              <w:rPr>
                                <w:rFonts w:ascii="Arial" w:eastAsia="Arial" w:hAnsi="Arial" w:cs="Arial"/>
                                <w:color w:val="808080"/>
                                <w:spacing w:val="0"/>
                                <w:w w:val="100"/>
                                <w:position w:val="0"/>
                                <w:sz w:val="10"/>
                                <w:szCs w:val="10"/>
                              </w:rPr>
                              <w:t>O</w:t>
                            </w:r>
                            <w:r>
                              <w:rPr>
                                <w:rFonts w:ascii="SimSun" w:eastAsia="SimSun" w:hAnsi="SimSun" w:cs="SimSun"/>
                                <w:b w:val="0"/>
                                <w:bCs w:val="0"/>
                                <w:color w:val="808080"/>
                                <w:spacing w:val="0"/>
                                <w:w w:val="100"/>
                                <w:position w:val="0"/>
                                <w:sz w:val="10"/>
                                <w:szCs w:val="10"/>
                              </w:rPr>
                              <w:t>企</w:t>
                            </w:r>
                            <w:r>
                              <w:rPr>
                                <w:rFonts w:ascii="Arial" w:eastAsia="Arial" w:hAnsi="Arial" w:cs="Arial"/>
                                <w:color w:val="808080"/>
                                <w:spacing w:val="0"/>
                                <w:w w:val="100"/>
                                <w:position w:val="0"/>
                                <w:sz w:val="10"/>
                                <w:szCs w:val="10"/>
                              </w:rPr>
                              <w:t>w</w:t>
                            </w:r>
                            <w:r>
                              <w:rPr>
                                <w:rFonts w:ascii="SimSun" w:eastAsia="SimSun" w:hAnsi="SimSun" w:cs="SimSun"/>
                                <w:b w:val="0"/>
                                <w:bCs w:val="0"/>
                                <w:color w:val="808080"/>
                                <w:spacing w:val="0"/>
                                <w:w w:val="100"/>
                                <w:position w:val="0"/>
                                <w:sz w:val="10"/>
                                <w:szCs w:val="10"/>
                              </w:rPr>
                              <w:t>集团第</w:t>
                            </w:r>
                            <w:r>
                              <w:rPr>
                                <w:rFonts w:ascii="SimSun" w:eastAsia="SimSun" w:hAnsi="SimSun" w:cs="SimSun"/>
                                <w:b w:val="0"/>
                                <w:bCs w:val="0"/>
                                <w:color w:val="808080"/>
                                <w:spacing w:val="0"/>
                                <w:w w:val="100"/>
                                <w:position w:val="0"/>
                                <w:sz w:val="10"/>
                                <w:szCs w:val="10"/>
                              </w:rPr>
                              <w:t>-**»</w:t>
                            </w:r>
                          </w:p>
                        </w:txbxContent>
                      </wps:txbx>
                      <wps:bodyPr lIns="0" tIns="0" rIns="0" bIns="0">
                        <a:noAutoFit/>
                      </wps:bodyPr>
                    </wps:wsp>
                  </a:graphicData>
                </a:graphic>
              </wp:anchor>
            </w:drawing>
          </mc:Choice>
          <mc:Fallback>
            <w:pict>
              <v:shape id="_x0000_s1112" type="#_x0000_t202" style="position:absolute;margin-left:278.19999999999999pt;margin-top:101.3pt;width:68.150000000000006pt;height:8.6500000000000004pt;z-index:251657739;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right"/>
                        <w:rPr>
                          <w:sz w:val="10"/>
                          <w:szCs w:val="10"/>
                        </w:rPr>
                      </w:pPr>
                      <w:r>
                        <w:rPr>
                          <w:rFonts w:ascii="Arial" w:eastAsia="Arial" w:hAnsi="Arial" w:cs="Arial"/>
                          <w:color w:val="4B4848"/>
                          <w:spacing w:val="0"/>
                          <w:w w:val="100"/>
                          <w:position w:val="0"/>
                          <w:sz w:val="10"/>
                          <w:szCs w:val="10"/>
                        </w:rPr>
                        <w:t>―</w:t>
                      </w:r>
                      <w:r>
                        <w:rPr>
                          <w:rFonts w:ascii="Arial" w:eastAsia="Arial" w:hAnsi="Arial" w:cs="Arial"/>
                          <w:color w:val="808080"/>
                          <w:spacing w:val="0"/>
                          <w:w w:val="100"/>
                          <w:position w:val="0"/>
                          <w:sz w:val="10"/>
                          <w:szCs w:val="10"/>
                        </w:rPr>
                        <w:t>O</w:t>
                      </w:r>
                      <w:r>
                        <w:rPr>
                          <w:rFonts w:ascii="SimSun" w:eastAsia="SimSun" w:hAnsi="SimSun" w:cs="SimSun"/>
                          <w:b w:val="0"/>
                          <w:bCs w:val="0"/>
                          <w:color w:val="808080"/>
                          <w:spacing w:val="0"/>
                          <w:w w:val="100"/>
                          <w:position w:val="0"/>
                          <w:sz w:val="10"/>
                          <w:szCs w:val="10"/>
                        </w:rPr>
                        <w:t>企</w:t>
                      </w:r>
                      <w:r>
                        <w:rPr>
                          <w:rFonts w:ascii="Arial" w:eastAsia="Arial" w:hAnsi="Arial" w:cs="Arial"/>
                          <w:color w:val="808080"/>
                          <w:spacing w:val="0"/>
                          <w:w w:val="100"/>
                          <w:position w:val="0"/>
                          <w:sz w:val="10"/>
                          <w:szCs w:val="10"/>
                        </w:rPr>
                        <w:t>w</w:t>
                      </w:r>
                      <w:r>
                        <w:rPr>
                          <w:rFonts w:ascii="SimSun" w:eastAsia="SimSun" w:hAnsi="SimSun" w:cs="SimSun"/>
                          <w:b w:val="0"/>
                          <w:bCs w:val="0"/>
                          <w:color w:val="808080"/>
                          <w:spacing w:val="0"/>
                          <w:w w:val="100"/>
                          <w:position w:val="0"/>
                          <w:sz w:val="10"/>
                          <w:szCs w:val="10"/>
                        </w:rPr>
                        <w:t>集团第</w:t>
                      </w:r>
                      <w:r>
                        <w:rPr>
                          <w:rFonts w:ascii="SimSun" w:eastAsia="SimSun" w:hAnsi="SimSun" w:cs="SimSun"/>
                          <w:b w:val="0"/>
                          <w:bCs w:val="0"/>
                          <w:color w:val="808080"/>
                          <w:spacing w:val="0"/>
                          <w:w w:val="100"/>
                          <w:position w:val="0"/>
                          <w:sz w:val="10"/>
                          <w:szCs w:val="10"/>
                        </w:rPr>
                        <w:t>-**»</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3533140</wp:posOffset>
                </wp:positionH>
                <wp:positionV relativeFrom="paragraph">
                  <wp:posOffset>1438910</wp:posOffset>
                </wp:positionV>
                <wp:extent cx="829310" cy="103505"/>
                <wp:wrapNone/>
                <wp:docPr id="88" name="Shape 88"/>
                <a:graphic xmlns:a="http://schemas.openxmlformats.org/drawingml/2006/main">
                  <a:graphicData uri="http://schemas.microsoft.com/office/word/2010/wordprocessingShape">
                    <wps:wsp>
                      <wps:cNvSpPr txBox="1"/>
                      <wps:spPr>
                        <a:xfrm>
                          <a:ext cx="829310" cy="1035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4B4848"/>
                                <w:spacing w:val="0"/>
                                <w:w w:val="100"/>
                                <w:position w:val="0"/>
                                <w:sz w:val="10"/>
                                <w:szCs w:val="10"/>
                              </w:rPr>
                              <w:t>―</w:t>
                            </w:r>
                            <w:r>
                              <w:rPr>
                                <w:rFonts w:ascii="Arial" w:eastAsia="Arial" w:hAnsi="Arial" w:cs="Arial"/>
                                <w:color w:val="666666"/>
                                <w:spacing w:val="0"/>
                                <w:w w:val="100"/>
                                <w:position w:val="0"/>
                                <w:sz w:val="10"/>
                                <w:szCs w:val="10"/>
                              </w:rPr>
                              <w:t>O</w:t>
                            </w:r>
                            <w:r>
                              <w:rPr>
                                <w:rFonts w:ascii="SimSun" w:eastAsia="SimSun" w:hAnsi="SimSun" w:cs="SimSun"/>
                                <w:b w:val="0"/>
                                <w:bCs w:val="0"/>
                                <w:color w:val="808080"/>
                                <w:spacing w:val="0"/>
                                <w:w w:val="100"/>
                                <w:position w:val="0"/>
                                <w:sz w:val="10"/>
                                <w:szCs w:val="10"/>
                              </w:rPr>
                              <w:t>企业堡</w:t>
                            </w:r>
                            <w:r>
                              <w:rPr>
                                <w:rFonts w:ascii="SimSun" w:eastAsia="SimSun" w:hAnsi="SimSun" w:cs="SimSun"/>
                                <w:b w:val="0"/>
                                <w:bCs w:val="0"/>
                                <w:color w:val="666666"/>
                                <w:spacing w:val="0"/>
                                <w:w w:val="100"/>
                                <w:position w:val="0"/>
                                <w:sz w:val="10"/>
                                <w:szCs w:val="10"/>
                              </w:rPr>
                              <w:t>询第:**</w:t>
                            </w:r>
                          </w:p>
                        </w:txbxContent>
                      </wps:txbx>
                      <wps:bodyPr lIns="0" tIns="0" rIns="0" bIns="0">
                        <a:noAutoFit/>
                      </wps:bodyPr>
                    </wps:wsp>
                  </a:graphicData>
                </a:graphic>
              </wp:anchor>
            </w:drawing>
          </mc:Choice>
          <mc:Fallback>
            <w:pict>
              <v:shape id="_x0000_s1114" type="#_x0000_t202" style="position:absolute;margin-left:278.19999999999999pt;margin-top:113.3pt;width:65.299999999999997pt;height:8.1500000000000004pt;z-index:251657741;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4B4848"/>
                          <w:spacing w:val="0"/>
                          <w:w w:val="100"/>
                          <w:position w:val="0"/>
                          <w:sz w:val="10"/>
                          <w:szCs w:val="10"/>
                        </w:rPr>
                        <w:t>―</w:t>
                      </w:r>
                      <w:r>
                        <w:rPr>
                          <w:rFonts w:ascii="Arial" w:eastAsia="Arial" w:hAnsi="Arial" w:cs="Arial"/>
                          <w:color w:val="666666"/>
                          <w:spacing w:val="0"/>
                          <w:w w:val="100"/>
                          <w:position w:val="0"/>
                          <w:sz w:val="10"/>
                          <w:szCs w:val="10"/>
                        </w:rPr>
                        <w:t>O</w:t>
                      </w:r>
                      <w:r>
                        <w:rPr>
                          <w:rFonts w:ascii="SimSun" w:eastAsia="SimSun" w:hAnsi="SimSun" w:cs="SimSun"/>
                          <w:b w:val="0"/>
                          <w:bCs w:val="0"/>
                          <w:color w:val="808080"/>
                          <w:spacing w:val="0"/>
                          <w:w w:val="100"/>
                          <w:position w:val="0"/>
                          <w:sz w:val="10"/>
                          <w:szCs w:val="10"/>
                        </w:rPr>
                        <w:t>企业堡</w:t>
                      </w:r>
                      <w:r>
                        <w:rPr>
                          <w:rFonts w:ascii="SimSun" w:eastAsia="SimSun" w:hAnsi="SimSun" w:cs="SimSun"/>
                          <w:b w:val="0"/>
                          <w:bCs w:val="0"/>
                          <w:color w:val="666666"/>
                          <w:spacing w:val="0"/>
                          <w:w w:val="100"/>
                          <w:position w:val="0"/>
                          <w:sz w:val="10"/>
                          <w:szCs w:val="10"/>
                        </w:rPr>
                        <w:t>询第:**</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3533140</wp:posOffset>
                </wp:positionH>
                <wp:positionV relativeFrom="paragraph">
                  <wp:posOffset>1591310</wp:posOffset>
                </wp:positionV>
                <wp:extent cx="603250" cy="103505"/>
                <wp:wrapNone/>
                <wp:docPr id="90" name="Shape 90"/>
                <a:graphic xmlns:a="http://schemas.openxmlformats.org/drawingml/2006/main">
                  <a:graphicData uri="http://schemas.microsoft.com/office/word/2010/wordprocessingShape">
                    <wps:wsp>
                      <wps:cNvSpPr txBox="1"/>
                      <wps:spPr>
                        <a:xfrm>
                          <a:ext cx="603250" cy="103505"/>
                        </a:xfrm>
                        <a:prstGeom prst="rect"/>
                        <a:noFill/>
                      </wps:spPr>
                      <wps:txbx>
                        <w:txbxContent>
                          <w:p>
                            <w:pPr>
                              <w:pStyle w:val="Style55"/>
                              <w:keepNext w:val="0"/>
                              <w:keepLines w:val="0"/>
                              <w:widowControl w:val="0"/>
                              <w:shd w:val="clear" w:color="auto" w:fill="auto"/>
                              <w:tabs>
                                <w:tab w:leader="hyphen" w:pos="230" w:val="left"/>
                              </w:tabs>
                              <w:bidi w:val="0"/>
                              <w:spacing w:before="0" w:after="0" w:line="240" w:lineRule="auto"/>
                              <w:ind w:left="0" w:right="0" w:firstLine="0"/>
                              <w:jc w:val="left"/>
                              <w:rPr>
                                <w:sz w:val="10"/>
                                <w:szCs w:val="10"/>
                              </w:rPr>
                            </w:pPr>
                            <w:r>
                              <w:rPr>
                                <w:rFonts w:ascii="SimSun" w:eastAsia="SimSun" w:hAnsi="SimSun" w:cs="SimSun"/>
                                <w:b w:val="0"/>
                                <w:bCs w:val="0"/>
                                <w:color w:val="666666"/>
                                <w:spacing w:val="0"/>
                                <w:w w:val="100"/>
                                <w:position w:val="0"/>
                                <w:sz w:val="10"/>
                                <w:szCs w:val="10"/>
                              </w:rPr>
                              <w:tab/>
                              <w:t>政府*</w:t>
                            </w:r>
                            <w:r>
                              <w:rPr>
                                <w:rFonts w:ascii="Arial" w:eastAsia="Arial" w:hAnsi="Arial" w:cs="Arial"/>
                                <w:color w:val="666666"/>
                                <w:spacing w:val="0"/>
                                <w:w w:val="100"/>
                                <w:position w:val="0"/>
                                <w:sz w:val="10"/>
                                <w:szCs w:val="10"/>
                              </w:rPr>
                              <w:t>WIW</w:t>
                            </w:r>
                          </w:p>
                        </w:txbxContent>
                      </wps:txbx>
                      <wps:bodyPr lIns="0" tIns="0" rIns="0" bIns="0">
                        <a:noAutoFit/>
                      </wps:bodyPr>
                    </wps:wsp>
                  </a:graphicData>
                </a:graphic>
              </wp:anchor>
            </w:drawing>
          </mc:Choice>
          <mc:Fallback>
            <w:pict>
              <v:shape id="_x0000_s1116" type="#_x0000_t202" style="position:absolute;margin-left:278.19999999999999pt;margin-top:125.3pt;width:47.5pt;height:8.1500000000000004pt;z-index:251657743;mso-wrap-distance-left:0;mso-wrap-distance-right:0;mso-position-horizontal-relative:page" filled="f" stroked="f">
                <v:textbox inset="0,0,0,0">
                  <w:txbxContent>
                    <w:p>
                      <w:pPr>
                        <w:pStyle w:val="Style55"/>
                        <w:keepNext w:val="0"/>
                        <w:keepLines w:val="0"/>
                        <w:widowControl w:val="0"/>
                        <w:shd w:val="clear" w:color="auto" w:fill="auto"/>
                        <w:tabs>
                          <w:tab w:leader="hyphen" w:pos="230" w:val="left"/>
                        </w:tabs>
                        <w:bidi w:val="0"/>
                        <w:spacing w:before="0" w:after="0" w:line="240" w:lineRule="auto"/>
                        <w:ind w:left="0" w:right="0" w:firstLine="0"/>
                        <w:jc w:val="left"/>
                        <w:rPr>
                          <w:sz w:val="10"/>
                          <w:szCs w:val="10"/>
                        </w:rPr>
                      </w:pPr>
                      <w:r>
                        <w:rPr>
                          <w:rFonts w:ascii="SimSun" w:eastAsia="SimSun" w:hAnsi="SimSun" w:cs="SimSun"/>
                          <w:b w:val="0"/>
                          <w:bCs w:val="0"/>
                          <w:color w:val="666666"/>
                          <w:spacing w:val="0"/>
                          <w:w w:val="100"/>
                          <w:position w:val="0"/>
                          <w:sz w:val="10"/>
                          <w:szCs w:val="10"/>
                        </w:rPr>
                        <w:tab/>
                        <w:t>政府*</w:t>
                      </w:r>
                      <w:r>
                        <w:rPr>
                          <w:rFonts w:ascii="Arial" w:eastAsia="Arial" w:hAnsi="Arial" w:cs="Arial"/>
                          <w:color w:val="666666"/>
                          <w:spacing w:val="0"/>
                          <w:w w:val="100"/>
                          <w:position w:val="0"/>
                          <w:sz w:val="10"/>
                          <w:szCs w:val="10"/>
                        </w:rPr>
                        <w:t>WIW</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3764280</wp:posOffset>
                </wp:positionH>
                <wp:positionV relativeFrom="paragraph">
                  <wp:posOffset>1886585</wp:posOffset>
                </wp:positionV>
                <wp:extent cx="365760" cy="106680"/>
                <wp:wrapNone/>
                <wp:docPr id="92" name="Shape 92"/>
                <a:graphic xmlns:a="http://schemas.openxmlformats.org/drawingml/2006/main">
                  <a:graphicData uri="http://schemas.microsoft.com/office/word/2010/wordprocessingShape">
                    <wps:wsp>
                      <wps:cNvSpPr txBox="1"/>
                      <wps:spPr>
                        <a:xfrm>
                          <a:ext cx="36576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rPr>
                                <w:sz w:val="10"/>
                                <w:szCs w:val="10"/>
                              </w:rPr>
                            </w:pPr>
                            <w:r>
                              <w:rPr>
                                <w:rFonts w:ascii="SimSun" w:eastAsia="SimSun" w:hAnsi="SimSun" w:cs="SimSun"/>
                                <w:b w:val="0"/>
                                <w:bCs w:val="0"/>
                                <w:color w:val="808080"/>
                                <w:spacing w:val="0"/>
                                <w:w w:val="100"/>
                                <w:position w:val="0"/>
                                <w:sz w:val="10"/>
                                <w:szCs w:val="10"/>
                              </w:rPr>
                              <w:t>总裁办公室</w:t>
                            </w:r>
                          </w:p>
                        </w:txbxContent>
                      </wps:txbx>
                      <wps:bodyPr lIns="0" tIns="0" rIns="0" bIns="0">
                        <a:noAutoFit/>
                      </wps:bodyPr>
                    </wps:wsp>
                  </a:graphicData>
                </a:graphic>
              </wp:anchor>
            </w:drawing>
          </mc:Choice>
          <mc:Fallback>
            <w:pict>
              <v:shape id="_x0000_s1118" type="#_x0000_t202" style="position:absolute;margin-left:296.40000000000003pt;margin-top:148.55000000000001pt;width:28.800000000000001pt;height:8.4000000000000004pt;z-index:251657745;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right"/>
                        <w:rPr>
                          <w:sz w:val="10"/>
                          <w:szCs w:val="10"/>
                        </w:rPr>
                      </w:pPr>
                      <w:r>
                        <w:rPr>
                          <w:rFonts w:ascii="SimSun" w:eastAsia="SimSun" w:hAnsi="SimSun" w:cs="SimSun"/>
                          <w:b w:val="0"/>
                          <w:bCs w:val="0"/>
                          <w:color w:val="808080"/>
                          <w:spacing w:val="0"/>
                          <w:w w:val="100"/>
                          <w:position w:val="0"/>
                          <w:sz w:val="10"/>
                          <w:szCs w:val="10"/>
                        </w:rPr>
                        <w:t>总裁办公室</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3533140</wp:posOffset>
                </wp:positionH>
                <wp:positionV relativeFrom="paragraph">
                  <wp:posOffset>481330</wp:posOffset>
                </wp:positionV>
                <wp:extent cx="670560" cy="304800"/>
                <wp:wrapNone/>
                <wp:docPr id="94" name="Shape 94"/>
                <a:graphic xmlns:a="http://schemas.openxmlformats.org/drawingml/2006/main">
                  <a:graphicData uri="http://schemas.microsoft.com/office/word/2010/wordprocessingShape">
                    <wps:wsp>
                      <wps:cNvSpPr txBox="1"/>
                      <wps:spPr>
                        <a:xfrm>
                          <a:ext cx="670560" cy="304800"/>
                        </a:xfrm>
                        <a:prstGeom prst="rect"/>
                        <a:noFill/>
                      </wps:spPr>
                      <wps:txbx>
                        <w:txbxContent>
                          <w:p>
                            <w:pPr>
                              <w:pStyle w:val="Style55"/>
                              <w:keepNext w:val="0"/>
                              <w:keepLines w:val="0"/>
                              <w:widowControl w:val="0"/>
                              <w:shd w:val="clear" w:color="auto" w:fill="auto"/>
                              <w:bidi w:val="0"/>
                              <w:spacing w:before="0" w:after="0" w:line="230" w:lineRule="exact"/>
                              <w:ind w:left="0" w:right="0" w:firstLine="0"/>
                              <w:jc w:val="left"/>
                              <w:rPr>
                                <w:sz w:val="10"/>
                                <w:szCs w:val="10"/>
                              </w:rPr>
                            </w:pPr>
                            <w:r>
                              <w:rPr>
                                <w:rFonts w:ascii="Arial" w:eastAsia="Arial" w:hAnsi="Arial" w:cs="Arial"/>
                                <w:color w:val="808080"/>
                                <w:spacing w:val="0"/>
                                <w:w w:val="100"/>
                                <w:position w:val="0"/>
                                <w:sz w:val="10"/>
                                <w:szCs w:val="10"/>
                              </w:rPr>
                              <w:t>—O</w:t>
                            </w:r>
                            <w:r>
                              <w:rPr>
                                <w:rFonts w:ascii="SimSun" w:eastAsia="SimSun" w:hAnsi="SimSun" w:cs="SimSun"/>
                                <w:b w:val="0"/>
                                <w:bCs w:val="0"/>
                                <w:color w:val="808080"/>
                                <w:spacing w:val="0"/>
                                <w:w w:val="100"/>
                                <w:position w:val="0"/>
                                <w:sz w:val="10"/>
                                <w:szCs w:val="10"/>
                              </w:rPr>
                              <w:t xml:space="preserve">溶试中心 </w:t>
                            </w:r>
                            <w:r>
                              <w:rPr>
                                <w:rFonts w:ascii="Arial" w:eastAsia="Arial" w:hAnsi="Arial" w:cs="Arial"/>
                                <w:color w:val="666666"/>
                                <w:spacing w:val="0"/>
                                <w:w w:val="100"/>
                                <w:position w:val="0"/>
                                <w:sz w:val="10"/>
                                <w:szCs w:val="10"/>
                              </w:rPr>
                              <w:t>—</w:t>
                            </w:r>
                            <w:r>
                              <w:rPr>
                                <w:rFonts w:ascii="Arial" w:eastAsia="Arial" w:hAnsi="Arial" w:cs="Arial"/>
                                <w:color w:val="808080"/>
                                <w:spacing w:val="0"/>
                                <w:w w:val="100"/>
                                <w:position w:val="0"/>
                                <w:sz w:val="10"/>
                                <w:szCs w:val="10"/>
                              </w:rPr>
                              <w:t xml:space="preserve">O </w:t>
                            </w:r>
                            <w:r>
                              <w:rPr>
                                <w:rFonts w:ascii="Arial" w:eastAsia="Arial" w:hAnsi="Arial" w:cs="Arial"/>
                                <w:color w:val="666666"/>
                                <w:spacing w:val="0"/>
                                <w:w w:val="100"/>
                                <w:position w:val="0"/>
                                <w:sz w:val="10"/>
                                <w:szCs w:val="10"/>
                              </w:rPr>
                              <w:t>BI</w:t>
                            </w:r>
                            <w:r>
                              <w:rPr>
                                <w:rFonts w:ascii="SimSun" w:eastAsia="SimSun" w:hAnsi="SimSun" w:cs="SimSun"/>
                                <w:b w:val="0"/>
                                <w:bCs w:val="0"/>
                                <w:color w:val="808080"/>
                                <w:spacing w:val="0"/>
                                <w:w w:val="100"/>
                                <w:position w:val="0"/>
                                <w:sz w:val="10"/>
                                <w:szCs w:val="10"/>
                              </w:rPr>
                              <w:t>产品事业部</w:t>
                            </w:r>
                          </w:p>
                        </w:txbxContent>
                      </wps:txbx>
                      <wps:bodyPr lIns="0" tIns="0" rIns="0" bIns="0">
                        <a:noAutoFit/>
                      </wps:bodyPr>
                    </wps:wsp>
                  </a:graphicData>
                </a:graphic>
              </wp:anchor>
            </w:drawing>
          </mc:Choice>
          <mc:Fallback>
            <w:pict>
              <v:shape id="_x0000_s1120" type="#_x0000_t202" style="position:absolute;margin-left:278.19999999999999pt;margin-top:37.899999999999999pt;width:52.800000000000004pt;height:24.pt;z-index:251657747;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30" w:lineRule="exact"/>
                        <w:ind w:left="0" w:right="0" w:firstLine="0"/>
                        <w:jc w:val="left"/>
                        <w:rPr>
                          <w:sz w:val="10"/>
                          <w:szCs w:val="10"/>
                        </w:rPr>
                      </w:pPr>
                      <w:r>
                        <w:rPr>
                          <w:rFonts w:ascii="Arial" w:eastAsia="Arial" w:hAnsi="Arial" w:cs="Arial"/>
                          <w:color w:val="808080"/>
                          <w:spacing w:val="0"/>
                          <w:w w:val="100"/>
                          <w:position w:val="0"/>
                          <w:sz w:val="10"/>
                          <w:szCs w:val="10"/>
                        </w:rPr>
                        <w:t>—O</w:t>
                      </w:r>
                      <w:r>
                        <w:rPr>
                          <w:rFonts w:ascii="SimSun" w:eastAsia="SimSun" w:hAnsi="SimSun" w:cs="SimSun"/>
                          <w:b w:val="0"/>
                          <w:bCs w:val="0"/>
                          <w:color w:val="808080"/>
                          <w:spacing w:val="0"/>
                          <w:w w:val="100"/>
                          <w:position w:val="0"/>
                          <w:sz w:val="10"/>
                          <w:szCs w:val="10"/>
                        </w:rPr>
                        <w:t xml:space="preserve">溶试中心 </w:t>
                      </w:r>
                      <w:r>
                        <w:rPr>
                          <w:rFonts w:ascii="Arial" w:eastAsia="Arial" w:hAnsi="Arial" w:cs="Arial"/>
                          <w:color w:val="666666"/>
                          <w:spacing w:val="0"/>
                          <w:w w:val="100"/>
                          <w:position w:val="0"/>
                          <w:sz w:val="10"/>
                          <w:szCs w:val="10"/>
                        </w:rPr>
                        <w:t>—</w:t>
                      </w:r>
                      <w:r>
                        <w:rPr>
                          <w:rFonts w:ascii="Arial" w:eastAsia="Arial" w:hAnsi="Arial" w:cs="Arial"/>
                          <w:color w:val="808080"/>
                          <w:spacing w:val="0"/>
                          <w:w w:val="100"/>
                          <w:position w:val="0"/>
                          <w:sz w:val="10"/>
                          <w:szCs w:val="10"/>
                        </w:rPr>
                        <w:t xml:space="preserve">O </w:t>
                      </w:r>
                      <w:r>
                        <w:rPr>
                          <w:rFonts w:ascii="Arial" w:eastAsia="Arial" w:hAnsi="Arial" w:cs="Arial"/>
                          <w:color w:val="666666"/>
                          <w:spacing w:val="0"/>
                          <w:w w:val="100"/>
                          <w:position w:val="0"/>
                          <w:sz w:val="10"/>
                          <w:szCs w:val="10"/>
                        </w:rPr>
                        <w:t>BI</w:t>
                      </w:r>
                      <w:r>
                        <w:rPr>
                          <w:rFonts w:ascii="SimSun" w:eastAsia="SimSun" w:hAnsi="SimSun" w:cs="SimSun"/>
                          <w:b w:val="0"/>
                          <w:bCs w:val="0"/>
                          <w:color w:val="808080"/>
                          <w:spacing w:val="0"/>
                          <w:w w:val="100"/>
                          <w:position w:val="0"/>
                          <w:sz w:val="10"/>
                          <w:szCs w:val="10"/>
                        </w:rPr>
                        <w:t>产品事业部</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1609725</wp:posOffset>
                </wp:positionH>
                <wp:positionV relativeFrom="paragraph">
                  <wp:posOffset>1146175</wp:posOffset>
                </wp:positionV>
                <wp:extent cx="140335" cy="469265"/>
                <wp:wrapNone/>
                <wp:docPr id="96" name="Shape 96"/>
                <a:graphic xmlns:a="http://schemas.openxmlformats.org/drawingml/2006/main">
                  <a:graphicData uri="http://schemas.microsoft.com/office/word/2010/wordprocessingShape">
                    <wps:wsp>
                      <wps:cNvSpPr txBox="1"/>
                      <wps:spPr>
                        <a:xfrm>
                          <a:ext cx="140335" cy="46926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4B4848"/>
                                <w:spacing w:val="0"/>
                                <w:w w:val="100"/>
                                <w:position w:val="0"/>
                                <w:sz w:val="17"/>
                                <w:szCs w:val="17"/>
                              </w:rPr>
                              <w:t>股东大会</w:t>
                            </w:r>
                          </w:p>
                        </w:txbxContent>
                      </wps:txbx>
                      <wps:bodyPr upright="1" vert="eaVert" lIns="0" tIns="0" rIns="0" bIns="0">
                        <a:noAutoFit/>
                      </wps:bodyPr>
                    </wps:wsp>
                  </a:graphicData>
                </a:graphic>
              </wp:anchor>
            </w:drawing>
          </mc:Choice>
          <mc:Fallback>
            <w:pict>
              <v:shape id="_x0000_s1122" type="#_x0000_t202" style="position:absolute;margin-left:126.75pt;margin-top:90.25pt;width:11.050000000000001pt;height:36.950000000000003pt;z-index:251657749;mso-wrap-distance-left:0;mso-wrap-distance-right:0;mso-position-horizontal-relative:page" filled="f" stroked="f">
                <v:textbox style="layout-flow:vertical-ideographic"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4B4848"/>
                          <w:spacing w:val="0"/>
                          <w:w w:val="100"/>
                          <w:position w:val="0"/>
                          <w:sz w:val="17"/>
                          <w:szCs w:val="17"/>
                        </w:rPr>
                        <w:t>股东大会</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1292860</wp:posOffset>
                </wp:positionH>
                <wp:positionV relativeFrom="paragraph">
                  <wp:posOffset>420370</wp:posOffset>
                </wp:positionV>
                <wp:extent cx="152400" cy="2014855"/>
                <wp:wrapNone/>
                <wp:docPr id="98" name="Shape 98"/>
                <a:graphic xmlns:a="http://schemas.openxmlformats.org/drawingml/2006/main">
                  <a:graphicData uri="http://schemas.microsoft.com/office/word/2010/wordprocessingShape">
                    <wps:wsp>
                      <wps:cNvSpPr txBox="1"/>
                      <wps:spPr>
                        <a:xfrm>
                          <a:ext cx="152400" cy="201485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4B4848"/>
                                <w:spacing w:val="0"/>
                                <w:w w:val="100"/>
                                <w:position w:val="0"/>
                                <w:sz w:val="20"/>
                                <w:szCs w:val="20"/>
                              </w:rPr>
                              <w:t>北京久其软件股份有限公司</w:t>
                            </w:r>
                          </w:p>
                        </w:txbxContent>
                      </wps:txbx>
                      <wps:bodyPr upright="1" vert="eaVert" lIns="0" tIns="0" rIns="0" bIns="0">
                        <a:noAutoFit/>
                      </wps:bodyPr>
                    </wps:wsp>
                  </a:graphicData>
                </a:graphic>
              </wp:anchor>
            </w:drawing>
          </mc:Choice>
          <mc:Fallback>
            <w:pict>
              <v:shape id="_x0000_s1124" type="#_x0000_t202" style="position:absolute;margin-left:101.8pt;margin-top:33.100000000000001pt;width:12.pt;height:158.65000000000001pt;z-index:251657751;mso-wrap-distance-left:0;mso-wrap-distance-right:0;mso-position-horizontal-relative:page" filled="f" stroked="f">
                <v:textbox style="layout-flow:vertical-ideographic"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4B4848"/>
                          <w:spacing w:val="0"/>
                          <w:w w:val="100"/>
                          <w:position w:val="0"/>
                          <w:sz w:val="20"/>
                          <w:szCs w:val="20"/>
                        </w:rPr>
                        <w:t>北京久其软件股份有限公司</w:t>
                      </w:r>
                    </w:p>
                  </w:txbxContent>
                </v:textbox>
                <w10:wrap anchorx="page"/>
              </v:shape>
            </w:pict>
          </mc:Fallback>
        </mc:AlternateContent>
      </w:r>
      <w:r>
        <mc:AlternateContent>
          <mc:Choice Requires="wps">
            <w:drawing>
              <wp:anchor distT="402590" distB="2745740" distL="0" distR="0" simplePos="0" relativeHeight="125829437" behindDoc="0" locked="0" layoutInCell="1" allowOverlap="1">
                <wp:simplePos x="0" y="0"/>
                <wp:positionH relativeFrom="page">
                  <wp:posOffset>1932940</wp:posOffset>
                </wp:positionH>
                <wp:positionV relativeFrom="paragraph">
                  <wp:posOffset>402590</wp:posOffset>
                </wp:positionV>
                <wp:extent cx="676910" cy="567055"/>
                <wp:wrapTopAndBottom/>
                <wp:docPr id="100" name="Shape 100"/>
                <a:graphic xmlns:a="http://schemas.openxmlformats.org/drawingml/2006/main">
                  <a:graphicData uri="http://schemas.microsoft.com/office/word/2010/wordprocessingShape">
                    <wps:wsp>
                      <wps:cNvSpPr txBox="1"/>
                      <wps:spPr>
                        <a:xfrm>
                          <a:ext cx="676910" cy="567055"/>
                        </a:xfrm>
                        <a:prstGeom prst="rect"/>
                        <a:noFill/>
                      </wps:spPr>
                      <wps:txbx>
                        <w:txbxContent>
                          <w:p>
                            <w:pPr>
                              <w:pStyle w:val="Style79"/>
                              <w:keepNext w:val="0"/>
                              <w:keepLines w:val="0"/>
                              <w:widowControl w:val="0"/>
                              <w:shd w:val="clear" w:color="auto" w:fill="auto"/>
                              <w:bidi w:val="0"/>
                              <w:spacing w:before="0" w:after="0" w:line="444" w:lineRule="exact"/>
                              <w:ind w:left="0" w:right="0" w:firstLine="0"/>
                              <w:jc w:val="right"/>
                            </w:pPr>
                            <w:r>
                              <w:rPr>
                                <w:spacing w:val="0"/>
                                <w:w w:val="100"/>
                                <w:position w:val="0"/>
                              </w:rPr>
                              <w:t>堇事会办公室 审计部 监事会</w:t>
                            </w:r>
                          </w:p>
                        </w:txbxContent>
                      </wps:txbx>
                      <wps:bodyPr upright="1" vert="eaVert" lIns="0" tIns="0" rIns="0" bIns="0">
                        <a:noAutoFit/>
                      </wps:bodyPr>
                    </wps:wsp>
                  </a:graphicData>
                </a:graphic>
              </wp:anchor>
            </w:drawing>
          </mc:Choice>
          <mc:Fallback>
            <w:pict>
              <v:shape id="_x0000_s1126" type="#_x0000_t202" style="position:absolute;margin-left:152.20000000000002pt;margin-top:31.699999999999999pt;width:53.300000000000004pt;height:44.649999999999999pt;z-index:-125829316;mso-wrap-distance-left:0;mso-wrap-distance-top:31.699999999999999pt;mso-wrap-distance-right:0;mso-wrap-distance-bottom:216.20000000000002pt;mso-position-horizontal-relative:page" filled="f" stroked="f">
                <v:textbox style="layout-flow:vertical-ideographic" inset="0,0,0,0">
                  <w:txbxContent>
                    <w:p>
                      <w:pPr>
                        <w:pStyle w:val="Style79"/>
                        <w:keepNext w:val="0"/>
                        <w:keepLines w:val="0"/>
                        <w:widowControl w:val="0"/>
                        <w:shd w:val="clear" w:color="auto" w:fill="auto"/>
                        <w:bidi w:val="0"/>
                        <w:spacing w:before="0" w:after="0" w:line="444" w:lineRule="exact"/>
                        <w:ind w:left="0" w:right="0" w:firstLine="0"/>
                        <w:jc w:val="right"/>
                      </w:pPr>
                      <w:r>
                        <w:rPr>
                          <w:spacing w:val="0"/>
                          <w:w w:val="100"/>
                          <w:position w:val="0"/>
                        </w:rPr>
                        <w:t>堇事会办公室 审计部 监事会</w:t>
                      </w:r>
                    </w:p>
                  </w:txbxContent>
                </v:textbox>
                <w10:wrap type="topAndBottom" anchorx="page"/>
              </v:shape>
            </w:pict>
          </mc:Fallback>
        </mc:AlternateContent>
      </w:r>
      <w:r>
        <mc:AlternateContent>
          <mc:Choice Requires="wps">
            <w:drawing>
              <wp:anchor distT="969010" distB="2148840" distL="0" distR="0" simplePos="0" relativeHeight="125829439" behindDoc="0" locked="0" layoutInCell="1" allowOverlap="1">
                <wp:simplePos x="0" y="0"/>
                <wp:positionH relativeFrom="page">
                  <wp:posOffset>1750060</wp:posOffset>
                </wp:positionH>
                <wp:positionV relativeFrom="paragraph">
                  <wp:posOffset>969010</wp:posOffset>
                </wp:positionV>
                <wp:extent cx="993775" cy="597535"/>
                <wp:wrapTopAndBottom/>
                <wp:docPr id="102" name="Shape 102"/>
                <a:graphic xmlns:a="http://schemas.openxmlformats.org/drawingml/2006/main">
                  <a:graphicData uri="http://schemas.microsoft.com/office/word/2010/wordprocessingShape">
                    <wps:wsp>
                      <wps:cNvSpPr txBox="1"/>
                      <wps:spPr>
                        <a:xfrm>
                          <a:ext cx="993775" cy="59753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spacing w:val="0"/>
                                <w:w w:val="100"/>
                                <w:position w:val="0"/>
                              </w:rPr>
                              <w:t>IL</w:t>
                            </w:r>
                          </w:p>
                          <w:p>
                            <w:pPr>
                              <w:pStyle w:val="Style79"/>
                              <w:keepNext w:val="0"/>
                              <w:keepLines w:val="0"/>
                              <w:widowControl w:val="0"/>
                              <w:shd w:val="clear" w:color="auto" w:fill="auto"/>
                              <w:bidi w:val="0"/>
                              <w:spacing w:before="0" w:after="0" w:line="240" w:lineRule="auto"/>
                              <w:ind w:left="0" w:right="0" w:firstLine="440"/>
                              <w:jc w:val="left"/>
                            </w:pPr>
                            <w:r>
                              <w:rPr>
                                <w:spacing w:val="0"/>
                                <w:w w:val="100"/>
                                <w:position w:val="0"/>
                              </w:rPr>
                              <w:t>$</w:t>
                            </w:r>
                            <w:r>
                              <w:rPr>
                                <w:color w:val="4B4848"/>
                                <w:spacing w:val="0"/>
                                <w:w w:val="100"/>
                                <w:position w:val="0"/>
                              </w:rPr>
                              <w:t xml:space="preserve">书 </w:t>
                            </w:r>
                            <w:r>
                              <w:rPr>
                                <w:spacing w:val="0"/>
                                <w:w w:val="100"/>
                                <w:position w:val="0"/>
                              </w:rPr>
                              <w:t>会</w:t>
                            </w:r>
                          </w:p>
                          <w:p>
                            <w:pPr>
                              <w:pStyle w:val="Style81"/>
                              <w:keepNext w:val="0"/>
                              <w:keepLines w:val="0"/>
                              <w:widowControl w:val="0"/>
                              <w:shd w:val="clear" w:color="auto" w:fill="auto"/>
                              <w:bidi w:val="0"/>
                              <w:spacing w:before="0" w:after="0" w:line="240" w:lineRule="auto"/>
                              <w:ind w:left="0" w:right="0" w:firstLine="0"/>
                              <w:jc w:val="left"/>
                            </w:pPr>
                            <w:r>
                              <w:rPr>
                                <w:spacing w:val="0"/>
                                <w:w w:val="100"/>
                                <w:position w:val="0"/>
                              </w:rPr>
                              <w:t>1</w:t>
                            </w:r>
                          </w:p>
                        </w:txbxContent>
                      </wps:txbx>
                      <wps:bodyPr upright="1" vert="eaVert" lIns="0" tIns="0" rIns="0" bIns="0">
                        <a:noAutoFit/>
                      </wps:bodyPr>
                    </wps:wsp>
                  </a:graphicData>
                </a:graphic>
              </wp:anchor>
            </w:drawing>
          </mc:Choice>
          <mc:Fallback>
            <w:pict>
              <v:shape id="_x0000_s1128" type="#_x0000_t202" style="position:absolute;margin-left:137.80000000000001pt;margin-top:76.299999999999997pt;width:78.25pt;height:47.050000000000004pt;z-index:-125829314;mso-wrap-distance-left:0;mso-wrap-distance-top:76.299999999999997pt;mso-wrap-distance-right:0;mso-wrap-distance-bottom:169.20000000000002pt;mso-position-horizontal-relative:page" filled="f" stroked="f">
                <v:textbox style="layout-flow:vertical-ideographic" inset="0,0,0,0">
                  <w:txbxContent>
                    <w:p>
                      <w:pPr>
                        <w:pStyle w:val="Style81"/>
                        <w:keepNext w:val="0"/>
                        <w:keepLines w:val="0"/>
                        <w:widowControl w:val="0"/>
                        <w:shd w:val="clear" w:color="auto" w:fill="auto"/>
                        <w:bidi w:val="0"/>
                        <w:spacing w:before="0" w:after="0" w:line="240" w:lineRule="auto"/>
                        <w:ind w:left="0" w:right="0" w:firstLine="0"/>
                        <w:jc w:val="left"/>
                      </w:pPr>
                      <w:r>
                        <w:rPr>
                          <w:spacing w:val="0"/>
                          <w:w w:val="100"/>
                          <w:position w:val="0"/>
                        </w:rPr>
                        <w:t>IL</w:t>
                      </w:r>
                    </w:p>
                    <w:p>
                      <w:pPr>
                        <w:pStyle w:val="Style79"/>
                        <w:keepNext w:val="0"/>
                        <w:keepLines w:val="0"/>
                        <w:widowControl w:val="0"/>
                        <w:shd w:val="clear" w:color="auto" w:fill="auto"/>
                        <w:bidi w:val="0"/>
                        <w:spacing w:before="0" w:after="0" w:line="240" w:lineRule="auto"/>
                        <w:ind w:left="0" w:right="0" w:firstLine="440"/>
                        <w:jc w:val="left"/>
                      </w:pPr>
                      <w:r>
                        <w:rPr>
                          <w:spacing w:val="0"/>
                          <w:w w:val="100"/>
                          <w:position w:val="0"/>
                        </w:rPr>
                        <w:t>$</w:t>
                      </w:r>
                      <w:r>
                        <w:rPr>
                          <w:color w:val="4B4848"/>
                          <w:spacing w:val="0"/>
                          <w:w w:val="100"/>
                          <w:position w:val="0"/>
                        </w:rPr>
                        <w:t xml:space="preserve">书 </w:t>
                      </w:r>
                      <w:r>
                        <w:rPr>
                          <w:spacing w:val="0"/>
                          <w:w w:val="100"/>
                          <w:position w:val="0"/>
                        </w:rPr>
                        <w:t>会</w:t>
                      </w:r>
                    </w:p>
                    <w:p>
                      <w:pPr>
                        <w:pStyle w:val="Style81"/>
                        <w:keepNext w:val="0"/>
                        <w:keepLines w:val="0"/>
                        <w:widowControl w:val="0"/>
                        <w:shd w:val="clear" w:color="auto" w:fill="auto"/>
                        <w:bidi w:val="0"/>
                        <w:spacing w:before="0" w:after="0" w:line="240" w:lineRule="auto"/>
                        <w:ind w:left="0" w:right="0" w:firstLine="0"/>
                        <w:jc w:val="left"/>
                      </w:pPr>
                      <w:r>
                        <w:rPr>
                          <w:spacing w:val="0"/>
                          <w:w w:val="100"/>
                          <w:position w:val="0"/>
                        </w:rPr>
                        <w:t>1</w:t>
                      </w:r>
                    </w:p>
                  </w:txbxContent>
                </v:textbox>
                <w10:wrap type="topAndBottom" anchorx="page"/>
              </v:shape>
            </w:pict>
          </mc:Fallback>
        </mc:AlternateContent>
      </w:r>
      <w:r>
        <w:drawing>
          <wp:anchor distT="1825625" distB="1694815" distL="0" distR="0" simplePos="0" relativeHeight="125829441" behindDoc="0" locked="0" layoutInCell="1" allowOverlap="1">
            <wp:simplePos x="0" y="0"/>
            <wp:positionH relativeFrom="page">
              <wp:posOffset>1987550</wp:posOffset>
            </wp:positionH>
            <wp:positionV relativeFrom="paragraph">
              <wp:posOffset>1825625</wp:posOffset>
            </wp:positionV>
            <wp:extent cx="530225" cy="194945"/>
            <wp:wrapTopAndBottom/>
            <wp:docPr id="104" name="Shape 104"/>
            <a:graphic xmlns:a="http://schemas.openxmlformats.org/drawingml/2006/main">
              <a:graphicData uri="http://schemas.openxmlformats.org/drawingml/2006/picture">
                <pic:pic xmlns:pic="http://schemas.openxmlformats.org/drawingml/2006/picture">
                  <pic:nvPicPr>
                    <pic:cNvPr id="105" name="Picture box 105"/>
                    <pic:cNvPicPr/>
                  </pic:nvPicPr>
                  <pic:blipFill>
                    <a:blip r:embed="rId21"/>
                    <a:stretch/>
                  </pic:blipFill>
                  <pic:spPr>
                    <a:xfrm>
                      <a:ext cx="530225" cy="194945"/>
                    </a:xfrm>
                    <a:prstGeom prst="rect"/>
                  </pic:spPr>
                </pic:pic>
              </a:graphicData>
            </a:graphic>
          </wp:anchor>
        </w:drawing>
      </w:r>
      <w:r>
        <mc:AlternateContent>
          <mc:Choice Requires="wps">
            <w:drawing>
              <wp:anchor distT="2020570" distB="1005840" distL="0" distR="0" simplePos="0" relativeHeight="125829442" behindDoc="0" locked="0" layoutInCell="1" allowOverlap="1">
                <wp:simplePos x="0" y="0"/>
                <wp:positionH relativeFrom="page">
                  <wp:posOffset>1969770</wp:posOffset>
                </wp:positionH>
                <wp:positionV relativeFrom="paragraph">
                  <wp:posOffset>2020570</wp:posOffset>
                </wp:positionV>
                <wp:extent cx="554990" cy="688975"/>
                <wp:wrapTopAndBottom/>
                <wp:docPr id="106" name="Shape 106"/>
                <a:graphic xmlns:a="http://schemas.openxmlformats.org/drawingml/2006/main">
                  <a:graphicData uri="http://schemas.microsoft.com/office/word/2010/wordprocessingShape">
                    <wps:wsp>
                      <wps:cNvSpPr txBox="1"/>
                      <wps:spPr>
                        <a:xfrm>
                          <a:ext cx="554990" cy="688975"/>
                        </a:xfrm>
                        <a:prstGeom prst="rect"/>
                        <a:noFill/>
                      </wps:spPr>
                      <wps:txbx>
                        <w:txbxContent>
                          <w:p>
                            <w:pPr>
                              <w:pStyle w:val="Style79"/>
                              <w:keepNext w:val="0"/>
                              <w:keepLines w:val="0"/>
                              <w:widowControl w:val="0"/>
                              <w:shd w:val="clear" w:color="auto" w:fill="auto"/>
                              <w:bidi w:val="0"/>
                              <w:spacing w:before="0" w:after="0"/>
                              <w:ind w:left="0" w:right="0" w:firstLine="0"/>
                              <w:jc w:val="left"/>
                            </w:pPr>
                            <w:r>
                              <w:rPr>
                                <w:spacing w:val="0"/>
                                <w:w w:val="100"/>
                                <w:position w:val="0"/>
                              </w:rPr>
                              <w:t>提名香</w:t>
                            </w:r>
                            <w:r>
                              <w:rPr>
                                <w:rFonts w:ascii="SimHei" w:eastAsia="SimHei" w:hAnsi="SimHei" w:cs="SimHei"/>
                                <w:spacing w:val="0"/>
                                <w:w w:val="100"/>
                                <w:position w:val="0"/>
                                <w:sz w:val="17"/>
                                <w:szCs w:val="17"/>
                              </w:rPr>
                              <w:t>M</w:t>
                            </w:r>
                            <w:r>
                              <w:rPr>
                                <w:spacing w:val="0"/>
                                <w:w w:val="100"/>
                                <w:position w:val="0"/>
                              </w:rPr>
                              <w:t>会 希酬与考核委员会 审览员会 战略发展委员会</w:t>
                            </w:r>
                          </w:p>
                        </w:txbxContent>
                      </wps:txbx>
                      <wps:bodyPr upright="1" vert="eaVert" lIns="0" tIns="0" rIns="0" bIns="0">
                        <a:noAutoFit/>
                      </wps:bodyPr>
                    </wps:wsp>
                  </a:graphicData>
                </a:graphic>
              </wp:anchor>
            </w:drawing>
          </mc:Choice>
          <mc:Fallback>
            <w:pict>
              <v:shape id="_x0000_s1132" type="#_x0000_t202" style="position:absolute;margin-left:155.09999999999999pt;margin-top:159.09999999999999pt;width:43.700000000000003pt;height:54.25pt;z-index:-125829311;mso-wrap-distance-left:0;mso-wrap-distance-top:159.09999999999999pt;mso-wrap-distance-right:0;mso-wrap-distance-bottom:79.200000000000003pt;mso-position-horizontal-relative:page" filled="f" stroked="f">
                <v:textbox style="layout-flow:vertical-ideographic" inset="0,0,0,0">
                  <w:txbxContent>
                    <w:p>
                      <w:pPr>
                        <w:pStyle w:val="Style79"/>
                        <w:keepNext w:val="0"/>
                        <w:keepLines w:val="0"/>
                        <w:widowControl w:val="0"/>
                        <w:shd w:val="clear" w:color="auto" w:fill="auto"/>
                        <w:bidi w:val="0"/>
                        <w:spacing w:before="0" w:after="0"/>
                        <w:ind w:left="0" w:right="0" w:firstLine="0"/>
                        <w:jc w:val="left"/>
                      </w:pPr>
                      <w:r>
                        <w:rPr>
                          <w:spacing w:val="0"/>
                          <w:w w:val="100"/>
                          <w:position w:val="0"/>
                        </w:rPr>
                        <w:t>提名香</w:t>
                      </w:r>
                      <w:r>
                        <w:rPr>
                          <w:rFonts w:ascii="SimHei" w:eastAsia="SimHei" w:hAnsi="SimHei" w:cs="SimHei"/>
                          <w:spacing w:val="0"/>
                          <w:w w:val="100"/>
                          <w:position w:val="0"/>
                          <w:sz w:val="17"/>
                          <w:szCs w:val="17"/>
                        </w:rPr>
                        <w:t>M</w:t>
                      </w:r>
                      <w:r>
                        <w:rPr>
                          <w:spacing w:val="0"/>
                          <w:w w:val="100"/>
                          <w:position w:val="0"/>
                        </w:rPr>
                        <w:t>会 希酬与考核委员会 审览员会 战略发展委员会</w:t>
                      </w:r>
                    </w:p>
                  </w:txbxContent>
                </v:textbox>
                <w10:wrap type="topAndBottom" anchorx="page"/>
              </v:shape>
            </w:pict>
          </mc:Fallback>
        </mc:AlternateContent>
      </w:r>
      <w:r>
        <w:drawing>
          <wp:anchor distT="8890" distB="314325" distL="113030" distR="0" simplePos="0" relativeHeight="125829444" behindDoc="0" locked="0" layoutInCell="1" allowOverlap="1">
            <wp:simplePos x="0" y="0"/>
            <wp:positionH relativeFrom="page">
              <wp:posOffset>2856865</wp:posOffset>
            </wp:positionH>
            <wp:positionV relativeFrom="paragraph">
              <wp:posOffset>8890</wp:posOffset>
            </wp:positionV>
            <wp:extent cx="475615" cy="3395345"/>
            <wp:wrapTopAndBottom/>
            <wp:docPr id="108" name="Shape 108"/>
            <a:graphic xmlns:a="http://schemas.openxmlformats.org/drawingml/2006/main">
              <a:graphicData uri="http://schemas.openxmlformats.org/drawingml/2006/picture">
                <pic:pic xmlns:pic="http://schemas.openxmlformats.org/drawingml/2006/picture">
                  <pic:nvPicPr>
                    <pic:cNvPr id="109" name="Picture box 109"/>
                    <pic:cNvPicPr/>
                  </pic:nvPicPr>
                  <pic:blipFill>
                    <a:blip r:embed="rId23"/>
                    <a:stretch/>
                  </pic:blipFill>
                  <pic:spPr>
                    <a:xfrm>
                      <a:ext cx="475615" cy="3395345"/>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2743835</wp:posOffset>
                </wp:positionH>
                <wp:positionV relativeFrom="paragraph">
                  <wp:posOffset>1249680</wp:posOffset>
                </wp:positionV>
                <wp:extent cx="121920" cy="316865"/>
                <wp:wrapNone/>
                <wp:docPr id="110" name="Shape 110"/>
                <a:graphic xmlns:a="http://schemas.openxmlformats.org/drawingml/2006/main">
                  <a:graphicData uri="http://schemas.microsoft.com/office/word/2010/wordprocessingShape">
                    <wps:wsp>
                      <wps:cNvSpPr txBox="1"/>
                      <wps:spPr>
                        <a:xfrm>
                          <a:ext cx="121920" cy="31686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666666"/>
                                <w:spacing w:val="0"/>
                                <w:w w:val="100"/>
                                <w:position w:val="0"/>
                                <w:sz w:val="13"/>
                                <w:szCs w:val="13"/>
                              </w:rPr>
                              <w:t>经理会</w:t>
                            </w:r>
                          </w:p>
                        </w:txbxContent>
                      </wps:txbx>
                      <wps:bodyPr upright="1" vert="eaVert" lIns="0" tIns="0" rIns="0" bIns="0">
                        <a:noAutoFit/>
                      </wps:bodyPr>
                    </wps:wsp>
                  </a:graphicData>
                </a:graphic>
              </wp:anchor>
            </w:drawing>
          </mc:Choice>
          <mc:Fallback>
            <w:pict>
              <v:shape id="_x0000_s1136" type="#_x0000_t202" style="position:absolute;margin-left:216.05000000000001pt;margin-top:98.400000000000006pt;width:9.5999999999999996pt;height:24.949999999999999pt;z-index:251657753;mso-wrap-distance-left:0;mso-wrap-distance-right:0;mso-position-horizontal-relative:page" filled="f" stroked="f">
                <v:textbox style="layout-flow:vertical-ideographic" inset="0,0,0,0">
                  <w:txbxContent>
                    <w:p>
                      <w:pPr>
                        <w:pStyle w:val="Style50"/>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666666"/>
                          <w:spacing w:val="0"/>
                          <w:w w:val="100"/>
                          <w:position w:val="0"/>
                          <w:sz w:val="13"/>
                          <w:szCs w:val="13"/>
                        </w:rPr>
                        <w:t>经理会</w:t>
                      </w:r>
                    </w:p>
                  </w:txbxContent>
                </v:textbox>
                <w10:wrap anchorx="page"/>
              </v:shape>
            </w:pict>
          </mc:Fallback>
        </mc:AlternateContent>
      </w:r>
      <w:r>
        <mc:AlternateContent>
          <mc:Choice Requires="wps">
            <w:drawing>
              <wp:anchor distT="2038985" distB="1569720" distL="0" distR="0" simplePos="0" relativeHeight="125829445" behindDoc="0" locked="0" layoutInCell="1" allowOverlap="1">
                <wp:simplePos x="0" y="0"/>
                <wp:positionH relativeFrom="page">
                  <wp:posOffset>3533140</wp:posOffset>
                </wp:positionH>
                <wp:positionV relativeFrom="paragraph">
                  <wp:posOffset>2038985</wp:posOffset>
                </wp:positionV>
                <wp:extent cx="603250" cy="106680"/>
                <wp:wrapTopAndBottom/>
                <wp:docPr id="112" name="Shape 112"/>
                <a:graphic xmlns:a="http://schemas.openxmlformats.org/drawingml/2006/main">
                  <a:graphicData uri="http://schemas.microsoft.com/office/word/2010/wordprocessingShape">
                    <wps:wsp>
                      <wps:cNvSpPr txBox="1"/>
                      <wps:spPr>
                        <a:xfrm>
                          <a:ext cx="603250" cy="106680"/>
                        </a:xfrm>
                        <a:prstGeom prst="rect"/>
                        <a:noFill/>
                      </wps:spPr>
                      <wps:txbx>
                        <w:txbxContent>
                          <w:p>
                            <w:pPr>
                              <w:pStyle w:val="Style86"/>
                              <w:keepNext w:val="0"/>
                              <w:keepLines w:val="0"/>
                              <w:widowControl w:val="0"/>
                              <w:shd w:val="clear" w:color="auto" w:fill="auto"/>
                              <w:tabs>
                                <w:tab w:leader="hyphen" w:pos="230" w:val="left"/>
                              </w:tabs>
                              <w:bidi w:val="0"/>
                              <w:spacing w:before="0" w:after="0" w:line="240" w:lineRule="auto"/>
                              <w:ind w:left="0" w:right="0" w:firstLine="0"/>
                              <w:jc w:val="left"/>
                            </w:pPr>
                            <w:r>
                              <w:rPr>
                                <w:rFonts w:ascii="Arial" w:eastAsia="Arial" w:hAnsi="Arial" w:cs="Arial"/>
                                <w:b/>
                                <w:bCs/>
                                <w:color w:val="4B4848"/>
                                <w:spacing w:val="0"/>
                                <w:w w:val="100"/>
                                <w:position w:val="0"/>
                              </w:rPr>
                              <w:tab/>
                            </w:r>
                            <w:r>
                              <w:rPr>
                                <w:rFonts w:ascii="Arial" w:eastAsia="Arial" w:hAnsi="Arial" w:cs="Arial"/>
                                <w:b/>
                                <w:bCs/>
                                <w:spacing w:val="0"/>
                                <w:w w:val="100"/>
                                <w:position w:val="0"/>
                              </w:rPr>
                              <w:t>O</w:t>
                            </w:r>
                            <w:r>
                              <w:rPr>
                                <w:spacing w:val="0"/>
                                <w:w w:val="100"/>
                                <w:position w:val="0"/>
                              </w:rPr>
                              <w:t>公共事务部</w:t>
                            </w:r>
                          </w:p>
                        </w:txbxContent>
                      </wps:txbx>
                      <wps:bodyPr wrap="none" lIns="0" tIns="0" rIns="0" bIns="0">
                        <a:noAutoFit/>
                      </wps:bodyPr>
                    </wps:wsp>
                  </a:graphicData>
                </a:graphic>
              </wp:anchor>
            </w:drawing>
          </mc:Choice>
          <mc:Fallback>
            <w:pict>
              <v:shape id="_x0000_s1138" type="#_x0000_t202" style="position:absolute;margin-left:278.19999999999999pt;margin-top:160.55000000000001pt;width:47.5pt;height:8.4000000000000004pt;z-index:-125829308;mso-wrap-distance-left:0;mso-wrap-distance-top:160.55000000000001pt;mso-wrap-distance-right:0;mso-wrap-distance-bottom:123.60000000000001pt;mso-position-horizontal-relative:page" filled="f" stroked="f">
                <v:textbox inset="0,0,0,0">
                  <w:txbxContent>
                    <w:p>
                      <w:pPr>
                        <w:pStyle w:val="Style86"/>
                        <w:keepNext w:val="0"/>
                        <w:keepLines w:val="0"/>
                        <w:widowControl w:val="0"/>
                        <w:shd w:val="clear" w:color="auto" w:fill="auto"/>
                        <w:tabs>
                          <w:tab w:leader="hyphen" w:pos="230" w:val="left"/>
                        </w:tabs>
                        <w:bidi w:val="0"/>
                        <w:spacing w:before="0" w:after="0" w:line="240" w:lineRule="auto"/>
                        <w:ind w:left="0" w:right="0" w:firstLine="0"/>
                        <w:jc w:val="left"/>
                      </w:pPr>
                      <w:r>
                        <w:rPr>
                          <w:rFonts w:ascii="Arial" w:eastAsia="Arial" w:hAnsi="Arial" w:cs="Arial"/>
                          <w:b/>
                          <w:bCs/>
                          <w:color w:val="4B4848"/>
                          <w:spacing w:val="0"/>
                          <w:w w:val="100"/>
                          <w:position w:val="0"/>
                        </w:rPr>
                        <w:tab/>
                      </w:r>
                      <w:r>
                        <w:rPr>
                          <w:rFonts w:ascii="Arial" w:eastAsia="Arial" w:hAnsi="Arial" w:cs="Arial"/>
                          <w:b/>
                          <w:bCs/>
                          <w:spacing w:val="0"/>
                          <w:w w:val="100"/>
                          <w:position w:val="0"/>
                        </w:rPr>
                        <w:t>O</w:t>
                      </w:r>
                      <w:r>
                        <w:rPr>
                          <w:spacing w:val="0"/>
                          <w:w w:val="100"/>
                          <w:position w:val="0"/>
                        </w:rPr>
                        <w:t>公共事务部</w:t>
                      </w:r>
                    </w:p>
                  </w:txbxContent>
                </v:textbox>
                <w10:wrap type="topAndBottom" anchorx="page"/>
              </v:shape>
            </w:pict>
          </mc:Fallback>
        </mc:AlternateContent>
      </w:r>
      <w:r>
        <mc:AlternateContent>
          <mc:Choice Requires="wps">
            <w:drawing>
              <wp:anchor distT="2496185" distB="1115695" distL="0" distR="0" simplePos="0" relativeHeight="125829447" behindDoc="0" locked="0" layoutInCell="1" allowOverlap="1">
                <wp:simplePos x="0" y="0"/>
                <wp:positionH relativeFrom="page">
                  <wp:posOffset>3770630</wp:posOffset>
                </wp:positionH>
                <wp:positionV relativeFrom="paragraph">
                  <wp:posOffset>2496185</wp:posOffset>
                </wp:positionV>
                <wp:extent cx="365760" cy="103505"/>
                <wp:wrapTopAndBottom/>
                <wp:docPr id="114" name="Shape 114"/>
                <a:graphic xmlns:a="http://schemas.openxmlformats.org/drawingml/2006/main">
                  <a:graphicData uri="http://schemas.microsoft.com/office/word/2010/wordprocessingShape">
                    <wps:wsp>
                      <wps:cNvSpPr txBox="1"/>
                      <wps:spPr>
                        <a:xfrm>
                          <a:ext cx="365760" cy="10350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color w:val="666666"/>
                                <w:spacing w:val="0"/>
                                <w:w w:val="100"/>
                                <w:position w:val="0"/>
                              </w:rPr>
                              <w:t>人力</w:t>
                            </w:r>
                            <w:r>
                              <w:rPr>
                                <w:spacing w:val="0"/>
                                <w:w w:val="100"/>
                                <w:position w:val="0"/>
                              </w:rPr>
                              <w:t>资源部</w:t>
                            </w:r>
                          </w:p>
                        </w:txbxContent>
                      </wps:txbx>
                      <wps:bodyPr wrap="none" lIns="0" tIns="0" rIns="0" bIns="0">
                        <a:noAutoFit/>
                      </wps:bodyPr>
                    </wps:wsp>
                  </a:graphicData>
                </a:graphic>
              </wp:anchor>
            </w:drawing>
          </mc:Choice>
          <mc:Fallback>
            <w:pict>
              <v:shape id="_x0000_s1140" type="#_x0000_t202" style="position:absolute;margin-left:296.90000000000003pt;margin-top:196.55000000000001pt;width:28.800000000000001pt;height:8.1500000000000004pt;z-index:-125829306;mso-wrap-distance-left:0;mso-wrap-distance-top:196.55000000000001pt;mso-wrap-distance-right:0;mso-wrap-distance-bottom:87.850000000000009pt;mso-position-horizontal-relative:page" filled="f" stroked="f">
                <v:textbox inset="0,0,0,0">
                  <w:txbxContent>
                    <w:p>
                      <w:pPr>
                        <w:pStyle w:val="Style86"/>
                        <w:keepNext w:val="0"/>
                        <w:keepLines w:val="0"/>
                        <w:widowControl w:val="0"/>
                        <w:shd w:val="clear" w:color="auto" w:fill="auto"/>
                        <w:bidi w:val="0"/>
                        <w:spacing w:before="0" w:after="0" w:line="240" w:lineRule="auto"/>
                        <w:ind w:left="0" w:right="0" w:firstLine="0"/>
                        <w:jc w:val="left"/>
                      </w:pPr>
                      <w:r>
                        <w:rPr>
                          <w:color w:val="666666"/>
                          <w:spacing w:val="0"/>
                          <w:w w:val="100"/>
                          <w:position w:val="0"/>
                        </w:rPr>
                        <w:t>人力</w:t>
                      </w:r>
                      <w:r>
                        <w:rPr>
                          <w:spacing w:val="0"/>
                          <w:w w:val="100"/>
                          <w:position w:val="0"/>
                        </w:rPr>
                        <w:t>资源部</w:t>
                      </w:r>
                    </w:p>
                  </w:txbxContent>
                </v:textbox>
                <w10:wrap type="topAndBottom" anchorx="page"/>
              </v:shape>
            </w:pict>
          </mc:Fallback>
        </mc:AlternateContent>
      </w:r>
      <w:r>
        <mc:AlternateContent>
          <mc:Choice Requires="wps">
            <w:drawing>
              <wp:anchor distT="2648585" distB="963295" distL="0" distR="0" simplePos="0" relativeHeight="125829449" behindDoc="0" locked="0" layoutInCell="1" allowOverlap="1">
                <wp:simplePos x="0" y="0"/>
                <wp:positionH relativeFrom="page">
                  <wp:posOffset>3770630</wp:posOffset>
                </wp:positionH>
                <wp:positionV relativeFrom="paragraph">
                  <wp:posOffset>2648585</wp:posOffset>
                </wp:positionV>
                <wp:extent cx="365760" cy="103505"/>
                <wp:wrapTopAndBottom/>
                <wp:docPr id="116" name="Shape 116"/>
                <a:graphic xmlns:a="http://schemas.openxmlformats.org/drawingml/2006/main">
                  <a:graphicData uri="http://schemas.microsoft.com/office/word/2010/wordprocessingShape">
                    <wps:wsp>
                      <wps:cNvSpPr txBox="1"/>
                      <wps:spPr>
                        <a:xfrm>
                          <a:ext cx="365760" cy="10350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栗道管理部</w:t>
                            </w:r>
                          </w:p>
                        </w:txbxContent>
                      </wps:txbx>
                      <wps:bodyPr wrap="none" lIns="0" tIns="0" rIns="0" bIns="0">
                        <a:noAutoFit/>
                      </wps:bodyPr>
                    </wps:wsp>
                  </a:graphicData>
                </a:graphic>
              </wp:anchor>
            </w:drawing>
          </mc:Choice>
          <mc:Fallback>
            <w:pict>
              <v:shape id="_x0000_s1142" type="#_x0000_t202" style="position:absolute;margin-left:296.90000000000003pt;margin-top:208.55000000000001pt;width:28.800000000000001pt;height:8.1500000000000004pt;z-index:-125829304;mso-wrap-distance-left:0;mso-wrap-distance-top:208.55000000000001pt;mso-wrap-distance-right:0;mso-wrap-distance-bottom:75.850000000000009pt;mso-position-horizontal-relative:page" filled="f" stroked="f">
                <v:textbox inset="0,0,0,0">
                  <w:txbxContent>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栗道管理部</w:t>
                      </w:r>
                    </w:p>
                  </w:txbxContent>
                </v:textbox>
                <w10:wrap type="topAndBottom" anchorx="page"/>
              </v:shape>
            </w:pict>
          </mc:Fallback>
        </mc:AlternateContent>
      </w:r>
      <w:r>
        <mc:AlternateContent>
          <mc:Choice Requires="wps">
            <w:drawing>
              <wp:anchor distT="481330" distB="539750" distL="0" distR="0" simplePos="0" relativeHeight="125829451" behindDoc="0" locked="0" layoutInCell="1" allowOverlap="1">
                <wp:simplePos x="0" y="0"/>
                <wp:positionH relativeFrom="page">
                  <wp:posOffset>4520565</wp:posOffset>
                </wp:positionH>
                <wp:positionV relativeFrom="paragraph">
                  <wp:posOffset>481330</wp:posOffset>
                </wp:positionV>
                <wp:extent cx="1432560" cy="2694305"/>
                <wp:wrapTopAndBottom/>
                <wp:docPr id="118" name="Shape 118"/>
                <a:graphic xmlns:a="http://schemas.openxmlformats.org/drawingml/2006/main">
                  <a:graphicData uri="http://schemas.microsoft.com/office/word/2010/wordprocessingShape">
                    <wps:wsp>
                      <wps:cNvSpPr txBox="1"/>
                      <wps:spPr>
                        <a:xfrm>
                          <a:ext cx="1432560" cy="2694305"/>
                        </a:xfrm>
                        <a:prstGeom prst="rect"/>
                        <a:noFill/>
                      </wps:spPr>
                      <wps:txbx>
                        <w:txbxContent>
                          <w:p>
                            <w:pPr>
                              <w:pStyle w:val="Style86"/>
                              <w:keepNext w:val="0"/>
                              <w:keepLines w:val="0"/>
                              <w:widowControl w:val="0"/>
                              <w:shd w:val="clear" w:color="auto" w:fill="auto"/>
                              <w:bidi w:val="0"/>
                              <w:spacing w:before="0" w:after="0"/>
                              <w:ind w:left="0" w:right="0" w:firstLine="0"/>
                              <w:jc w:val="left"/>
                            </w:pPr>
                            <w:r>
                              <w:rPr>
                                <w:color w:val="4B4848"/>
                                <w:spacing w:val="0"/>
                                <w:w w:val="100"/>
                                <w:position w:val="0"/>
                              </w:rPr>
                              <w:t>一</w:t>
                            </w:r>
                            <w:r>
                              <w:rPr>
                                <w:rFonts w:ascii="Arial" w:eastAsia="Arial" w:hAnsi="Arial" w:cs="Arial"/>
                                <w:b/>
                                <w:bCs/>
                                <w:color w:val="895C60"/>
                                <w:spacing w:val="0"/>
                                <w:w w:val="100"/>
                                <w:position w:val="0"/>
                              </w:rPr>
                              <w:t>O</w:t>
                            </w:r>
                            <w:r>
                              <w:rPr>
                                <w:spacing w:val="0"/>
                                <w:w w:val="100"/>
                                <w:position w:val="0"/>
                              </w:rPr>
                              <w:t>北京久其故务软件股份，限公面</w:t>
                            </w:r>
                          </w:p>
                          <w:p>
                            <w:pPr>
                              <w:pStyle w:val="Style86"/>
                              <w:keepNext w:val="0"/>
                              <w:keepLines w:val="0"/>
                              <w:widowControl w:val="0"/>
                              <w:shd w:val="clear" w:color="auto" w:fill="auto"/>
                              <w:bidi w:val="0"/>
                              <w:spacing w:before="0" w:after="80"/>
                              <w:ind w:left="0" w:right="0" w:firstLine="0"/>
                              <w:jc w:val="left"/>
                            </w:pPr>
                            <w:r>
                              <w:rPr>
                                <w:rFonts w:ascii="Arial" w:eastAsia="Arial" w:hAnsi="Arial" w:cs="Arial"/>
                                <w:b/>
                                <w:bCs/>
                                <w:color w:val="4B4848"/>
                                <w:spacing w:val="0"/>
                                <w:w w:val="100"/>
                                <w:position w:val="0"/>
                              </w:rPr>
                              <w:t>—</w:t>
                            </w:r>
                            <w:r>
                              <w:rPr>
                                <w:rFonts w:ascii="Arial" w:eastAsia="Arial" w:hAnsi="Arial" w:cs="Arial"/>
                                <w:b/>
                                <w:bCs/>
                                <w:color w:val="895C60"/>
                                <w:spacing w:val="0"/>
                                <w:w w:val="100"/>
                                <w:position w:val="0"/>
                              </w:rPr>
                              <w:t>O</w:t>
                            </w:r>
                            <w:r>
                              <w:rPr>
                                <w:spacing w:val="0"/>
                                <w:w w:val="100"/>
                                <w:position w:val="0"/>
                              </w:rPr>
                              <w:t>成苏久其软件有限公切</w:t>
                            </w:r>
                          </w:p>
                          <w:p>
                            <w:pPr>
                              <w:pStyle w:val="Style86"/>
                              <w:keepNext w:val="0"/>
                              <w:keepLines w:val="0"/>
                              <w:widowControl w:val="0"/>
                              <w:shd w:val="clear" w:color="auto" w:fill="auto"/>
                              <w:bidi w:val="0"/>
                              <w:spacing w:before="0" w:after="0" w:line="202" w:lineRule="atLeast"/>
                              <w:ind w:left="0" w:right="0" w:firstLine="0"/>
                              <w:jc w:val="left"/>
                            </w:pPr>
                            <w:r>
                              <w:rPr>
                                <w:rFonts w:ascii="Arial" w:eastAsia="Arial" w:hAnsi="Arial" w:cs="Arial"/>
                                <w:b/>
                                <w:bCs/>
                                <w:color w:val="000000"/>
                                <w:spacing w:val="0"/>
                                <w:w w:val="100"/>
                                <w:position w:val="0"/>
                                <w:sz w:val="28"/>
                                <w:szCs w:val="28"/>
                              </w:rPr>
                              <w:t>I</w:t>
                            </w:r>
                            <w:r>
                              <w:rPr>
                                <w:rFonts w:ascii="Arial" w:eastAsia="Arial" w:hAnsi="Arial" w:cs="Arial"/>
                                <w:b/>
                                <w:bCs/>
                                <w:color w:val="4B4848"/>
                                <w:spacing w:val="0"/>
                                <w:w w:val="100"/>
                                <w:position w:val="0"/>
                              </w:rPr>
                              <w:t>—</w:t>
                            </w:r>
                            <w:r>
                              <w:rPr>
                                <w:rFonts w:ascii="Arial" w:eastAsia="Arial" w:hAnsi="Arial" w:cs="Arial"/>
                                <w:b/>
                                <w:bCs/>
                                <w:color w:val="895C60"/>
                                <w:spacing w:val="0"/>
                                <w:w w:val="100"/>
                                <w:position w:val="0"/>
                              </w:rPr>
                              <w:t>O</w:t>
                            </w:r>
                            <w:r>
                              <w:rPr>
                                <w:spacing w:val="0"/>
                                <w:w w:val="100"/>
                                <w:position w:val="0"/>
                              </w:rPr>
                              <w:t>西安久其软件有限公</w:t>
                            </w:r>
                            <w:r>
                              <w:rPr>
                                <w:spacing w:val="0"/>
                                <w:w w:val="100"/>
                                <w:position w:val="0"/>
                              </w:rPr>
                              <w:t>E</w:t>
                            </w:r>
                          </w:p>
                          <w:p>
                            <w:pPr>
                              <w:pStyle w:val="Style86"/>
                              <w:keepNext w:val="0"/>
                              <w:keepLines w:val="0"/>
                              <w:widowControl w:val="0"/>
                              <w:shd w:val="clear" w:color="auto" w:fill="auto"/>
                              <w:bidi w:val="0"/>
                              <w:spacing w:before="0"/>
                              <w:ind w:left="0" w:right="0" w:firstLine="0"/>
                              <w:jc w:val="left"/>
                            </w:pPr>
                            <w:r>
                              <w:rPr>
                                <w:rFonts w:ascii="Arial" w:eastAsia="Arial" w:hAnsi="Arial" w:cs="Arial"/>
                                <w:b/>
                                <w:bCs/>
                                <w:color w:val="4B4848"/>
                                <w:spacing w:val="0"/>
                                <w:w w:val="100"/>
                                <w:position w:val="0"/>
                              </w:rPr>
                              <w:t>—</w:t>
                            </w:r>
                            <w:r>
                              <w:rPr>
                                <w:rFonts w:ascii="Arial" w:eastAsia="Arial" w:hAnsi="Arial" w:cs="Arial"/>
                                <w:b/>
                                <w:bCs/>
                                <w:color w:val="895C60"/>
                                <w:spacing w:val="0"/>
                                <w:w w:val="100"/>
                                <w:position w:val="0"/>
                              </w:rPr>
                              <w:t>O</w:t>
                            </w:r>
                            <w:r>
                              <w:rPr>
                                <w:spacing w:val="0"/>
                                <w:w w:val="100"/>
                                <w:position w:val="0"/>
                              </w:rPr>
                              <w:t>广东久</w:t>
                            </w:r>
                            <w:r>
                              <w:rPr>
                                <w:rFonts w:ascii="Arial" w:eastAsia="Arial" w:hAnsi="Arial" w:cs="Arial"/>
                                <w:b/>
                                <w:bCs/>
                                <w:spacing w:val="0"/>
                                <w:w w:val="100"/>
                                <w:position w:val="0"/>
                              </w:rPr>
                              <w:t>JUk</w:t>
                            </w:r>
                            <w:r>
                              <w:rPr>
                                <w:spacing w:val="0"/>
                                <w:w w:val="100"/>
                                <w:position w:val="0"/>
                              </w:rPr>
                              <w:t>件“阳公</w:t>
                            </w:r>
                            <w:r>
                              <w:rPr>
                                <w:rFonts w:ascii="Arial" w:eastAsia="Arial" w:hAnsi="Arial" w:cs="Arial"/>
                                <w:b/>
                                <w:bCs/>
                                <w:spacing w:val="0"/>
                                <w:w w:val="100"/>
                                <w:position w:val="0"/>
                              </w:rPr>
                              <w:t xml:space="preserve">Hj </w:t>
                            </w:r>
                            <w:r>
                              <w:rPr>
                                <w:rFonts w:ascii="Arial" w:eastAsia="Arial" w:hAnsi="Arial" w:cs="Arial"/>
                                <w:b/>
                                <w:bCs/>
                                <w:color w:val="4B4848"/>
                                <w:spacing w:val="0"/>
                                <w:w w:val="100"/>
                                <w:position w:val="0"/>
                              </w:rPr>
                              <w:t>—</w:t>
                            </w:r>
                            <w:r>
                              <w:rPr>
                                <w:rFonts w:ascii="Arial" w:eastAsia="Arial" w:hAnsi="Arial" w:cs="Arial"/>
                                <w:b/>
                                <w:bCs/>
                                <w:color w:val="895C60"/>
                                <w:spacing w:val="0"/>
                                <w:w w:val="100"/>
                                <w:position w:val="0"/>
                              </w:rPr>
                              <w:t>o</w:t>
                            </w:r>
                            <w:r>
                              <w:rPr>
                                <w:spacing w:val="0"/>
                                <w:w w:val="100"/>
                                <w:position w:val="0"/>
                              </w:rPr>
                              <w:t>上海久其软件公</w:t>
                            </w:r>
                            <w:r>
                              <w:rPr>
                                <w:rFonts w:ascii="Arial" w:eastAsia="Arial" w:hAnsi="Arial" w:cs="Arial"/>
                                <w:b/>
                                <w:bCs/>
                                <w:spacing w:val="0"/>
                                <w:w w:val="100"/>
                                <w:position w:val="0"/>
                              </w:rPr>
                              <w:t xml:space="preserve">w </w:t>
                            </w:r>
                            <w:r>
                              <w:rPr>
                                <w:rFonts w:ascii="Arial" w:eastAsia="Arial" w:hAnsi="Arial" w:cs="Arial"/>
                                <w:b/>
                                <w:bCs/>
                                <w:color w:val="4B4848"/>
                                <w:spacing w:val="0"/>
                                <w:w w:val="100"/>
                                <w:position w:val="0"/>
                              </w:rPr>
                              <w:t>―</w:t>
                            </w:r>
                            <w:r>
                              <w:rPr>
                                <w:rFonts w:ascii="Arial" w:eastAsia="Arial" w:hAnsi="Arial" w:cs="Arial"/>
                                <w:b/>
                                <w:bCs/>
                                <w:color w:val="895C60"/>
                                <w:spacing w:val="0"/>
                                <w:w w:val="100"/>
                                <w:position w:val="0"/>
                              </w:rPr>
                              <w:t>O</w:t>
                            </w:r>
                            <w:r>
                              <w:rPr>
                                <w:spacing w:val="0"/>
                                <w:w w:val="100"/>
                                <w:position w:val="0"/>
                              </w:rPr>
                              <w:t>新■久</w:t>
                            </w:r>
                            <w:r>
                              <w:rPr>
                                <w:rFonts w:ascii="Arial" w:eastAsia="Arial" w:hAnsi="Arial" w:cs="Arial"/>
                                <w:b/>
                                <w:bCs/>
                                <w:spacing w:val="0"/>
                                <w:w w:val="100"/>
                                <w:position w:val="0"/>
                              </w:rPr>
                              <w:t>JH4</w:t>
                            </w:r>
                            <w:r>
                              <w:rPr>
                                <w:spacing w:val="0"/>
                                <w:w w:val="100"/>
                                <w:position w:val="0"/>
                              </w:rPr>
                              <w:t xml:space="preserve">技仃限公珂 </w:t>
                            </w:r>
                            <w:r>
                              <w:rPr>
                                <w:rFonts w:ascii="Arial" w:eastAsia="Arial" w:hAnsi="Arial" w:cs="Arial"/>
                                <w:b/>
                                <w:bCs/>
                                <w:color w:val="4B4848"/>
                                <w:spacing w:val="0"/>
                                <w:w w:val="100"/>
                                <w:position w:val="0"/>
                              </w:rPr>
                              <w:t>―</w:t>
                            </w:r>
                            <w:r>
                              <w:rPr>
                                <w:rFonts w:ascii="Arial" w:eastAsia="Arial" w:hAnsi="Arial" w:cs="Arial"/>
                                <w:b/>
                                <w:bCs/>
                                <w:color w:val="895C60"/>
                                <w:spacing w:val="0"/>
                                <w:w w:val="100"/>
                                <w:position w:val="0"/>
                              </w:rPr>
                              <w:t>o</w:t>
                            </w:r>
                            <w:r>
                              <w:rPr>
                                <w:spacing w:val="0"/>
                                <w:w w:val="100"/>
                                <w:position w:val="0"/>
                              </w:rPr>
                              <w:t xml:space="preserve">爪庆久】3：件有限公功 </w:t>
                            </w:r>
                            <w:r>
                              <w:rPr>
                                <w:rFonts w:ascii="Arial" w:eastAsia="Arial" w:hAnsi="Arial" w:cs="Arial"/>
                                <w:b/>
                                <w:bCs/>
                                <w:color w:val="4B4848"/>
                                <w:spacing w:val="0"/>
                                <w:w w:val="100"/>
                                <w:position w:val="0"/>
                              </w:rPr>
                              <w:t>—O</w:t>
                            </w:r>
                            <w:r>
                              <w:rPr>
                                <w:spacing w:val="0"/>
                                <w:w w:val="100"/>
                                <w:position w:val="0"/>
                              </w:rPr>
                              <w:t>海南久</w:t>
                            </w:r>
                            <w:r>
                              <w:rPr>
                                <w:rFonts w:ascii="Arial" w:eastAsia="Arial" w:hAnsi="Arial" w:cs="Arial"/>
                                <w:b/>
                                <w:bCs/>
                                <w:spacing w:val="0"/>
                                <w:w w:val="100"/>
                                <w:position w:val="0"/>
                              </w:rPr>
                              <w:t>11</w:t>
                            </w:r>
                            <w:r>
                              <w:rPr>
                                <w:color w:val="4B4848"/>
                                <w:spacing w:val="0"/>
                                <w:w w:val="100"/>
                                <w:position w:val="0"/>
                              </w:rPr>
                              <w:t>云</w:t>
                            </w:r>
                            <w:r>
                              <w:rPr>
                                <w:spacing w:val="0"/>
                                <w:w w:val="100"/>
                                <w:position w:val="0"/>
                              </w:rPr>
                              <w:t>什算科技做公</w:t>
                            </w:r>
                            <w:r>
                              <w:rPr>
                                <w:rFonts w:ascii="Arial" w:eastAsia="Arial" w:hAnsi="Arial" w:cs="Arial"/>
                                <w:b/>
                                <w:bCs/>
                                <w:spacing w:val="0"/>
                                <w:w w:val="100"/>
                                <w:position w:val="0"/>
                              </w:rPr>
                              <w:t xml:space="preserve">U1 </w:t>
                            </w:r>
                            <w:r>
                              <w:rPr>
                                <w:rFonts w:ascii="Arial" w:eastAsia="Arial" w:hAnsi="Arial" w:cs="Arial"/>
                                <w:b/>
                                <w:bCs/>
                                <w:color w:val="4B4848"/>
                                <w:spacing w:val="0"/>
                                <w:w w:val="100"/>
                                <w:position w:val="0"/>
                              </w:rPr>
                              <w:t>―</w:t>
                            </w:r>
                            <w:r>
                              <w:rPr>
                                <w:rFonts w:ascii="Arial" w:eastAsia="Arial" w:hAnsi="Arial" w:cs="Arial"/>
                                <w:b/>
                                <w:bCs/>
                                <w:color w:val="895C60"/>
                                <w:spacing w:val="0"/>
                                <w:w w:val="100"/>
                                <w:position w:val="0"/>
                              </w:rPr>
                              <w:t>o</w:t>
                            </w:r>
                            <w:r>
                              <w:rPr>
                                <w:spacing w:val="0"/>
                                <w:w w:val="100"/>
                                <w:position w:val="0"/>
                              </w:rPr>
                              <w:t>北京」</w:t>
                            </w:r>
                            <w:r>
                              <w:rPr>
                                <w:rFonts w:ascii="Arial" w:eastAsia="Arial" w:hAnsi="Arial" w:cs="Arial"/>
                                <w:b/>
                                <w:bCs/>
                                <w:spacing w:val="0"/>
                                <w:w w:val="100"/>
                                <w:position w:val="0"/>
                              </w:rPr>
                              <w:t>tir</w:t>
                            </w:r>
                            <w:r>
                              <w:rPr>
                                <w:color w:val="4B4848"/>
                                <w:spacing w:val="0"/>
                                <w:w w:val="100"/>
                                <w:position w:val="0"/>
                              </w:rPr>
                              <w:t>中</w:t>
                            </w:r>
                            <w:r>
                              <w:rPr>
                                <w:spacing w:val="0"/>
                                <w:w w:val="100"/>
                                <w:position w:val="0"/>
                              </w:rPr>
                              <w:t>堂信息科技仃限</w:t>
                            </w:r>
                            <w:r>
                              <w:rPr>
                                <w:rFonts w:ascii="Arial" w:eastAsia="Arial" w:hAnsi="Arial" w:cs="Arial"/>
                                <w:b/>
                                <w:bCs/>
                                <w:spacing w:val="0"/>
                                <w:w w:val="100"/>
                                <w:position w:val="0"/>
                              </w:rPr>
                              <w:t>sr</w:t>
                            </w:r>
                            <w:r>
                              <w:rPr>
                                <w:spacing w:val="0"/>
                                <w:w w:val="100"/>
                                <w:position w:val="0"/>
                              </w:rPr>
                              <w:t xml:space="preserve">任公讷 </w:t>
                            </w:r>
                            <w:r>
                              <w:rPr>
                                <w:rFonts w:ascii="Arial" w:eastAsia="Arial" w:hAnsi="Arial" w:cs="Arial"/>
                                <w:b/>
                                <w:bCs/>
                                <w:color w:val="4B4848"/>
                                <w:spacing w:val="0"/>
                                <w:w w:val="100"/>
                                <w:position w:val="0"/>
                              </w:rPr>
                              <w:t>―</w:t>
                            </w:r>
                            <w:r>
                              <w:rPr>
                                <w:rFonts w:ascii="Arial" w:eastAsia="Arial" w:hAnsi="Arial" w:cs="Arial"/>
                                <w:b/>
                                <w:bCs/>
                                <w:color w:val="895C60"/>
                                <w:spacing w:val="0"/>
                                <w:w w:val="100"/>
                                <w:position w:val="0"/>
                              </w:rPr>
                              <w:t>O</w:t>
                            </w:r>
                            <w:r>
                              <w:rPr>
                                <w:spacing w:val="0"/>
                                <w:w w:val="100"/>
                                <w:position w:val="0"/>
                              </w:rPr>
                              <w:t xml:space="preserve">北京久】3:件股份有限公闻研发中心 </w:t>
                            </w:r>
                            <w:r>
                              <w:rPr>
                                <w:rFonts w:ascii="Arial" w:eastAsia="Arial" w:hAnsi="Arial" w:cs="Arial"/>
                                <w:b/>
                                <w:bCs/>
                                <w:color w:val="4B4848"/>
                                <w:spacing w:val="0"/>
                                <w:w w:val="100"/>
                                <w:position w:val="0"/>
                              </w:rPr>
                              <w:t>―</w:t>
                            </w:r>
                            <w:r>
                              <w:rPr>
                                <w:rFonts w:ascii="Arial" w:eastAsia="Arial" w:hAnsi="Arial" w:cs="Arial"/>
                                <w:b/>
                                <w:bCs/>
                                <w:color w:val="895C60"/>
                                <w:spacing w:val="0"/>
                                <w:w w:val="100"/>
                                <w:position w:val="0"/>
                              </w:rPr>
                              <w:t>O</w:t>
                            </w:r>
                            <w:r>
                              <w:rPr>
                                <w:spacing w:val="0"/>
                                <w:w w:val="100"/>
                                <w:position w:val="0"/>
                              </w:rPr>
                              <w:t>北京久只软件股份有限公</w:t>
                            </w:r>
                            <w:r>
                              <w:rPr>
                                <w:rFonts w:ascii="Arial" w:eastAsia="Arial" w:hAnsi="Arial" w:cs="Arial"/>
                                <w:b/>
                                <w:bCs/>
                                <w:spacing w:val="0"/>
                                <w:w w:val="100"/>
                                <w:position w:val="0"/>
                              </w:rPr>
                              <w:t>UJ</w:t>
                            </w:r>
                            <w:r>
                              <w:rPr>
                                <w:spacing w:val="0"/>
                                <w:w w:val="100"/>
                                <w:position w:val="0"/>
                              </w:rPr>
                              <w:t>武投分公</w:t>
                            </w:r>
                            <w:r>
                              <w:rPr>
                                <w:rFonts w:ascii="Arial" w:eastAsia="Arial" w:hAnsi="Arial" w:cs="Arial"/>
                                <w:b/>
                                <w:bCs/>
                                <w:spacing w:val="0"/>
                                <w:w w:val="100"/>
                                <w:position w:val="0"/>
                              </w:rPr>
                              <w:t xml:space="preserve">01 </w:t>
                            </w:r>
                            <w:r>
                              <w:rPr>
                                <w:rFonts w:ascii="Arial" w:eastAsia="Arial" w:hAnsi="Arial" w:cs="Arial"/>
                                <w:b/>
                                <w:bCs/>
                                <w:color w:val="4B4848"/>
                                <w:spacing w:val="0"/>
                                <w:w w:val="100"/>
                                <w:position w:val="0"/>
                              </w:rPr>
                              <w:t>—</w:t>
                            </w:r>
                            <w:r>
                              <w:rPr>
                                <w:rFonts w:ascii="Arial" w:eastAsia="Arial" w:hAnsi="Arial" w:cs="Arial"/>
                                <w:b/>
                                <w:bCs/>
                                <w:color w:val="895C60"/>
                                <w:spacing w:val="0"/>
                                <w:w w:val="100"/>
                                <w:position w:val="0"/>
                              </w:rPr>
                              <w:t>O</w:t>
                            </w:r>
                            <w:r>
                              <w:rPr>
                                <w:spacing w:val="0"/>
                                <w:w w:val="100"/>
                                <w:position w:val="0"/>
                              </w:rPr>
                              <w:t>北京久火软件股份有限公面南京分公</w:t>
                            </w:r>
                            <w:r>
                              <w:rPr>
                                <w:rFonts w:ascii="Arial" w:eastAsia="Arial" w:hAnsi="Arial" w:cs="Arial"/>
                                <w:b/>
                                <w:bCs/>
                                <w:spacing w:val="0"/>
                                <w:w w:val="100"/>
                                <w:position w:val="0"/>
                              </w:rPr>
                              <w:t xml:space="preserve">ul </w:t>
                            </w:r>
                            <w:r>
                              <w:rPr>
                                <w:rFonts w:ascii="Arial" w:eastAsia="Arial" w:hAnsi="Arial" w:cs="Arial"/>
                                <w:b/>
                                <w:bCs/>
                                <w:color w:val="000000"/>
                                <w:spacing w:val="0"/>
                                <w:w w:val="100"/>
                                <w:position w:val="0"/>
                              </w:rPr>
                              <w:t>—"</w:t>
                            </w:r>
                            <w:r>
                              <w:rPr>
                                <w:rFonts w:ascii="Arial" w:eastAsia="Arial" w:hAnsi="Arial" w:cs="Arial"/>
                                <w:b/>
                                <w:bCs/>
                                <w:color w:val="895C60"/>
                                <w:spacing w:val="0"/>
                                <w:w w:val="100"/>
                                <w:position w:val="0"/>
                              </w:rPr>
                              <w:t>O</w:t>
                            </w:r>
                            <w:r>
                              <w:rPr>
                                <w:spacing w:val="0"/>
                                <w:w w:val="100"/>
                                <w:position w:val="0"/>
                              </w:rPr>
                              <w:t>北京久其软件股份，限公</w:t>
                            </w:r>
                            <w:r>
                              <w:rPr>
                                <w:spacing w:val="0"/>
                                <w:w w:val="100"/>
                                <w:position w:val="0"/>
                              </w:rPr>
                              <w:t>E</w:t>
                            </w:r>
                            <w:r>
                              <w:rPr>
                                <w:spacing w:val="0"/>
                                <w:w w:val="100"/>
                                <w:position w:val="0"/>
                              </w:rPr>
                              <w:t>环州分公</w:t>
                            </w:r>
                            <w:r>
                              <w:rPr>
                                <w:rFonts w:ascii="Arial" w:eastAsia="Arial" w:hAnsi="Arial" w:cs="Arial"/>
                                <w:b/>
                                <w:bCs/>
                                <w:spacing w:val="0"/>
                                <w:w w:val="100"/>
                                <w:position w:val="0"/>
                              </w:rPr>
                              <w:t xml:space="preserve">Hi </w:t>
                            </w:r>
                            <w:r>
                              <w:rPr>
                                <w:rFonts w:ascii="Arial" w:eastAsia="Arial" w:hAnsi="Arial" w:cs="Arial"/>
                                <w:b/>
                                <w:bCs/>
                                <w:color w:val="000000"/>
                                <w:spacing w:val="0"/>
                                <w:w w:val="100"/>
                                <w:position w:val="0"/>
                              </w:rPr>
                              <w:t>—</w:t>
                            </w:r>
                            <w:r>
                              <w:rPr>
                                <w:rFonts w:ascii="Arial" w:eastAsia="Arial" w:hAnsi="Arial" w:cs="Arial"/>
                                <w:b/>
                                <w:bCs/>
                                <w:color w:val="895C60"/>
                                <w:spacing w:val="0"/>
                                <w:w w:val="100"/>
                                <w:position w:val="0"/>
                              </w:rPr>
                              <w:t>O</w:t>
                            </w:r>
                            <w:r>
                              <w:rPr>
                                <w:spacing w:val="0"/>
                                <w:w w:val="100"/>
                                <w:position w:val="0"/>
                              </w:rPr>
                              <w:t xml:space="preserve">北宗久其欹件股份育限公司杭州分公司 </w:t>
                            </w:r>
                            <w:r>
                              <w:rPr>
                                <w:rFonts w:ascii="Arial" w:eastAsia="Arial" w:hAnsi="Arial" w:cs="Arial"/>
                                <w:b/>
                                <w:bCs/>
                                <w:color w:val="000000"/>
                                <w:spacing w:val="0"/>
                                <w:w w:val="100"/>
                                <w:position w:val="0"/>
                              </w:rPr>
                              <w:t>—</w:t>
                            </w:r>
                            <w:r>
                              <w:rPr>
                                <w:rFonts w:ascii="Arial" w:eastAsia="Arial" w:hAnsi="Arial" w:cs="Arial"/>
                                <w:b/>
                                <w:bCs/>
                                <w:color w:val="895C60"/>
                                <w:spacing w:val="0"/>
                                <w:w w:val="100"/>
                                <w:position w:val="0"/>
                              </w:rPr>
                              <w:t>O</w:t>
                            </w:r>
                            <w:r>
                              <w:rPr>
                                <w:spacing w:val="0"/>
                                <w:w w:val="100"/>
                                <w:position w:val="0"/>
                              </w:rPr>
                              <w:t>北京久其软件股份，</w:t>
                            </w:r>
                            <w:r>
                              <w:rPr>
                                <w:rFonts w:ascii="Arial" w:eastAsia="Arial" w:hAnsi="Arial" w:cs="Arial"/>
                                <w:b/>
                                <w:bCs/>
                                <w:spacing w:val="0"/>
                                <w:w w:val="100"/>
                                <w:position w:val="0"/>
                              </w:rPr>
                              <w:t>IH</w:t>
                            </w:r>
                            <w:r>
                              <w:rPr>
                                <w:spacing w:val="0"/>
                                <w:w w:val="100"/>
                                <w:position w:val="0"/>
                              </w:rPr>
                              <w:t xml:space="preserve">公闻沈阳分公司 </w:t>
                            </w:r>
                            <w:r>
                              <w:rPr>
                                <w:rFonts w:ascii="Arial" w:eastAsia="Arial" w:hAnsi="Arial" w:cs="Arial"/>
                                <w:b/>
                                <w:bCs/>
                                <w:color w:val="000000"/>
                                <w:spacing w:val="0"/>
                                <w:w w:val="100"/>
                                <w:position w:val="0"/>
                              </w:rPr>
                              <w:t>—</w:t>
                            </w:r>
                            <w:r>
                              <w:rPr>
                                <w:rFonts w:ascii="Arial" w:eastAsia="Arial" w:hAnsi="Arial" w:cs="Arial"/>
                                <w:b/>
                                <w:bCs/>
                                <w:color w:val="895C60"/>
                                <w:spacing w:val="0"/>
                                <w:w w:val="100"/>
                                <w:position w:val="0"/>
                              </w:rPr>
                              <w:t>O</w:t>
                            </w:r>
                            <w:r>
                              <w:rPr>
                                <w:spacing w:val="0"/>
                                <w:w w:val="100"/>
                                <w:position w:val="0"/>
                              </w:rPr>
                              <w:t>北京久心件股份仃</w:t>
                            </w:r>
                            <w:r>
                              <w:rPr>
                                <w:rFonts w:ascii="Arial" w:eastAsia="Arial" w:hAnsi="Arial" w:cs="Arial"/>
                                <w:b/>
                                <w:bCs/>
                                <w:spacing w:val="0"/>
                                <w:w w:val="100"/>
                                <w:position w:val="0"/>
                              </w:rPr>
                              <w:t>1«</w:t>
                            </w:r>
                            <w:r>
                              <w:rPr>
                                <w:spacing w:val="0"/>
                                <w:w w:val="100"/>
                                <w:position w:val="0"/>
                              </w:rPr>
                              <w:t>公</w:t>
                            </w:r>
                            <w:r>
                              <w:rPr>
                                <w:rFonts w:ascii="Arial" w:eastAsia="Arial" w:hAnsi="Arial" w:cs="Arial"/>
                                <w:b/>
                                <w:bCs/>
                                <w:spacing w:val="0"/>
                                <w:w w:val="100"/>
                                <w:position w:val="0"/>
                              </w:rPr>
                              <w:t>uli^M</w:t>
                            </w:r>
                            <w:r>
                              <w:rPr>
                                <w:spacing w:val="0"/>
                                <w:w w:val="100"/>
                                <w:position w:val="0"/>
                              </w:rPr>
                              <w:t>分公</w:t>
                            </w:r>
                            <w:r>
                              <w:rPr>
                                <w:rFonts w:ascii="Arial" w:eastAsia="Arial" w:hAnsi="Arial" w:cs="Arial"/>
                                <w:b/>
                                <w:bCs/>
                                <w:spacing w:val="0"/>
                                <w:w w:val="100"/>
                                <w:position w:val="0"/>
                              </w:rPr>
                              <w:t xml:space="preserve">al </w:t>
                            </w:r>
                            <w:r>
                              <w:rPr>
                                <w:rFonts w:ascii="Arial" w:eastAsia="Arial" w:hAnsi="Arial" w:cs="Arial"/>
                                <w:b/>
                                <w:bCs/>
                                <w:color w:val="000000"/>
                                <w:spacing w:val="0"/>
                                <w:w w:val="100"/>
                                <w:position w:val="0"/>
                              </w:rPr>
                              <w:t>—</w:t>
                            </w:r>
                            <w:r>
                              <w:rPr>
                                <w:rFonts w:ascii="Arial" w:eastAsia="Arial" w:hAnsi="Arial" w:cs="Arial"/>
                                <w:b/>
                                <w:bCs/>
                                <w:color w:val="895C60"/>
                                <w:spacing w:val="0"/>
                                <w:w w:val="100"/>
                                <w:position w:val="0"/>
                              </w:rPr>
                              <w:t>O</w:t>
                            </w:r>
                            <w:r>
                              <w:rPr>
                                <w:spacing w:val="0"/>
                                <w:w w:val="100"/>
                                <w:position w:val="0"/>
                              </w:rPr>
                              <w:t xml:space="preserve">北京久其软件股份“阪公司石家庄分公司 </w:t>
                            </w:r>
                            <w:r>
                              <w:rPr>
                                <w:rFonts w:ascii="Arial" w:eastAsia="Arial" w:hAnsi="Arial" w:cs="Arial"/>
                                <w:b/>
                                <w:bCs/>
                                <w:color w:val="000000"/>
                                <w:spacing w:val="0"/>
                                <w:w w:val="100"/>
                                <w:position w:val="0"/>
                              </w:rPr>
                              <w:t>—</w:t>
                            </w:r>
                            <w:r>
                              <w:rPr>
                                <w:rFonts w:ascii="Arial" w:eastAsia="Arial" w:hAnsi="Arial" w:cs="Arial"/>
                                <w:b/>
                                <w:bCs/>
                                <w:color w:val="895C60"/>
                                <w:spacing w:val="0"/>
                                <w:w w:val="100"/>
                                <w:position w:val="0"/>
                              </w:rPr>
                              <w:t>O</w:t>
                            </w:r>
                            <w:r>
                              <w:rPr>
                                <w:spacing w:val="0"/>
                                <w:w w:val="100"/>
                                <w:position w:val="0"/>
                              </w:rPr>
                              <w:t>」匕京久其软件股</w:t>
                            </w:r>
                            <w:r>
                              <w:rPr>
                                <w:color w:val="4B4848"/>
                                <w:spacing w:val="0"/>
                                <w:w w:val="100"/>
                                <w:position w:val="0"/>
                              </w:rPr>
                              <w:t>份，</w:t>
                            </w:r>
                            <w:r>
                              <w:rPr>
                                <w:spacing w:val="0"/>
                                <w:w w:val="100"/>
                                <w:position w:val="0"/>
                              </w:rPr>
                              <w:t>限公切嫩州分公</w:t>
                            </w:r>
                            <w:r>
                              <w:rPr>
                                <w:rFonts w:ascii="Arial" w:eastAsia="Arial" w:hAnsi="Arial" w:cs="Arial"/>
                                <w:b/>
                                <w:bCs/>
                                <w:spacing w:val="0"/>
                                <w:w w:val="100"/>
                                <w:position w:val="0"/>
                              </w:rPr>
                              <w:t xml:space="preserve">B1 </w:t>
                            </w:r>
                            <w:r>
                              <w:rPr>
                                <w:rFonts w:ascii="Arial" w:eastAsia="Arial" w:hAnsi="Arial" w:cs="Arial"/>
                                <w:b/>
                                <w:bCs/>
                                <w:color w:val="000000"/>
                                <w:spacing w:val="0"/>
                                <w:w w:val="100"/>
                                <w:position w:val="0"/>
                              </w:rPr>
                              <w:t>—</w:t>
                            </w:r>
                            <w:r>
                              <w:rPr>
                                <w:rFonts w:ascii="Arial" w:eastAsia="Arial" w:hAnsi="Arial" w:cs="Arial"/>
                                <w:b/>
                                <w:bCs/>
                                <w:color w:val="895C60"/>
                                <w:spacing w:val="0"/>
                                <w:w w:val="100"/>
                                <w:position w:val="0"/>
                              </w:rPr>
                              <w:t>O</w:t>
                            </w:r>
                            <w:r>
                              <w:rPr>
                                <w:spacing w:val="0"/>
                                <w:w w:val="100"/>
                                <w:position w:val="0"/>
                              </w:rPr>
                              <w:t>」匕京久火软件股份彳</w:t>
                            </w:r>
                            <w:r>
                              <w:rPr>
                                <w:rFonts w:ascii="Arial" w:eastAsia="Arial" w:hAnsi="Arial" w:cs="Arial"/>
                                <w:b/>
                                <w:bCs/>
                                <w:spacing w:val="0"/>
                                <w:w w:val="100"/>
                                <w:position w:val="0"/>
                              </w:rPr>
                              <w:t>0M</w:t>
                            </w:r>
                            <w:r>
                              <w:rPr>
                                <w:spacing w:val="0"/>
                                <w:w w:val="100"/>
                                <w:position w:val="0"/>
                              </w:rPr>
                              <w:t>公</w:t>
                            </w:r>
                            <w:r>
                              <w:rPr>
                                <w:rFonts w:ascii="Arial" w:eastAsia="Arial" w:hAnsi="Arial" w:cs="Arial"/>
                                <w:b/>
                                <w:bCs/>
                                <w:spacing w:val="0"/>
                                <w:w w:val="100"/>
                                <w:position w:val="0"/>
                              </w:rPr>
                              <w:t>ul</w:t>
                            </w:r>
                            <w:r>
                              <w:rPr>
                                <w:spacing w:val="0"/>
                                <w:w w:val="100"/>
                                <w:position w:val="0"/>
                              </w:rPr>
                              <w:t>安</w:t>
                            </w:r>
                            <w:r>
                              <w:rPr>
                                <w:spacing w:val="0"/>
                                <w:w w:val="100"/>
                                <w:position w:val="0"/>
                              </w:rPr>
                              <w:t>*</w:t>
                            </w:r>
                            <w:r>
                              <w:rPr>
                                <w:spacing w:val="0"/>
                                <w:w w:val="100"/>
                                <w:position w:val="0"/>
                              </w:rPr>
                              <w:t xml:space="preserve">分公司 </w:t>
                            </w:r>
                            <w:r>
                              <w:rPr>
                                <w:rFonts w:ascii="Arial" w:eastAsia="Arial" w:hAnsi="Arial" w:cs="Arial"/>
                                <w:b/>
                                <w:bCs/>
                                <w:color w:val="000000"/>
                                <w:spacing w:val="0"/>
                                <w:w w:val="100"/>
                                <w:position w:val="0"/>
                              </w:rPr>
                              <w:t>—</w:t>
                            </w:r>
                            <w:r>
                              <w:rPr>
                                <w:rFonts w:ascii="Arial" w:eastAsia="Arial" w:hAnsi="Arial" w:cs="Arial"/>
                                <w:b/>
                                <w:bCs/>
                                <w:color w:val="895C60"/>
                                <w:spacing w:val="0"/>
                                <w:w w:val="100"/>
                                <w:position w:val="0"/>
                              </w:rPr>
                              <w:t>O</w:t>
                            </w:r>
                            <w:r>
                              <w:rPr>
                                <w:spacing w:val="0"/>
                                <w:w w:val="100"/>
                                <w:position w:val="0"/>
                              </w:rPr>
                              <w:t>北京久其软件股份，陨公司银川分公</w:t>
                            </w:r>
                            <w:r>
                              <w:rPr>
                                <w:rFonts w:ascii="Arial" w:eastAsia="Arial" w:hAnsi="Arial" w:cs="Arial"/>
                                <w:b/>
                                <w:bCs/>
                                <w:spacing w:val="0"/>
                                <w:w w:val="100"/>
                                <w:position w:val="0"/>
                              </w:rPr>
                              <w:t xml:space="preserve">nJ </w:t>
                            </w:r>
                            <w:r>
                              <w:rPr>
                                <w:color w:val="4B4848"/>
                                <w:spacing w:val="0"/>
                                <w:w w:val="100"/>
                                <w:position w:val="0"/>
                              </w:rPr>
                              <w:t>J。</w:t>
                            </w:r>
                            <w:r>
                              <w:rPr>
                                <w:spacing w:val="0"/>
                                <w:w w:val="100"/>
                                <w:position w:val="0"/>
                              </w:rPr>
                              <w:t>北京久其软件股份有</w:t>
                            </w:r>
                            <w:r>
                              <w:rPr>
                                <w:rFonts w:ascii="Arial" w:eastAsia="Arial" w:hAnsi="Arial" w:cs="Arial"/>
                                <w:b/>
                                <w:bCs/>
                                <w:spacing w:val="0"/>
                                <w:w w:val="100"/>
                                <w:position w:val="0"/>
                              </w:rPr>
                              <w:t>IU</w:t>
                            </w:r>
                            <w:r>
                              <w:rPr>
                                <w:spacing w:val="0"/>
                                <w:w w:val="100"/>
                                <w:position w:val="0"/>
                              </w:rPr>
                              <w:t>公</w:t>
                            </w:r>
                            <w:r>
                              <w:rPr>
                                <w:rFonts w:ascii="Arial" w:eastAsia="Arial" w:hAnsi="Arial" w:cs="Arial"/>
                                <w:b/>
                                <w:bCs/>
                                <w:spacing w:val="0"/>
                                <w:w w:val="100"/>
                                <w:position w:val="0"/>
                              </w:rPr>
                              <w:t>W</w:t>
                            </w:r>
                            <w:r>
                              <w:rPr>
                                <w:spacing w:val="0"/>
                                <w:w w:val="100"/>
                                <w:position w:val="0"/>
                              </w:rPr>
                              <w:t>兰州分公词</w:t>
                            </w:r>
                          </w:p>
                        </w:txbxContent>
                      </wps:txbx>
                      <wps:bodyPr lIns="0" tIns="0" rIns="0" bIns="0">
                        <a:noAutoFit/>
                      </wps:bodyPr>
                    </wps:wsp>
                  </a:graphicData>
                </a:graphic>
              </wp:anchor>
            </w:drawing>
          </mc:Choice>
          <mc:Fallback>
            <w:pict>
              <v:shape id="_x0000_s1144" type="#_x0000_t202" style="position:absolute;margin-left:355.94999999999999pt;margin-top:37.899999999999999pt;width:112.8pt;height:212.15000000000001pt;z-index:-125829302;mso-wrap-distance-left:0;mso-wrap-distance-top:37.899999999999999pt;mso-wrap-distance-right:0;mso-wrap-distance-bottom:42.5pt;mso-position-horizontal-relative:page" filled="f" stroked="f">
                <v:textbox inset="0,0,0,0">
                  <w:txbxContent>
                    <w:p>
                      <w:pPr>
                        <w:pStyle w:val="Style86"/>
                        <w:keepNext w:val="0"/>
                        <w:keepLines w:val="0"/>
                        <w:widowControl w:val="0"/>
                        <w:shd w:val="clear" w:color="auto" w:fill="auto"/>
                        <w:bidi w:val="0"/>
                        <w:spacing w:before="0" w:after="0"/>
                        <w:ind w:left="0" w:right="0" w:firstLine="0"/>
                        <w:jc w:val="left"/>
                      </w:pPr>
                      <w:r>
                        <w:rPr>
                          <w:color w:val="4B4848"/>
                          <w:spacing w:val="0"/>
                          <w:w w:val="100"/>
                          <w:position w:val="0"/>
                        </w:rPr>
                        <w:t>一</w:t>
                      </w:r>
                      <w:r>
                        <w:rPr>
                          <w:rFonts w:ascii="Arial" w:eastAsia="Arial" w:hAnsi="Arial" w:cs="Arial"/>
                          <w:b/>
                          <w:bCs/>
                          <w:color w:val="895C60"/>
                          <w:spacing w:val="0"/>
                          <w:w w:val="100"/>
                          <w:position w:val="0"/>
                        </w:rPr>
                        <w:t>O</w:t>
                      </w:r>
                      <w:r>
                        <w:rPr>
                          <w:spacing w:val="0"/>
                          <w:w w:val="100"/>
                          <w:position w:val="0"/>
                        </w:rPr>
                        <w:t>北京久其故务软件股份，限公面</w:t>
                      </w:r>
                    </w:p>
                    <w:p>
                      <w:pPr>
                        <w:pStyle w:val="Style86"/>
                        <w:keepNext w:val="0"/>
                        <w:keepLines w:val="0"/>
                        <w:widowControl w:val="0"/>
                        <w:shd w:val="clear" w:color="auto" w:fill="auto"/>
                        <w:bidi w:val="0"/>
                        <w:spacing w:before="0" w:after="80"/>
                        <w:ind w:left="0" w:right="0" w:firstLine="0"/>
                        <w:jc w:val="left"/>
                      </w:pPr>
                      <w:r>
                        <w:rPr>
                          <w:rFonts w:ascii="Arial" w:eastAsia="Arial" w:hAnsi="Arial" w:cs="Arial"/>
                          <w:b/>
                          <w:bCs/>
                          <w:color w:val="4B4848"/>
                          <w:spacing w:val="0"/>
                          <w:w w:val="100"/>
                          <w:position w:val="0"/>
                        </w:rPr>
                        <w:t>—</w:t>
                      </w:r>
                      <w:r>
                        <w:rPr>
                          <w:rFonts w:ascii="Arial" w:eastAsia="Arial" w:hAnsi="Arial" w:cs="Arial"/>
                          <w:b/>
                          <w:bCs/>
                          <w:color w:val="895C60"/>
                          <w:spacing w:val="0"/>
                          <w:w w:val="100"/>
                          <w:position w:val="0"/>
                        </w:rPr>
                        <w:t>O</w:t>
                      </w:r>
                      <w:r>
                        <w:rPr>
                          <w:spacing w:val="0"/>
                          <w:w w:val="100"/>
                          <w:position w:val="0"/>
                        </w:rPr>
                        <w:t>成苏久其软件有限公切</w:t>
                      </w:r>
                    </w:p>
                    <w:p>
                      <w:pPr>
                        <w:pStyle w:val="Style86"/>
                        <w:keepNext w:val="0"/>
                        <w:keepLines w:val="0"/>
                        <w:widowControl w:val="0"/>
                        <w:shd w:val="clear" w:color="auto" w:fill="auto"/>
                        <w:bidi w:val="0"/>
                        <w:spacing w:before="0" w:after="0" w:line="202" w:lineRule="atLeast"/>
                        <w:ind w:left="0" w:right="0" w:firstLine="0"/>
                        <w:jc w:val="left"/>
                      </w:pPr>
                      <w:r>
                        <w:rPr>
                          <w:rFonts w:ascii="Arial" w:eastAsia="Arial" w:hAnsi="Arial" w:cs="Arial"/>
                          <w:b/>
                          <w:bCs/>
                          <w:color w:val="000000"/>
                          <w:spacing w:val="0"/>
                          <w:w w:val="100"/>
                          <w:position w:val="0"/>
                          <w:sz w:val="28"/>
                          <w:szCs w:val="28"/>
                        </w:rPr>
                        <w:t>I</w:t>
                      </w:r>
                      <w:r>
                        <w:rPr>
                          <w:rFonts w:ascii="Arial" w:eastAsia="Arial" w:hAnsi="Arial" w:cs="Arial"/>
                          <w:b/>
                          <w:bCs/>
                          <w:color w:val="4B4848"/>
                          <w:spacing w:val="0"/>
                          <w:w w:val="100"/>
                          <w:position w:val="0"/>
                        </w:rPr>
                        <w:t>—</w:t>
                      </w:r>
                      <w:r>
                        <w:rPr>
                          <w:rFonts w:ascii="Arial" w:eastAsia="Arial" w:hAnsi="Arial" w:cs="Arial"/>
                          <w:b/>
                          <w:bCs/>
                          <w:color w:val="895C60"/>
                          <w:spacing w:val="0"/>
                          <w:w w:val="100"/>
                          <w:position w:val="0"/>
                        </w:rPr>
                        <w:t>O</w:t>
                      </w:r>
                      <w:r>
                        <w:rPr>
                          <w:spacing w:val="0"/>
                          <w:w w:val="100"/>
                          <w:position w:val="0"/>
                        </w:rPr>
                        <w:t>西安久其软件有限公</w:t>
                      </w:r>
                      <w:r>
                        <w:rPr>
                          <w:spacing w:val="0"/>
                          <w:w w:val="100"/>
                          <w:position w:val="0"/>
                        </w:rPr>
                        <w:t>E</w:t>
                      </w:r>
                    </w:p>
                    <w:p>
                      <w:pPr>
                        <w:pStyle w:val="Style86"/>
                        <w:keepNext w:val="0"/>
                        <w:keepLines w:val="0"/>
                        <w:widowControl w:val="0"/>
                        <w:shd w:val="clear" w:color="auto" w:fill="auto"/>
                        <w:bidi w:val="0"/>
                        <w:spacing w:before="0"/>
                        <w:ind w:left="0" w:right="0" w:firstLine="0"/>
                        <w:jc w:val="left"/>
                      </w:pPr>
                      <w:r>
                        <w:rPr>
                          <w:rFonts w:ascii="Arial" w:eastAsia="Arial" w:hAnsi="Arial" w:cs="Arial"/>
                          <w:b/>
                          <w:bCs/>
                          <w:color w:val="4B4848"/>
                          <w:spacing w:val="0"/>
                          <w:w w:val="100"/>
                          <w:position w:val="0"/>
                        </w:rPr>
                        <w:t>—</w:t>
                      </w:r>
                      <w:r>
                        <w:rPr>
                          <w:rFonts w:ascii="Arial" w:eastAsia="Arial" w:hAnsi="Arial" w:cs="Arial"/>
                          <w:b/>
                          <w:bCs/>
                          <w:color w:val="895C60"/>
                          <w:spacing w:val="0"/>
                          <w:w w:val="100"/>
                          <w:position w:val="0"/>
                        </w:rPr>
                        <w:t>O</w:t>
                      </w:r>
                      <w:r>
                        <w:rPr>
                          <w:spacing w:val="0"/>
                          <w:w w:val="100"/>
                          <w:position w:val="0"/>
                        </w:rPr>
                        <w:t>广东久</w:t>
                      </w:r>
                      <w:r>
                        <w:rPr>
                          <w:rFonts w:ascii="Arial" w:eastAsia="Arial" w:hAnsi="Arial" w:cs="Arial"/>
                          <w:b/>
                          <w:bCs/>
                          <w:spacing w:val="0"/>
                          <w:w w:val="100"/>
                          <w:position w:val="0"/>
                        </w:rPr>
                        <w:t>JUk</w:t>
                      </w:r>
                      <w:r>
                        <w:rPr>
                          <w:spacing w:val="0"/>
                          <w:w w:val="100"/>
                          <w:position w:val="0"/>
                        </w:rPr>
                        <w:t>件“阳公</w:t>
                      </w:r>
                      <w:r>
                        <w:rPr>
                          <w:rFonts w:ascii="Arial" w:eastAsia="Arial" w:hAnsi="Arial" w:cs="Arial"/>
                          <w:b/>
                          <w:bCs/>
                          <w:spacing w:val="0"/>
                          <w:w w:val="100"/>
                          <w:position w:val="0"/>
                        </w:rPr>
                        <w:t xml:space="preserve">Hj </w:t>
                      </w:r>
                      <w:r>
                        <w:rPr>
                          <w:rFonts w:ascii="Arial" w:eastAsia="Arial" w:hAnsi="Arial" w:cs="Arial"/>
                          <w:b/>
                          <w:bCs/>
                          <w:color w:val="4B4848"/>
                          <w:spacing w:val="0"/>
                          <w:w w:val="100"/>
                          <w:position w:val="0"/>
                        </w:rPr>
                        <w:t>—</w:t>
                      </w:r>
                      <w:r>
                        <w:rPr>
                          <w:rFonts w:ascii="Arial" w:eastAsia="Arial" w:hAnsi="Arial" w:cs="Arial"/>
                          <w:b/>
                          <w:bCs/>
                          <w:color w:val="895C60"/>
                          <w:spacing w:val="0"/>
                          <w:w w:val="100"/>
                          <w:position w:val="0"/>
                        </w:rPr>
                        <w:t>o</w:t>
                      </w:r>
                      <w:r>
                        <w:rPr>
                          <w:spacing w:val="0"/>
                          <w:w w:val="100"/>
                          <w:position w:val="0"/>
                        </w:rPr>
                        <w:t>上海久其软件公</w:t>
                      </w:r>
                      <w:r>
                        <w:rPr>
                          <w:rFonts w:ascii="Arial" w:eastAsia="Arial" w:hAnsi="Arial" w:cs="Arial"/>
                          <w:b/>
                          <w:bCs/>
                          <w:spacing w:val="0"/>
                          <w:w w:val="100"/>
                          <w:position w:val="0"/>
                        </w:rPr>
                        <w:t xml:space="preserve">w </w:t>
                      </w:r>
                      <w:r>
                        <w:rPr>
                          <w:rFonts w:ascii="Arial" w:eastAsia="Arial" w:hAnsi="Arial" w:cs="Arial"/>
                          <w:b/>
                          <w:bCs/>
                          <w:color w:val="4B4848"/>
                          <w:spacing w:val="0"/>
                          <w:w w:val="100"/>
                          <w:position w:val="0"/>
                        </w:rPr>
                        <w:t>―</w:t>
                      </w:r>
                      <w:r>
                        <w:rPr>
                          <w:rFonts w:ascii="Arial" w:eastAsia="Arial" w:hAnsi="Arial" w:cs="Arial"/>
                          <w:b/>
                          <w:bCs/>
                          <w:color w:val="895C60"/>
                          <w:spacing w:val="0"/>
                          <w:w w:val="100"/>
                          <w:position w:val="0"/>
                        </w:rPr>
                        <w:t>O</w:t>
                      </w:r>
                      <w:r>
                        <w:rPr>
                          <w:spacing w:val="0"/>
                          <w:w w:val="100"/>
                          <w:position w:val="0"/>
                        </w:rPr>
                        <w:t>新■久</w:t>
                      </w:r>
                      <w:r>
                        <w:rPr>
                          <w:rFonts w:ascii="Arial" w:eastAsia="Arial" w:hAnsi="Arial" w:cs="Arial"/>
                          <w:b/>
                          <w:bCs/>
                          <w:spacing w:val="0"/>
                          <w:w w:val="100"/>
                          <w:position w:val="0"/>
                        </w:rPr>
                        <w:t>JH4</w:t>
                      </w:r>
                      <w:r>
                        <w:rPr>
                          <w:spacing w:val="0"/>
                          <w:w w:val="100"/>
                          <w:position w:val="0"/>
                        </w:rPr>
                        <w:t xml:space="preserve">技仃限公珂 </w:t>
                      </w:r>
                      <w:r>
                        <w:rPr>
                          <w:rFonts w:ascii="Arial" w:eastAsia="Arial" w:hAnsi="Arial" w:cs="Arial"/>
                          <w:b/>
                          <w:bCs/>
                          <w:color w:val="4B4848"/>
                          <w:spacing w:val="0"/>
                          <w:w w:val="100"/>
                          <w:position w:val="0"/>
                        </w:rPr>
                        <w:t>―</w:t>
                      </w:r>
                      <w:r>
                        <w:rPr>
                          <w:rFonts w:ascii="Arial" w:eastAsia="Arial" w:hAnsi="Arial" w:cs="Arial"/>
                          <w:b/>
                          <w:bCs/>
                          <w:color w:val="895C60"/>
                          <w:spacing w:val="0"/>
                          <w:w w:val="100"/>
                          <w:position w:val="0"/>
                        </w:rPr>
                        <w:t>o</w:t>
                      </w:r>
                      <w:r>
                        <w:rPr>
                          <w:spacing w:val="0"/>
                          <w:w w:val="100"/>
                          <w:position w:val="0"/>
                        </w:rPr>
                        <w:t xml:space="preserve">爪庆久】3：件有限公功 </w:t>
                      </w:r>
                      <w:r>
                        <w:rPr>
                          <w:rFonts w:ascii="Arial" w:eastAsia="Arial" w:hAnsi="Arial" w:cs="Arial"/>
                          <w:b/>
                          <w:bCs/>
                          <w:color w:val="4B4848"/>
                          <w:spacing w:val="0"/>
                          <w:w w:val="100"/>
                          <w:position w:val="0"/>
                        </w:rPr>
                        <w:t>—O</w:t>
                      </w:r>
                      <w:r>
                        <w:rPr>
                          <w:spacing w:val="0"/>
                          <w:w w:val="100"/>
                          <w:position w:val="0"/>
                        </w:rPr>
                        <w:t>海南久</w:t>
                      </w:r>
                      <w:r>
                        <w:rPr>
                          <w:rFonts w:ascii="Arial" w:eastAsia="Arial" w:hAnsi="Arial" w:cs="Arial"/>
                          <w:b/>
                          <w:bCs/>
                          <w:spacing w:val="0"/>
                          <w:w w:val="100"/>
                          <w:position w:val="0"/>
                        </w:rPr>
                        <w:t>11</w:t>
                      </w:r>
                      <w:r>
                        <w:rPr>
                          <w:color w:val="4B4848"/>
                          <w:spacing w:val="0"/>
                          <w:w w:val="100"/>
                          <w:position w:val="0"/>
                        </w:rPr>
                        <w:t>云</w:t>
                      </w:r>
                      <w:r>
                        <w:rPr>
                          <w:spacing w:val="0"/>
                          <w:w w:val="100"/>
                          <w:position w:val="0"/>
                        </w:rPr>
                        <w:t>什算科技做公</w:t>
                      </w:r>
                      <w:r>
                        <w:rPr>
                          <w:rFonts w:ascii="Arial" w:eastAsia="Arial" w:hAnsi="Arial" w:cs="Arial"/>
                          <w:b/>
                          <w:bCs/>
                          <w:spacing w:val="0"/>
                          <w:w w:val="100"/>
                          <w:position w:val="0"/>
                        </w:rPr>
                        <w:t xml:space="preserve">U1 </w:t>
                      </w:r>
                      <w:r>
                        <w:rPr>
                          <w:rFonts w:ascii="Arial" w:eastAsia="Arial" w:hAnsi="Arial" w:cs="Arial"/>
                          <w:b/>
                          <w:bCs/>
                          <w:color w:val="4B4848"/>
                          <w:spacing w:val="0"/>
                          <w:w w:val="100"/>
                          <w:position w:val="0"/>
                        </w:rPr>
                        <w:t>―</w:t>
                      </w:r>
                      <w:r>
                        <w:rPr>
                          <w:rFonts w:ascii="Arial" w:eastAsia="Arial" w:hAnsi="Arial" w:cs="Arial"/>
                          <w:b/>
                          <w:bCs/>
                          <w:color w:val="895C60"/>
                          <w:spacing w:val="0"/>
                          <w:w w:val="100"/>
                          <w:position w:val="0"/>
                        </w:rPr>
                        <w:t>o</w:t>
                      </w:r>
                      <w:r>
                        <w:rPr>
                          <w:spacing w:val="0"/>
                          <w:w w:val="100"/>
                          <w:position w:val="0"/>
                        </w:rPr>
                        <w:t>北京」</w:t>
                      </w:r>
                      <w:r>
                        <w:rPr>
                          <w:rFonts w:ascii="Arial" w:eastAsia="Arial" w:hAnsi="Arial" w:cs="Arial"/>
                          <w:b/>
                          <w:bCs/>
                          <w:spacing w:val="0"/>
                          <w:w w:val="100"/>
                          <w:position w:val="0"/>
                        </w:rPr>
                        <w:t>tir</w:t>
                      </w:r>
                      <w:r>
                        <w:rPr>
                          <w:color w:val="4B4848"/>
                          <w:spacing w:val="0"/>
                          <w:w w:val="100"/>
                          <w:position w:val="0"/>
                        </w:rPr>
                        <w:t>中</w:t>
                      </w:r>
                      <w:r>
                        <w:rPr>
                          <w:spacing w:val="0"/>
                          <w:w w:val="100"/>
                          <w:position w:val="0"/>
                        </w:rPr>
                        <w:t>堂信息科技仃限</w:t>
                      </w:r>
                      <w:r>
                        <w:rPr>
                          <w:rFonts w:ascii="Arial" w:eastAsia="Arial" w:hAnsi="Arial" w:cs="Arial"/>
                          <w:b/>
                          <w:bCs/>
                          <w:spacing w:val="0"/>
                          <w:w w:val="100"/>
                          <w:position w:val="0"/>
                        </w:rPr>
                        <w:t>sr</w:t>
                      </w:r>
                      <w:r>
                        <w:rPr>
                          <w:spacing w:val="0"/>
                          <w:w w:val="100"/>
                          <w:position w:val="0"/>
                        </w:rPr>
                        <w:t xml:space="preserve">任公讷 </w:t>
                      </w:r>
                      <w:r>
                        <w:rPr>
                          <w:rFonts w:ascii="Arial" w:eastAsia="Arial" w:hAnsi="Arial" w:cs="Arial"/>
                          <w:b/>
                          <w:bCs/>
                          <w:color w:val="4B4848"/>
                          <w:spacing w:val="0"/>
                          <w:w w:val="100"/>
                          <w:position w:val="0"/>
                        </w:rPr>
                        <w:t>―</w:t>
                      </w:r>
                      <w:r>
                        <w:rPr>
                          <w:rFonts w:ascii="Arial" w:eastAsia="Arial" w:hAnsi="Arial" w:cs="Arial"/>
                          <w:b/>
                          <w:bCs/>
                          <w:color w:val="895C60"/>
                          <w:spacing w:val="0"/>
                          <w:w w:val="100"/>
                          <w:position w:val="0"/>
                        </w:rPr>
                        <w:t>O</w:t>
                      </w:r>
                      <w:r>
                        <w:rPr>
                          <w:spacing w:val="0"/>
                          <w:w w:val="100"/>
                          <w:position w:val="0"/>
                        </w:rPr>
                        <w:t xml:space="preserve">北京久】3:件股份有限公闻研发中心 </w:t>
                      </w:r>
                      <w:r>
                        <w:rPr>
                          <w:rFonts w:ascii="Arial" w:eastAsia="Arial" w:hAnsi="Arial" w:cs="Arial"/>
                          <w:b/>
                          <w:bCs/>
                          <w:color w:val="4B4848"/>
                          <w:spacing w:val="0"/>
                          <w:w w:val="100"/>
                          <w:position w:val="0"/>
                        </w:rPr>
                        <w:t>―</w:t>
                      </w:r>
                      <w:r>
                        <w:rPr>
                          <w:rFonts w:ascii="Arial" w:eastAsia="Arial" w:hAnsi="Arial" w:cs="Arial"/>
                          <w:b/>
                          <w:bCs/>
                          <w:color w:val="895C60"/>
                          <w:spacing w:val="0"/>
                          <w:w w:val="100"/>
                          <w:position w:val="0"/>
                        </w:rPr>
                        <w:t>O</w:t>
                      </w:r>
                      <w:r>
                        <w:rPr>
                          <w:spacing w:val="0"/>
                          <w:w w:val="100"/>
                          <w:position w:val="0"/>
                        </w:rPr>
                        <w:t>北京久只软件股份有限公</w:t>
                      </w:r>
                      <w:r>
                        <w:rPr>
                          <w:rFonts w:ascii="Arial" w:eastAsia="Arial" w:hAnsi="Arial" w:cs="Arial"/>
                          <w:b/>
                          <w:bCs/>
                          <w:spacing w:val="0"/>
                          <w:w w:val="100"/>
                          <w:position w:val="0"/>
                        </w:rPr>
                        <w:t>UJ</w:t>
                      </w:r>
                      <w:r>
                        <w:rPr>
                          <w:spacing w:val="0"/>
                          <w:w w:val="100"/>
                          <w:position w:val="0"/>
                        </w:rPr>
                        <w:t>武投分公</w:t>
                      </w:r>
                      <w:r>
                        <w:rPr>
                          <w:rFonts w:ascii="Arial" w:eastAsia="Arial" w:hAnsi="Arial" w:cs="Arial"/>
                          <w:b/>
                          <w:bCs/>
                          <w:spacing w:val="0"/>
                          <w:w w:val="100"/>
                          <w:position w:val="0"/>
                        </w:rPr>
                        <w:t xml:space="preserve">01 </w:t>
                      </w:r>
                      <w:r>
                        <w:rPr>
                          <w:rFonts w:ascii="Arial" w:eastAsia="Arial" w:hAnsi="Arial" w:cs="Arial"/>
                          <w:b/>
                          <w:bCs/>
                          <w:color w:val="4B4848"/>
                          <w:spacing w:val="0"/>
                          <w:w w:val="100"/>
                          <w:position w:val="0"/>
                        </w:rPr>
                        <w:t>—</w:t>
                      </w:r>
                      <w:r>
                        <w:rPr>
                          <w:rFonts w:ascii="Arial" w:eastAsia="Arial" w:hAnsi="Arial" w:cs="Arial"/>
                          <w:b/>
                          <w:bCs/>
                          <w:color w:val="895C60"/>
                          <w:spacing w:val="0"/>
                          <w:w w:val="100"/>
                          <w:position w:val="0"/>
                        </w:rPr>
                        <w:t>O</w:t>
                      </w:r>
                      <w:r>
                        <w:rPr>
                          <w:spacing w:val="0"/>
                          <w:w w:val="100"/>
                          <w:position w:val="0"/>
                        </w:rPr>
                        <w:t>北京久火软件股份有限公面南京分公</w:t>
                      </w:r>
                      <w:r>
                        <w:rPr>
                          <w:rFonts w:ascii="Arial" w:eastAsia="Arial" w:hAnsi="Arial" w:cs="Arial"/>
                          <w:b/>
                          <w:bCs/>
                          <w:spacing w:val="0"/>
                          <w:w w:val="100"/>
                          <w:position w:val="0"/>
                        </w:rPr>
                        <w:t xml:space="preserve">ul </w:t>
                      </w:r>
                      <w:r>
                        <w:rPr>
                          <w:rFonts w:ascii="Arial" w:eastAsia="Arial" w:hAnsi="Arial" w:cs="Arial"/>
                          <w:b/>
                          <w:bCs/>
                          <w:color w:val="000000"/>
                          <w:spacing w:val="0"/>
                          <w:w w:val="100"/>
                          <w:position w:val="0"/>
                        </w:rPr>
                        <w:t>—"</w:t>
                      </w:r>
                      <w:r>
                        <w:rPr>
                          <w:rFonts w:ascii="Arial" w:eastAsia="Arial" w:hAnsi="Arial" w:cs="Arial"/>
                          <w:b/>
                          <w:bCs/>
                          <w:color w:val="895C60"/>
                          <w:spacing w:val="0"/>
                          <w:w w:val="100"/>
                          <w:position w:val="0"/>
                        </w:rPr>
                        <w:t>O</w:t>
                      </w:r>
                      <w:r>
                        <w:rPr>
                          <w:spacing w:val="0"/>
                          <w:w w:val="100"/>
                          <w:position w:val="0"/>
                        </w:rPr>
                        <w:t>北京久其软件股份，限公</w:t>
                      </w:r>
                      <w:r>
                        <w:rPr>
                          <w:spacing w:val="0"/>
                          <w:w w:val="100"/>
                          <w:position w:val="0"/>
                        </w:rPr>
                        <w:t>E</w:t>
                      </w:r>
                      <w:r>
                        <w:rPr>
                          <w:spacing w:val="0"/>
                          <w:w w:val="100"/>
                          <w:position w:val="0"/>
                        </w:rPr>
                        <w:t>环州分公</w:t>
                      </w:r>
                      <w:r>
                        <w:rPr>
                          <w:rFonts w:ascii="Arial" w:eastAsia="Arial" w:hAnsi="Arial" w:cs="Arial"/>
                          <w:b/>
                          <w:bCs/>
                          <w:spacing w:val="0"/>
                          <w:w w:val="100"/>
                          <w:position w:val="0"/>
                        </w:rPr>
                        <w:t xml:space="preserve">Hi </w:t>
                      </w:r>
                      <w:r>
                        <w:rPr>
                          <w:rFonts w:ascii="Arial" w:eastAsia="Arial" w:hAnsi="Arial" w:cs="Arial"/>
                          <w:b/>
                          <w:bCs/>
                          <w:color w:val="000000"/>
                          <w:spacing w:val="0"/>
                          <w:w w:val="100"/>
                          <w:position w:val="0"/>
                        </w:rPr>
                        <w:t>—</w:t>
                      </w:r>
                      <w:r>
                        <w:rPr>
                          <w:rFonts w:ascii="Arial" w:eastAsia="Arial" w:hAnsi="Arial" w:cs="Arial"/>
                          <w:b/>
                          <w:bCs/>
                          <w:color w:val="895C60"/>
                          <w:spacing w:val="0"/>
                          <w:w w:val="100"/>
                          <w:position w:val="0"/>
                        </w:rPr>
                        <w:t>O</w:t>
                      </w:r>
                      <w:r>
                        <w:rPr>
                          <w:spacing w:val="0"/>
                          <w:w w:val="100"/>
                          <w:position w:val="0"/>
                        </w:rPr>
                        <w:t xml:space="preserve">北宗久其欹件股份育限公司杭州分公司 </w:t>
                      </w:r>
                      <w:r>
                        <w:rPr>
                          <w:rFonts w:ascii="Arial" w:eastAsia="Arial" w:hAnsi="Arial" w:cs="Arial"/>
                          <w:b/>
                          <w:bCs/>
                          <w:color w:val="000000"/>
                          <w:spacing w:val="0"/>
                          <w:w w:val="100"/>
                          <w:position w:val="0"/>
                        </w:rPr>
                        <w:t>—</w:t>
                      </w:r>
                      <w:r>
                        <w:rPr>
                          <w:rFonts w:ascii="Arial" w:eastAsia="Arial" w:hAnsi="Arial" w:cs="Arial"/>
                          <w:b/>
                          <w:bCs/>
                          <w:color w:val="895C60"/>
                          <w:spacing w:val="0"/>
                          <w:w w:val="100"/>
                          <w:position w:val="0"/>
                        </w:rPr>
                        <w:t>O</w:t>
                      </w:r>
                      <w:r>
                        <w:rPr>
                          <w:spacing w:val="0"/>
                          <w:w w:val="100"/>
                          <w:position w:val="0"/>
                        </w:rPr>
                        <w:t>北京久其软件股份，</w:t>
                      </w:r>
                      <w:r>
                        <w:rPr>
                          <w:rFonts w:ascii="Arial" w:eastAsia="Arial" w:hAnsi="Arial" w:cs="Arial"/>
                          <w:b/>
                          <w:bCs/>
                          <w:spacing w:val="0"/>
                          <w:w w:val="100"/>
                          <w:position w:val="0"/>
                        </w:rPr>
                        <w:t>IH</w:t>
                      </w:r>
                      <w:r>
                        <w:rPr>
                          <w:spacing w:val="0"/>
                          <w:w w:val="100"/>
                          <w:position w:val="0"/>
                        </w:rPr>
                        <w:t xml:space="preserve">公闻沈阳分公司 </w:t>
                      </w:r>
                      <w:r>
                        <w:rPr>
                          <w:rFonts w:ascii="Arial" w:eastAsia="Arial" w:hAnsi="Arial" w:cs="Arial"/>
                          <w:b/>
                          <w:bCs/>
                          <w:color w:val="000000"/>
                          <w:spacing w:val="0"/>
                          <w:w w:val="100"/>
                          <w:position w:val="0"/>
                        </w:rPr>
                        <w:t>—</w:t>
                      </w:r>
                      <w:r>
                        <w:rPr>
                          <w:rFonts w:ascii="Arial" w:eastAsia="Arial" w:hAnsi="Arial" w:cs="Arial"/>
                          <w:b/>
                          <w:bCs/>
                          <w:color w:val="895C60"/>
                          <w:spacing w:val="0"/>
                          <w:w w:val="100"/>
                          <w:position w:val="0"/>
                        </w:rPr>
                        <w:t>O</w:t>
                      </w:r>
                      <w:r>
                        <w:rPr>
                          <w:spacing w:val="0"/>
                          <w:w w:val="100"/>
                          <w:position w:val="0"/>
                        </w:rPr>
                        <w:t>北京久心件股份仃</w:t>
                      </w:r>
                      <w:r>
                        <w:rPr>
                          <w:rFonts w:ascii="Arial" w:eastAsia="Arial" w:hAnsi="Arial" w:cs="Arial"/>
                          <w:b/>
                          <w:bCs/>
                          <w:spacing w:val="0"/>
                          <w:w w:val="100"/>
                          <w:position w:val="0"/>
                        </w:rPr>
                        <w:t>1«</w:t>
                      </w:r>
                      <w:r>
                        <w:rPr>
                          <w:spacing w:val="0"/>
                          <w:w w:val="100"/>
                          <w:position w:val="0"/>
                        </w:rPr>
                        <w:t>公</w:t>
                      </w:r>
                      <w:r>
                        <w:rPr>
                          <w:rFonts w:ascii="Arial" w:eastAsia="Arial" w:hAnsi="Arial" w:cs="Arial"/>
                          <w:b/>
                          <w:bCs/>
                          <w:spacing w:val="0"/>
                          <w:w w:val="100"/>
                          <w:position w:val="0"/>
                        </w:rPr>
                        <w:t>uli^M</w:t>
                      </w:r>
                      <w:r>
                        <w:rPr>
                          <w:spacing w:val="0"/>
                          <w:w w:val="100"/>
                          <w:position w:val="0"/>
                        </w:rPr>
                        <w:t>分公</w:t>
                      </w:r>
                      <w:r>
                        <w:rPr>
                          <w:rFonts w:ascii="Arial" w:eastAsia="Arial" w:hAnsi="Arial" w:cs="Arial"/>
                          <w:b/>
                          <w:bCs/>
                          <w:spacing w:val="0"/>
                          <w:w w:val="100"/>
                          <w:position w:val="0"/>
                        </w:rPr>
                        <w:t xml:space="preserve">al </w:t>
                      </w:r>
                      <w:r>
                        <w:rPr>
                          <w:rFonts w:ascii="Arial" w:eastAsia="Arial" w:hAnsi="Arial" w:cs="Arial"/>
                          <w:b/>
                          <w:bCs/>
                          <w:color w:val="000000"/>
                          <w:spacing w:val="0"/>
                          <w:w w:val="100"/>
                          <w:position w:val="0"/>
                        </w:rPr>
                        <w:t>—</w:t>
                      </w:r>
                      <w:r>
                        <w:rPr>
                          <w:rFonts w:ascii="Arial" w:eastAsia="Arial" w:hAnsi="Arial" w:cs="Arial"/>
                          <w:b/>
                          <w:bCs/>
                          <w:color w:val="895C60"/>
                          <w:spacing w:val="0"/>
                          <w:w w:val="100"/>
                          <w:position w:val="0"/>
                        </w:rPr>
                        <w:t>O</w:t>
                      </w:r>
                      <w:r>
                        <w:rPr>
                          <w:spacing w:val="0"/>
                          <w:w w:val="100"/>
                          <w:position w:val="0"/>
                        </w:rPr>
                        <w:t xml:space="preserve">北京久其软件股份“阪公司石家庄分公司 </w:t>
                      </w:r>
                      <w:r>
                        <w:rPr>
                          <w:rFonts w:ascii="Arial" w:eastAsia="Arial" w:hAnsi="Arial" w:cs="Arial"/>
                          <w:b/>
                          <w:bCs/>
                          <w:color w:val="000000"/>
                          <w:spacing w:val="0"/>
                          <w:w w:val="100"/>
                          <w:position w:val="0"/>
                        </w:rPr>
                        <w:t>—</w:t>
                      </w:r>
                      <w:r>
                        <w:rPr>
                          <w:rFonts w:ascii="Arial" w:eastAsia="Arial" w:hAnsi="Arial" w:cs="Arial"/>
                          <w:b/>
                          <w:bCs/>
                          <w:color w:val="895C60"/>
                          <w:spacing w:val="0"/>
                          <w:w w:val="100"/>
                          <w:position w:val="0"/>
                        </w:rPr>
                        <w:t>O</w:t>
                      </w:r>
                      <w:r>
                        <w:rPr>
                          <w:spacing w:val="0"/>
                          <w:w w:val="100"/>
                          <w:position w:val="0"/>
                        </w:rPr>
                        <w:t>」匕京久其软件股</w:t>
                      </w:r>
                      <w:r>
                        <w:rPr>
                          <w:color w:val="4B4848"/>
                          <w:spacing w:val="0"/>
                          <w:w w:val="100"/>
                          <w:position w:val="0"/>
                        </w:rPr>
                        <w:t>份，</w:t>
                      </w:r>
                      <w:r>
                        <w:rPr>
                          <w:spacing w:val="0"/>
                          <w:w w:val="100"/>
                          <w:position w:val="0"/>
                        </w:rPr>
                        <w:t>限公切嫩州分公</w:t>
                      </w:r>
                      <w:r>
                        <w:rPr>
                          <w:rFonts w:ascii="Arial" w:eastAsia="Arial" w:hAnsi="Arial" w:cs="Arial"/>
                          <w:b/>
                          <w:bCs/>
                          <w:spacing w:val="0"/>
                          <w:w w:val="100"/>
                          <w:position w:val="0"/>
                        </w:rPr>
                        <w:t xml:space="preserve">B1 </w:t>
                      </w:r>
                      <w:r>
                        <w:rPr>
                          <w:rFonts w:ascii="Arial" w:eastAsia="Arial" w:hAnsi="Arial" w:cs="Arial"/>
                          <w:b/>
                          <w:bCs/>
                          <w:color w:val="000000"/>
                          <w:spacing w:val="0"/>
                          <w:w w:val="100"/>
                          <w:position w:val="0"/>
                        </w:rPr>
                        <w:t>—</w:t>
                      </w:r>
                      <w:r>
                        <w:rPr>
                          <w:rFonts w:ascii="Arial" w:eastAsia="Arial" w:hAnsi="Arial" w:cs="Arial"/>
                          <w:b/>
                          <w:bCs/>
                          <w:color w:val="895C60"/>
                          <w:spacing w:val="0"/>
                          <w:w w:val="100"/>
                          <w:position w:val="0"/>
                        </w:rPr>
                        <w:t>O</w:t>
                      </w:r>
                      <w:r>
                        <w:rPr>
                          <w:spacing w:val="0"/>
                          <w:w w:val="100"/>
                          <w:position w:val="0"/>
                        </w:rPr>
                        <w:t>」匕京久火软件股份彳</w:t>
                      </w:r>
                      <w:r>
                        <w:rPr>
                          <w:rFonts w:ascii="Arial" w:eastAsia="Arial" w:hAnsi="Arial" w:cs="Arial"/>
                          <w:b/>
                          <w:bCs/>
                          <w:spacing w:val="0"/>
                          <w:w w:val="100"/>
                          <w:position w:val="0"/>
                        </w:rPr>
                        <w:t>0M</w:t>
                      </w:r>
                      <w:r>
                        <w:rPr>
                          <w:spacing w:val="0"/>
                          <w:w w:val="100"/>
                          <w:position w:val="0"/>
                        </w:rPr>
                        <w:t>公</w:t>
                      </w:r>
                      <w:r>
                        <w:rPr>
                          <w:rFonts w:ascii="Arial" w:eastAsia="Arial" w:hAnsi="Arial" w:cs="Arial"/>
                          <w:b/>
                          <w:bCs/>
                          <w:spacing w:val="0"/>
                          <w:w w:val="100"/>
                          <w:position w:val="0"/>
                        </w:rPr>
                        <w:t>ul</w:t>
                      </w:r>
                      <w:r>
                        <w:rPr>
                          <w:spacing w:val="0"/>
                          <w:w w:val="100"/>
                          <w:position w:val="0"/>
                        </w:rPr>
                        <w:t>安</w:t>
                      </w:r>
                      <w:r>
                        <w:rPr>
                          <w:spacing w:val="0"/>
                          <w:w w:val="100"/>
                          <w:position w:val="0"/>
                        </w:rPr>
                        <w:t>*</w:t>
                      </w:r>
                      <w:r>
                        <w:rPr>
                          <w:spacing w:val="0"/>
                          <w:w w:val="100"/>
                          <w:position w:val="0"/>
                        </w:rPr>
                        <w:t xml:space="preserve">分公司 </w:t>
                      </w:r>
                      <w:r>
                        <w:rPr>
                          <w:rFonts w:ascii="Arial" w:eastAsia="Arial" w:hAnsi="Arial" w:cs="Arial"/>
                          <w:b/>
                          <w:bCs/>
                          <w:color w:val="000000"/>
                          <w:spacing w:val="0"/>
                          <w:w w:val="100"/>
                          <w:position w:val="0"/>
                        </w:rPr>
                        <w:t>—</w:t>
                      </w:r>
                      <w:r>
                        <w:rPr>
                          <w:rFonts w:ascii="Arial" w:eastAsia="Arial" w:hAnsi="Arial" w:cs="Arial"/>
                          <w:b/>
                          <w:bCs/>
                          <w:color w:val="895C60"/>
                          <w:spacing w:val="0"/>
                          <w:w w:val="100"/>
                          <w:position w:val="0"/>
                        </w:rPr>
                        <w:t>O</w:t>
                      </w:r>
                      <w:r>
                        <w:rPr>
                          <w:spacing w:val="0"/>
                          <w:w w:val="100"/>
                          <w:position w:val="0"/>
                        </w:rPr>
                        <w:t>北京久其软件股份，陨公司银川分公</w:t>
                      </w:r>
                      <w:r>
                        <w:rPr>
                          <w:rFonts w:ascii="Arial" w:eastAsia="Arial" w:hAnsi="Arial" w:cs="Arial"/>
                          <w:b/>
                          <w:bCs/>
                          <w:spacing w:val="0"/>
                          <w:w w:val="100"/>
                          <w:position w:val="0"/>
                        </w:rPr>
                        <w:t xml:space="preserve">nJ </w:t>
                      </w:r>
                      <w:r>
                        <w:rPr>
                          <w:color w:val="4B4848"/>
                          <w:spacing w:val="0"/>
                          <w:w w:val="100"/>
                          <w:position w:val="0"/>
                        </w:rPr>
                        <w:t>J。</w:t>
                      </w:r>
                      <w:r>
                        <w:rPr>
                          <w:spacing w:val="0"/>
                          <w:w w:val="100"/>
                          <w:position w:val="0"/>
                        </w:rPr>
                        <w:t>北京久其软件股份有</w:t>
                      </w:r>
                      <w:r>
                        <w:rPr>
                          <w:rFonts w:ascii="Arial" w:eastAsia="Arial" w:hAnsi="Arial" w:cs="Arial"/>
                          <w:b/>
                          <w:bCs/>
                          <w:spacing w:val="0"/>
                          <w:w w:val="100"/>
                          <w:position w:val="0"/>
                        </w:rPr>
                        <w:t>IU</w:t>
                      </w:r>
                      <w:r>
                        <w:rPr>
                          <w:spacing w:val="0"/>
                          <w:w w:val="100"/>
                          <w:position w:val="0"/>
                        </w:rPr>
                        <w:t>公</w:t>
                      </w:r>
                      <w:r>
                        <w:rPr>
                          <w:rFonts w:ascii="Arial" w:eastAsia="Arial" w:hAnsi="Arial" w:cs="Arial"/>
                          <w:b/>
                          <w:bCs/>
                          <w:spacing w:val="0"/>
                          <w:w w:val="100"/>
                          <w:position w:val="0"/>
                        </w:rPr>
                        <w:t>W</w:t>
                      </w:r>
                      <w:r>
                        <w:rPr>
                          <w:spacing w:val="0"/>
                          <w:w w:val="100"/>
                          <w:position w:val="0"/>
                        </w:rPr>
                        <w:t>兰州分公词</w:t>
                      </w:r>
                    </w:p>
                  </w:txbxContent>
                </v:textbox>
                <w10:wrap type="topAndBottom" anchorx="page"/>
              </v:shape>
            </w:pict>
          </mc:Fallback>
        </mc:AlternateContent>
      </w:r>
    </w:p>
    <w:p>
      <w:pPr>
        <w:pStyle w:val="Style31"/>
        <w:keepNext/>
        <w:keepLines/>
        <w:widowControl w:val="0"/>
        <w:shd w:val="clear" w:color="auto" w:fill="auto"/>
        <w:bidi w:val="0"/>
        <w:spacing w:before="0" w:after="36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sz w:val="24"/>
          <w:szCs w:val="24"/>
        </w:rPr>
        <w:t>四</w:t>
      </w:r>
      <w:bookmarkEnd w:id="462"/>
      <w:r>
        <w:rPr>
          <w:color w:val="000000"/>
          <w:spacing w:val="0"/>
          <w:w w:val="100"/>
          <w:position w:val="0"/>
          <w:sz w:val="24"/>
          <w:szCs w:val="24"/>
        </w:rPr>
        <w:t>、公司主要会计政策、会计估计和前期差错</w:t>
      </w:r>
      <w:bookmarkEnd w:id="460"/>
      <w:bookmarkEnd w:id="461"/>
      <w:bookmarkEnd w:id="463"/>
    </w:p>
    <w:p>
      <w:pPr>
        <w:pStyle w:val="Style40"/>
        <w:keepNext/>
        <w:keepLines/>
        <w:widowControl w:val="0"/>
        <w:shd w:val="clear" w:color="auto" w:fill="auto"/>
        <w:bidi w:val="0"/>
        <w:spacing w:before="0" w:after="26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1</w:t>
      </w:r>
      <w:bookmarkEnd w:id="466"/>
      <w:r>
        <w:rPr>
          <w:color w:val="000000"/>
          <w:spacing w:val="0"/>
          <w:w w:val="100"/>
          <w:position w:val="0"/>
        </w:rPr>
        <w:t>、财务报表的编制基础</w:t>
      </w:r>
      <w:bookmarkEnd w:id="464"/>
      <w:bookmarkEnd w:id="465"/>
      <w:bookmarkEnd w:id="467"/>
    </w:p>
    <w:p>
      <w:pPr>
        <w:pStyle w:val="Style35"/>
        <w:keepNext w:val="0"/>
        <w:keepLines w:val="0"/>
        <w:widowControl w:val="0"/>
        <w:shd w:val="clear" w:color="auto" w:fill="auto"/>
        <w:bidi w:val="0"/>
        <w:spacing w:before="0" w:after="360" w:line="315" w:lineRule="exact"/>
        <w:ind w:left="0" w:right="0" w:firstLine="360"/>
        <w:jc w:val="both"/>
      </w:pPr>
      <w:r>
        <w:rPr>
          <w:color w:val="000000"/>
          <w:spacing w:val="0"/>
          <w:w w:val="100"/>
          <w:position w:val="0"/>
        </w:rPr>
        <w:t>公司以持续经营为基础，根据实际发生的交易和事项，按照财政部于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日颁布的《企业会计准则——基本准 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项具体会计准则、其后颁布的企业会计准则应用指南、企业会计准则解释及其他相关规定</w:t>
      </w:r>
      <w:r>
        <w:rPr>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 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w:t>
      </w:r>
      <w:r>
        <w:rPr>
          <w:color w:val="000000"/>
          <w:spacing w:val="0"/>
          <w:w w:val="100"/>
          <w:position w:val="0"/>
        </w:rPr>
        <w:t>（</w:t>
      </w:r>
      <w:r>
        <w:rPr>
          <w:rFonts w:ascii="Times New Roman" w:eastAsia="Times New Roman" w:hAnsi="Times New Roman" w:cs="Times New Roman"/>
          <w:color w:val="000000"/>
          <w:spacing w:val="0"/>
          <w:w w:val="100"/>
          <w:position w:val="0"/>
        </w:rPr>
        <w:t>2010</w:t>
      </w:r>
      <w:r>
        <w:rPr>
          <w:color w:val="000000"/>
          <w:spacing w:val="0"/>
          <w:w w:val="100"/>
          <w:position w:val="0"/>
        </w:rPr>
        <w:t>年修 订</w:t>
      </w:r>
      <w:r>
        <w:rPr>
          <w:rFonts w:ascii="Times New Roman" w:eastAsia="Times New Roman" w:hAnsi="Times New Roman" w:cs="Times New Roman"/>
          <w:color w:val="000000"/>
          <w:spacing w:val="0"/>
          <w:w w:val="100"/>
          <w:position w:val="0"/>
        </w:rPr>
        <w:t>）</w:t>
      </w:r>
      <w:r>
        <w:rPr>
          <w:color w:val="000000"/>
          <w:spacing w:val="0"/>
          <w:w w:val="100"/>
          <w:position w:val="0"/>
        </w:rPr>
        <w:t>的披露规定编制财务报表。</w:t>
      </w:r>
    </w:p>
    <w:p>
      <w:pPr>
        <w:pStyle w:val="Style40"/>
        <w:keepNext/>
        <w:keepLines/>
        <w:widowControl w:val="0"/>
        <w:shd w:val="clear" w:color="auto" w:fill="auto"/>
        <w:tabs>
          <w:tab w:pos="378" w:val="left"/>
        </w:tabs>
        <w:bidi w:val="0"/>
        <w:spacing w:before="0" w:after="26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2</w:t>
      </w:r>
      <w:bookmarkEnd w:id="470"/>
      <w:r>
        <w:rPr>
          <w:color w:val="000000"/>
          <w:spacing w:val="0"/>
          <w:w w:val="100"/>
          <w:position w:val="0"/>
        </w:rPr>
        <w:t>、</w:t>
        <w:tab/>
        <w:t>遵循企业会计准则的声明</w:t>
      </w:r>
      <w:bookmarkEnd w:id="468"/>
      <w:bookmarkEnd w:id="469"/>
      <w:bookmarkEnd w:id="471"/>
    </w:p>
    <w:p>
      <w:pPr>
        <w:pStyle w:val="Style35"/>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公司所编制的财务报表符合企业会计准则的要求，真实、完整地反映了报告期公司的财务状况、经营成果、现金流量等 有关信息。</w:t>
      </w:r>
    </w:p>
    <w:p>
      <w:pPr>
        <w:pStyle w:val="Style40"/>
        <w:keepNext/>
        <w:keepLines/>
        <w:widowControl w:val="0"/>
        <w:shd w:val="clear" w:color="auto" w:fill="auto"/>
        <w:tabs>
          <w:tab w:pos="378" w:val="left"/>
        </w:tabs>
        <w:bidi w:val="0"/>
        <w:spacing w:before="0" w:after="260" w:line="240" w:lineRule="auto"/>
        <w:ind w:left="0" w:right="0" w:firstLine="0"/>
        <w:jc w:val="both"/>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3</w:t>
      </w:r>
      <w:bookmarkEnd w:id="474"/>
      <w:r>
        <w:rPr>
          <w:color w:val="000000"/>
          <w:spacing w:val="0"/>
          <w:w w:val="100"/>
          <w:position w:val="0"/>
        </w:rPr>
        <w:t>、</w:t>
        <w:tab/>
        <w:t>会计期间</w:t>
      </w:r>
      <w:bookmarkEnd w:id="472"/>
      <w:bookmarkEnd w:id="473"/>
      <w:bookmarkEnd w:id="475"/>
    </w:p>
    <w:p>
      <w:pPr>
        <w:pStyle w:val="Style35"/>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40"/>
        <w:keepNext/>
        <w:keepLines/>
        <w:widowControl w:val="0"/>
        <w:shd w:val="clear" w:color="auto" w:fill="auto"/>
        <w:tabs>
          <w:tab w:pos="378" w:val="left"/>
        </w:tabs>
        <w:bidi w:val="0"/>
        <w:spacing w:before="0" w:after="260" w:line="240" w:lineRule="auto"/>
        <w:ind w:left="0" w:right="0" w:firstLine="0"/>
        <w:jc w:val="both"/>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4</w:t>
      </w:r>
      <w:bookmarkEnd w:id="478"/>
      <w:r>
        <w:rPr>
          <w:color w:val="000000"/>
          <w:spacing w:val="0"/>
          <w:w w:val="100"/>
          <w:position w:val="0"/>
        </w:rPr>
        <w:t>、</w:t>
        <w:tab/>
        <w:t>记账本位币</w:t>
      </w:r>
      <w:bookmarkEnd w:id="476"/>
      <w:bookmarkEnd w:id="477"/>
      <w:bookmarkEnd w:id="479"/>
    </w:p>
    <w:p>
      <w:pPr>
        <w:pStyle w:val="Style35"/>
        <w:keepNext w:val="0"/>
        <w:keepLines w:val="0"/>
        <w:widowControl w:val="0"/>
        <w:shd w:val="clear" w:color="auto" w:fill="auto"/>
        <w:bidi w:val="0"/>
        <w:spacing w:before="0" w:after="300" w:line="312" w:lineRule="exact"/>
        <w:ind w:left="0" w:right="0" w:firstLine="360"/>
        <w:jc w:val="left"/>
      </w:pPr>
      <w:r>
        <w:rPr>
          <w:color w:val="000000"/>
          <w:spacing w:val="0"/>
          <w:w w:val="100"/>
          <w:position w:val="0"/>
        </w:rPr>
        <w:t>采用人民币为记账本位币。</w:t>
      </w:r>
    </w:p>
    <w:p>
      <w:pPr>
        <w:pStyle w:val="Style40"/>
        <w:keepNext/>
        <w:keepLines/>
        <w:widowControl w:val="0"/>
        <w:shd w:val="clear" w:color="auto" w:fill="auto"/>
        <w:tabs>
          <w:tab w:pos="377" w:val="left"/>
        </w:tabs>
        <w:bidi w:val="0"/>
        <w:spacing w:before="0" w:after="36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5</w:t>
      </w:r>
      <w:bookmarkEnd w:id="482"/>
      <w:r>
        <w:rPr>
          <w:color w:val="000000"/>
          <w:spacing w:val="0"/>
          <w:w w:val="100"/>
          <w:position w:val="0"/>
        </w:rPr>
        <w:t>、</w:t>
        <w:tab/>
        <w:t>同一控制下和非同一控制下企业合并的会计处理方法</w:t>
      </w:r>
      <w:bookmarkEnd w:id="480"/>
      <w:bookmarkEnd w:id="481"/>
      <w:bookmarkEnd w:id="483"/>
    </w:p>
    <w:p>
      <w:pPr>
        <w:pStyle w:val="Style40"/>
        <w:keepNext/>
        <w:keepLines/>
        <w:widowControl w:val="0"/>
        <w:shd w:val="clear" w:color="auto" w:fill="auto"/>
        <w:tabs>
          <w:tab w:pos="479" w:val="left"/>
        </w:tabs>
        <w:bidi w:val="0"/>
        <w:spacing w:before="0" w:after="260" w:line="240" w:lineRule="auto"/>
        <w:ind w:left="0" w:right="0" w:firstLine="0"/>
        <w:jc w:val="left"/>
      </w:pPr>
      <w:bookmarkStart w:id="480" w:name="bookmark480"/>
      <w:bookmarkStart w:id="481" w:name="bookmark481"/>
      <w:bookmarkStart w:id="484" w:name="bookmark484"/>
      <w:bookmarkStart w:id="485" w:name="bookmark485"/>
      <w:r>
        <w:rPr>
          <w:color w:val="000000"/>
          <w:spacing w:val="0"/>
          <w:w w:val="100"/>
          <w:position w:val="0"/>
        </w:rPr>
        <w:t>（</w:t>
      </w:r>
      <w:bookmarkEnd w:id="484"/>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480"/>
      <w:bookmarkEnd w:id="481"/>
      <w:bookmarkEnd w:id="485"/>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本公司在企业合并中取得的资产和负债，按照合并日在被合并方的账面价值计量。被合并各方采用的会计政策与本公司 不一致的，本公司在合并日按照本公司会计政策进行调整，在此基础上按照调整后的账面价值确认。</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在合并中取得的净资产账面价值与支付的合并对价账面价值（或发行股份面值总额）的差额，调整资本公积中的股本溢 价，资本公积中的股本溢价不足冲减的，调整留存收益。</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本公司为进行企业合并而发生的各项直接相关费用，包括为进行企业合并而支付的审计费用、评估费用、法律服务费等, 于发生时计入当期损益。</w:t>
      </w:r>
    </w:p>
    <w:p>
      <w:pPr>
        <w:pStyle w:val="Style35"/>
        <w:keepNext w:val="0"/>
        <w:keepLines w:val="0"/>
        <w:widowControl w:val="0"/>
        <w:shd w:val="clear" w:color="auto" w:fill="auto"/>
        <w:bidi w:val="0"/>
        <w:spacing w:before="0" w:after="360" w:line="314" w:lineRule="exact"/>
        <w:ind w:left="0" w:right="0"/>
        <w:jc w:val="both"/>
      </w:pPr>
      <w:r>
        <w:rPr>
          <w:color w:val="000000"/>
          <w:spacing w:val="0"/>
          <w:w w:val="100"/>
          <w:position w:val="0"/>
        </w:rPr>
        <w:t>企业合并中发行权益性证券发生的手续费、佣金等，抵减权益性证券溢价收入，溢价收入不足冲减的，冲减留存收益。</w:t>
      </w:r>
    </w:p>
    <w:p>
      <w:pPr>
        <w:pStyle w:val="Style40"/>
        <w:keepNext/>
        <w:keepLines/>
        <w:widowControl w:val="0"/>
        <w:shd w:val="clear" w:color="auto" w:fill="auto"/>
        <w:tabs>
          <w:tab w:pos="479" w:val="left"/>
        </w:tabs>
        <w:bidi w:val="0"/>
        <w:spacing w:before="0" w:after="26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rPr>
        <w:t>（</w:t>
      </w:r>
      <w:bookmarkEnd w:id="488"/>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486"/>
      <w:bookmarkEnd w:id="487"/>
      <w:bookmarkEnd w:id="489"/>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本公司在购买日对作为企业合并对价付出的资产、发生或承担的负债按照公允价值计量。公允价值与其账面价值的差额, 计入当期损益。</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本公司在购买日对合并成本进行分配，确认所取得的被购买方各项可辨认资产、负债及或有负债的公允价值。</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本公司对合并成本大于合并中取得的被购买方可辨认净资产公允价值份额的差额，确认为商誉；合并成本小于合并中取 得的被购买方可辨认净资产公允价值份额的差额，经复核后，计入当期损益。</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企业合并中取得的被购买方除无形资产外的其他各项资产（不仅限于被购买方原已确认的资产），其所带来的经济利益 很可能流入本公司且公允价值能够可靠计量的，单独确认并按公允价值计量；公允价值能够可靠计量的无形资产，单独确认 为无形资产并按公允价值计量；取得的被购买方除或有负债以外的其他各项负债，履行有关义务很可能导致经济利益流出本 公司且公允价值能够可靠计量的，单独确认并按照公允价值计量；取得的被购买方或有负债，其公允价值能可靠计量的，单 独确认为负债并按照公允价值计量。</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本公司在企业合并中取得的被购买方的可抵扣暂时性差异，在购买日不符合递延所得税资产确认条件的，不予以确认。 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个月内，如取得新的或进一步的信息表明购买日的相关情况已经存在，预期被购买方在购买日可抵扣暂时性差异 带来的经济利益能够实现的，确认相关的递延所得税资产，同时减少商誉，商誉不足冲减的，差额部分确认为当期损益；除 上述情况以外，确认与企业合并相关的递延所得税资产，计入当期损益。</w:t>
      </w:r>
    </w:p>
    <w:p>
      <w:pPr>
        <w:pStyle w:val="Style35"/>
        <w:keepNext w:val="0"/>
        <w:keepLines w:val="0"/>
        <w:widowControl w:val="0"/>
        <w:shd w:val="clear" w:color="auto" w:fill="auto"/>
        <w:bidi w:val="0"/>
        <w:spacing w:before="0" w:after="360" w:line="314" w:lineRule="exact"/>
        <w:ind w:left="0" w:right="0"/>
        <w:jc w:val="both"/>
      </w:pPr>
      <w:r>
        <w:rPr>
          <w:color w:val="000000"/>
          <w:spacing w:val="0"/>
          <w:w w:val="100"/>
          <w:position w:val="0"/>
        </w:rPr>
        <w:t>非同一控制下企业合并，购买方为企业合并发生的审计、法律服务、评估咨询等中介费用以及其他相关管理费用，应当 于发生时计入当期损益；购买方作为合并对价发行的权益性证券或债务性证券的交易费用，应当计入权益性证券或债务性证 券的初始确认金额。</w:t>
      </w:r>
    </w:p>
    <w:p>
      <w:pPr>
        <w:pStyle w:val="Style40"/>
        <w:keepNext/>
        <w:keepLines/>
        <w:widowControl w:val="0"/>
        <w:shd w:val="clear" w:color="auto" w:fill="auto"/>
        <w:tabs>
          <w:tab w:pos="377" w:val="left"/>
        </w:tabs>
        <w:bidi w:val="0"/>
        <w:spacing w:before="0" w:after="36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6</w:t>
      </w:r>
      <w:bookmarkEnd w:id="492"/>
      <w:r>
        <w:rPr>
          <w:color w:val="000000"/>
          <w:spacing w:val="0"/>
          <w:w w:val="100"/>
          <w:position w:val="0"/>
        </w:rPr>
        <w:t>、</w:t>
        <w:tab/>
        <w:t>合并财务报表的编制方法</w:t>
      </w:r>
      <w:bookmarkEnd w:id="490"/>
      <w:bookmarkEnd w:id="491"/>
      <w:bookmarkEnd w:id="493"/>
    </w:p>
    <w:p>
      <w:pPr>
        <w:pStyle w:val="Style40"/>
        <w:keepNext/>
        <w:keepLines/>
        <w:widowControl w:val="0"/>
        <w:shd w:val="clear" w:color="auto" w:fill="auto"/>
        <w:bidi w:val="0"/>
        <w:spacing w:before="0" w:after="260" w:line="240" w:lineRule="auto"/>
        <w:ind w:left="0" w:right="0" w:firstLine="0"/>
        <w:jc w:val="left"/>
      </w:pPr>
      <w:bookmarkStart w:id="490" w:name="bookmark490"/>
      <w:bookmarkStart w:id="491" w:name="bookmark491"/>
      <w:bookmarkStart w:id="494" w:name="bookmark494"/>
      <w:bookmarkStart w:id="495" w:name="bookmark495"/>
      <w:r>
        <w:rPr>
          <w:color w:val="000000"/>
          <w:spacing w:val="0"/>
          <w:w w:val="100"/>
          <w:position w:val="0"/>
        </w:rPr>
        <w:t>（</w:t>
      </w:r>
      <w:bookmarkEnd w:id="494"/>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490"/>
      <w:bookmarkEnd w:id="491"/>
      <w:bookmarkEnd w:id="495"/>
    </w:p>
    <w:p>
      <w:pPr>
        <w:pStyle w:val="Style35"/>
        <w:keepNext w:val="0"/>
        <w:keepLines w:val="0"/>
        <w:widowControl w:val="0"/>
        <w:shd w:val="clear" w:color="auto" w:fill="auto"/>
        <w:bidi w:val="0"/>
        <w:spacing w:before="0" w:after="0" w:line="311" w:lineRule="exact"/>
        <w:ind w:left="0" w:right="0"/>
        <w:jc w:val="left"/>
      </w:pPr>
      <w:r>
        <w:rPr>
          <w:color w:val="000000"/>
          <w:spacing w:val="0"/>
          <w:w w:val="100"/>
          <w:position w:val="0"/>
        </w:rPr>
        <w:t>本公司合并财务报表的合并范围以控制为基础确定，所有子公司均纳入合并财务报表。</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期间与本公司不一致的，在编制合并财务报表时，按本公司的会计政策、会计期间进行必要的调整。对于非同一控制下企业 合并取得的子公司，以购买日可辨认净资产公允价值为基础对其财务报表进行调整。合并财务报表以本公司及子公司的财务 报表为基础，根据其他有关资料，按照权益法调整对子公司的长期股权投资后，由本公司编制。</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合并财务报表时抵销本公司与各子公司、各子公司相互之间发生的内部交易对合并资产负债表、合并利润表、合并现金 流量表、合并所有者权益变动表的影响。</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子公司少数股东应占的权益和损益分别在合并资产负债表中所有者权益项目下和合并利润表中净利润项目下单独列示。 子公司少数股东分担的当期亏损超过了少数股东在该子公司期初所有者权益中所享有份额而形成的余额，冲减少数股东权 </w:t>
      </w:r>
      <w:r>
        <w:rPr>
          <w:color w:val="000000"/>
          <w:spacing w:val="0"/>
          <w:w w:val="100"/>
          <w:position w:val="0"/>
          <w:u w:val="single"/>
        </w:rPr>
        <w:t>益</w:t>
      </w:r>
      <w:r>
        <w:rPr>
          <w:color w:val="000000"/>
          <w:spacing w:val="0"/>
          <w:w w:val="100"/>
          <w:position w:val="0"/>
        </w:rPr>
        <w:t>。</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在报告期内，若因同一控制下企业合并增加子公司的，则调整合并资产负债表的期初数；将子公司合并当期期初至报告 期末的收入、费用、利润纳入合并利润表；将子公司合并当期期初至报告期末的现金流量纳入合并现金流量表，同时对比较 报表的相关项目进行调整，视同合并后的报告主体在以前期间一直存在。</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在报告期内，若因非同一控制下企业合并增加子公司的，则不调整合并资产负债表期初数；将子公司自购买日至报告期 末的收入、费用、利润纳入合并利润表；该子公司自购买日至报告期末的现金流量纳入合并现金流量表。通过多次交易分步 实现非同一控制下企业合并时，对于购买日之前持有的被购买方的股权，本公司按照该股权在购买日的公允价值进行重新计 量，公允价值与其账面价值的差额计入当期投资收益。购买日之前持有的被购买方的股权涉及其他综合收益的，与其相关的 其他综合收益转为购买日所属当期投资收益。</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在报告期内，本公司处置子公司，则该子公司期初至处置日的收入、费用、利润纳入合并利润表；该子公司期初至处置 日的现金流量纳入合并现金流量表。因处置部分股权投资或其他原因丧失了对原有子公司控制权时，对于处置后的剩余股权 投资，本公司按照其在丧失控制权日的公允价值进行重新计量。处置股权取得的对价与剩余股权公允价值之和，减去按原持 股比例计算应享有原有子公司自购买日开始持续计算的净资产的份额之间的差额，计入丧失控制权当期的投资收益。与原有 子公司股权投资相关的其他综合收益，在丧失控制权时转为当期投资收益。</w:t>
      </w:r>
    </w:p>
    <w:p>
      <w:pPr>
        <w:pStyle w:val="Style35"/>
        <w:keepNext w:val="0"/>
        <w:keepLines w:val="0"/>
        <w:widowControl w:val="0"/>
        <w:shd w:val="clear" w:color="auto" w:fill="auto"/>
        <w:bidi w:val="0"/>
        <w:spacing w:before="0" w:after="360" w:line="313" w:lineRule="exact"/>
        <w:ind w:left="0" w:right="0"/>
        <w:jc w:val="both"/>
      </w:pPr>
      <w:r>
        <w:rPr>
          <w:color w:val="000000"/>
          <w:spacing w:val="0"/>
          <w:w w:val="100"/>
          <w:position w:val="0"/>
        </w:rPr>
        <w:t>本公司因购买少数股权新取得的长期股权投资与按照新增持股比例计算应享有子公司的可辨认净资产份额之间的差额， 以及在不丧失控制权的情况下因部分处置对子公司的股权投资而取得的处置价款与处置长期股权投资相对应享有子公司净 资产份额的差额，均调整合并资产负债表中的资本公积中的股本溢价，资本公积中的股本溢价不足冲减的，调整留存收益。</w:t>
      </w:r>
    </w:p>
    <w:p>
      <w:pPr>
        <w:pStyle w:val="Style40"/>
        <w:keepNext/>
        <w:keepLines/>
        <w:widowControl w:val="0"/>
        <w:shd w:val="clear" w:color="auto" w:fill="auto"/>
        <w:tabs>
          <w:tab w:pos="357" w:val="left"/>
        </w:tabs>
        <w:bidi w:val="0"/>
        <w:spacing w:before="0" w:after="26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7</w:t>
      </w:r>
      <w:bookmarkEnd w:id="498"/>
      <w:r>
        <w:rPr>
          <w:color w:val="000000"/>
          <w:spacing w:val="0"/>
          <w:w w:val="100"/>
          <w:position w:val="0"/>
        </w:rPr>
        <w:t>、</w:t>
        <w:tab/>
        <w:t>现金及现金等价物的确定标准</w:t>
      </w:r>
      <w:bookmarkEnd w:id="496"/>
      <w:bookmarkEnd w:id="497"/>
      <w:bookmarkEnd w:id="499"/>
    </w:p>
    <w:p>
      <w:pPr>
        <w:pStyle w:val="Style35"/>
        <w:keepNext w:val="0"/>
        <w:keepLines w:val="0"/>
        <w:widowControl w:val="0"/>
        <w:shd w:val="clear" w:color="auto" w:fill="auto"/>
        <w:bidi w:val="0"/>
        <w:spacing w:before="0" w:after="360" w:line="312" w:lineRule="exact"/>
        <w:ind w:left="0" w:right="0"/>
        <w:jc w:val="both"/>
      </w:pPr>
      <w:r>
        <w:rPr>
          <w:color w:val="000000"/>
          <w:spacing w:val="0"/>
          <w:w w:val="100"/>
          <w:position w:val="0"/>
        </w:rPr>
        <w:t>在编制现金流量表时，将本公司库存现金以及可以随时用于支付的存款确认为现金。将同时具备期限短（从购买日起三 个月内到期）、流动性强、易于转换为已知现金、价值变动风险很小四个条件的投资，确定为现金等价物。</w:t>
      </w:r>
    </w:p>
    <w:p>
      <w:pPr>
        <w:pStyle w:val="Style40"/>
        <w:keepNext/>
        <w:keepLines/>
        <w:widowControl w:val="0"/>
        <w:shd w:val="clear" w:color="auto" w:fill="auto"/>
        <w:tabs>
          <w:tab w:pos="357" w:val="left"/>
        </w:tabs>
        <w:bidi w:val="0"/>
        <w:spacing w:before="0" w:after="36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8</w:t>
      </w:r>
      <w:bookmarkEnd w:id="502"/>
      <w:r>
        <w:rPr>
          <w:color w:val="000000"/>
          <w:spacing w:val="0"/>
          <w:w w:val="100"/>
          <w:position w:val="0"/>
        </w:rPr>
        <w:t>、</w:t>
        <w:tab/>
        <w:t>外币业务和外币报表折算</w:t>
      </w:r>
      <w:bookmarkEnd w:id="500"/>
      <w:bookmarkEnd w:id="501"/>
      <w:bookmarkEnd w:id="503"/>
    </w:p>
    <w:p>
      <w:pPr>
        <w:pStyle w:val="Style40"/>
        <w:keepNext/>
        <w:keepLines/>
        <w:widowControl w:val="0"/>
        <w:shd w:val="clear" w:color="auto" w:fill="auto"/>
        <w:tabs>
          <w:tab w:pos="466" w:val="left"/>
        </w:tabs>
        <w:bidi w:val="0"/>
        <w:spacing w:before="0" w:after="260" w:line="240" w:lineRule="auto"/>
        <w:ind w:left="0" w:right="0" w:firstLine="0"/>
        <w:jc w:val="left"/>
      </w:pPr>
      <w:bookmarkStart w:id="500" w:name="bookmark500"/>
      <w:bookmarkStart w:id="501" w:name="bookmark501"/>
      <w:bookmarkStart w:id="504" w:name="bookmark504"/>
      <w:bookmarkStart w:id="505" w:name="bookmark505"/>
      <w:r>
        <w:rPr>
          <w:color w:val="000000"/>
          <w:spacing w:val="0"/>
          <w:w w:val="100"/>
          <w:position w:val="0"/>
        </w:rPr>
        <w:t>（</w:t>
      </w:r>
      <w:bookmarkEnd w:id="504"/>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500"/>
      <w:bookmarkEnd w:id="501"/>
      <w:bookmarkEnd w:id="505"/>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外币业务采用交易发生日的即期汇率作为折算汇率将外币金额折合成人民币记账。</w:t>
      </w:r>
    </w:p>
    <w:p>
      <w:pPr>
        <w:pStyle w:val="Style35"/>
        <w:keepNext w:val="0"/>
        <w:keepLines w:val="0"/>
        <w:widowControl w:val="0"/>
        <w:shd w:val="clear" w:color="auto" w:fill="auto"/>
        <w:bidi w:val="0"/>
        <w:spacing w:before="0" w:after="360" w:line="314" w:lineRule="exact"/>
        <w:ind w:left="0" w:right="0"/>
        <w:jc w:val="both"/>
      </w:pPr>
      <w:r>
        <w:rPr>
          <w:color w:val="000000"/>
          <w:spacing w:val="0"/>
          <w:w w:val="100"/>
          <w:position w:val="0"/>
        </w:rPr>
        <w:t>外币货币性项目余额按资产负债表日即期汇率折算，由此产生的汇兑差额，除属于与购建符合资本化条件的资产相关的 外币专门借款产生的汇兑差额按照借款费用资本化的原则处理外，均计入当期损益。以历史成本计量的外币非货币性项目， 仍采用交易发生日的即期汇率折算，不改变其记账本位币金额。以公允价值计量的外币非货币性项目，采用公允价值确定日 的即期汇率折算，由此产生的汇兑差额计入当期损益或资本公积。</w:t>
      </w:r>
    </w:p>
    <w:p>
      <w:pPr>
        <w:pStyle w:val="Style40"/>
        <w:keepNext/>
        <w:keepLines/>
        <w:widowControl w:val="0"/>
        <w:shd w:val="clear" w:color="auto" w:fill="auto"/>
        <w:tabs>
          <w:tab w:pos="466" w:val="left"/>
        </w:tabs>
        <w:bidi w:val="0"/>
        <w:spacing w:before="0" w:after="26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rPr>
        <w:t>（</w:t>
      </w:r>
      <w:bookmarkEnd w:id="508"/>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506"/>
      <w:bookmarkEnd w:id="507"/>
      <w:bookmarkEnd w:id="509"/>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 目采用发生时的即期汇率折算。利润表中的收入和费用项目，采用交易发生日的即期汇率折算。按照上述折算产生的外币财 务报表折算差额，在资产负债表所有者权益项目下单独列示。</w:t>
      </w:r>
    </w:p>
    <w:p>
      <w:pPr>
        <w:pStyle w:val="Style35"/>
        <w:keepNext w:val="0"/>
        <w:keepLines w:val="0"/>
        <w:widowControl w:val="0"/>
        <w:shd w:val="clear" w:color="auto" w:fill="auto"/>
        <w:bidi w:val="0"/>
        <w:spacing w:before="0" w:after="360" w:line="312" w:lineRule="exact"/>
        <w:ind w:left="0" w:right="0"/>
        <w:jc w:val="both"/>
      </w:pPr>
      <w:r>
        <w:rPr>
          <w:color w:val="000000"/>
          <w:spacing w:val="0"/>
          <w:w w:val="100"/>
          <w:position w:val="0"/>
        </w:rPr>
        <w:t>处置境外经营时，将资产负债表中所有者权益项目下列示的、与该境外经营相关的外币财务报表折算差额，自所有者权 益项目转入处置当期损益；部分处置境外经营的，按处置的比例计算处置部分的外币财务报表折算差额，转入处置当期损益。</w:t>
      </w:r>
    </w:p>
    <w:p>
      <w:pPr>
        <w:pStyle w:val="Style40"/>
        <w:keepNext/>
        <w:keepLines/>
        <w:widowControl w:val="0"/>
        <w:shd w:val="clear" w:color="auto" w:fill="auto"/>
        <w:tabs>
          <w:tab w:pos="357" w:val="left"/>
        </w:tabs>
        <w:bidi w:val="0"/>
        <w:spacing w:before="0" w:after="26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9</w:t>
      </w:r>
      <w:bookmarkEnd w:id="512"/>
      <w:r>
        <w:rPr>
          <w:color w:val="000000"/>
          <w:spacing w:val="0"/>
          <w:w w:val="100"/>
          <w:position w:val="0"/>
        </w:rPr>
        <w:t>、</w:t>
        <w:tab/>
        <w:t>金融工具</w:t>
      </w:r>
      <w:bookmarkEnd w:id="510"/>
      <w:bookmarkEnd w:id="511"/>
      <w:bookmarkEnd w:id="513"/>
    </w:p>
    <w:p>
      <w:pPr>
        <w:pStyle w:val="Style35"/>
        <w:keepNext w:val="0"/>
        <w:keepLines w:val="0"/>
        <w:widowControl w:val="0"/>
        <w:shd w:val="clear" w:color="auto" w:fill="auto"/>
        <w:bidi w:val="0"/>
        <w:spacing w:before="0" w:after="320" w:line="313" w:lineRule="exact"/>
        <w:ind w:left="0" w:right="0"/>
        <w:jc w:val="both"/>
      </w:pPr>
      <w:r>
        <w:rPr>
          <w:color w:val="000000"/>
          <w:spacing w:val="0"/>
          <w:w w:val="100"/>
          <w:position w:val="0"/>
        </w:rPr>
        <w:t>金融工具包括金融资产、金融负债和权益工具。</w:t>
      </w:r>
    </w:p>
    <w:p>
      <w:pPr>
        <w:pStyle w:val="Style40"/>
        <w:keepNext/>
        <w:keepLines/>
        <w:widowControl w:val="0"/>
        <w:shd w:val="clear" w:color="auto" w:fill="auto"/>
        <w:tabs>
          <w:tab w:pos="498" w:val="left"/>
        </w:tabs>
        <w:bidi w:val="0"/>
        <w:spacing w:before="0" w:after="28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rPr>
        <w:t>（</w:t>
      </w:r>
      <w:bookmarkEnd w:id="516"/>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514"/>
      <w:bookmarkEnd w:id="515"/>
      <w:bookmarkEnd w:id="517"/>
    </w:p>
    <w:p>
      <w:pPr>
        <w:pStyle w:val="Style35"/>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管理层按照取得持有金融资产和承担金融负债的目的，将其划分为：以公允价值计量且其变动计入当期损益的金融资产 或金融负债，包括交易性金融资产或金融负债和直接指定为以公允价值计量且其变动计入当期损益的金融资产或金融负债； 持有至到期投资；应收款项；可供出售金融资产；其他金融负债等。</w:t>
      </w:r>
    </w:p>
    <w:p>
      <w:pPr>
        <w:pStyle w:val="Style40"/>
        <w:keepNext/>
        <w:keepLines/>
        <w:widowControl w:val="0"/>
        <w:shd w:val="clear" w:color="auto" w:fill="auto"/>
        <w:tabs>
          <w:tab w:pos="498" w:val="left"/>
        </w:tabs>
        <w:bidi w:val="0"/>
        <w:spacing w:before="0" w:after="280" w:line="240" w:lineRule="auto"/>
        <w:ind w:left="0" w:right="0" w:firstLine="0"/>
        <w:jc w:val="left"/>
      </w:pPr>
      <w:bookmarkStart w:id="518" w:name="bookmark518"/>
      <w:bookmarkStart w:id="519" w:name="bookmark519"/>
      <w:bookmarkStart w:id="520" w:name="bookmark520"/>
      <w:bookmarkStart w:id="521" w:name="bookmark521"/>
      <w:r>
        <w:rPr>
          <w:color w:val="000000"/>
          <w:spacing w:val="0"/>
          <w:w w:val="100"/>
          <w:position w:val="0"/>
        </w:rPr>
        <w:t>（</w:t>
      </w:r>
      <w:bookmarkEnd w:id="520"/>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518"/>
      <w:bookmarkEnd w:id="519"/>
      <w:bookmarkEnd w:id="521"/>
    </w:p>
    <w:p>
      <w:pPr>
        <w:pStyle w:val="Style35"/>
        <w:keepNext w:val="0"/>
        <w:keepLines w:val="0"/>
        <w:widowControl w:val="0"/>
        <w:numPr>
          <w:ilvl w:val="0"/>
          <w:numId w:val="3"/>
        </w:numPr>
        <w:shd w:val="clear" w:color="auto" w:fill="auto"/>
        <w:tabs>
          <w:tab w:pos="733" w:val="left"/>
        </w:tabs>
        <w:bidi w:val="0"/>
        <w:spacing w:before="0" w:after="0" w:line="312" w:lineRule="exact"/>
        <w:ind w:left="0" w:right="0" w:firstLine="360"/>
        <w:jc w:val="both"/>
      </w:pPr>
      <w:bookmarkStart w:id="522" w:name="bookmark522"/>
      <w:bookmarkEnd w:id="522"/>
      <w:r>
        <w:rPr>
          <w:color w:val="000000"/>
          <w:spacing w:val="0"/>
          <w:w w:val="100"/>
          <w:position w:val="0"/>
        </w:rPr>
        <w:t>以公允价值计量且其变动计入当期损益的金融资产（金融负债）</w:t>
      </w:r>
    </w:p>
    <w:p>
      <w:pPr>
        <w:pStyle w:val="Style3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取得时以公允价值（扣除已宣告但尚未发放的现金股利或已到付息期但尚未领取的债券利息）作为初始确认金额，相关 的交易费用计入当期损益。</w:t>
      </w:r>
    </w:p>
    <w:p>
      <w:pPr>
        <w:pStyle w:val="Style3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持有期间将取得的利息或现金股利确认为投资收益，期末将公允价值变动计入当期损益。</w:t>
      </w:r>
    </w:p>
    <w:p>
      <w:pPr>
        <w:pStyle w:val="Style35"/>
        <w:keepNext w:val="0"/>
        <w:keepLines w:val="0"/>
        <w:widowControl w:val="0"/>
        <w:shd w:val="clear" w:color="auto" w:fill="auto"/>
        <w:bidi w:val="0"/>
        <w:spacing w:before="0" w:after="280" w:line="312" w:lineRule="exact"/>
        <w:ind w:left="0" w:right="0" w:firstLine="360"/>
        <w:jc w:val="both"/>
      </w:pPr>
      <w:r>
        <w:rPr>
          <w:color w:val="000000"/>
          <w:spacing w:val="0"/>
          <w:w w:val="100"/>
          <w:position w:val="0"/>
        </w:rPr>
        <w:t>处置时，其公允价值与初始入账金额之间的差额确认为投资收益，同时调整公允价值变动损益。</w:t>
      </w:r>
    </w:p>
    <w:p>
      <w:pPr>
        <w:pStyle w:val="Style35"/>
        <w:keepNext w:val="0"/>
        <w:keepLines w:val="0"/>
        <w:widowControl w:val="0"/>
        <w:numPr>
          <w:ilvl w:val="0"/>
          <w:numId w:val="3"/>
        </w:numPr>
        <w:shd w:val="clear" w:color="auto" w:fill="auto"/>
        <w:tabs>
          <w:tab w:pos="733" w:val="left"/>
        </w:tabs>
        <w:bidi w:val="0"/>
        <w:spacing w:before="0" w:after="0" w:line="312" w:lineRule="exact"/>
        <w:ind w:left="0" w:right="0" w:firstLine="360"/>
        <w:jc w:val="both"/>
      </w:pPr>
      <w:bookmarkStart w:id="523" w:name="bookmark523"/>
      <w:bookmarkEnd w:id="523"/>
      <w:r>
        <w:rPr>
          <w:color w:val="000000"/>
          <w:spacing w:val="0"/>
          <w:w w:val="100"/>
          <w:position w:val="0"/>
        </w:rPr>
        <w:t>持有至到期投资</w:t>
      </w:r>
    </w:p>
    <w:p>
      <w:pPr>
        <w:pStyle w:val="Style3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取得时按公允价值（扣除已到付息期但尚未领取的债券利息）和相关交易费用之和作为初始确认金额。</w:t>
      </w:r>
    </w:p>
    <w:p>
      <w:pPr>
        <w:pStyle w:val="Style3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持有期间按照摊余成本和实际利率计算确认利息收入，计入投资收益。实际利率在取得时确定，在该预期存续期间或适 用的更短期间内保持不变。</w:t>
      </w:r>
    </w:p>
    <w:p>
      <w:pPr>
        <w:pStyle w:val="Style35"/>
        <w:keepNext w:val="0"/>
        <w:keepLines w:val="0"/>
        <w:widowControl w:val="0"/>
        <w:shd w:val="clear" w:color="auto" w:fill="auto"/>
        <w:bidi w:val="0"/>
        <w:spacing w:before="0" w:after="280" w:line="312" w:lineRule="exact"/>
        <w:ind w:left="0" w:right="0" w:firstLine="360"/>
        <w:jc w:val="left"/>
      </w:pPr>
      <w:r>
        <w:rPr>
          <w:color w:val="000000"/>
          <w:spacing w:val="0"/>
          <w:w w:val="100"/>
          <w:position w:val="0"/>
        </w:rPr>
        <w:t>处置时，将所取得价款与该投资账面价值之间的差额计入投资收益。</w:t>
      </w:r>
    </w:p>
    <w:p>
      <w:pPr>
        <w:pStyle w:val="Style35"/>
        <w:keepNext w:val="0"/>
        <w:keepLines w:val="0"/>
        <w:widowControl w:val="0"/>
        <w:numPr>
          <w:ilvl w:val="0"/>
          <w:numId w:val="3"/>
        </w:numPr>
        <w:shd w:val="clear" w:color="auto" w:fill="auto"/>
        <w:tabs>
          <w:tab w:pos="733" w:val="left"/>
        </w:tabs>
        <w:bidi w:val="0"/>
        <w:spacing w:before="0" w:after="0" w:line="312" w:lineRule="exact"/>
        <w:ind w:left="0" w:right="0" w:firstLine="360"/>
        <w:jc w:val="left"/>
      </w:pPr>
      <w:bookmarkStart w:id="524" w:name="bookmark524"/>
      <w:bookmarkEnd w:id="524"/>
      <w:r>
        <w:rPr>
          <w:color w:val="000000"/>
          <w:spacing w:val="0"/>
          <w:w w:val="100"/>
          <w:position w:val="0"/>
        </w:rPr>
        <w:t>应收款项</w:t>
      </w:r>
    </w:p>
    <w:p>
      <w:pPr>
        <w:pStyle w:val="Style3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公司对外销售商品或提供劳务形成的应收债权，以及公司持有的其他企业的不包括在活跃市场上有报价的债务工具的债 权，包括应收账款、其他应收款等，以向购货方应收的合同或协议价款作为初始确认金额；具有融资性质的，按其现值进行 初始确认。</w:t>
      </w:r>
    </w:p>
    <w:p>
      <w:pPr>
        <w:pStyle w:val="Style35"/>
        <w:keepNext w:val="0"/>
        <w:keepLines w:val="0"/>
        <w:widowControl w:val="0"/>
        <w:shd w:val="clear" w:color="auto" w:fill="auto"/>
        <w:bidi w:val="0"/>
        <w:spacing w:before="0" w:after="280" w:line="312" w:lineRule="exact"/>
        <w:ind w:left="0" w:right="0" w:firstLine="360"/>
        <w:jc w:val="left"/>
      </w:pPr>
      <w:r>
        <w:rPr>
          <w:color w:val="000000"/>
          <w:spacing w:val="0"/>
          <w:w w:val="100"/>
          <w:position w:val="0"/>
        </w:rPr>
        <w:t>收回或处置时，将取得的价款与该应收款项账面价值之间的差额计入当期损益。</w:t>
      </w:r>
    </w:p>
    <w:p>
      <w:pPr>
        <w:pStyle w:val="Style35"/>
        <w:keepNext w:val="0"/>
        <w:keepLines w:val="0"/>
        <w:widowControl w:val="0"/>
        <w:numPr>
          <w:ilvl w:val="0"/>
          <w:numId w:val="3"/>
        </w:numPr>
        <w:shd w:val="clear" w:color="auto" w:fill="auto"/>
        <w:tabs>
          <w:tab w:pos="733" w:val="left"/>
        </w:tabs>
        <w:bidi w:val="0"/>
        <w:spacing w:before="0" w:after="0" w:line="312" w:lineRule="exact"/>
        <w:ind w:left="0" w:right="0" w:firstLine="360"/>
        <w:jc w:val="left"/>
      </w:pPr>
      <w:bookmarkStart w:id="525" w:name="bookmark525"/>
      <w:bookmarkEnd w:id="525"/>
      <w:r>
        <w:rPr>
          <w:color w:val="000000"/>
          <w:spacing w:val="0"/>
          <w:w w:val="100"/>
          <w:position w:val="0"/>
        </w:rPr>
        <w:t>可供出售金融资产</w:t>
      </w:r>
    </w:p>
    <w:p>
      <w:pPr>
        <w:pStyle w:val="Style3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取得时按公允价值（扣除已宣告但尚未发放的现金股利或已到付息期但尚未领取的债券利息）和相关交易费用之和作为 初始确认金额。</w:t>
      </w:r>
    </w:p>
    <w:p>
      <w:pPr>
        <w:pStyle w:val="Style3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持有期间将取得的利息或现金股利确认为投资收益。期末以公允价值计量且将公允价值变动计入资本公积（其他资本公 积）。</w:t>
      </w:r>
    </w:p>
    <w:p>
      <w:pPr>
        <w:pStyle w:val="Style35"/>
        <w:keepNext w:val="0"/>
        <w:keepLines w:val="0"/>
        <w:widowControl w:val="0"/>
        <w:shd w:val="clear" w:color="auto" w:fill="auto"/>
        <w:bidi w:val="0"/>
        <w:spacing w:before="0" w:after="280" w:line="312" w:lineRule="exact"/>
        <w:ind w:left="0" w:right="0" w:firstLine="360"/>
        <w:jc w:val="both"/>
      </w:pPr>
      <w:r>
        <w:rPr>
          <w:color w:val="000000"/>
          <w:spacing w:val="0"/>
          <w:w w:val="100"/>
          <w:position w:val="0"/>
        </w:rPr>
        <w:t>处置时，将取得的价款与该金融资产账面价值之间的差额，计入投资损益；同时，将原直接计入所有者权益的公允价值 变动累计额对应处置部分的金额转出，计入投资损益。</w:t>
      </w:r>
    </w:p>
    <w:p>
      <w:pPr>
        <w:pStyle w:val="Style35"/>
        <w:keepNext w:val="0"/>
        <w:keepLines w:val="0"/>
        <w:widowControl w:val="0"/>
        <w:numPr>
          <w:ilvl w:val="0"/>
          <w:numId w:val="3"/>
        </w:numPr>
        <w:shd w:val="clear" w:color="auto" w:fill="auto"/>
        <w:tabs>
          <w:tab w:pos="733" w:val="left"/>
        </w:tabs>
        <w:bidi w:val="0"/>
        <w:spacing w:before="0" w:after="0" w:line="312" w:lineRule="exact"/>
        <w:ind w:left="0" w:right="0" w:firstLine="360"/>
        <w:jc w:val="both"/>
      </w:pPr>
      <w:bookmarkStart w:id="526" w:name="bookmark526"/>
      <w:bookmarkEnd w:id="526"/>
      <w:r>
        <w:rPr>
          <w:color w:val="000000"/>
          <w:spacing w:val="0"/>
          <w:w w:val="100"/>
          <w:position w:val="0"/>
        </w:rPr>
        <w:t>其他金融负债</w:t>
      </w:r>
    </w:p>
    <w:p>
      <w:pPr>
        <w:pStyle w:val="Style35"/>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按其公允价值和相关交易费用之和作为初始确认金额。采用摊余成本进行后续计量。</w:t>
      </w:r>
    </w:p>
    <w:p>
      <w:pPr>
        <w:pStyle w:val="Style40"/>
        <w:keepNext/>
        <w:keepLines/>
        <w:widowControl w:val="0"/>
        <w:shd w:val="clear" w:color="auto" w:fill="auto"/>
        <w:tabs>
          <w:tab w:pos="498" w:val="left"/>
        </w:tabs>
        <w:bidi w:val="0"/>
        <w:spacing w:before="0" w:after="28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rPr>
        <w:t>（</w:t>
      </w:r>
      <w:bookmarkEnd w:id="529"/>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527"/>
      <w:bookmarkEnd w:id="528"/>
      <w:bookmarkEnd w:id="530"/>
    </w:p>
    <w:p>
      <w:pPr>
        <w:pStyle w:val="Style3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公司发生金融资产转移时，如已将金融资产所有权上几乎所有的风险和报酬转移给转入方，则终止确认该金融资产;如 保留了金融资产所有权上几乎所有的风险和报酬的，则不终止确认该金融资产。</w:t>
      </w:r>
    </w:p>
    <w:p>
      <w:pPr>
        <w:pStyle w:val="Style3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融资产整体转移和部分转移。金融资产整体转移满足终止确认条件的，将下列两项金额的差额计入当期损益：</w:t>
      </w:r>
    </w:p>
    <w:p>
      <w:pPr>
        <w:pStyle w:val="Style35"/>
        <w:keepNext w:val="0"/>
        <w:keepLines w:val="0"/>
        <w:widowControl w:val="0"/>
        <w:numPr>
          <w:ilvl w:val="0"/>
          <w:numId w:val="5"/>
        </w:numPr>
        <w:shd w:val="clear" w:color="auto" w:fill="auto"/>
        <w:tabs>
          <w:tab w:pos="733" w:val="left"/>
        </w:tabs>
        <w:bidi w:val="0"/>
        <w:spacing w:before="0" w:after="0" w:line="312" w:lineRule="exact"/>
        <w:ind w:left="0" w:right="0" w:firstLine="360"/>
        <w:jc w:val="both"/>
      </w:pPr>
      <w:bookmarkStart w:id="531" w:name="bookmark531"/>
      <w:bookmarkEnd w:id="531"/>
      <w:r>
        <w:rPr>
          <w:color w:val="000000"/>
          <w:spacing w:val="0"/>
          <w:w w:val="100"/>
          <w:position w:val="0"/>
        </w:rPr>
        <w:t>所转移金融资产的账面价值；</w:t>
      </w:r>
    </w:p>
    <w:p>
      <w:pPr>
        <w:pStyle w:val="Style35"/>
        <w:keepNext w:val="0"/>
        <w:keepLines w:val="0"/>
        <w:widowControl w:val="0"/>
        <w:numPr>
          <w:ilvl w:val="0"/>
          <w:numId w:val="5"/>
        </w:numPr>
        <w:shd w:val="clear" w:color="auto" w:fill="auto"/>
        <w:tabs>
          <w:tab w:pos="373" w:val="left"/>
        </w:tabs>
        <w:bidi w:val="0"/>
        <w:spacing w:before="0" w:after="0" w:line="312" w:lineRule="exact"/>
        <w:ind w:left="0" w:right="0" w:firstLine="360"/>
        <w:jc w:val="both"/>
      </w:pPr>
      <w:bookmarkStart w:id="532" w:name="bookmark532"/>
      <w:bookmarkEnd w:id="532"/>
      <w:r>
        <w:rPr>
          <w:color w:val="000000"/>
          <w:spacing w:val="0"/>
          <w:w w:val="100"/>
          <w:position w:val="0"/>
        </w:rPr>
        <w:t xml:space="preserve">因转移而收到的对价，与原直接计入所有者权益的公允价值变动累计额（涉及转移的金融资产为可供出售金融资产 </w:t>
      </w:r>
      <w:r>
        <w:rPr>
          <w:color w:val="000000"/>
          <w:spacing w:val="0"/>
          <w:w w:val="100"/>
          <w:position w:val="0"/>
        </w:rPr>
        <w:t>的情形）之和。</w:t>
      </w:r>
    </w:p>
    <w:p>
      <w:pPr>
        <w:pStyle w:val="Style35"/>
        <w:keepNext w:val="0"/>
        <w:keepLines w:val="0"/>
        <w:widowControl w:val="0"/>
        <w:shd w:val="clear" w:color="auto" w:fill="auto"/>
        <w:bidi w:val="0"/>
        <w:spacing w:before="0" w:after="0" w:line="314" w:lineRule="exact"/>
        <w:ind w:left="0" w:right="0" w:firstLine="360"/>
        <w:jc w:val="left"/>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35"/>
        <w:keepNext w:val="0"/>
        <w:keepLines w:val="0"/>
        <w:widowControl w:val="0"/>
        <w:numPr>
          <w:ilvl w:val="0"/>
          <w:numId w:val="7"/>
        </w:numPr>
        <w:shd w:val="clear" w:color="auto" w:fill="auto"/>
        <w:tabs>
          <w:tab w:pos="733" w:val="left"/>
        </w:tabs>
        <w:bidi w:val="0"/>
        <w:spacing w:before="0" w:after="0" w:line="314" w:lineRule="exact"/>
        <w:ind w:left="0" w:right="0" w:firstLine="360"/>
        <w:jc w:val="both"/>
      </w:pPr>
      <w:bookmarkStart w:id="533" w:name="bookmark533"/>
      <w:bookmarkEnd w:id="533"/>
      <w:r>
        <w:rPr>
          <w:color w:val="000000"/>
          <w:spacing w:val="0"/>
          <w:w w:val="100"/>
          <w:position w:val="0"/>
        </w:rPr>
        <w:t>终止确认部分的账面价值；</w:t>
      </w:r>
    </w:p>
    <w:p>
      <w:pPr>
        <w:pStyle w:val="Style35"/>
        <w:keepNext w:val="0"/>
        <w:keepLines w:val="0"/>
        <w:widowControl w:val="0"/>
        <w:numPr>
          <w:ilvl w:val="0"/>
          <w:numId w:val="7"/>
        </w:numPr>
        <w:shd w:val="clear" w:color="auto" w:fill="auto"/>
        <w:tabs>
          <w:tab w:pos="723" w:val="left"/>
        </w:tabs>
        <w:bidi w:val="0"/>
        <w:spacing w:before="0" w:after="0" w:line="314" w:lineRule="exact"/>
        <w:ind w:left="0" w:right="0" w:firstLine="360"/>
        <w:jc w:val="both"/>
      </w:pPr>
      <w:bookmarkStart w:id="534" w:name="bookmark534"/>
      <w:bookmarkEnd w:id="534"/>
      <w:r>
        <w:rPr>
          <w:color w:val="000000"/>
          <w:spacing w:val="0"/>
          <w:w w:val="100"/>
          <w:position w:val="0"/>
        </w:rPr>
        <w:t>终止确认部分的对价，与原直接计入所有者权益的公允价值变动累计额中对应终止确认部分的金额（涉及转移的金 融资产为可供出售金融资产的情形）之和。</w:t>
      </w:r>
    </w:p>
    <w:p>
      <w:pPr>
        <w:pStyle w:val="Style35"/>
        <w:keepNext w:val="0"/>
        <w:keepLines w:val="0"/>
        <w:widowControl w:val="0"/>
        <w:shd w:val="clear" w:color="auto" w:fill="auto"/>
        <w:bidi w:val="0"/>
        <w:spacing w:before="0" w:after="360" w:line="314" w:lineRule="exact"/>
        <w:ind w:left="0" w:right="0" w:firstLine="360"/>
        <w:jc w:val="both"/>
      </w:pPr>
      <w:r>
        <w:rPr>
          <w:color w:val="000000"/>
          <w:spacing w:val="0"/>
          <w:w w:val="100"/>
          <w:position w:val="0"/>
        </w:rPr>
        <w:t>金融资产转移不满足终止确认条件的，继续确认该金融资产，所收到的对价确认为一项金融负债。</w:t>
      </w:r>
    </w:p>
    <w:p>
      <w:pPr>
        <w:pStyle w:val="Style40"/>
        <w:keepNext/>
        <w:keepLines/>
        <w:widowControl w:val="0"/>
        <w:shd w:val="clear" w:color="auto" w:fill="auto"/>
        <w:tabs>
          <w:tab w:pos="498" w:val="left"/>
        </w:tabs>
        <w:bidi w:val="0"/>
        <w:spacing w:before="0" w:after="30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rPr>
        <w:t>（</w:t>
      </w:r>
      <w:bookmarkEnd w:id="537"/>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535"/>
      <w:bookmarkEnd w:id="536"/>
      <w:bookmarkEnd w:id="538"/>
    </w:p>
    <w:p>
      <w:pPr>
        <w:pStyle w:val="Style3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3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3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35"/>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40"/>
        <w:keepNext/>
        <w:keepLines/>
        <w:widowControl w:val="0"/>
        <w:shd w:val="clear" w:color="auto" w:fill="auto"/>
        <w:tabs>
          <w:tab w:pos="498" w:val="left"/>
        </w:tabs>
        <w:bidi w:val="0"/>
        <w:spacing w:before="0" w:after="30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rPr>
        <w:t>（</w:t>
      </w:r>
      <w:bookmarkEnd w:id="541"/>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539"/>
      <w:bookmarkEnd w:id="540"/>
      <w:bookmarkEnd w:id="542"/>
    </w:p>
    <w:p>
      <w:pPr>
        <w:pStyle w:val="Style35"/>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本公司采用公允价值计量的金融资产和金融负债全部直接参考活跃市场中的报价。</w:t>
      </w:r>
    </w:p>
    <w:p>
      <w:pPr>
        <w:pStyle w:val="Style40"/>
        <w:keepNext/>
        <w:keepLines/>
        <w:widowControl w:val="0"/>
        <w:shd w:val="clear" w:color="auto" w:fill="auto"/>
        <w:tabs>
          <w:tab w:pos="498" w:val="left"/>
        </w:tabs>
        <w:bidi w:val="0"/>
        <w:spacing w:before="0" w:after="300" w:line="240" w:lineRule="auto"/>
        <w:ind w:left="0" w:right="0" w:firstLine="0"/>
        <w:jc w:val="left"/>
      </w:pPr>
      <w:bookmarkStart w:id="543" w:name="bookmark543"/>
      <w:bookmarkStart w:id="544" w:name="bookmark544"/>
      <w:bookmarkStart w:id="545" w:name="bookmark545"/>
      <w:bookmarkStart w:id="546" w:name="bookmark546"/>
      <w:r>
        <w:rPr>
          <w:color w:val="000000"/>
          <w:spacing w:val="0"/>
          <w:w w:val="100"/>
          <w:position w:val="0"/>
        </w:rPr>
        <w:t>（</w:t>
      </w:r>
      <w:bookmarkEnd w:id="545"/>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543"/>
      <w:bookmarkEnd w:id="544"/>
      <w:bookmarkEnd w:id="546"/>
    </w:p>
    <w:p>
      <w:pPr>
        <w:pStyle w:val="Style35"/>
        <w:keepNext w:val="0"/>
        <w:keepLines w:val="0"/>
        <w:widowControl w:val="0"/>
        <w:shd w:val="clear" w:color="auto" w:fill="auto"/>
        <w:bidi w:val="0"/>
        <w:spacing w:before="0" w:after="0" w:line="310" w:lineRule="exact"/>
        <w:ind w:left="0" w:right="0" w:firstLine="360"/>
        <w:jc w:val="both"/>
      </w:pPr>
      <w:r>
        <w:rPr>
          <w:color w:val="000000"/>
          <w:spacing w:val="0"/>
          <w:w w:val="100"/>
          <w:position w:val="0"/>
        </w:rPr>
        <w:t>除以公允价值计量且其变动计入当期损益的金融资产外，本公司于资产负债表日对金融资产的账面价值进行检查，如果 有客观证据表明某项金融资产发生减值的，计提减值准备。</w:t>
      </w:r>
    </w:p>
    <w:p>
      <w:pPr>
        <w:pStyle w:val="Style35"/>
        <w:keepNext w:val="0"/>
        <w:keepLines w:val="0"/>
        <w:widowControl w:val="0"/>
        <w:numPr>
          <w:ilvl w:val="0"/>
          <w:numId w:val="9"/>
        </w:numPr>
        <w:shd w:val="clear" w:color="auto" w:fill="auto"/>
        <w:tabs>
          <w:tab w:pos="733" w:val="left"/>
        </w:tabs>
        <w:bidi w:val="0"/>
        <w:spacing w:before="0" w:after="0" w:line="310" w:lineRule="exact"/>
        <w:ind w:left="0" w:right="0" w:firstLine="360"/>
        <w:jc w:val="both"/>
      </w:pPr>
      <w:bookmarkStart w:id="547" w:name="bookmark547"/>
      <w:bookmarkEnd w:id="547"/>
      <w:r>
        <w:rPr>
          <w:color w:val="000000"/>
          <w:spacing w:val="0"/>
          <w:w w:val="100"/>
          <w:position w:val="0"/>
        </w:rPr>
        <w:t>可供出售金融资产的减值准备：</w:t>
      </w:r>
    </w:p>
    <w:p>
      <w:pPr>
        <w:pStyle w:val="Style35"/>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期末如果可供出售金融资产的公允价值发生较大幅度下降，或在综合考虑各种相关因素后，预期这种下降趋势属于非暂 时性的，就认定其已发生减值，将原直接计入所有者权益的公允价值下降形成的累计损失一并转出，确认减值损失。</w:t>
      </w:r>
    </w:p>
    <w:p>
      <w:pPr>
        <w:pStyle w:val="Style35"/>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对于已确认减值损失的可供出售债务工具，在随后的会计期间公允价值已上升且客观上与确认原减值损失确认后发生的 事项有关的，原确认的减值损失予以转回，计入当期损益。</w:t>
      </w:r>
    </w:p>
    <w:p>
      <w:pPr>
        <w:pStyle w:val="Style35"/>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可供出售权益工具投资发生的减值损失，不得通过损益转回。</w:t>
      </w:r>
    </w:p>
    <w:p>
      <w:pPr>
        <w:pStyle w:val="Style35"/>
        <w:keepNext w:val="0"/>
        <w:keepLines w:val="0"/>
        <w:widowControl w:val="0"/>
        <w:numPr>
          <w:ilvl w:val="0"/>
          <w:numId w:val="9"/>
        </w:numPr>
        <w:shd w:val="clear" w:color="auto" w:fill="auto"/>
        <w:tabs>
          <w:tab w:pos="733" w:val="left"/>
        </w:tabs>
        <w:bidi w:val="0"/>
        <w:spacing w:before="0" w:after="0" w:line="310" w:lineRule="exact"/>
        <w:ind w:left="0" w:right="0" w:firstLine="360"/>
        <w:jc w:val="both"/>
      </w:pPr>
      <w:bookmarkStart w:id="548" w:name="bookmark548"/>
      <w:bookmarkEnd w:id="548"/>
      <w:r>
        <w:rPr>
          <w:color w:val="000000"/>
          <w:spacing w:val="0"/>
          <w:w w:val="100"/>
          <w:position w:val="0"/>
        </w:rPr>
        <w:t>持有至到期投资的减值准备：</w:t>
      </w:r>
    </w:p>
    <w:p>
      <w:pPr>
        <w:pStyle w:val="Style35"/>
        <w:keepNext w:val="0"/>
        <w:keepLines w:val="0"/>
        <w:widowControl w:val="0"/>
        <w:shd w:val="clear" w:color="auto" w:fill="auto"/>
        <w:bidi w:val="0"/>
        <w:spacing w:before="0" w:after="360" w:line="310" w:lineRule="exact"/>
        <w:ind w:left="0" w:right="0" w:firstLine="360"/>
        <w:jc w:val="left"/>
      </w:pPr>
      <w:r>
        <w:rPr>
          <w:color w:val="000000"/>
          <w:spacing w:val="0"/>
          <w:w w:val="100"/>
          <w:position w:val="0"/>
        </w:rPr>
        <w:t>持有至到期投资减值损失的计量比照应收款项减值损失计量方法处理。</w:t>
      </w:r>
    </w:p>
    <w:p>
      <w:pPr>
        <w:pStyle w:val="Style40"/>
        <w:keepNext/>
        <w:keepLines/>
        <w:widowControl w:val="0"/>
        <w:shd w:val="clear" w:color="auto" w:fill="auto"/>
        <w:bidi w:val="0"/>
        <w:spacing w:before="0" w:after="36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1</w:t>
      </w:r>
      <w:bookmarkEnd w:id="551"/>
      <w:r>
        <w:rPr>
          <w:rFonts w:ascii="Times New Roman" w:eastAsia="Times New Roman" w:hAnsi="Times New Roman" w:cs="Times New Roman"/>
          <w:color w:val="000000"/>
          <w:spacing w:val="0"/>
          <w:w w:val="100"/>
          <w:position w:val="0"/>
        </w:rPr>
        <w:t>0</w:t>
      </w:r>
      <w:r>
        <w:rPr>
          <w:color w:val="000000"/>
          <w:spacing w:val="0"/>
          <w:w w:val="100"/>
          <w:position w:val="0"/>
        </w:rPr>
        <w:t>、应收款项坏账准备的确认标准和计提方法</w:t>
      </w:r>
      <w:bookmarkEnd w:id="549"/>
      <w:bookmarkEnd w:id="550"/>
      <w:bookmarkEnd w:id="552"/>
    </w:p>
    <w:p>
      <w:pPr>
        <w:pStyle w:val="Style40"/>
        <w:keepNext/>
        <w:keepLines/>
        <w:widowControl w:val="0"/>
        <w:shd w:val="clear" w:color="auto" w:fill="auto"/>
        <w:bidi w:val="0"/>
        <w:spacing w:before="0" w:after="300" w:line="240" w:lineRule="auto"/>
        <w:ind w:left="0" w:right="0" w:firstLine="0"/>
        <w:jc w:val="left"/>
      </w:pPr>
      <w:bookmarkStart w:id="549" w:name="bookmark549"/>
      <w:bookmarkStart w:id="550" w:name="bookmark550"/>
      <w:bookmarkStart w:id="553" w:name="bookmark553"/>
      <w:bookmarkStart w:id="554" w:name="bookmark554"/>
      <w:r>
        <w:rPr>
          <w:rFonts w:ascii="Times New Roman" w:eastAsia="Times New Roman" w:hAnsi="Times New Roman" w:cs="Times New Roman"/>
          <w:color w:val="000000"/>
          <w:spacing w:val="0"/>
          <w:w w:val="100"/>
          <w:position w:val="0"/>
        </w:rPr>
        <w:t>（</w:t>
      </w:r>
      <w:bookmarkEnd w:id="553"/>
      <w:r>
        <w:rPr>
          <w:rFonts w:ascii="Times New Roman" w:eastAsia="Times New Roman" w:hAnsi="Times New Roman" w:cs="Times New Roman"/>
          <w:color w:val="000000"/>
          <w:spacing w:val="0"/>
          <w:w w:val="100"/>
          <w:position w:val="0"/>
        </w:rPr>
        <w:t>1</w:t>
      </w:r>
      <w:r>
        <w:rPr>
          <w:color w:val="000000"/>
          <w:spacing w:val="0"/>
          <w:w w:val="100"/>
          <w:position w:val="0"/>
        </w:rPr>
        <w:t>）单项金额重大的应收款项坏账准备</w:t>
      </w:r>
      <w:bookmarkEnd w:id="549"/>
      <w:bookmarkEnd w:id="550"/>
      <w:bookmarkEnd w:id="554"/>
    </w:p>
    <w:tbl>
      <w:tblPr>
        <w:tblOverlap w:val="never"/>
        <w:jc w:val="center"/>
        <w:tblLayout w:type="fixed"/>
      </w:tblPr>
      <w:tblGrid>
        <w:gridCol w:w="4824"/>
        <w:gridCol w:w="475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期末单项余额在</w:t>
            </w:r>
            <w:r>
              <w:rPr>
                <w:rFonts w:ascii="Times New Roman" w:eastAsia="Times New Roman" w:hAnsi="Times New Roman" w:cs="Times New Roman"/>
                <w:color w:val="000000"/>
                <w:spacing w:val="0"/>
                <w:w w:val="100"/>
                <w:position w:val="0"/>
              </w:rPr>
              <w:t>200</w:t>
            </w:r>
            <w:r>
              <w:rPr>
                <w:color w:val="000000"/>
                <w:spacing w:val="0"/>
                <w:w w:val="100"/>
                <w:position w:val="0"/>
              </w:rPr>
              <w:t>万元以上的应收账款。</w:t>
            </w:r>
          </w:p>
        </w:tc>
      </w:tr>
      <w:tr>
        <w:trPr>
          <w:trHeight w:val="42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单独进行减值测试，如果客观证据表明其发生了减值的，根</w:t>
            </w:r>
          </w:p>
        </w:tc>
      </w:tr>
    </w:tbl>
    <w:p>
      <w:pPr>
        <w:widowControl w:val="0"/>
        <w:spacing w:line="1" w:lineRule="exact"/>
      </w:pPr>
      <w:r>
        <w:br w:type="page"/>
      </w:r>
    </w:p>
    <w:tbl>
      <w:tblPr>
        <w:tblOverlap w:val="never"/>
        <w:jc w:val="center"/>
        <w:tblLayout w:type="fixed"/>
      </w:tblPr>
      <w:tblGrid>
        <w:gridCol w:w="4824"/>
        <w:gridCol w:w="4757"/>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据其未来现金流量低于其账面价值的差额确认减值损失。</w:t>
            </w:r>
          </w:p>
        </w:tc>
      </w:tr>
    </w:tbl>
    <w:p>
      <w:pPr>
        <w:widowControl w:val="0"/>
        <w:spacing w:after="319" w:line="1" w:lineRule="exact"/>
      </w:pPr>
    </w:p>
    <w:p>
      <w:pPr>
        <w:pStyle w:val="Style40"/>
        <w:keepNext/>
        <w:keepLines/>
        <w:widowControl w:val="0"/>
        <w:numPr>
          <w:ilvl w:val="0"/>
          <w:numId w:val="11"/>
        </w:numPr>
        <w:shd w:val="clear" w:color="auto" w:fill="auto"/>
        <w:bidi w:val="0"/>
        <w:spacing w:before="0" w:after="320" w:line="240" w:lineRule="auto"/>
        <w:ind w:left="0" w:right="0" w:firstLine="0"/>
        <w:jc w:val="left"/>
      </w:pPr>
      <w:bookmarkStart w:id="555" w:name="bookmark555"/>
      <w:bookmarkStart w:id="556" w:name="bookmark556"/>
      <w:bookmarkStart w:id="557" w:name="bookmark557"/>
      <w:bookmarkStart w:id="558" w:name="bookmark558"/>
      <w:bookmarkEnd w:id="557"/>
      <w:r>
        <w:rPr>
          <w:color w:val="000000"/>
          <w:spacing w:val="0"/>
          <w:w w:val="100"/>
          <w:position w:val="0"/>
        </w:rPr>
        <w:t>按组合计提坏账准备的应收款项</w:t>
      </w:r>
      <w:bookmarkEnd w:id="555"/>
      <w:bookmarkEnd w:id="556"/>
      <w:bookmarkEnd w:id="558"/>
    </w:p>
    <w:tbl>
      <w:tblPr>
        <w:tblOverlap w:val="never"/>
        <w:jc w:val="center"/>
        <w:tblLayout w:type="fixed"/>
      </w:tblPr>
      <w:tblGrid>
        <w:gridCol w:w="1987"/>
        <w:gridCol w:w="2798"/>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按组合计提坏账准备的计提方法</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按账龄分析法计提坏账准备的应收款项</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内部及关联方应收款项</w:t>
            </w:r>
            <w:r>
              <w:rPr>
                <w:color w:val="000000"/>
                <w:spacing w:val="0"/>
                <w:w w:val="100"/>
                <w:position w:val="0"/>
              </w:rPr>
              <w:t>，</w:t>
            </w:r>
            <w:r>
              <w:rPr>
                <w:color w:val="000000"/>
                <w:spacing w:val="0"/>
                <w:w w:val="100"/>
                <w:position w:val="0"/>
              </w:rPr>
              <w:t>除有确定依据表明无法收回全额计 提坏账准备外，不确认坏账准备</w:t>
            </w:r>
          </w:p>
        </w:tc>
      </w:tr>
    </w:tbl>
    <w:p>
      <w:pPr>
        <w:widowControl w:val="0"/>
        <w:spacing w:after="7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w:t>
      </w:r>
    </w:p>
    <w:p>
      <w:pPr>
        <w:pStyle w:val="Style3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02"/>
        <w:gridCol w:w="2976"/>
        <w:gridCol w:w="4003"/>
      </w:tblGrid>
      <w:tr>
        <w:trPr>
          <w:trHeight w:val="40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6-12</w:t>
            </w:r>
            <w:r>
              <w:rPr>
                <w:color w:val="000000"/>
                <w:spacing w:val="0"/>
                <w:w w:val="100"/>
                <w:position w:val="0"/>
              </w:rPr>
              <w:t>个月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262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2620" w:right="0" w:firstLine="0"/>
              <w:jc w:val="left"/>
            </w:pPr>
            <w:r>
              <w:rPr>
                <w:rFonts w:ascii="Times New Roman" w:eastAsia="Times New Roman" w:hAnsi="Times New Roman" w:cs="Times New Roman"/>
                <w:color w:val="000000"/>
                <w:spacing w:val="0"/>
                <w:w w:val="100"/>
                <w:position w:val="0"/>
              </w:rPr>
              <w:t>15%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413"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7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w:t>
      </w:r>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w:t>
      </w:r>
    </w:p>
    <w:p>
      <w:pPr>
        <w:pStyle w:val="Style3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numPr>
          <w:ilvl w:val="0"/>
          <w:numId w:val="11"/>
        </w:numPr>
        <w:shd w:val="clear" w:color="auto" w:fill="auto"/>
        <w:bidi w:val="0"/>
        <w:spacing w:before="0" w:after="320" w:line="240" w:lineRule="auto"/>
        <w:ind w:left="0" w:right="0" w:firstLine="0"/>
        <w:jc w:val="left"/>
      </w:pPr>
      <w:bookmarkStart w:id="559" w:name="bookmark559"/>
      <w:bookmarkStart w:id="560" w:name="bookmark560"/>
      <w:bookmarkStart w:id="561" w:name="bookmark561"/>
      <w:bookmarkStart w:id="562" w:name="bookmark562"/>
      <w:bookmarkEnd w:id="561"/>
      <w:r>
        <w:rPr>
          <w:color w:val="000000"/>
          <w:spacing w:val="0"/>
          <w:w w:val="100"/>
          <w:position w:val="0"/>
        </w:rPr>
        <w:t>单项金额虽不重大但单项计提坏账准备的应收账款</w:t>
      </w:r>
      <w:bookmarkEnd w:id="559"/>
      <w:bookmarkEnd w:id="560"/>
      <w:bookmarkEnd w:id="562"/>
    </w:p>
    <w:tbl>
      <w:tblPr>
        <w:tblOverlap w:val="never"/>
        <w:jc w:val="center"/>
        <w:tblLayout w:type="fixed"/>
      </w:tblPr>
      <w:tblGrid>
        <w:gridCol w:w="3355"/>
        <w:gridCol w:w="622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涉及诉讼或对应收款项金额存在争议的应收款项。</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单独进行减值测试，如果客观证据表明其发生了减值的，根据其未来现金流量 低于其账面价值的差额确认减值损失。</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1</w:t>
      </w:r>
      <w:bookmarkEnd w:id="565"/>
      <w:r>
        <w:rPr>
          <w:rFonts w:ascii="Times New Roman" w:eastAsia="Times New Roman" w:hAnsi="Times New Roman" w:cs="Times New Roman"/>
          <w:color w:val="000000"/>
          <w:spacing w:val="0"/>
          <w:w w:val="100"/>
          <w:position w:val="0"/>
        </w:rPr>
        <w:t>1</w:t>
      </w:r>
      <w:r>
        <w:rPr>
          <w:color w:val="000000"/>
          <w:spacing w:val="0"/>
          <w:w w:val="100"/>
          <w:position w:val="0"/>
        </w:rPr>
        <w:t>、存货</w:t>
      </w:r>
      <w:bookmarkEnd w:id="563"/>
      <w:bookmarkEnd w:id="564"/>
      <w:bookmarkEnd w:id="566"/>
    </w:p>
    <w:p>
      <w:pPr>
        <w:pStyle w:val="Style40"/>
        <w:keepNext/>
        <w:keepLines/>
        <w:widowControl w:val="0"/>
        <w:numPr>
          <w:ilvl w:val="0"/>
          <w:numId w:val="13"/>
        </w:numPr>
        <w:shd w:val="clear" w:color="auto" w:fill="auto"/>
        <w:tabs>
          <w:tab w:pos="498" w:val="left"/>
        </w:tabs>
        <w:bidi w:val="0"/>
        <w:spacing w:before="0" w:after="380" w:line="240" w:lineRule="auto"/>
        <w:ind w:left="0" w:right="0" w:firstLine="0"/>
        <w:jc w:val="left"/>
      </w:pPr>
      <w:bookmarkStart w:id="563" w:name="bookmark563"/>
      <w:bookmarkStart w:id="564" w:name="bookmark564"/>
      <w:bookmarkStart w:id="567" w:name="bookmark567"/>
      <w:bookmarkStart w:id="568" w:name="bookmark568"/>
      <w:bookmarkEnd w:id="567"/>
      <w:r>
        <w:rPr>
          <w:color w:val="000000"/>
          <w:spacing w:val="0"/>
          <w:w w:val="100"/>
          <w:position w:val="0"/>
        </w:rPr>
        <w:t>存货的分类</w:t>
      </w:r>
      <w:bookmarkEnd w:id="563"/>
      <w:bookmarkEnd w:id="564"/>
      <w:bookmarkEnd w:id="568"/>
    </w:p>
    <w:p>
      <w:pPr>
        <w:pStyle w:val="Style35"/>
        <w:keepNext w:val="0"/>
        <w:keepLines w:val="0"/>
        <w:widowControl w:val="0"/>
        <w:shd w:val="clear" w:color="auto" w:fill="auto"/>
        <w:bidi w:val="0"/>
        <w:spacing w:before="0" w:after="380" w:line="240" w:lineRule="auto"/>
        <w:ind w:left="0" w:right="0"/>
        <w:jc w:val="left"/>
      </w:pPr>
      <w:r>
        <w:rPr>
          <w:color w:val="000000"/>
          <w:spacing w:val="0"/>
          <w:w w:val="100"/>
          <w:position w:val="0"/>
        </w:rPr>
        <w:t>存货分类为：在途物资、原材料、周转材料、库存商品、在产品、发出商品、委托加工物资、消耗性生物资产等。</w:t>
      </w:r>
    </w:p>
    <w:p>
      <w:pPr>
        <w:pStyle w:val="Style40"/>
        <w:keepNext/>
        <w:keepLines/>
        <w:widowControl w:val="0"/>
        <w:numPr>
          <w:ilvl w:val="0"/>
          <w:numId w:val="13"/>
        </w:numPr>
        <w:shd w:val="clear" w:color="auto" w:fill="auto"/>
        <w:tabs>
          <w:tab w:pos="498" w:val="left"/>
        </w:tabs>
        <w:bidi w:val="0"/>
        <w:spacing w:before="0" w:after="380" w:line="240" w:lineRule="auto"/>
        <w:ind w:left="0" w:right="0" w:firstLine="0"/>
        <w:jc w:val="left"/>
      </w:pPr>
      <w:bookmarkStart w:id="569" w:name="bookmark569"/>
      <w:bookmarkStart w:id="570" w:name="bookmark570"/>
      <w:bookmarkStart w:id="571" w:name="bookmark571"/>
      <w:bookmarkStart w:id="572" w:name="bookmark572"/>
      <w:bookmarkEnd w:id="571"/>
      <w:r>
        <w:rPr>
          <w:color w:val="000000"/>
          <w:spacing w:val="0"/>
          <w:w w:val="100"/>
          <w:position w:val="0"/>
        </w:rPr>
        <w:t>发出存货的计价方法</w:t>
      </w:r>
      <w:bookmarkEnd w:id="569"/>
      <w:bookmarkEnd w:id="570"/>
      <w:bookmarkEnd w:id="572"/>
    </w:p>
    <w:p>
      <w:pPr>
        <w:pStyle w:val="Style35"/>
        <w:keepNext w:val="0"/>
        <w:keepLines w:val="0"/>
        <w:widowControl w:val="0"/>
        <w:shd w:val="clear" w:color="auto" w:fill="auto"/>
        <w:bidi w:val="0"/>
        <w:spacing w:before="0" w:after="320" w:line="240" w:lineRule="auto"/>
        <w:ind w:left="0" w:right="0"/>
        <w:jc w:val="left"/>
      </w:pPr>
      <w:r>
        <w:rPr>
          <w:color w:val="000000"/>
          <w:spacing w:val="0"/>
          <w:w w:val="100"/>
          <w:position w:val="0"/>
        </w:rPr>
        <w:t>计价方法：加权平均法</w:t>
      </w:r>
    </w:p>
    <w:p>
      <w:pPr>
        <w:pStyle w:val="Style40"/>
        <w:keepNext/>
        <w:keepLines/>
        <w:widowControl w:val="0"/>
        <w:shd w:val="clear" w:color="auto" w:fill="auto"/>
        <w:tabs>
          <w:tab w:pos="498" w:val="left"/>
        </w:tabs>
        <w:bidi w:val="0"/>
        <w:spacing w:before="0" w:after="26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rPr>
        <w:t>（</w:t>
      </w:r>
      <w:bookmarkEnd w:id="575"/>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573"/>
      <w:bookmarkEnd w:id="574"/>
      <w:bookmarkEnd w:id="576"/>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期末对存货进行全面清查后，按存货的成本与可变现净值孰低提取或调整存货跌价准备。</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35"/>
        <w:keepNext w:val="0"/>
        <w:keepLines w:val="0"/>
        <w:widowControl w:val="0"/>
        <w:shd w:val="clear" w:color="auto" w:fill="auto"/>
        <w:bidi w:val="0"/>
        <w:spacing w:before="0" w:after="360" w:line="313" w:lineRule="exact"/>
        <w:ind w:left="0" w:right="0"/>
        <w:jc w:val="both"/>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40"/>
        <w:keepNext/>
        <w:keepLines/>
        <w:widowControl w:val="0"/>
        <w:shd w:val="clear" w:color="auto" w:fill="auto"/>
        <w:tabs>
          <w:tab w:pos="498" w:val="left"/>
        </w:tabs>
        <w:bidi w:val="0"/>
        <w:spacing w:before="0" w:after="260" w:line="240" w:lineRule="auto"/>
        <w:ind w:left="0" w:right="0" w:firstLine="0"/>
        <w:jc w:val="left"/>
      </w:pPr>
      <w:bookmarkStart w:id="577" w:name="bookmark577"/>
      <w:bookmarkStart w:id="578" w:name="bookmark578"/>
      <w:bookmarkStart w:id="579" w:name="bookmark579"/>
      <w:bookmarkStart w:id="580" w:name="bookmark580"/>
      <w:r>
        <w:rPr>
          <w:color w:val="000000"/>
          <w:spacing w:val="0"/>
          <w:w w:val="100"/>
          <w:position w:val="0"/>
        </w:rPr>
        <w:t>（</w:t>
      </w:r>
      <w:bookmarkEnd w:id="579"/>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577"/>
      <w:bookmarkEnd w:id="578"/>
      <w:bookmarkEnd w:id="580"/>
    </w:p>
    <w:p>
      <w:pPr>
        <w:pStyle w:val="Style35"/>
        <w:keepNext w:val="0"/>
        <w:keepLines w:val="0"/>
        <w:widowControl w:val="0"/>
        <w:shd w:val="clear" w:color="auto" w:fill="auto"/>
        <w:bidi w:val="0"/>
        <w:spacing w:before="0" w:after="360" w:line="313" w:lineRule="exact"/>
        <w:ind w:left="0" w:right="0" w:firstLine="0"/>
        <w:jc w:val="left"/>
      </w:pPr>
      <w:r>
        <w:rPr>
          <w:color w:val="000000"/>
          <w:spacing w:val="0"/>
          <w:w w:val="100"/>
          <w:position w:val="0"/>
        </w:rPr>
        <w:t>盘存制度：永续盘存制</w:t>
      </w:r>
    </w:p>
    <w:p>
      <w:pPr>
        <w:pStyle w:val="Style40"/>
        <w:keepNext/>
        <w:keepLines/>
        <w:widowControl w:val="0"/>
        <w:shd w:val="clear" w:color="auto" w:fill="auto"/>
        <w:tabs>
          <w:tab w:pos="498" w:val="left"/>
        </w:tabs>
        <w:bidi w:val="0"/>
        <w:spacing w:before="0" w:after="26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rPr>
        <w:t>（</w:t>
      </w:r>
      <w:bookmarkEnd w:id="583"/>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581"/>
      <w:bookmarkEnd w:id="582"/>
      <w:bookmarkEnd w:id="584"/>
    </w:p>
    <w:p>
      <w:pPr>
        <w:pStyle w:val="Style35"/>
        <w:keepNext w:val="0"/>
        <w:keepLines w:val="0"/>
        <w:widowControl w:val="0"/>
        <w:shd w:val="clear" w:color="auto" w:fill="auto"/>
        <w:bidi w:val="0"/>
        <w:spacing w:before="0" w:after="40" w:line="313" w:lineRule="exact"/>
        <w:ind w:left="0" w:right="0" w:firstLine="0"/>
        <w:jc w:val="left"/>
      </w:pPr>
      <w:r>
        <w:rPr>
          <w:color w:val="000000"/>
          <w:spacing w:val="0"/>
          <w:w w:val="100"/>
          <w:position w:val="0"/>
        </w:rPr>
        <w:t>低值易耗品</w:t>
      </w:r>
    </w:p>
    <w:p>
      <w:pPr>
        <w:pStyle w:val="Style35"/>
        <w:keepNext w:val="0"/>
        <w:keepLines w:val="0"/>
        <w:widowControl w:val="0"/>
        <w:shd w:val="clear" w:color="auto" w:fill="auto"/>
        <w:bidi w:val="0"/>
        <w:spacing w:before="0" w:after="40" w:line="313" w:lineRule="exact"/>
        <w:ind w:left="0" w:right="0" w:firstLine="0"/>
        <w:jc w:val="left"/>
      </w:pPr>
      <w:r>
        <w:rPr>
          <w:color w:val="000000"/>
          <w:spacing w:val="0"/>
          <w:w w:val="100"/>
          <w:position w:val="0"/>
        </w:rPr>
        <w:t>摊销方法：一次摊销法</w:t>
      </w:r>
    </w:p>
    <w:p>
      <w:pPr>
        <w:pStyle w:val="Style35"/>
        <w:keepNext w:val="0"/>
        <w:keepLines w:val="0"/>
        <w:widowControl w:val="0"/>
        <w:shd w:val="clear" w:color="auto" w:fill="auto"/>
        <w:bidi w:val="0"/>
        <w:spacing w:before="0" w:after="40" w:line="313" w:lineRule="exact"/>
        <w:ind w:left="0" w:right="0" w:firstLine="0"/>
        <w:jc w:val="left"/>
      </w:pPr>
      <w:r>
        <w:rPr>
          <w:color w:val="000000"/>
          <w:spacing w:val="0"/>
          <w:w w:val="100"/>
          <w:position w:val="0"/>
        </w:rPr>
        <w:t>包装物</w:t>
      </w:r>
    </w:p>
    <w:p>
      <w:pPr>
        <w:pStyle w:val="Style35"/>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摊销方法：一次摊销法</w:t>
      </w:r>
    </w:p>
    <w:p>
      <w:pPr>
        <w:pStyle w:val="Style40"/>
        <w:keepNext/>
        <w:keepLines/>
        <w:widowControl w:val="0"/>
        <w:shd w:val="clear" w:color="auto" w:fill="auto"/>
        <w:bidi w:val="0"/>
        <w:spacing w:before="0" w:after="36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1</w:t>
      </w:r>
      <w:bookmarkEnd w:id="587"/>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585"/>
      <w:bookmarkEnd w:id="586"/>
      <w:bookmarkEnd w:id="588"/>
    </w:p>
    <w:p>
      <w:pPr>
        <w:pStyle w:val="Style40"/>
        <w:keepNext/>
        <w:keepLines/>
        <w:widowControl w:val="0"/>
        <w:shd w:val="clear" w:color="auto" w:fill="auto"/>
        <w:bidi w:val="0"/>
        <w:spacing w:before="0" w:after="260" w:line="240" w:lineRule="auto"/>
        <w:ind w:left="0" w:right="0" w:firstLine="0"/>
        <w:jc w:val="left"/>
      </w:pPr>
      <w:bookmarkStart w:id="585" w:name="bookmark585"/>
      <w:bookmarkStart w:id="586" w:name="bookmark586"/>
      <w:bookmarkStart w:id="589" w:name="bookmark589"/>
      <w:bookmarkStart w:id="590" w:name="bookmark590"/>
      <w:r>
        <w:rPr>
          <w:color w:val="000000"/>
          <w:spacing w:val="0"/>
          <w:w w:val="100"/>
          <w:position w:val="0"/>
        </w:rPr>
        <w:t>（</w:t>
      </w:r>
      <w:bookmarkEnd w:id="589"/>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585"/>
      <w:bookmarkEnd w:id="586"/>
      <w:bookmarkEnd w:id="590"/>
    </w:p>
    <w:p>
      <w:pPr>
        <w:pStyle w:val="Style35"/>
        <w:keepNext w:val="0"/>
        <w:keepLines w:val="0"/>
        <w:widowControl w:val="0"/>
        <w:numPr>
          <w:ilvl w:val="0"/>
          <w:numId w:val="15"/>
        </w:numPr>
        <w:shd w:val="clear" w:color="auto" w:fill="auto"/>
        <w:bidi w:val="0"/>
        <w:spacing w:before="0" w:after="40" w:line="313" w:lineRule="exact"/>
        <w:ind w:left="0" w:right="0" w:firstLine="0"/>
        <w:jc w:val="left"/>
      </w:pPr>
      <w:bookmarkStart w:id="591" w:name="bookmark591"/>
      <w:bookmarkEnd w:id="591"/>
      <w:r>
        <w:rPr>
          <w:color w:val="000000"/>
          <w:spacing w:val="0"/>
          <w:w w:val="100"/>
          <w:position w:val="0"/>
        </w:rPr>
        <w:t>企业合并形成的长期股权投资</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同一控制下的企业合并：公司以支付现金、转让非现金资产或承担债务方式以及以发行权益性证券作为合并对价的，在 合并日按照取得被合并方所有者权益账面价值的份额作为长期股权投资的初始投资成本。长期股权投资初始投资成本与支付 合并对价之间的差额，调整资本公积中的股本溢价；资本公积中的股本溢价不足冲减的，调整留存收益。合并发生的各项直 接相关费用，包括为进行合并而支付的审计费用、评估费用、法律服务费用等，于发生时计入当期损益。</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非同一控制下的企业合并：公司按照购买日确定的合并成本作为长期股权投资的初始投资成本。合并成本为购买日购买 方为取得对被购买方的控制权而付出的资产、发生或承担的负债以及发行的权益性证券的公允价值。购买方为企业合并而发 生的审计、法律服务、评估咨询等中介费用以及其他相关管理费用于发生时计入当期损益；购买方作为合并对价发行的权益 性证券或债务性证券的交易费用，计入权益性证券或债务性证券的初始确认金额。通过多次交易分步实现的非同一控制下企 业合并，以购买日之前所持被购买方的股权投资的账面价值与购买日新增投资成本之和，作为该项投资的初始投资成本。本 公司将合并协议约定的或有对价作为企业合并转移对价的一部分，按照其在购买日的公允价值计入企业合并成本。</w:t>
      </w:r>
    </w:p>
    <w:p>
      <w:pPr>
        <w:pStyle w:val="Style35"/>
        <w:keepNext w:val="0"/>
        <w:keepLines w:val="0"/>
        <w:widowControl w:val="0"/>
        <w:numPr>
          <w:ilvl w:val="0"/>
          <w:numId w:val="15"/>
        </w:numPr>
        <w:shd w:val="clear" w:color="auto" w:fill="auto"/>
        <w:bidi w:val="0"/>
        <w:spacing w:before="0" w:after="40" w:line="313" w:lineRule="exact"/>
        <w:ind w:left="0" w:right="0" w:firstLine="0"/>
        <w:jc w:val="left"/>
      </w:pPr>
      <w:bookmarkStart w:id="592" w:name="bookmark592"/>
      <w:bookmarkEnd w:id="592"/>
      <w:r>
        <w:rPr>
          <w:color w:val="000000"/>
          <w:spacing w:val="0"/>
          <w:w w:val="100"/>
          <w:position w:val="0"/>
        </w:rPr>
        <w:t>其他方式取得的长期股权投资</w:t>
      </w:r>
    </w:p>
    <w:p>
      <w:pPr>
        <w:pStyle w:val="Style35"/>
        <w:keepNext w:val="0"/>
        <w:keepLines w:val="0"/>
        <w:widowControl w:val="0"/>
        <w:shd w:val="clear" w:color="auto" w:fill="auto"/>
        <w:bidi w:val="0"/>
        <w:spacing w:before="0" w:after="40" w:line="313" w:lineRule="exact"/>
        <w:ind w:left="0" w:right="0"/>
        <w:jc w:val="left"/>
      </w:pPr>
      <w:r>
        <w:rPr>
          <w:color w:val="000000"/>
          <w:spacing w:val="0"/>
          <w:w w:val="100"/>
          <w:position w:val="0"/>
        </w:rPr>
        <w:t>以支付现金方式取得的长期股权投资，按照实际支付的购买价款作为初始投资成本。</w:t>
      </w:r>
    </w:p>
    <w:p>
      <w:pPr>
        <w:pStyle w:val="Style35"/>
        <w:keepNext w:val="0"/>
        <w:keepLines w:val="0"/>
        <w:widowControl w:val="0"/>
        <w:shd w:val="clear" w:color="auto" w:fill="auto"/>
        <w:bidi w:val="0"/>
        <w:spacing w:before="0" w:after="140" w:line="313" w:lineRule="exact"/>
        <w:ind w:left="0" w:right="0"/>
        <w:jc w:val="left"/>
      </w:pPr>
      <w:r>
        <w:rPr>
          <w:color w:val="000000"/>
          <w:spacing w:val="0"/>
          <w:w w:val="100"/>
          <w:position w:val="0"/>
        </w:rPr>
        <w:t>以发行权益性证券取得的长期股权投资，按照发行权益性证券的公允价值作为初始投资成本。</w:t>
      </w:r>
    </w:p>
    <w:p>
      <w:pPr>
        <w:pStyle w:val="Style35"/>
        <w:keepNext w:val="0"/>
        <w:keepLines w:val="0"/>
        <w:widowControl w:val="0"/>
        <w:shd w:val="clear" w:color="auto" w:fill="auto"/>
        <w:bidi w:val="0"/>
        <w:spacing w:before="0" w:after="0" w:line="307" w:lineRule="exact"/>
        <w:ind w:left="0" w:right="0"/>
        <w:jc w:val="both"/>
      </w:pPr>
      <w:r>
        <w:rPr>
          <w:color w:val="000000"/>
          <w:spacing w:val="0"/>
          <w:w w:val="100"/>
          <w:position w:val="0"/>
        </w:rPr>
        <w:t>投资者投入的长期股权投资，按照投资合同或协议约定的价值（扣除已宣告但尚未发放的现金股利或利润）作为初始投 资成本，但合同或协议约定价值不公允的除外。</w:t>
      </w:r>
    </w:p>
    <w:p>
      <w:pPr>
        <w:pStyle w:val="Style35"/>
        <w:keepNext w:val="0"/>
        <w:keepLines w:val="0"/>
        <w:widowControl w:val="0"/>
        <w:shd w:val="clear" w:color="auto" w:fill="auto"/>
        <w:bidi w:val="0"/>
        <w:spacing w:before="0" w:after="360" w:line="312" w:lineRule="exact"/>
        <w:ind w:left="0" w:right="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长期股权投资以换出资产的公允价值为基础确定其初始投资成本，除非有确凿证据表明换入资产的公允价值更加可靠；不满 足上述前提的非货币性资产交换，以换出资产的账面价值和应支付的相关税费作为换入长期股权投资的初始投资成本。 通过债务重组取得的长期股权投资，其初始投资成本按照公允价值为基础确定。</w:t>
      </w:r>
    </w:p>
    <w:p>
      <w:pPr>
        <w:pStyle w:val="Style40"/>
        <w:keepNext/>
        <w:keepLines/>
        <w:widowControl w:val="0"/>
        <w:shd w:val="clear" w:color="auto" w:fill="auto"/>
        <w:tabs>
          <w:tab w:pos="447" w:val="left"/>
        </w:tabs>
        <w:bidi w:val="0"/>
        <w:spacing w:before="0" w:after="280" w:line="240" w:lineRule="auto"/>
        <w:ind w:left="0" w:right="0" w:firstLine="0"/>
        <w:jc w:val="left"/>
      </w:pPr>
      <w:bookmarkStart w:id="593" w:name="bookmark593"/>
      <w:bookmarkStart w:id="594" w:name="bookmark594"/>
      <w:bookmarkStart w:id="595" w:name="bookmark595"/>
      <w:bookmarkStart w:id="596" w:name="bookmark596"/>
      <w:r>
        <w:rPr>
          <w:color w:val="000000"/>
          <w:spacing w:val="0"/>
          <w:w w:val="100"/>
          <w:position w:val="0"/>
        </w:rPr>
        <w:t>（</w:t>
      </w:r>
      <w:bookmarkEnd w:id="595"/>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593"/>
      <w:bookmarkEnd w:id="594"/>
      <w:bookmarkEnd w:id="596"/>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①后续计量</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公司对子公司的长期股权投资，采用成本法核算，编制合并财务报表时按照权益法进行调整。</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对被投资单位不具有共同控制或重大影响，并且在活跃市场中没有报价、公允价值不能可靠计量的长期股权投资，采用 成本法核算。</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对被投资单位具有共同控制或重大影响的长期股权投资，采用权益法核算。初始投资成本大于投资时应享有被投资单位 可辨认净资产公允价值份额的差额，不调整长期股权投资的初始投资成本；初始投资成本小于投资时应享有被投资单位可辨 认净资产公允价值份额的差额，计入当期损益。</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被投资单位除净损益以外所有者权益其他变动的处理：对于被投资单位除净损益以外所有者权益的其他变动，在持股比 例不变的情况下，公司按照持股比例计算应享有或承担的部分，调整长期股权投资的账面价值，同时增加或减少资本公积（其 他资本公积）。</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②损益确认</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成本法下，除取得投资时实际支付的价款或对价中包含的已宣告但尚未发放的现金股利或利润外，公司按照享有被投资 单位宣告发放的现金股利或利润确认投资收益。</w:t>
      </w:r>
    </w:p>
    <w:p>
      <w:pPr>
        <w:pStyle w:val="Style35"/>
        <w:keepNext w:val="0"/>
        <w:keepLines w:val="0"/>
        <w:widowControl w:val="0"/>
        <w:shd w:val="clear" w:color="auto" w:fill="auto"/>
        <w:bidi w:val="0"/>
        <w:spacing w:before="0" w:after="0" w:line="314" w:lineRule="exact"/>
        <w:ind w:left="0" w:right="0"/>
        <w:jc w:val="left"/>
      </w:pPr>
      <w:r>
        <w:rPr>
          <w:color w:val="000000"/>
          <w:spacing w:val="0"/>
          <w:w w:val="100"/>
          <w:position w:val="0"/>
        </w:rPr>
        <w:t>权益法下，在被投资单位账面净利润的基础上考虑：被投资单位与本公司采用的会计政策及会计期间不一致，按本公司 的会计政策及会计期间对被投资单位财务报表进行调整；以取得投资时被投资单位固定资产、无形资产的公允价值为基础计 提的折旧额或摊销额以及有关资产减值准备金额等对被投资单位净利润的影响;对本公司与联营企业及合营企业之间发生的 未实现内部交易予以抵销等事项的适当调整后，确认应享有或应负担被投资单位的净利润或净亏损。</w:t>
      </w:r>
    </w:p>
    <w:p>
      <w:pPr>
        <w:pStyle w:val="Style35"/>
        <w:keepNext w:val="0"/>
        <w:keepLines w:val="0"/>
        <w:widowControl w:val="0"/>
        <w:shd w:val="clear" w:color="auto" w:fill="auto"/>
        <w:bidi w:val="0"/>
        <w:spacing w:before="0" w:after="0" w:line="313" w:lineRule="exact"/>
        <w:ind w:left="0" w:right="0"/>
        <w:jc w:val="left"/>
      </w:pPr>
      <w:r>
        <w:rPr>
          <w:color w:val="000000"/>
          <w:spacing w:val="0"/>
          <w:w w:val="100"/>
          <w:position w:val="0"/>
        </w:rPr>
        <w:t>在公司确认应分担被投资单位发生的亏损时，按照以下顺序进行处理：首先，冲减长期股权投资的账面价值。其次，长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务确认预计负债，计入当期投资损失。被投资单位以后期间实现盈利的，公司在扣除未确认的亏损分担额后，按与上述相反 的顺序处理，减记已确认预计负债的账面余额、恢复其他实质上构成对被投资单位净投资的长期权益及长期股权投资的账面 价值，同时确认投资收益。</w:t>
      </w:r>
    </w:p>
    <w:p>
      <w:pPr>
        <w:pStyle w:val="Style35"/>
        <w:keepNext w:val="0"/>
        <w:keepLines w:val="0"/>
        <w:widowControl w:val="0"/>
        <w:shd w:val="clear" w:color="auto" w:fill="auto"/>
        <w:bidi w:val="0"/>
        <w:spacing w:before="0" w:after="360" w:line="317" w:lineRule="exact"/>
        <w:ind w:left="0" w:right="0"/>
        <w:jc w:val="left"/>
      </w:pPr>
      <w:r>
        <w:rPr>
          <w:color w:val="000000"/>
          <w:spacing w:val="0"/>
          <w:w w:val="100"/>
          <w:position w:val="0"/>
        </w:rPr>
        <w:t>在持有投资期间，被投资单位能够提供合并财务报表的，应当以合并财务报表中的净利润和其他权益变动为基础进行核 算。</w:t>
      </w:r>
    </w:p>
    <w:p>
      <w:pPr>
        <w:pStyle w:val="Style40"/>
        <w:keepNext/>
        <w:keepLines/>
        <w:widowControl w:val="0"/>
        <w:shd w:val="clear" w:color="auto" w:fill="auto"/>
        <w:tabs>
          <w:tab w:pos="447" w:val="left"/>
        </w:tabs>
        <w:bidi w:val="0"/>
        <w:spacing w:before="0" w:after="28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rPr>
        <w:t>（</w:t>
      </w:r>
      <w:bookmarkEnd w:id="599"/>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597"/>
      <w:bookmarkEnd w:id="598"/>
      <w:bookmarkEnd w:id="600"/>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共同控制，是指按照合同约定对某项经济活动所共有的控制，仅在与该项经济活动相关的重要财务和经营决策需要分享 控制权的投资方一致同意时存在。投资企业与其他方对被投资单位实施共同控制的，被投资单位为其合营企业。</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重大影响，是指对一个企业的财务和经营决策有参与决策的权力，但并不能够控制或者与其他方一起共同控制这些政策 的制定。投资企业能够对被投资单位施加重大影响的，被投资单位为其联营企业。</w:t>
      </w:r>
    </w:p>
    <w:p>
      <w:pPr>
        <w:pStyle w:val="Style40"/>
        <w:keepNext/>
        <w:keepLines/>
        <w:widowControl w:val="0"/>
        <w:shd w:val="clear" w:color="auto" w:fill="auto"/>
        <w:bidi w:val="0"/>
        <w:spacing w:before="0" w:after="26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w:t>
      </w:r>
      <w:bookmarkEnd w:id="603"/>
      <w:r>
        <w:rPr>
          <w:rFonts w:ascii="Times New Roman" w:eastAsia="Times New Roman" w:hAnsi="Times New Roman" w:cs="Times New Roman"/>
          <w:color w:val="000000"/>
          <w:spacing w:val="0"/>
          <w:w w:val="100"/>
          <w:position w:val="0"/>
        </w:rPr>
        <w:t>4</w:t>
      </w:r>
      <w:r>
        <w:rPr>
          <w:color w:val="000000"/>
          <w:spacing w:val="0"/>
          <w:w w:val="100"/>
          <w:position w:val="0"/>
        </w:rPr>
        <w:t>）减值测试方法及减值准备计提方法</w:t>
      </w:r>
      <w:bookmarkEnd w:id="601"/>
      <w:bookmarkEnd w:id="602"/>
      <w:bookmarkEnd w:id="604"/>
    </w:p>
    <w:p>
      <w:pPr>
        <w:pStyle w:val="Style3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重大影响以下的、在活跃市场中没有报价、公允价值不能可靠计量的长期股权投资，其减值损失是根据其账面价值与按 类似金融资产当时市场收益率对未来现金流量折现确定的现值之间的差额进行确定。</w:t>
      </w:r>
    </w:p>
    <w:p>
      <w:pPr>
        <w:pStyle w:val="Style35"/>
        <w:keepNext w:val="0"/>
        <w:keepLines w:val="0"/>
        <w:widowControl w:val="0"/>
        <w:shd w:val="clear" w:color="auto" w:fill="auto"/>
        <w:bidi w:val="0"/>
        <w:spacing w:before="0" w:after="0" w:line="317" w:lineRule="exact"/>
        <w:ind w:left="0" w:right="0" w:firstLine="360"/>
        <w:jc w:val="both"/>
      </w:pPr>
      <w:r>
        <w:rPr>
          <w:color w:val="000000"/>
          <w:spacing w:val="0"/>
          <w:w w:val="100"/>
          <w:position w:val="0"/>
        </w:rPr>
        <w:t>除因企业合并形成的商誉以外的存在减值迹象的其他长期股权投资，如果可收回金额的计量结果表明，该长期股权投资 的可收回金额低于其账面价值的，将差额确认为减值损失。</w:t>
      </w:r>
    </w:p>
    <w:p>
      <w:pPr>
        <w:pStyle w:val="Style35"/>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长期股权投资减值损失一经确认，不再转回。</w:t>
      </w:r>
    </w:p>
    <w:p>
      <w:pPr>
        <w:pStyle w:val="Style40"/>
        <w:keepNext/>
        <w:keepLines/>
        <w:widowControl w:val="0"/>
        <w:shd w:val="clear" w:color="auto" w:fill="auto"/>
        <w:tabs>
          <w:tab w:pos="474" w:val="left"/>
        </w:tabs>
        <w:bidi w:val="0"/>
        <w:spacing w:before="0" w:after="260" w:line="240" w:lineRule="auto"/>
        <w:ind w:left="0" w:right="0" w:firstLine="0"/>
        <w:jc w:val="both"/>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1</w:t>
      </w:r>
      <w:bookmarkEnd w:id="607"/>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605"/>
      <w:bookmarkEnd w:id="606"/>
      <w:bookmarkEnd w:id="608"/>
    </w:p>
    <w:p>
      <w:pPr>
        <w:pStyle w:val="Style35"/>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转让的土地使用权、已出租的建筑物（含自行建造或开发活动完成后用于出租的建筑物以及正在建造或开发过程中将来用于 出租的建筑物）。</w:t>
      </w:r>
    </w:p>
    <w:p>
      <w:pPr>
        <w:pStyle w:val="Style35"/>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公司对现有投资性房地产采用成本模式计量。对按照成本模式计量的投资性房地产一出租用建筑物采用与本公司固定资 产相同的折旧政策，出租用土地使用权按与无形资产相同的摊销政策执行。</w:t>
      </w:r>
    </w:p>
    <w:p>
      <w:pPr>
        <w:pStyle w:val="Style35"/>
        <w:keepNext w:val="0"/>
        <w:keepLines w:val="0"/>
        <w:widowControl w:val="0"/>
        <w:shd w:val="clear" w:color="auto" w:fill="auto"/>
        <w:bidi w:val="0"/>
        <w:spacing w:before="0" w:after="360" w:line="311" w:lineRule="exact"/>
        <w:ind w:left="360" w:right="0" w:firstLine="0"/>
        <w:jc w:val="both"/>
      </w:pPr>
      <w:r>
        <w:rPr>
          <w:color w:val="000000"/>
          <w:spacing w:val="0"/>
          <w:w w:val="100"/>
          <w:position w:val="0"/>
        </w:rPr>
        <w:t>公司对存在减值迹象的，估计其可收回金额，可收回金额低于其账面价值的，确认相应的减值损失。 投资性房地产减值损失一经确认，不再转回。</w:t>
      </w:r>
    </w:p>
    <w:p>
      <w:pPr>
        <w:pStyle w:val="Style40"/>
        <w:keepNext/>
        <w:keepLines/>
        <w:widowControl w:val="0"/>
        <w:shd w:val="clear" w:color="auto" w:fill="auto"/>
        <w:tabs>
          <w:tab w:pos="474" w:val="left"/>
        </w:tabs>
        <w:bidi w:val="0"/>
        <w:spacing w:before="0" w:after="36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1</w:t>
      </w:r>
      <w:bookmarkEnd w:id="611"/>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609"/>
      <w:bookmarkEnd w:id="610"/>
      <w:bookmarkEnd w:id="612"/>
    </w:p>
    <w:p>
      <w:pPr>
        <w:pStyle w:val="Style40"/>
        <w:keepNext/>
        <w:keepLines/>
        <w:widowControl w:val="0"/>
        <w:shd w:val="clear" w:color="auto" w:fill="auto"/>
        <w:tabs>
          <w:tab w:pos="498" w:val="left"/>
        </w:tabs>
        <w:bidi w:val="0"/>
        <w:spacing w:before="0" w:after="260" w:line="240" w:lineRule="auto"/>
        <w:ind w:left="0" w:right="0" w:firstLine="0"/>
        <w:jc w:val="left"/>
      </w:pPr>
      <w:bookmarkStart w:id="609" w:name="bookmark609"/>
      <w:bookmarkStart w:id="610" w:name="bookmark610"/>
      <w:bookmarkStart w:id="613" w:name="bookmark613"/>
      <w:bookmarkStart w:id="614" w:name="bookmark614"/>
      <w:r>
        <w:rPr>
          <w:color w:val="000000"/>
          <w:spacing w:val="0"/>
          <w:w w:val="100"/>
          <w:position w:val="0"/>
        </w:rPr>
        <w:t>（</w:t>
      </w:r>
      <w:bookmarkEnd w:id="613"/>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609"/>
      <w:bookmarkEnd w:id="610"/>
      <w:bookmarkEnd w:id="614"/>
    </w:p>
    <w:p>
      <w:pPr>
        <w:pStyle w:val="Style3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p>
    <w:p>
      <w:pPr>
        <w:pStyle w:val="Style35"/>
        <w:keepNext w:val="0"/>
        <w:keepLines w:val="0"/>
        <w:widowControl w:val="0"/>
        <w:numPr>
          <w:ilvl w:val="0"/>
          <w:numId w:val="17"/>
        </w:numPr>
        <w:shd w:val="clear" w:color="auto" w:fill="auto"/>
        <w:tabs>
          <w:tab w:pos="733" w:val="left"/>
        </w:tabs>
        <w:bidi w:val="0"/>
        <w:spacing w:before="0" w:after="0" w:line="312" w:lineRule="exact"/>
        <w:ind w:left="0" w:right="0" w:firstLine="360"/>
        <w:jc w:val="both"/>
      </w:pPr>
      <w:bookmarkStart w:id="615" w:name="bookmark615"/>
      <w:bookmarkEnd w:id="615"/>
      <w:r>
        <w:rPr>
          <w:color w:val="000000"/>
          <w:spacing w:val="0"/>
          <w:w w:val="100"/>
          <w:position w:val="0"/>
        </w:rPr>
        <w:t>与该固定资产有关的经济利益很可能流入企业；</w:t>
      </w:r>
    </w:p>
    <w:p>
      <w:pPr>
        <w:pStyle w:val="Style35"/>
        <w:keepNext w:val="0"/>
        <w:keepLines w:val="0"/>
        <w:widowControl w:val="0"/>
        <w:numPr>
          <w:ilvl w:val="0"/>
          <w:numId w:val="17"/>
        </w:numPr>
        <w:shd w:val="clear" w:color="auto" w:fill="auto"/>
        <w:tabs>
          <w:tab w:pos="733" w:val="left"/>
        </w:tabs>
        <w:bidi w:val="0"/>
        <w:spacing w:before="0" w:after="360" w:line="312" w:lineRule="exact"/>
        <w:ind w:left="0" w:right="0" w:firstLine="360"/>
        <w:jc w:val="both"/>
      </w:pPr>
      <w:bookmarkStart w:id="616" w:name="bookmark616"/>
      <w:bookmarkEnd w:id="616"/>
      <w:r>
        <w:rPr>
          <w:color w:val="000000"/>
          <w:spacing w:val="0"/>
          <w:w w:val="100"/>
          <w:position w:val="0"/>
        </w:rPr>
        <w:t>该固定资产的成本能够可靠地计量。</w:t>
      </w:r>
    </w:p>
    <w:p>
      <w:pPr>
        <w:pStyle w:val="Style40"/>
        <w:keepNext/>
        <w:keepLines/>
        <w:widowControl w:val="0"/>
        <w:shd w:val="clear" w:color="auto" w:fill="auto"/>
        <w:tabs>
          <w:tab w:pos="498" w:val="left"/>
        </w:tabs>
        <w:bidi w:val="0"/>
        <w:spacing w:before="0" w:after="26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rPr>
        <w:t>（</w:t>
      </w:r>
      <w:bookmarkEnd w:id="619"/>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617"/>
      <w:bookmarkEnd w:id="618"/>
      <w:bookmarkEnd w:id="620"/>
    </w:p>
    <w:p>
      <w:pPr>
        <w:pStyle w:val="Style3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公司与租赁方所签订的租赁协议条款中规定了下列条件之一的，确认为融资租入资产：</w:t>
      </w:r>
    </w:p>
    <w:p>
      <w:pPr>
        <w:pStyle w:val="Style35"/>
        <w:keepNext w:val="0"/>
        <w:keepLines w:val="0"/>
        <w:widowControl w:val="0"/>
        <w:numPr>
          <w:ilvl w:val="0"/>
          <w:numId w:val="19"/>
        </w:numPr>
        <w:shd w:val="clear" w:color="auto" w:fill="auto"/>
        <w:tabs>
          <w:tab w:pos="733" w:val="left"/>
        </w:tabs>
        <w:bidi w:val="0"/>
        <w:spacing w:before="0" w:after="0" w:line="312" w:lineRule="exact"/>
        <w:ind w:left="0" w:right="0" w:firstLine="360"/>
        <w:jc w:val="both"/>
      </w:pPr>
      <w:bookmarkStart w:id="621" w:name="bookmark621"/>
      <w:bookmarkEnd w:id="621"/>
      <w:r>
        <w:rPr>
          <w:color w:val="000000"/>
          <w:spacing w:val="0"/>
          <w:w w:val="100"/>
          <w:position w:val="0"/>
        </w:rPr>
        <w:t>租赁期满后租赁资产的所有权归属于本公司；</w:t>
      </w:r>
    </w:p>
    <w:p>
      <w:pPr>
        <w:pStyle w:val="Style35"/>
        <w:keepNext w:val="0"/>
        <w:keepLines w:val="0"/>
        <w:widowControl w:val="0"/>
        <w:numPr>
          <w:ilvl w:val="0"/>
          <w:numId w:val="19"/>
        </w:numPr>
        <w:shd w:val="clear" w:color="auto" w:fill="auto"/>
        <w:tabs>
          <w:tab w:pos="733" w:val="left"/>
        </w:tabs>
        <w:bidi w:val="0"/>
        <w:spacing w:before="0" w:after="0" w:line="312" w:lineRule="exact"/>
        <w:ind w:left="0" w:right="0" w:firstLine="360"/>
        <w:jc w:val="both"/>
      </w:pPr>
      <w:bookmarkStart w:id="622" w:name="bookmark622"/>
      <w:bookmarkEnd w:id="622"/>
      <w:r>
        <w:rPr>
          <w:color w:val="000000"/>
          <w:spacing w:val="0"/>
          <w:w w:val="100"/>
          <w:position w:val="0"/>
        </w:rPr>
        <w:t>公司具有购买资产的选择权，购买价款远低于行使选择权时该资产的公允价值；</w:t>
      </w:r>
    </w:p>
    <w:p>
      <w:pPr>
        <w:pStyle w:val="Style35"/>
        <w:keepNext w:val="0"/>
        <w:keepLines w:val="0"/>
        <w:widowControl w:val="0"/>
        <w:numPr>
          <w:ilvl w:val="0"/>
          <w:numId w:val="19"/>
        </w:numPr>
        <w:shd w:val="clear" w:color="auto" w:fill="auto"/>
        <w:tabs>
          <w:tab w:pos="733" w:val="left"/>
        </w:tabs>
        <w:bidi w:val="0"/>
        <w:spacing w:before="0" w:after="0" w:line="312" w:lineRule="exact"/>
        <w:ind w:left="0" w:right="0" w:firstLine="360"/>
        <w:jc w:val="both"/>
      </w:pPr>
      <w:bookmarkStart w:id="623" w:name="bookmark623"/>
      <w:bookmarkEnd w:id="623"/>
      <w:r>
        <w:rPr>
          <w:color w:val="000000"/>
          <w:spacing w:val="0"/>
          <w:w w:val="100"/>
          <w:position w:val="0"/>
        </w:rPr>
        <w:t>租赁期占所租赁资产使用寿命的大部分；</w:t>
      </w:r>
    </w:p>
    <w:p>
      <w:pPr>
        <w:pStyle w:val="Style35"/>
        <w:keepNext w:val="0"/>
        <w:keepLines w:val="0"/>
        <w:widowControl w:val="0"/>
        <w:numPr>
          <w:ilvl w:val="0"/>
          <w:numId w:val="19"/>
        </w:numPr>
        <w:shd w:val="clear" w:color="auto" w:fill="auto"/>
        <w:tabs>
          <w:tab w:pos="733" w:val="left"/>
        </w:tabs>
        <w:bidi w:val="0"/>
        <w:spacing w:before="0" w:after="0" w:line="312" w:lineRule="exact"/>
        <w:ind w:left="0" w:right="0" w:firstLine="360"/>
        <w:jc w:val="both"/>
      </w:pPr>
      <w:bookmarkStart w:id="624" w:name="bookmark624"/>
      <w:bookmarkEnd w:id="624"/>
      <w:r>
        <w:rPr>
          <w:color w:val="000000"/>
          <w:spacing w:val="0"/>
          <w:w w:val="100"/>
          <w:position w:val="0"/>
        </w:rPr>
        <w:t>租赁开始日的最低租赁付款额现值，与该资产的公允价值不存在较大的差异。</w:t>
      </w:r>
    </w:p>
    <w:p>
      <w:pPr>
        <w:pStyle w:val="Style35"/>
        <w:keepNext w:val="0"/>
        <w:keepLines w:val="0"/>
        <w:widowControl w:val="0"/>
        <w:shd w:val="clear" w:color="auto" w:fill="auto"/>
        <w:bidi w:val="0"/>
        <w:spacing w:before="0" w:after="360" w:line="317" w:lineRule="exact"/>
        <w:ind w:left="0" w:right="0" w:firstLine="360"/>
        <w:jc w:val="both"/>
      </w:pPr>
      <w:r>
        <w:rPr>
          <w:color w:val="000000"/>
          <w:spacing w:val="0"/>
          <w:w w:val="100"/>
          <w:position w:val="0"/>
        </w:rPr>
        <w:t>公司在承租开始日，将租赁资产公允价值与最低租赁付款额现值两者中较低者作为租入资产的入账价值，将最低租赁付 款额作为长期应付款的入账价值，其差额作为未确认的融资费。</w:t>
      </w:r>
    </w:p>
    <w:p>
      <w:pPr>
        <w:pStyle w:val="Style40"/>
        <w:keepNext/>
        <w:keepLines/>
        <w:widowControl w:val="0"/>
        <w:shd w:val="clear" w:color="auto" w:fill="auto"/>
        <w:tabs>
          <w:tab w:pos="498" w:val="left"/>
        </w:tabs>
        <w:bidi w:val="0"/>
        <w:spacing w:before="0" w:after="26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rPr>
        <w:t>（</w:t>
      </w:r>
      <w:bookmarkEnd w:id="627"/>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625"/>
      <w:bookmarkEnd w:id="626"/>
      <w:bookmarkEnd w:id="628"/>
    </w:p>
    <w:p>
      <w:pPr>
        <w:pStyle w:val="Style3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固定资产折旧采用年限平均法计提，根据固定资产类别、预计使用寿命和预计净残值率确定折旧率。如固定资产各组成 部分的使用寿命不同或者以不同方式为企业提供经济利益，则选择不同折旧率或折旧方法，分别计提折旧。</w:t>
      </w:r>
    </w:p>
    <w:p>
      <w:pPr>
        <w:pStyle w:val="Style35"/>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融资租赁方式租入的固定资产，能合理确定租赁期届满时将会取得租赁资产所有权的，在租赁资产尚可使用年限内计提 折旧；无法合理确定租赁期届满时能够取得租赁资产所有权的，在租赁期与租赁资产尚可使用年限两者中较短的期间内计提 折旧。</w:t>
      </w:r>
    </w:p>
    <w:p>
      <w:pPr>
        <w:pStyle w:val="Style33"/>
        <w:keepNext w:val="0"/>
        <w:keepLines w:val="0"/>
        <w:widowControl w:val="0"/>
        <w:shd w:val="clear" w:color="auto" w:fill="auto"/>
        <w:bidi w:val="0"/>
        <w:spacing w:before="0" w:after="0" w:line="240" w:lineRule="auto"/>
        <w:ind w:left="346" w:right="0" w:firstLine="0"/>
        <w:jc w:val="left"/>
      </w:pPr>
      <w:r>
        <w:rPr>
          <w:color w:val="000000"/>
          <w:spacing w:val="0"/>
          <w:w w:val="100"/>
          <w:position w:val="0"/>
        </w:rPr>
        <w:t>各类固定资产折旧年限和年折旧率如下:</w:t>
      </w:r>
    </w:p>
    <w:tbl>
      <w:tblPr>
        <w:tblOverlap w:val="never"/>
        <w:jc w:val="center"/>
        <w:tblLayout w:type="fixed"/>
      </w:tblPr>
      <w:tblGrid>
        <w:gridCol w:w="2520"/>
        <w:gridCol w:w="2102"/>
        <w:gridCol w:w="2222"/>
        <w:gridCol w:w="2736"/>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20-50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1.90-4.75</w:t>
            </w:r>
          </w:p>
        </w:tc>
      </w:tr>
      <w:tr>
        <w:trPr>
          <w:trHeight w:val="403"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11.88-23.75</w:t>
            </w:r>
          </w:p>
        </w:tc>
      </w:tr>
      <w:tr>
        <w:trPr>
          <w:trHeight w:val="408"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8-12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7.92-11.88</w:t>
            </w:r>
          </w:p>
        </w:tc>
      </w:tr>
    </w:tbl>
    <w:p>
      <w:pPr>
        <w:widowControl w:val="0"/>
        <w:spacing w:after="279" w:line="1" w:lineRule="exact"/>
      </w:pPr>
    </w:p>
    <w:p>
      <w:pPr>
        <w:pStyle w:val="Style40"/>
        <w:keepNext/>
        <w:keepLines/>
        <w:widowControl w:val="0"/>
        <w:shd w:val="clear" w:color="auto" w:fill="auto"/>
        <w:bidi w:val="0"/>
        <w:spacing w:before="0" w:after="28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rPr>
        <w:t>（</w:t>
      </w:r>
      <w:bookmarkEnd w:id="631"/>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629"/>
      <w:bookmarkEnd w:id="630"/>
      <w:bookmarkEnd w:id="632"/>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公司在每期末判断固定资产是否存在可能发生减值的迹象。</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固定资产存在减值迹象的，估计其可收回金额。可收回金额根据固定资产的公允价值减去处置费用后的净额与固定资产 预计未来现金流量的现值两者之间较高者确定。</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当固定资产的可收回金额低于其账面价值的，将固定资产的账面价值减记至可收回金额，减记的金额确认为固定资产减 值损失，计入当期损益，同时计提相应的固定资产减值准备。</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固定资产减值损失确认后，减值固定资产的折旧在未来期间作相应调整，以使该固定资产在剩余使用寿命内，系统地分 摊调整后的固定资产账面价值（扣除预计净残值）。</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固定资产的减值损失一经确认，在以后会计期间不再转回。</w:t>
      </w:r>
    </w:p>
    <w:p>
      <w:pPr>
        <w:pStyle w:val="Style35"/>
        <w:keepNext w:val="0"/>
        <w:keepLines w:val="0"/>
        <w:widowControl w:val="0"/>
        <w:shd w:val="clear" w:color="auto" w:fill="auto"/>
        <w:bidi w:val="0"/>
        <w:spacing w:before="0" w:after="360" w:line="312" w:lineRule="exact"/>
        <w:ind w:left="0" w:right="0"/>
        <w:jc w:val="both"/>
      </w:pPr>
      <w:r>
        <w:rPr>
          <w:color w:val="000000"/>
          <w:spacing w:val="0"/>
          <w:w w:val="100"/>
          <w:position w:val="0"/>
        </w:rPr>
        <w:t>有迹象表明一项固定资产可能发生减值的，企业以单项固定资产为基础估计其可收回金额。企业难以对单项固定资产的 可收回金额进行估计的，以该固定资产所属的资产组为基础确定资产组的可收回金额。</w:t>
      </w:r>
    </w:p>
    <w:p>
      <w:pPr>
        <w:pStyle w:val="Style40"/>
        <w:keepNext/>
        <w:keepLines/>
        <w:widowControl w:val="0"/>
        <w:shd w:val="clear" w:color="auto" w:fill="auto"/>
        <w:bidi w:val="0"/>
        <w:spacing w:before="0" w:after="36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1</w:t>
      </w:r>
      <w:bookmarkEnd w:id="635"/>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633"/>
      <w:bookmarkEnd w:id="634"/>
      <w:bookmarkEnd w:id="636"/>
    </w:p>
    <w:p>
      <w:pPr>
        <w:pStyle w:val="Style40"/>
        <w:keepNext/>
        <w:keepLines/>
        <w:widowControl w:val="0"/>
        <w:shd w:val="clear" w:color="auto" w:fill="auto"/>
        <w:tabs>
          <w:tab w:pos="498" w:val="left"/>
        </w:tabs>
        <w:bidi w:val="0"/>
        <w:spacing w:before="0" w:after="280" w:line="240" w:lineRule="auto"/>
        <w:ind w:left="0" w:right="0" w:firstLine="0"/>
        <w:jc w:val="left"/>
      </w:pPr>
      <w:bookmarkStart w:id="633" w:name="bookmark633"/>
      <w:bookmarkStart w:id="634" w:name="bookmark634"/>
      <w:bookmarkStart w:id="637" w:name="bookmark637"/>
      <w:bookmarkStart w:id="638" w:name="bookmark638"/>
      <w:r>
        <w:rPr>
          <w:color w:val="000000"/>
          <w:spacing w:val="0"/>
          <w:w w:val="100"/>
          <w:position w:val="0"/>
        </w:rPr>
        <w:t>（</w:t>
      </w:r>
      <w:bookmarkEnd w:id="637"/>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633"/>
      <w:bookmarkEnd w:id="634"/>
      <w:bookmarkEnd w:id="638"/>
    </w:p>
    <w:p>
      <w:pPr>
        <w:pStyle w:val="Style35"/>
        <w:keepNext w:val="0"/>
        <w:keepLines w:val="0"/>
        <w:widowControl w:val="0"/>
        <w:shd w:val="clear" w:color="auto" w:fill="auto"/>
        <w:bidi w:val="0"/>
        <w:spacing w:before="0" w:after="360" w:line="312" w:lineRule="exact"/>
        <w:ind w:left="0" w:right="0"/>
        <w:jc w:val="both"/>
      </w:pPr>
      <w:r>
        <w:rPr>
          <w:color w:val="000000"/>
          <w:spacing w:val="0"/>
          <w:w w:val="100"/>
          <w:position w:val="0"/>
        </w:rPr>
        <w:t>在建工程以立项项目分类核算。</w:t>
      </w:r>
    </w:p>
    <w:p>
      <w:pPr>
        <w:pStyle w:val="Style40"/>
        <w:keepNext/>
        <w:keepLines/>
        <w:widowControl w:val="0"/>
        <w:shd w:val="clear" w:color="auto" w:fill="auto"/>
        <w:tabs>
          <w:tab w:pos="498" w:val="left"/>
        </w:tabs>
        <w:bidi w:val="0"/>
        <w:spacing w:before="0" w:after="280" w:line="240" w:lineRule="auto"/>
        <w:ind w:left="0" w:right="0" w:firstLine="0"/>
        <w:jc w:val="left"/>
      </w:pPr>
      <w:bookmarkStart w:id="639" w:name="bookmark639"/>
      <w:bookmarkStart w:id="640" w:name="bookmark640"/>
      <w:bookmarkStart w:id="641" w:name="bookmark641"/>
      <w:bookmarkStart w:id="642" w:name="bookmark642"/>
      <w:r>
        <w:rPr>
          <w:color w:val="000000"/>
          <w:spacing w:val="0"/>
          <w:w w:val="100"/>
          <w:position w:val="0"/>
        </w:rPr>
        <w:t>（</w:t>
      </w:r>
      <w:bookmarkEnd w:id="641"/>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639"/>
      <w:bookmarkEnd w:id="640"/>
      <w:bookmarkEnd w:id="642"/>
    </w:p>
    <w:p>
      <w:pPr>
        <w:pStyle w:val="Style35"/>
        <w:keepNext w:val="0"/>
        <w:keepLines w:val="0"/>
        <w:widowControl w:val="0"/>
        <w:shd w:val="clear" w:color="auto" w:fill="auto"/>
        <w:bidi w:val="0"/>
        <w:spacing w:before="0" w:after="360" w:line="310" w:lineRule="exact"/>
        <w:ind w:left="0" w:right="0"/>
        <w:jc w:val="both"/>
      </w:pPr>
      <w:r>
        <w:rPr>
          <w:color w:val="000000"/>
          <w:spacing w:val="0"/>
          <w:w w:val="100"/>
          <w:position w:val="0"/>
        </w:rPr>
        <w:t>在建工程项目按建造该项资产达到预定可使用状态前所发生的全部支出，作为固定资产的入账价值。所建造的固定资产 在建工程已达到预定可使用状态，但尚未办理竣工决算的，自达到预定可使用状态之日起，根据工程预算、造价或者工程实 际成本等，按估计的价值转入固定资产，并按本公司固定资产折旧政策计提固定资产的折旧，待办理竣工决算后，再按实际 成本调整原来的暂估价值，但不调整原已计提的折旧额。</w:t>
      </w:r>
    </w:p>
    <w:p>
      <w:pPr>
        <w:pStyle w:val="Style40"/>
        <w:keepNext/>
        <w:keepLines/>
        <w:widowControl w:val="0"/>
        <w:shd w:val="clear" w:color="auto" w:fill="auto"/>
        <w:tabs>
          <w:tab w:pos="498" w:val="left"/>
        </w:tabs>
        <w:bidi w:val="0"/>
        <w:spacing w:before="0" w:after="280" w:line="240" w:lineRule="auto"/>
        <w:ind w:left="0" w:right="0" w:firstLine="0"/>
        <w:jc w:val="left"/>
      </w:pPr>
      <w:bookmarkStart w:id="643" w:name="bookmark643"/>
      <w:bookmarkStart w:id="644" w:name="bookmark644"/>
      <w:bookmarkStart w:id="645" w:name="bookmark645"/>
      <w:bookmarkStart w:id="646" w:name="bookmark646"/>
      <w:r>
        <w:rPr>
          <w:color w:val="000000"/>
          <w:spacing w:val="0"/>
          <w:w w:val="100"/>
          <w:position w:val="0"/>
        </w:rPr>
        <w:t>（</w:t>
      </w:r>
      <w:bookmarkEnd w:id="645"/>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643"/>
      <w:bookmarkEnd w:id="644"/>
      <w:bookmarkEnd w:id="646"/>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公司在每期末判断在建工程是否存在可能发生减值的迹象。</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在建工程存在减值迹象的，估计其可收回金额。有迹象表明一项在建工程可能发生减值的，企业以单项在建工程为基础 估计其可收回金额。企业难以对单项在建工程的可收回金额进行估计的，以该在建工程所属的资产组为基础确定资产组的可 收回金额。</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可收回金额根据在建工程的公允价值减去处置费用后的净额与在建工程预计未来现金流量的现值两者之间较高者确定。 当在建工程的可收回金额低于其账面价值的，将在建工程的账面价值减记至可收回金额，减记的金额确认为在建工程减 值损失，计入当期损益，同时计提相应的在建工程减值准备。</w:t>
      </w:r>
    </w:p>
    <w:p>
      <w:pPr>
        <w:pStyle w:val="Style35"/>
        <w:keepNext w:val="0"/>
        <w:keepLines w:val="0"/>
        <w:widowControl w:val="0"/>
        <w:shd w:val="clear" w:color="auto" w:fill="auto"/>
        <w:bidi w:val="0"/>
        <w:spacing w:before="0" w:after="280" w:line="313" w:lineRule="exact"/>
        <w:ind w:left="0" w:right="0"/>
        <w:jc w:val="both"/>
      </w:pPr>
      <w:r>
        <w:rPr>
          <w:color w:val="000000"/>
          <w:spacing w:val="0"/>
          <w:w w:val="100"/>
          <w:position w:val="0"/>
        </w:rPr>
        <w:t>在建工程的减值损失一经确认，在以后会计期间不再转回。</w:t>
      </w:r>
    </w:p>
    <w:p>
      <w:pPr>
        <w:pStyle w:val="Style40"/>
        <w:keepNext/>
        <w:keepLines/>
        <w:widowControl w:val="0"/>
        <w:shd w:val="clear" w:color="auto" w:fill="auto"/>
        <w:tabs>
          <w:tab w:pos="474" w:val="left"/>
        </w:tabs>
        <w:bidi w:val="0"/>
        <w:spacing w:before="0" w:after="36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1</w:t>
      </w:r>
      <w:bookmarkEnd w:id="649"/>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647"/>
      <w:bookmarkEnd w:id="648"/>
      <w:bookmarkEnd w:id="650"/>
    </w:p>
    <w:p>
      <w:pPr>
        <w:pStyle w:val="Style40"/>
        <w:keepNext/>
        <w:keepLines/>
        <w:widowControl w:val="0"/>
        <w:shd w:val="clear" w:color="auto" w:fill="auto"/>
        <w:tabs>
          <w:tab w:pos="498" w:val="left"/>
        </w:tabs>
        <w:bidi w:val="0"/>
        <w:spacing w:before="0" w:after="280" w:line="240" w:lineRule="auto"/>
        <w:ind w:left="0" w:right="0" w:firstLine="0"/>
        <w:jc w:val="left"/>
      </w:pPr>
      <w:bookmarkStart w:id="647" w:name="bookmark647"/>
      <w:bookmarkStart w:id="648" w:name="bookmark648"/>
      <w:bookmarkStart w:id="651" w:name="bookmark651"/>
      <w:bookmarkStart w:id="652" w:name="bookmark652"/>
      <w:r>
        <w:rPr>
          <w:color w:val="000000"/>
          <w:spacing w:val="0"/>
          <w:w w:val="100"/>
          <w:position w:val="0"/>
        </w:rPr>
        <w:t>（</w:t>
      </w:r>
      <w:bookmarkEnd w:id="651"/>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647"/>
      <w:bookmarkEnd w:id="648"/>
      <w:bookmarkEnd w:id="652"/>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借款费用，包括借款利息、折价或者溢价的摊销、辅助费用以及因外币借款而发生的汇兑差额等。</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借款费用同时满足下列条件时开始资本化：</w:t>
      </w:r>
    </w:p>
    <w:p>
      <w:pPr>
        <w:pStyle w:val="Style35"/>
        <w:keepNext w:val="0"/>
        <w:keepLines w:val="0"/>
        <w:widowControl w:val="0"/>
        <w:numPr>
          <w:ilvl w:val="0"/>
          <w:numId w:val="21"/>
        </w:numPr>
        <w:shd w:val="clear" w:color="auto" w:fill="auto"/>
        <w:tabs>
          <w:tab w:pos="723" w:val="left"/>
        </w:tabs>
        <w:bidi w:val="0"/>
        <w:spacing w:before="0" w:after="0" w:line="312" w:lineRule="exact"/>
        <w:ind w:left="0" w:right="0"/>
        <w:jc w:val="left"/>
      </w:pPr>
      <w:bookmarkStart w:id="653" w:name="bookmark653"/>
      <w:bookmarkEnd w:id="653"/>
      <w:r>
        <w:rPr>
          <w:color w:val="000000"/>
          <w:spacing w:val="0"/>
          <w:w w:val="100"/>
          <w:position w:val="0"/>
        </w:rPr>
        <w:t>资产支出已经发生，资产支出包括为购建或者生产符合资本化条件的资产而以支付现金、转移非现金资产或者承担 带息债务形式发生的支出；</w:t>
      </w:r>
    </w:p>
    <w:p>
      <w:pPr>
        <w:pStyle w:val="Style35"/>
        <w:keepNext w:val="0"/>
        <w:keepLines w:val="0"/>
        <w:widowControl w:val="0"/>
        <w:numPr>
          <w:ilvl w:val="0"/>
          <w:numId w:val="21"/>
        </w:numPr>
        <w:shd w:val="clear" w:color="auto" w:fill="auto"/>
        <w:tabs>
          <w:tab w:pos="753" w:val="left"/>
        </w:tabs>
        <w:bidi w:val="0"/>
        <w:spacing w:before="0" w:after="0" w:line="312" w:lineRule="exact"/>
        <w:ind w:left="0" w:right="0"/>
        <w:jc w:val="left"/>
      </w:pPr>
      <w:bookmarkStart w:id="654" w:name="bookmark654"/>
      <w:bookmarkEnd w:id="654"/>
      <w:r>
        <w:rPr>
          <w:color w:val="000000"/>
          <w:spacing w:val="0"/>
          <w:w w:val="100"/>
          <w:position w:val="0"/>
        </w:rPr>
        <w:t>借款费用已经发生；</w:t>
      </w:r>
    </w:p>
    <w:p>
      <w:pPr>
        <w:pStyle w:val="Style35"/>
        <w:keepNext w:val="0"/>
        <w:keepLines w:val="0"/>
        <w:widowControl w:val="0"/>
        <w:numPr>
          <w:ilvl w:val="0"/>
          <w:numId w:val="21"/>
        </w:numPr>
        <w:shd w:val="clear" w:color="auto" w:fill="auto"/>
        <w:tabs>
          <w:tab w:pos="753" w:val="left"/>
        </w:tabs>
        <w:bidi w:val="0"/>
        <w:spacing w:before="0" w:after="360" w:line="312" w:lineRule="exact"/>
        <w:ind w:left="0" w:right="0"/>
        <w:jc w:val="left"/>
      </w:pPr>
      <w:bookmarkStart w:id="655" w:name="bookmark655"/>
      <w:bookmarkEnd w:id="655"/>
      <w:r>
        <w:rPr>
          <w:color w:val="000000"/>
          <w:spacing w:val="0"/>
          <w:w w:val="100"/>
          <w:position w:val="0"/>
        </w:rPr>
        <w:t>为使资产达到预定可使用或者可销售状态所必要的购建或者生产活动已经开始。</w:t>
      </w:r>
    </w:p>
    <w:p>
      <w:pPr>
        <w:pStyle w:val="Style40"/>
        <w:keepNext/>
        <w:keepLines/>
        <w:widowControl w:val="0"/>
        <w:shd w:val="clear" w:color="auto" w:fill="auto"/>
        <w:tabs>
          <w:tab w:pos="498" w:val="left"/>
        </w:tabs>
        <w:bidi w:val="0"/>
        <w:spacing w:before="0" w:after="28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rPr>
        <w:t>（</w:t>
      </w:r>
      <w:bookmarkEnd w:id="658"/>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656"/>
      <w:bookmarkEnd w:id="657"/>
      <w:bookmarkEnd w:id="659"/>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资本化期间，指从借款费用开始资本化时点到停止资本化时点的期间，借款费用暂停资本化的期间不包括在内。</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当购建或者生产符合资本化条件的资产达到预定可使用或者可销售状态时，借款费用停止资本化。</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当购建或者生产符合资本化条件的资产中部分项目分别完工且可单独使用时，该部分资产借款费用停止资本化。</w:t>
      </w:r>
    </w:p>
    <w:p>
      <w:pPr>
        <w:pStyle w:val="Style35"/>
        <w:keepNext w:val="0"/>
        <w:keepLines w:val="0"/>
        <w:widowControl w:val="0"/>
        <w:shd w:val="clear" w:color="auto" w:fill="auto"/>
        <w:bidi w:val="0"/>
        <w:spacing w:before="0" w:after="360" w:line="312" w:lineRule="exact"/>
        <w:ind w:left="0" w:right="0"/>
        <w:jc w:val="left"/>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40"/>
        <w:keepNext/>
        <w:keepLines/>
        <w:widowControl w:val="0"/>
        <w:shd w:val="clear" w:color="auto" w:fill="auto"/>
        <w:tabs>
          <w:tab w:pos="498" w:val="left"/>
        </w:tabs>
        <w:bidi w:val="0"/>
        <w:spacing w:before="0" w:after="280" w:line="240" w:lineRule="auto"/>
        <w:ind w:left="0" w:right="0" w:firstLine="0"/>
        <w:jc w:val="left"/>
      </w:pPr>
      <w:bookmarkStart w:id="660" w:name="bookmark660"/>
      <w:bookmarkStart w:id="661" w:name="bookmark661"/>
      <w:bookmarkStart w:id="662" w:name="bookmark662"/>
      <w:bookmarkStart w:id="663" w:name="bookmark663"/>
      <w:r>
        <w:rPr>
          <w:color w:val="000000"/>
          <w:spacing w:val="0"/>
          <w:w w:val="100"/>
          <w:position w:val="0"/>
        </w:rPr>
        <w:t>（</w:t>
      </w:r>
      <w:bookmarkEnd w:id="662"/>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660"/>
      <w:bookmarkEnd w:id="661"/>
      <w:bookmarkEnd w:id="663"/>
    </w:p>
    <w:p>
      <w:pPr>
        <w:pStyle w:val="Style35"/>
        <w:keepNext w:val="0"/>
        <w:keepLines w:val="0"/>
        <w:widowControl w:val="0"/>
        <w:shd w:val="clear" w:color="auto" w:fill="auto"/>
        <w:bidi w:val="0"/>
        <w:spacing w:before="0" w:after="360" w:line="317" w:lineRule="exact"/>
        <w:ind w:left="0" w:right="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40"/>
        <w:keepNext/>
        <w:keepLines/>
        <w:widowControl w:val="0"/>
        <w:shd w:val="clear" w:color="auto" w:fill="auto"/>
        <w:tabs>
          <w:tab w:pos="498" w:val="left"/>
        </w:tabs>
        <w:bidi w:val="0"/>
        <w:spacing w:before="0" w:after="280" w:line="240" w:lineRule="auto"/>
        <w:ind w:left="0" w:right="0" w:firstLine="0"/>
        <w:jc w:val="left"/>
      </w:pPr>
      <w:bookmarkStart w:id="664" w:name="bookmark664"/>
      <w:bookmarkStart w:id="665" w:name="bookmark665"/>
      <w:bookmarkStart w:id="666" w:name="bookmark666"/>
      <w:bookmarkStart w:id="667" w:name="bookmark667"/>
      <w:r>
        <w:rPr>
          <w:color w:val="000000"/>
          <w:spacing w:val="0"/>
          <w:w w:val="100"/>
          <w:position w:val="0"/>
        </w:rPr>
        <w:t>（</w:t>
      </w:r>
      <w:bookmarkEnd w:id="666"/>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664"/>
      <w:bookmarkEnd w:id="665"/>
      <w:bookmarkEnd w:id="667"/>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均数乘以所占用一般借款的资本化率，计算确定一般借款应予资本化的利息金额。资本化率根据一般借款加权平均利率计算 确定。</w:t>
      </w:r>
    </w:p>
    <w:p>
      <w:pPr>
        <w:pStyle w:val="Style35"/>
        <w:keepNext w:val="0"/>
        <w:keepLines w:val="0"/>
        <w:widowControl w:val="0"/>
        <w:shd w:val="clear" w:color="auto" w:fill="auto"/>
        <w:bidi w:val="0"/>
        <w:spacing w:before="0" w:after="360" w:line="312" w:lineRule="exact"/>
        <w:ind w:left="0" w:right="0"/>
        <w:jc w:val="left"/>
      </w:pPr>
      <w:r>
        <w:rPr>
          <w:color w:val="000000"/>
          <w:spacing w:val="0"/>
          <w:w w:val="100"/>
          <w:position w:val="0"/>
        </w:rPr>
        <w:t>借款存在折价或者溢价的，按照实际利率法确定每一会计期间应摊销的折价或者溢价金额，调整每期利息金额。</w:t>
      </w:r>
    </w:p>
    <w:p>
      <w:pPr>
        <w:pStyle w:val="Style40"/>
        <w:keepNext/>
        <w:keepLines/>
        <w:widowControl w:val="0"/>
        <w:shd w:val="clear" w:color="auto" w:fill="auto"/>
        <w:tabs>
          <w:tab w:pos="474" w:val="left"/>
        </w:tabs>
        <w:bidi w:val="0"/>
        <w:spacing w:before="0" w:after="360" w:line="240" w:lineRule="auto"/>
        <w:ind w:left="0" w:right="0" w:firstLine="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1</w:t>
      </w:r>
      <w:bookmarkEnd w:id="670"/>
      <w:r>
        <w:rPr>
          <w:rFonts w:ascii="Times New Roman" w:eastAsia="Times New Roman" w:hAnsi="Times New Roman" w:cs="Times New Roman"/>
          <w:color w:val="000000"/>
          <w:spacing w:val="0"/>
          <w:w w:val="100"/>
          <w:position w:val="0"/>
        </w:rPr>
        <w:t>7</w:t>
      </w:r>
      <w:r>
        <w:rPr>
          <w:color w:val="000000"/>
          <w:spacing w:val="0"/>
          <w:w w:val="100"/>
          <w:position w:val="0"/>
        </w:rPr>
        <w:t>、</w:t>
        <w:tab/>
        <w:t>无形资产</w:t>
      </w:r>
      <w:bookmarkEnd w:id="668"/>
      <w:bookmarkEnd w:id="669"/>
      <w:bookmarkEnd w:id="671"/>
    </w:p>
    <w:p>
      <w:pPr>
        <w:pStyle w:val="Style40"/>
        <w:keepNext/>
        <w:keepLines/>
        <w:widowControl w:val="0"/>
        <w:shd w:val="clear" w:color="auto" w:fill="auto"/>
        <w:bidi w:val="0"/>
        <w:spacing w:before="0" w:after="280" w:line="240" w:lineRule="auto"/>
        <w:ind w:left="0" w:right="0" w:firstLine="0"/>
        <w:jc w:val="left"/>
      </w:pPr>
      <w:bookmarkStart w:id="668" w:name="bookmark668"/>
      <w:bookmarkStart w:id="669" w:name="bookmark669"/>
      <w:bookmarkStart w:id="672" w:name="bookmark672"/>
      <w:bookmarkStart w:id="673" w:name="bookmark673"/>
      <w:r>
        <w:rPr>
          <w:color w:val="000000"/>
          <w:spacing w:val="0"/>
          <w:w w:val="100"/>
          <w:position w:val="0"/>
        </w:rPr>
        <w:t>（</w:t>
      </w:r>
      <w:bookmarkEnd w:id="672"/>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668"/>
      <w:bookmarkEnd w:id="669"/>
      <w:bookmarkEnd w:id="673"/>
    </w:p>
    <w:p>
      <w:pPr>
        <w:pStyle w:val="Style35"/>
        <w:keepNext w:val="0"/>
        <w:keepLines w:val="0"/>
        <w:widowControl w:val="0"/>
        <w:numPr>
          <w:ilvl w:val="0"/>
          <w:numId w:val="23"/>
        </w:numPr>
        <w:shd w:val="clear" w:color="auto" w:fill="auto"/>
        <w:bidi w:val="0"/>
        <w:spacing w:before="0" w:after="0" w:line="312" w:lineRule="exact"/>
        <w:ind w:left="0" w:right="0"/>
        <w:jc w:val="left"/>
      </w:pPr>
      <w:bookmarkStart w:id="674" w:name="bookmark674"/>
      <w:bookmarkEnd w:id="674"/>
      <w:r>
        <w:rPr>
          <w:color w:val="000000"/>
          <w:spacing w:val="0"/>
          <w:w w:val="100"/>
          <w:position w:val="0"/>
        </w:rPr>
        <w:t>公司取得无形资产时按成本进行初始计量</w:t>
      </w:r>
    </w:p>
    <w:p>
      <w:pPr>
        <w:pStyle w:val="Style35"/>
        <w:keepNext w:val="0"/>
        <w:keepLines w:val="0"/>
        <w:widowControl w:val="0"/>
        <w:shd w:val="clear" w:color="auto" w:fill="auto"/>
        <w:bidi w:val="0"/>
        <w:spacing w:before="0" w:after="320" w:line="312" w:lineRule="exact"/>
        <w:ind w:left="0" w:right="0"/>
        <w:jc w:val="left"/>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35"/>
        <w:keepNext w:val="0"/>
        <w:keepLines w:val="0"/>
        <w:widowControl w:val="0"/>
        <w:numPr>
          <w:ilvl w:val="0"/>
          <w:numId w:val="23"/>
        </w:numPr>
        <w:shd w:val="clear" w:color="auto" w:fill="auto"/>
        <w:bidi w:val="0"/>
        <w:spacing w:before="0" w:after="0" w:line="314" w:lineRule="exact"/>
        <w:ind w:left="0" w:right="0"/>
        <w:jc w:val="both"/>
      </w:pPr>
      <w:bookmarkStart w:id="675" w:name="bookmark675"/>
      <w:bookmarkEnd w:id="675"/>
      <w:r>
        <w:rPr>
          <w:color w:val="000000"/>
          <w:spacing w:val="0"/>
          <w:w w:val="100"/>
          <w:position w:val="0"/>
        </w:rPr>
        <w:t>后续计量</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在取得无形资产时分析判断其使用寿命。</w:t>
      </w:r>
    </w:p>
    <w:p>
      <w:pPr>
        <w:pStyle w:val="Style35"/>
        <w:keepNext w:val="0"/>
        <w:keepLines w:val="0"/>
        <w:widowControl w:val="0"/>
        <w:shd w:val="clear" w:color="auto" w:fill="auto"/>
        <w:bidi w:val="0"/>
        <w:spacing w:before="0" w:after="360" w:line="314" w:lineRule="exact"/>
        <w:ind w:left="0" w:right="0"/>
        <w:jc w:val="both"/>
      </w:pPr>
      <w:r>
        <w:rPr>
          <w:color w:val="000000"/>
          <w:spacing w:val="0"/>
          <w:w w:val="100"/>
          <w:position w:val="0"/>
        </w:rPr>
        <w:t>对于使用寿命有限的无形资产，在为企业带来经济利益的期限内按直线法摊销；无法预见无形资产为企业带来经济利益 期限的，视为使用寿命不确定的无形资产，不予摊销。</w:t>
      </w:r>
    </w:p>
    <w:p>
      <w:pPr>
        <w:pStyle w:val="Style40"/>
        <w:keepNext/>
        <w:keepLines/>
        <w:widowControl w:val="0"/>
        <w:numPr>
          <w:ilvl w:val="0"/>
          <w:numId w:val="25"/>
        </w:numPr>
        <w:shd w:val="clear" w:color="auto" w:fill="auto"/>
        <w:tabs>
          <w:tab w:pos="498" w:val="left"/>
        </w:tabs>
        <w:bidi w:val="0"/>
        <w:spacing w:before="0" w:after="280" w:line="240" w:lineRule="auto"/>
        <w:ind w:left="0" w:right="0" w:firstLine="0"/>
        <w:jc w:val="left"/>
      </w:pPr>
      <w:bookmarkStart w:id="676" w:name="bookmark676"/>
      <w:bookmarkStart w:id="677" w:name="bookmark677"/>
      <w:bookmarkStart w:id="678" w:name="bookmark678"/>
      <w:bookmarkStart w:id="679" w:name="bookmark679"/>
      <w:bookmarkEnd w:id="678"/>
      <w:r>
        <w:rPr>
          <w:color w:val="000000"/>
          <w:spacing w:val="0"/>
          <w:w w:val="100"/>
          <w:position w:val="0"/>
        </w:rPr>
        <w:t>使用寿命有限的无形资产的使用寿命估计情况</w:t>
      </w:r>
      <w:bookmarkEnd w:id="676"/>
      <w:bookmarkEnd w:id="677"/>
      <w:bookmarkEnd w:id="679"/>
    </w:p>
    <w:p>
      <w:pPr>
        <w:pStyle w:val="Style35"/>
        <w:keepNext w:val="0"/>
        <w:keepLines w:val="0"/>
        <w:widowControl w:val="0"/>
        <w:shd w:val="clear" w:color="auto" w:fill="auto"/>
        <w:bidi w:val="0"/>
        <w:spacing w:before="0" w:after="360" w:line="307" w:lineRule="exact"/>
        <w:ind w:left="380" w:right="0" w:firstLine="0"/>
        <w:jc w:val="left"/>
      </w:pPr>
      <w:r>
        <w:rPr>
          <w:color w:val="000000"/>
          <w:spacing w:val="0"/>
          <w:w w:val="100"/>
          <w:position w:val="0"/>
        </w:rPr>
        <w:t>使用寿命有限的无形资产，其应摊销金额在使用寿命内系统合理摊销，无法可靠确定预期实现方式的，采用直线法摊销。 本公司至少于每年年度终了，对使用寿命有限的无形资产的使用寿命及摊销方法进行复核，必要时进行调整。</w:t>
      </w:r>
    </w:p>
    <w:p>
      <w:pPr>
        <w:pStyle w:val="Style40"/>
        <w:keepNext/>
        <w:keepLines/>
        <w:widowControl w:val="0"/>
        <w:numPr>
          <w:ilvl w:val="0"/>
          <w:numId w:val="25"/>
        </w:numPr>
        <w:shd w:val="clear" w:color="auto" w:fill="auto"/>
        <w:tabs>
          <w:tab w:pos="498" w:val="left"/>
        </w:tabs>
        <w:bidi w:val="0"/>
        <w:spacing w:before="0" w:after="280" w:line="240" w:lineRule="auto"/>
        <w:ind w:left="0" w:right="0" w:firstLine="0"/>
        <w:jc w:val="left"/>
      </w:pPr>
      <w:bookmarkStart w:id="680" w:name="bookmark680"/>
      <w:bookmarkStart w:id="681" w:name="bookmark681"/>
      <w:bookmarkStart w:id="682" w:name="bookmark682"/>
      <w:bookmarkStart w:id="683" w:name="bookmark683"/>
      <w:bookmarkEnd w:id="682"/>
      <w:r>
        <w:rPr>
          <w:color w:val="000000"/>
          <w:spacing w:val="0"/>
          <w:w w:val="100"/>
          <w:position w:val="0"/>
        </w:rPr>
        <w:t>使用寿命不确定的无形资产的判断依据</w:t>
      </w:r>
      <w:bookmarkEnd w:id="680"/>
      <w:bookmarkEnd w:id="681"/>
      <w:bookmarkEnd w:id="683"/>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本公司将无法预见该资产为公司带来经济利益的期限，或使用期限不确定等无形资产确定为使用寿命不确定的无形资 产。</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使用寿命不确定的判断依据：①来源于合同性权利或其他法定权利，但合同规定或法律规定无明确使用年限；②综合同 行业情况或相关专家论证等，仍无法判断无形资产为公司带来经济利益的期限。</w:t>
      </w:r>
    </w:p>
    <w:p>
      <w:pPr>
        <w:pStyle w:val="Style35"/>
        <w:keepNext w:val="0"/>
        <w:keepLines w:val="0"/>
        <w:widowControl w:val="0"/>
        <w:shd w:val="clear" w:color="auto" w:fill="auto"/>
        <w:bidi w:val="0"/>
        <w:spacing w:before="0" w:after="360" w:line="315" w:lineRule="exact"/>
        <w:ind w:left="0" w:right="0"/>
        <w:jc w:val="both"/>
      </w:pPr>
      <w:r>
        <w:rPr>
          <w:color w:val="000000"/>
          <w:spacing w:val="0"/>
          <w:w w:val="100"/>
          <w:position w:val="0"/>
        </w:rPr>
        <w:t>每年年末，对使用寿命不确定无形资产使用寿命进行复核，主要采取自下而上的方式，由无形资产使用相关部门进行基 础复核，评价使用寿命不确定判断依据是否存在变化等。</w:t>
      </w:r>
    </w:p>
    <w:p>
      <w:pPr>
        <w:pStyle w:val="Style40"/>
        <w:keepNext/>
        <w:keepLines/>
        <w:widowControl w:val="0"/>
        <w:numPr>
          <w:ilvl w:val="0"/>
          <w:numId w:val="25"/>
        </w:numPr>
        <w:shd w:val="clear" w:color="auto" w:fill="auto"/>
        <w:tabs>
          <w:tab w:pos="498" w:val="left"/>
        </w:tabs>
        <w:bidi w:val="0"/>
        <w:spacing w:before="0" w:after="280" w:line="240" w:lineRule="auto"/>
        <w:ind w:left="0" w:right="0" w:firstLine="0"/>
        <w:jc w:val="left"/>
      </w:pPr>
      <w:bookmarkStart w:id="684" w:name="bookmark684"/>
      <w:bookmarkStart w:id="685" w:name="bookmark685"/>
      <w:bookmarkStart w:id="686" w:name="bookmark686"/>
      <w:bookmarkStart w:id="687" w:name="bookmark687"/>
      <w:bookmarkEnd w:id="686"/>
      <w:r>
        <w:rPr>
          <w:color w:val="000000"/>
          <w:spacing w:val="0"/>
          <w:w w:val="100"/>
          <w:position w:val="0"/>
        </w:rPr>
        <w:t>无形资产减值准备的计提</w:t>
      </w:r>
      <w:bookmarkEnd w:id="684"/>
      <w:bookmarkEnd w:id="685"/>
      <w:bookmarkEnd w:id="687"/>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对于使用寿命确定的无形资产，如有明显减值迹象的，期末进行减值测试。</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对于使用寿命不确定的无形资产，每期末进行减值测试。</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对无形资产进行减值测试，估计其可收回金额。有迹象表明一项无形资产可能发生减值的，公司以单项无形资产为基础 估计其可收回金额。公司难以对单项资产的可收回金额进行估计的，以该无形资产所属的资产组为基础确定无形资产组的可 收回金额。</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可收回金额根据无形资产的公允价值减去处置费用后的净额与无形资产预计未来现金流量的现值两者之间较高者确定。</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当无形资产的可收回金额低于其账面价值的，将无形资产的账面价值减记至可收回金额，减记的金额确认为无形资产减 值损失，计入当期损益，同时计提相应的无形资产减值准备。</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无形资产减值损失确认后，减值无形资产的折耗或者摊销费用在未来期间作相应调整，以使该无形资产在剩余使用寿命 内，系统地分摊调整后的无形资产账面价值(扣除预计净残值)。</w:t>
      </w:r>
    </w:p>
    <w:p>
      <w:pPr>
        <w:pStyle w:val="Style35"/>
        <w:keepNext w:val="0"/>
        <w:keepLines w:val="0"/>
        <w:widowControl w:val="0"/>
        <w:shd w:val="clear" w:color="auto" w:fill="auto"/>
        <w:bidi w:val="0"/>
        <w:spacing w:before="0" w:after="360" w:line="312" w:lineRule="exact"/>
        <w:ind w:left="0" w:right="0"/>
        <w:jc w:val="both"/>
      </w:pPr>
      <w:r>
        <w:rPr>
          <w:color w:val="000000"/>
          <w:spacing w:val="0"/>
          <w:w w:val="100"/>
          <w:position w:val="0"/>
        </w:rPr>
        <w:t>无形资产的减值损失一经确认，在以后会计期间不再转回。</w:t>
      </w:r>
    </w:p>
    <w:p>
      <w:pPr>
        <w:pStyle w:val="Style40"/>
        <w:keepNext/>
        <w:keepLines/>
        <w:widowControl w:val="0"/>
        <w:numPr>
          <w:ilvl w:val="0"/>
          <w:numId w:val="25"/>
        </w:numPr>
        <w:shd w:val="clear" w:color="auto" w:fill="auto"/>
        <w:tabs>
          <w:tab w:pos="498" w:val="left"/>
        </w:tabs>
        <w:bidi w:val="0"/>
        <w:spacing w:before="0" w:after="360" w:line="240" w:lineRule="auto"/>
        <w:ind w:left="0" w:right="0" w:firstLine="0"/>
        <w:jc w:val="left"/>
      </w:pPr>
      <w:bookmarkStart w:id="688" w:name="bookmark688"/>
      <w:bookmarkStart w:id="689" w:name="bookmark689"/>
      <w:bookmarkStart w:id="690" w:name="bookmark690"/>
      <w:bookmarkStart w:id="691" w:name="bookmark691"/>
      <w:bookmarkEnd w:id="690"/>
      <w:r>
        <w:rPr>
          <w:color w:val="000000"/>
          <w:spacing w:val="0"/>
          <w:w w:val="100"/>
          <w:position w:val="0"/>
        </w:rPr>
        <w:t>划分公司内部研究开发项目的研究阶段和开发阶段具体标准</w:t>
      </w:r>
      <w:bookmarkEnd w:id="688"/>
      <w:bookmarkEnd w:id="689"/>
      <w:bookmarkEnd w:id="691"/>
    </w:p>
    <w:p>
      <w:pPr>
        <w:pStyle w:val="Style35"/>
        <w:keepNext w:val="0"/>
        <w:keepLines w:val="0"/>
        <w:widowControl w:val="0"/>
        <w:shd w:val="clear" w:color="auto" w:fill="auto"/>
        <w:bidi w:val="0"/>
        <w:spacing w:before="0" w:after="360" w:line="240" w:lineRule="auto"/>
        <w:ind w:left="0" w:right="0"/>
        <w:jc w:val="left"/>
      </w:pPr>
      <w:r>
        <w:rPr>
          <w:color w:val="000000"/>
          <w:spacing w:val="0"/>
          <w:w w:val="100"/>
          <w:position w:val="0"/>
        </w:rPr>
        <w:t>公司内部研究开发项目的支出分为研究阶段支出和开发阶段支出。</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研究阶段：指为获取新的技术和知识等所进行的有计划的调查。公司的研究阶段一般是指研发部门根据市场需求、技术 需要等因素对需研究开发的项目进行相关分析立项，由项目管理部门对该项目进行技术创新能力、成果转化能力、实际需求 能力及项目预算资金保障能力等情况进行评审分析的阶段。</w:t>
      </w:r>
    </w:p>
    <w:p>
      <w:pPr>
        <w:pStyle w:val="Style35"/>
        <w:keepNext w:val="0"/>
        <w:keepLines w:val="0"/>
        <w:widowControl w:val="0"/>
        <w:shd w:val="clear" w:color="auto" w:fill="auto"/>
        <w:bidi w:val="0"/>
        <w:spacing w:before="0" w:after="360" w:line="312" w:lineRule="exact"/>
        <w:ind w:left="0" w:right="0"/>
        <w:jc w:val="both"/>
      </w:pPr>
      <w:r>
        <w:rPr>
          <w:color w:val="000000"/>
          <w:spacing w:val="0"/>
          <w:w w:val="100"/>
          <w:position w:val="0"/>
        </w:rPr>
        <w:t>开发阶段：指在进行商业性生产或使用前，将研究成果或其他知识应用于某项计划或设计，以生产出新的或具有实质性 改进的材料、装置、产品等。公司的开发阶段是指项目立项申请经过研究阶段的研究分析，评审形成立项报告后，研发项目 组完成软件详细设计、代码编写、系统测试等工作，并且通过不断修订完善直至达到可使用或可销售状态。</w:t>
      </w:r>
    </w:p>
    <w:p>
      <w:pPr>
        <w:pStyle w:val="Style40"/>
        <w:keepNext/>
        <w:keepLines/>
        <w:widowControl w:val="0"/>
        <w:shd w:val="clear" w:color="auto" w:fill="auto"/>
        <w:bidi w:val="0"/>
        <w:spacing w:before="0" w:after="260" w:line="240" w:lineRule="auto"/>
        <w:ind w:left="0" w:right="0" w:firstLine="0"/>
        <w:jc w:val="left"/>
      </w:pPr>
      <w:bookmarkStart w:id="692" w:name="bookmark692"/>
      <w:bookmarkStart w:id="693" w:name="bookmark693"/>
      <w:bookmarkStart w:id="694" w:name="bookmark694"/>
      <w:bookmarkStart w:id="695" w:name="bookmark695"/>
      <w:r>
        <w:rPr>
          <w:color w:val="000000"/>
          <w:spacing w:val="0"/>
          <w:w w:val="100"/>
          <w:position w:val="0"/>
        </w:rPr>
        <w:t>（</w:t>
      </w:r>
      <w:bookmarkEnd w:id="694"/>
      <w:r>
        <w:rPr>
          <w:rFonts w:ascii="Times New Roman" w:eastAsia="Times New Roman" w:hAnsi="Times New Roman" w:cs="Times New Roman"/>
          <w:color w:val="000000"/>
          <w:spacing w:val="0"/>
          <w:w w:val="100"/>
          <w:position w:val="0"/>
        </w:rPr>
        <w:t>6</w:t>
      </w:r>
      <w:r>
        <w:rPr>
          <w:color w:val="000000"/>
          <w:spacing w:val="0"/>
          <w:w w:val="100"/>
          <w:position w:val="0"/>
        </w:rPr>
        <w:t>）内部研究开发项目支出的核算</w:t>
      </w:r>
      <w:bookmarkEnd w:id="692"/>
      <w:bookmarkEnd w:id="693"/>
      <w:bookmarkEnd w:id="695"/>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内部研究开发项目开发阶段的支出，同时满足下列条件时确认为无形资产：</w:t>
      </w:r>
    </w:p>
    <w:p>
      <w:pPr>
        <w:pStyle w:val="Style35"/>
        <w:keepNext w:val="0"/>
        <w:keepLines w:val="0"/>
        <w:widowControl w:val="0"/>
        <w:numPr>
          <w:ilvl w:val="0"/>
          <w:numId w:val="27"/>
        </w:numPr>
        <w:shd w:val="clear" w:color="auto" w:fill="auto"/>
        <w:tabs>
          <w:tab w:pos="753" w:val="left"/>
        </w:tabs>
        <w:bidi w:val="0"/>
        <w:spacing w:before="0" w:after="0" w:line="312" w:lineRule="exact"/>
        <w:ind w:left="0" w:right="0"/>
        <w:jc w:val="left"/>
      </w:pPr>
      <w:bookmarkStart w:id="696" w:name="bookmark696"/>
      <w:bookmarkEnd w:id="696"/>
      <w:r>
        <w:rPr>
          <w:color w:val="000000"/>
          <w:spacing w:val="0"/>
          <w:w w:val="100"/>
          <w:position w:val="0"/>
        </w:rPr>
        <w:t>完成该无形资产以使其能够使用或出售在技术上具有可行性；</w:t>
      </w:r>
    </w:p>
    <w:p>
      <w:pPr>
        <w:pStyle w:val="Style35"/>
        <w:keepNext w:val="0"/>
        <w:keepLines w:val="0"/>
        <w:widowControl w:val="0"/>
        <w:numPr>
          <w:ilvl w:val="0"/>
          <w:numId w:val="27"/>
        </w:numPr>
        <w:shd w:val="clear" w:color="auto" w:fill="auto"/>
        <w:tabs>
          <w:tab w:pos="753" w:val="left"/>
        </w:tabs>
        <w:bidi w:val="0"/>
        <w:spacing w:before="0" w:after="0" w:line="312" w:lineRule="exact"/>
        <w:ind w:left="0" w:right="0"/>
        <w:jc w:val="left"/>
      </w:pPr>
      <w:bookmarkStart w:id="697" w:name="bookmark697"/>
      <w:bookmarkEnd w:id="697"/>
      <w:r>
        <w:rPr>
          <w:color w:val="000000"/>
          <w:spacing w:val="0"/>
          <w:w w:val="100"/>
          <w:position w:val="0"/>
        </w:rPr>
        <w:t>具有完成该无形资产并使用或出售的意图；</w:t>
      </w:r>
    </w:p>
    <w:p>
      <w:pPr>
        <w:pStyle w:val="Style35"/>
        <w:keepNext w:val="0"/>
        <w:keepLines w:val="0"/>
        <w:widowControl w:val="0"/>
        <w:numPr>
          <w:ilvl w:val="0"/>
          <w:numId w:val="27"/>
        </w:numPr>
        <w:shd w:val="clear" w:color="auto" w:fill="auto"/>
        <w:tabs>
          <w:tab w:pos="723" w:val="left"/>
        </w:tabs>
        <w:bidi w:val="0"/>
        <w:spacing w:before="0" w:after="0" w:line="312" w:lineRule="exact"/>
        <w:ind w:left="0" w:right="0"/>
        <w:jc w:val="both"/>
      </w:pPr>
      <w:bookmarkStart w:id="698" w:name="bookmark698"/>
      <w:bookmarkEnd w:id="698"/>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35"/>
        <w:keepNext w:val="0"/>
        <w:keepLines w:val="0"/>
        <w:widowControl w:val="0"/>
        <w:numPr>
          <w:ilvl w:val="0"/>
          <w:numId w:val="27"/>
        </w:numPr>
        <w:shd w:val="clear" w:color="auto" w:fill="auto"/>
        <w:tabs>
          <w:tab w:pos="753" w:val="left"/>
        </w:tabs>
        <w:bidi w:val="0"/>
        <w:spacing w:before="0" w:after="0" w:line="312" w:lineRule="exact"/>
        <w:ind w:left="0" w:right="0"/>
        <w:jc w:val="left"/>
      </w:pPr>
      <w:bookmarkStart w:id="699" w:name="bookmark699"/>
      <w:bookmarkEnd w:id="699"/>
      <w:r>
        <w:rPr>
          <w:color w:val="000000"/>
          <w:spacing w:val="0"/>
          <w:w w:val="100"/>
          <w:position w:val="0"/>
        </w:rPr>
        <w:t>有足够的技术、财务资源和其他资源支持，以完成该无形资产的开发，并有能力使用或出售该无形资产；</w:t>
      </w:r>
    </w:p>
    <w:p>
      <w:pPr>
        <w:pStyle w:val="Style35"/>
        <w:keepNext w:val="0"/>
        <w:keepLines w:val="0"/>
        <w:widowControl w:val="0"/>
        <w:numPr>
          <w:ilvl w:val="0"/>
          <w:numId w:val="27"/>
        </w:numPr>
        <w:shd w:val="clear" w:color="auto" w:fill="auto"/>
        <w:tabs>
          <w:tab w:pos="753" w:val="left"/>
        </w:tabs>
        <w:bidi w:val="0"/>
        <w:spacing w:before="0" w:after="0" w:line="312" w:lineRule="exact"/>
        <w:ind w:left="0" w:right="0"/>
        <w:jc w:val="left"/>
      </w:pPr>
      <w:bookmarkStart w:id="700" w:name="bookmark700"/>
      <w:bookmarkEnd w:id="700"/>
      <w:r>
        <w:rPr>
          <w:color w:val="000000"/>
          <w:spacing w:val="0"/>
          <w:w w:val="100"/>
          <w:position w:val="0"/>
        </w:rPr>
        <w:t>归属于该无形资产开发阶段的支出能够可靠地计量。</w:t>
      </w:r>
    </w:p>
    <w:p>
      <w:pPr>
        <w:pStyle w:val="Style35"/>
        <w:keepNext w:val="0"/>
        <w:keepLines w:val="0"/>
        <w:widowControl w:val="0"/>
        <w:shd w:val="clear" w:color="auto" w:fill="auto"/>
        <w:bidi w:val="0"/>
        <w:spacing w:before="0" w:after="360" w:line="312" w:lineRule="exact"/>
        <w:ind w:left="0" w:right="0"/>
        <w:jc w:val="left"/>
      </w:pPr>
      <w:r>
        <w:rPr>
          <w:color w:val="000000"/>
          <w:spacing w:val="0"/>
          <w:w w:val="100"/>
          <w:position w:val="0"/>
        </w:rPr>
        <w:t>开发阶段的支出，若不满足上列条件的，于发生时计入当期损益。研究阶段的支出，在发生时计入当期损益。</w:t>
      </w:r>
    </w:p>
    <w:p>
      <w:pPr>
        <w:pStyle w:val="Style40"/>
        <w:keepNext/>
        <w:keepLines/>
        <w:widowControl w:val="0"/>
        <w:shd w:val="clear" w:color="auto" w:fill="auto"/>
        <w:tabs>
          <w:tab w:pos="474" w:val="left"/>
        </w:tabs>
        <w:bidi w:val="0"/>
        <w:spacing w:before="0" w:after="26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1</w:t>
      </w:r>
      <w:bookmarkEnd w:id="703"/>
      <w:r>
        <w:rPr>
          <w:rFonts w:ascii="Times New Roman" w:eastAsia="Times New Roman" w:hAnsi="Times New Roman" w:cs="Times New Roman"/>
          <w:color w:val="000000"/>
          <w:spacing w:val="0"/>
          <w:w w:val="100"/>
          <w:position w:val="0"/>
        </w:rPr>
        <w:t>8</w:t>
      </w:r>
      <w:r>
        <w:rPr>
          <w:color w:val="000000"/>
          <w:spacing w:val="0"/>
          <w:w w:val="100"/>
          <w:position w:val="0"/>
        </w:rPr>
        <w:t>、</w:t>
        <w:tab/>
        <w:t>商誉</w:t>
      </w:r>
      <w:bookmarkEnd w:id="701"/>
      <w:bookmarkEnd w:id="702"/>
      <w:bookmarkEnd w:id="704"/>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因非同一控制下企业合并形成的商誉，其初始成本是合并成本大于合并中取得的被购买方可辨认净资产公允价值份额的 差额。</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商誉在其相关资产组或资产组组合处置时予以转出，计入当期损益。</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本公司对商誉不摊销，商誉至少在每年年度终了进行减值测试。</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难以分摊至相关的资产组的，将其分摊至相关的资产组组合。在将商誉的账面价值分摊至相关的资产组或者资产组组合时， 按照各资产组或者资产组组合的公允价值占相关资产组或者资产组组合公允价值总额的比例进行分摊。公允价值难以可靠计 量的，按照各资产组或者资产组组合的账面价值占相关资产组或者资产组组合账面价值总额的比例进行分摊。</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再对包含商誉的资产组或者资产组组合进行减值测试，比较这些相关资产组或者资产组组合的账面价值（包括所分摊的商誉 的账面价值部分）与其可收回金额，如相关资产组或者资产组组合的可收回金额低于其账面价值的，确认商誉的减值损失。</w:t>
      </w:r>
    </w:p>
    <w:p>
      <w:pPr>
        <w:pStyle w:val="Style35"/>
        <w:keepNext w:val="0"/>
        <w:keepLines w:val="0"/>
        <w:widowControl w:val="0"/>
        <w:shd w:val="clear" w:color="auto" w:fill="auto"/>
        <w:bidi w:val="0"/>
        <w:spacing w:before="0" w:after="360" w:line="312" w:lineRule="exact"/>
        <w:ind w:left="0" w:right="0"/>
        <w:jc w:val="left"/>
      </w:pPr>
      <w:r>
        <w:rPr>
          <w:color w:val="000000"/>
          <w:spacing w:val="0"/>
          <w:w w:val="100"/>
          <w:position w:val="0"/>
        </w:rPr>
        <w:t>商誉减值损失在发生时计入当期损益，且在以后会计期间不予转回。</w:t>
      </w:r>
    </w:p>
    <w:p>
      <w:pPr>
        <w:pStyle w:val="Style40"/>
        <w:keepNext/>
        <w:keepLines/>
        <w:widowControl w:val="0"/>
        <w:shd w:val="clear" w:color="auto" w:fill="auto"/>
        <w:tabs>
          <w:tab w:pos="474" w:val="left"/>
        </w:tabs>
        <w:bidi w:val="0"/>
        <w:spacing w:before="0" w:after="26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1</w:t>
      </w:r>
      <w:bookmarkEnd w:id="707"/>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705"/>
      <w:bookmarkEnd w:id="706"/>
      <w:bookmarkEnd w:id="708"/>
    </w:p>
    <w:p>
      <w:pPr>
        <w:pStyle w:val="Style35"/>
        <w:keepNext w:val="0"/>
        <w:keepLines w:val="0"/>
        <w:widowControl w:val="0"/>
        <w:shd w:val="clear" w:color="auto" w:fill="auto"/>
        <w:bidi w:val="0"/>
        <w:spacing w:before="0" w:after="360" w:line="314" w:lineRule="exact"/>
        <w:ind w:left="0" w:right="0"/>
        <w:jc w:val="both"/>
      </w:pPr>
      <w:r>
        <w:rPr>
          <w:color w:val="000000"/>
          <w:spacing w:val="0"/>
          <w:w w:val="100"/>
          <w:position w:val="0"/>
        </w:rPr>
        <w:t>本公司长期待摊费用是指已经支出，但受益期限在一年以上（不含一年）的各项费用，主要包括车位使用费、房屋装修 费等。长期待摊费用按费用项目的受益期限分期摊销。长期待摊的费用项目不能使以后会计期间受益，则将尚未摊销的该项 目的摊余价值全部转入当期损益。</w:t>
      </w:r>
    </w:p>
    <w:p>
      <w:pPr>
        <w:pStyle w:val="Style40"/>
        <w:keepNext/>
        <w:keepLines/>
        <w:widowControl w:val="0"/>
        <w:shd w:val="clear" w:color="auto" w:fill="auto"/>
        <w:tabs>
          <w:tab w:pos="483" w:val="left"/>
        </w:tabs>
        <w:bidi w:val="0"/>
        <w:spacing w:before="0" w:after="26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2</w:t>
      </w:r>
      <w:bookmarkEnd w:id="711"/>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709"/>
      <w:bookmarkEnd w:id="710"/>
      <w:bookmarkEnd w:id="712"/>
    </w:p>
    <w:p>
      <w:pPr>
        <w:pStyle w:val="Style35"/>
        <w:keepNext w:val="0"/>
        <w:keepLines w:val="0"/>
        <w:widowControl w:val="0"/>
        <w:shd w:val="clear" w:color="auto" w:fill="auto"/>
        <w:bidi w:val="0"/>
        <w:spacing w:before="0" w:after="320" w:line="317" w:lineRule="exact"/>
        <w:ind w:left="0" w:right="0"/>
        <w:jc w:val="both"/>
      </w:pPr>
      <w:r>
        <w:rPr>
          <w:color w:val="000000"/>
          <w:spacing w:val="0"/>
          <w:w w:val="100"/>
          <w:position w:val="0"/>
        </w:rPr>
        <w:t>本公司涉及诉讼、债务担保、亏损合同、重组事项时，如该等事项很可能需要未来以交付资产或提供劳务、其金额能够 可靠计量的，确认为预计负债。</w:t>
      </w:r>
    </w:p>
    <w:p>
      <w:pPr>
        <w:pStyle w:val="Style40"/>
        <w:keepNext/>
        <w:keepLines/>
        <w:widowControl w:val="0"/>
        <w:shd w:val="clear" w:color="auto" w:fill="auto"/>
        <w:bidi w:val="0"/>
        <w:spacing w:before="0" w:after="360" w:line="240" w:lineRule="auto"/>
        <w:ind w:left="0" w:right="0" w:firstLine="0"/>
        <w:jc w:val="left"/>
      </w:pPr>
      <w:bookmarkStart w:id="713" w:name="bookmark713"/>
      <w:bookmarkStart w:id="714" w:name="bookmark714"/>
      <w:bookmarkStart w:id="715" w:name="bookmark715"/>
      <w:bookmarkStart w:id="716" w:name="bookmark716"/>
      <w:r>
        <w:rPr>
          <w:color w:val="000000"/>
          <w:spacing w:val="0"/>
          <w:w w:val="100"/>
          <w:position w:val="0"/>
        </w:rPr>
        <w:t>（</w:t>
      </w:r>
      <w:bookmarkEnd w:id="715"/>
      <w:r>
        <w:rPr>
          <w:rFonts w:ascii="Times New Roman" w:eastAsia="Times New Roman" w:hAnsi="Times New Roman" w:cs="Times New Roman"/>
          <w:color w:val="000000"/>
          <w:spacing w:val="0"/>
          <w:w w:val="100"/>
          <w:position w:val="0"/>
        </w:rPr>
        <w:t>1</w:t>
      </w:r>
      <w:r>
        <w:rPr>
          <w:color w:val="000000"/>
          <w:spacing w:val="0"/>
          <w:w w:val="100"/>
          <w:position w:val="0"/>
        </w:rPr>
        <w:t>）预计负债的确认标准</w:t>
      </w:r>
      <w:bookmarkEnd w:id="713"/>
      <w:bookmarkEnd w:id="714"/>
      <w:bookmarkEnd w:id="716"/>
    </w:p>
    <w:p>
      <w:pPr>
        <w:pStyle w:val="Style35"/>
        <w:keepNext w:val="0"/>
        <w:keepLines w:val="0"/>
        <w:widowControl w:val="0"/>
        <w:shd w:val="clear" w:color="auto" w:fill="auto"/>
        <w:bidi w:val="0"/>
        <w:spacing w:before="0" w:line="240" w:lineRule="auto"/>
        <w:ind w:left="0" w:right="0"/>
        <w:jc w:val="left"/>
      </w:pPr>
      <w:r>
        <w:rPr>
          <w:color w:val="000000"/>
          <w:spacing w:val="0"/>
          <w:w w:val="100"/>
          <w:position w:val="0"/>
        </w:rPr>
        <w:t>与或有事项相关的义务同时满足下列条件时，本公司确认为预计负债:</w:t>
      </w:r>
    </w:p>
    <w:p>
      <w:pPr>
        <w:pStyle w:val="Style35"/>
        <w:keepNext w:val="0"/>
        <w:keepLines w:val="0"/>
        <w:widowControl w:val="0"/>
        <w:numPr>
          <w:ilvl w:val="0"/>
          <w:numId w:val="29"/>
        </w:numPr>
        <w:shd w:val="clear" w:color="auto" w:fill="auto"/>
        <w:tabs>
          <w:tab w:pos="753" w:val="left"/>
        </w:tabs>
        <w:bidi w:val="0"/>
        <w:spacing w:before="0" w:line="240" w:lineRule="auto"/>
        <w:ind w:left="0" w:right="0"/>
        <w:jc w:val="left"/>
      </w:pPr>
      <w:bookmarkStart w:id="717" w:name="bookmark717"/>
      <w:bookmarkEnd w:id="717"/>
      <w:r>
        <w:rPr>
          <w:color w:val="000000"/>
          <w:spacing w:val="0"/>
          <w:w w:val="100"/>
          <w:position w:val="0"/>
        </w:rPr>
        <w:t>该义务是本公司承担的现时义务；</w:t>
      </w:r>
    </w:p>
    <w:p>
      <w:pPr>
        <w:pStyle w:val="Style35"/>
        <w:keepNext w:val="0"/>
        <w:keepLines w:val="0"/>
        <w:widowControl w:val="0"/>
        <w:numPr>
          <w:ilvl w:val="0"/>
          <w:numId w:val="29"/>
        </w:numPr>
        <w:shd w:val="clear" w:color="auto" w:fill="auto"/>
        <w:tabs>
          <w:tab w:pos="753" w:val="left"/>
        </w:tabs>
        <w:bidi w:val="0"/>
        <w:spacing w:before="0" w:line="240" w:lineRule="auto"/>
        <w:ind w:left="0" w:right="0"/>
        <w:jc w:val="left"/>
      </w:pPr>
      <w:bookmarkStart w:id="718" w:name="bookmark718"/>
      <w:bookmarkEnd w:id="718"/>
      <w:r>
        <w:rPr>
          <w:color w:val="000000"/>
          <w:spacing w:val="0"/>
          <w:w w:val="100"/>
          <w:position w:val="0"/>
        </w:rPr>
        <w:t>履行该义务很可能导致经济利益流出本公司；</w:t>
      </w:r>
    </w:p>
    <w:p>
      <w:pPr>
        <w:pStyle w:val="Style35"/>
        <w:keepNext w:val="0"/>
        <w:keepLines w:val="0"/>
        <w:widowControl w:val="0"/>
        <w:numPr>
          <w:ilvl w:val="0"/>
          <w:numId w:val="29"/>
        </w:numPr>
        <w:shd w:val="clear" w:color="auto" w:fill="auto"/>
        <w:tabs>
          <w:tab w:pos="753" w:val="left"/>
        </w:tabs>
        <w:bidi w:val="0"/>
        <w:spacing w:before="0" w:after="680" w:line="240" w:lineRule="auto"/>
        <w:ind w:left="0" w:right="0"/>
        <w:jc w:val="left"/>
      </w:pPr>
      <w:bookmarkStart w:id="719" w:name="bookmark719"/>
      <w:bookmarkEnd w:id="719"/>
      <w:r>
        <w:rPr>
          <w:color w:val="000000"/>
          <w:spacing w:val="0"/>
          <w:w w:val="100"/>
          <w:position w:val="0"/>
        </w:rPr>
        <w:t>该义务的金额能够可靠地计量。</w:t>
      </w:r>
    </w:p>
    <w:p>
      <w:pPr>
        <w:pStyle w:val="Style40"/>
        <w:keepNext/>
        <w:keepLines/>
        <w:widowControl w:val="0"/>
        <w:shd w:val="clear" w:color="auto" w:fill="auto"/>
        <w:bidi w:val="0"/>
        <w:spacing w:before="0" w:after="260" w:line="240" w:lineRule="auto"/>
        <w:ind w:left="0" w:right="0" w:firstLine="0"/>
        <w:jc w:val="left"/>
      </w:pPr>
      <w:bookmarkStart w:id="720" w:name="bookmark720"/>
      <w:bookmarkStart w:id="721" w:name="bookmark721"/>
      <w:bookmarkStart w:id="722" w:name="bookmark722"/>
      <w:bookmarkStart w:id="723" w:name="bookmark723"/>
      <w:r>
        <w:rPr>
          <w:color w:val="000000"/>
          <w:spacing w:val="0"/>
          <w:w w:val="100"/>
          <w:position w:val="0"/>
        </w:rPr>
        <w:t>（</w:t>
      </w:r>
      <w:bookmarkEnd w:id="722"/>
      <w:r>
        <w:rPr>
          <w:rFonts w:ascii="Times New Roman" w:eastAsia="Times New Roman" w:hAnsi="Times New Roman" w:cs="Times New Roman"/>
          <w:color w:val="000000"/>
          <w:spacing w:val="0"/>
          <w:w w:val="100"/>
          <w:position w:val="0"/>
        </w:rPr>
        <w:t>2</w:t>
      </w:r>
      <w:r>
        <w:rPr>
          <w:color w:val="000000"/>
          <w:spacing w:val="0"/>
          <w:w w:val="100"/>
          <w:position w:val="0"/>
        </w:rPr>
        <w:t>）预计负债的计量方法</w:t>
      </w:r>
      <w:bookmarkEnd w:id="720"/>
      <w:bookmarkEnd w:id="721"/>
      <w:bookmarkEnd w:id="723"/>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本公司预计负债按履行相关现时义务所需的支出的最佳估计数进行初始计量。</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本公司在确定最佳估计数时，综合考虑与或有事项有关的风险、不确定性和货币时间价值等因素。对于货币时间价值影 响重大的，通过对相关未来现金流出进行折现后确定最佳估计数。</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最佳估计数分别以下情况处理：</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所需支出存在一个连续范围（或区间），且该范围内各种结果发生的可能性相同的，则最佳估计数按照该范围的中间值 即上下限金额的平均数确定。</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35"/>
        <w:keepNext w:val="0"/>
        <w:keepLines w:val="0"/>
        <w:widowControl w:val="0"/>
        <w:shd w:val="clear" w:color="auto" w:fill="auto"/>
        <w:bidi w:val="0"/>
        <w:spacing w:before="0" w:after="360" w:line="314" w:lineRule="exact"/>
        <w:ind w:left="0" w:right="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40"/>
        <w:keepNext/>
        <w:keepLines/>
        <w:widowControl w:val="0"/>
        <w:shd w:val="clear" w:color="auto" w:fill="auto"/>
        <w:bidi w:val="0"/>
        <w:spacing w:before="0" w:after="36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2</w:t>
      </w:r>
      <w:bookmarkEnd w:id="726"/>
      <w:r>
        <w:rPr>
          <w:rFonts w:ascii="Times New Roman" w:eastAsia="Times New Roman" w:hAnsi="Times New Roman" w:cs="Times New Roman"/>
          <w:color w:val="000000"/>
          <w:spacing w:val="0"/>
          <w:w w:val="100"/>
          <w:position w:val="0"/>
        </w:rPr>
        <w:t>1</w:t>
      </w:r>
      <w:r>
        <w:rPr>
          <w:color w:val="000000"/>
          <w:spacing w:val="0"/>
          <w:w w:val="100"/>
          <w:position w:val="0"/>
        </w:rPr>
        <w:t>、股份支付及权益工具</w:t>
      </w:r>
      <w:bookmarkEnd w:id="724"/>
      <w:bookmarkEnd w:id="725"/>
      <w:bookmarkEnd w:id="727"/>
    </w:p>
    <w:p>
      <w:pPr>
        <w:pStyle w:val="Style40"/>
        <w:keepNext/>
        <w:keepLines/>
        <w:widowControl w:val="0"/>
        <w:shd w:val="clear" w:color="auto" w:fill="auto"/>
        <w:tabs>
          <w:tab w:pos="498" w:val="left"/>
        </w:tabs>
        <w:bidi w:val="0"/>
        <w:spacing w:before="0" w:after="260" w:line="240" w:lineRule="auto"/>
        <w:ind w:left="0" w:right="0" w:firstLine="0"/>
        <w:jc w:val="left"/>
      </w:pPr>
      <w:bookmarkStart w:id="724" w:name="bookmark724"/>
      <w:bookmarkStart w:id="725" w:name="bookmark725"/>
      <w:bookmarkStart w:id="728" w:name="bookmark728"/>
      <w:bookmarkStart w:id="729" w:name="bookmark729"/>
      <w:r>
        <w:rPr>
          <w:color w:val="000000"/>
          <w:spacing w:val="0"/>
          <w:w w:val="100"/>
          <w:position w:val="0"/>
        </w:rPr>
        <w:t>（</w:t>
      </w:r>
      <w:bookmarkEnd w:id="728"/>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724"/>
      <w:bookmarkEnd w:id="725"/>
      <w:bookmarkEnd w:id="729"/>
    </w:p>
    <w:p>
      <w:pPr>
        <w:pStyle w:val="Style35"/>
        <w:keepNext w:val="0"/>
        <w:keepLines w:val="0"/>
        <w:widowControl w:val="0"/>
        <w:shd w:val="clear" w:color="auto" w:fill="auto"/>
        <w:bidi w:val="0"/>
        <w:spacing w:before="0" w:after="360" w:line="312" w:lineRule="exact"/>
        <w:ind w:left="0" w:right="0"/>
        <w:jc w:val="both"/>
      </w:pPr>
      <w:r>
        <w:rPr>
          <w:color w:val="000000"/>
          <w:spacing w:val="0"/>
          <w:w w:val="100"/>
          <w:position w:val="0"/>
        </w:rPr>
        <w:t>本公司的股份支付是为了获取职工</w:t>
      </w:r>
      <w:r>
        <w:rPr>
          <w:rFonts w:ascii="Times New Roman" w:eastAsia="Times New Roman" w:hAnsi="Times New Roman" w:cs="Times New Roman"/>
          <w:color w:val="000000"/>
          <w:spacing w:val="0"/>
          <w:w w:val="100"/>
          <w:position w:val="0"/>
        </w:rPr>
        <w:t>［</w:t>
      </w:r>
      <w:r>
        <w:rPr>
          <w:color w:val="000000"/>
          <w:spacing w:val="0"/>
          <w:w w:val="100"/>
          <w:position w:val="0"/>
        </w:rPr>
        <w:t>或其他方</w:t>
      </w:r>
      <w:r>
        <w:rPr>
          <w:rFonts w:ascii="Times New Roman" w:eastAsia="Times New Roman" w:hAnsi="Times New Roman" w:cs="Times New Roman"/>
          <w:color w:val="000000"/>
          <w:spacing w:val="0"/>
          <w:w w:val="100"/>
          <w:position w:val="0"/>
        </w:rPr>
        <w:t>］</w:t>
      </w:r>
      <w:r>
        <w:rPr>
          <w:color w:val="000000"/>
          <w:spacing w:val="0"/>
          <w:w w:val="100"/>
          <w:position w:val="0"/>
        </w:rPr>
        <w:t>提供服务而授予权益工具或者承担以权益工具为基础确定的负债的交易。 本公司的股份支付分为以权益结算的股份支付。</w:t>
      </w:r>
    </w:p>
    <w:p>
      <w:pPr>
        <w:pStyle w:val="Style40"/>
        <w:keepNext/>
        <w:keepLines/>
        <w:widowControl w:val="0"/>
        <w:shd w:val="clear" w:color="auto" w:fill="auto"/>
        <w:tabs>
          <w:tab w:pos="498" w:val="left"/>
        </w:tabs>
        <w:bidi w:val="0"/>
        <w:spacing w:before="0" w:after="260" w:line="240" w:lineRule="auto"/>
        <w:ind w:left="0" w:right="0" w:firstLine="0"/>
        <w:jc w:val="left"/>
      </w:pPr>
      <w:bookmarkStart w:id="730" w:name="bookmark730"/>
      <w:bookmarkStart w:id="731" w:name="bookmark731"/>
      <w:bookmarkStart w:id="732" w:name="bookmark732"/>
      <w:bookmarkStart w:id="733" w:name="bookmark733"/>
      <w:r>
        <w:rPr>
          <w:color w:val="000000"/>
          <w:spacing w:val="0"/>
          <w:w w:val="100"/>
          <w:position w:val="0"/>
        </w:rPr>
        <w:t>（</w:t>
      </w:r>
      <w:bookmarkEnd w:id="732"/>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730"/>
      <w:bookmarkEnd w:id="731"/>
      <w:bookmarkEnd w:id="733"/>
    </w:p>
    <w:p>
      <w:pPr>
        <w:pStyle w:val="Style35"/>
        <w:keepNext w:val="0"/>
        <w:keepLines w:val="0"/>
        <w:widowControl w:val="0"/>
        <w:shd w:val="clear" w:color="auto" w:fill="auto"/>
        <w:bidi w:val="0"/>
        <w:spacing w:before="0" w:after="360" w:line="310" w:lineRule="exact"/>
        <w:ind w:left="0" w:right="0"/>
        <w:jc w:val="both"/>
      </w:pPr>
      <w:r>
        <w:rPr>
          <w:color w:val="000000"/>
          <w:spacing w:val="0"/>
          <w:w w:val="100"/>
          <w:position w:val="0"/>
        </w:rPr>
        <w:t>以权益结算的股份支付换取职工提供服务的，以授予职工权益工具的公允价值计量。授予后立即可行权的，在授予日按 照公允价值计入相关成本或费用，相应增加资本公积；完成等待期内的服务或达到规定业绩条件才可行权的，在等待期内每 个资产负债表日，本公司根据最新取得的可行权职工人数变动、是否达到规定业绩条件等后续信息对可行权权益工具数量作 出最佳估计，以此为基础，按照授予日的公允价值，将当期取得的服务计入相关成本或费用，相应增加资本公积。权益工具 的公允价值采用</w:t>
      </w:r>
      <w:r>
        <w:rPr>
          <w:rFonts w:ascii="Times New Roman" w:eastAsia="Times New Roman" w:hAnsi="Times New Roman" w:cs="Times New Roman"/>
          <w:color w:val="000000"/>
          <w:spacing w:val="0"/>
          <w:w w:val="100"/>
          <w:position w:val="0"/>
        </w:rPr>
        <w:t>Black-Scholes</w:t>
      </w:r>
      <w:r>
        <w:rPr>
          <w:color w:val="000000"/>
          <w:spacing w:val="0"/>
          <w:w w:val="100"/>
          <w:position w:val="0"/>
        </w:rPr>
        <w:t>期权定价模型确定，详见附注</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w:t>
      </w:r>
      <w:r>
        <w:rPr>
          <w:color w:val="000000"/>
          <w:spacing w:val="0"/>
          <w:w w:val="100"/>
          <w:position w:val="0"/>
        </w:rPr>
        <w:t>、股份支付。</w:t>
      </w:r>
    </w:p>
    <w:p>
      <w:pPr>
        <w:pStyle w:val="Style40"/>
        <w:keepNext/>
        <w:keepLines/>
        <w:widowControl w:val="0"/>
        <w:shd w:val="clear" w:color="auto" w:fill="auto"/>
        <w:tabs>
          <w:tab w:pos="498" w:val="left"/>
        </w:tabs>
        <w:bidi w:val="0"/>
        <w:spacing w:before="0" w:after="260" w:line="240" w:lineRule="auto"/>
        <w:ind w:left="0" w:right="0" w:firstLine="0"/>
        <w:jc w:val="left"/>
      </w:pPr>
      <w:bookmarkStart w:id="734" w:name="bookmark734"/>
      <w:bookmarkStart w:id="735" w:name="bookmark735"/>
      <w:bookmarkStart w:id="736" w:name="bookmark736"/>
      <w:bookmarkStart w:id="737" w:name="bookmark737"/>
      <w:r>
        <w:rPr>
          <w:color w:val="000000"/>
          <w:spacing w:val="0"/>
          <w:w w:val="100"/>
          <w:position w:val="0"/>
        </w:rPr>
        <w:t>（</w:t>
      </w:r>
      <w:bookmarkEnd w:id="736"/>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734"/>
      <w:bookmarkEnd w:id="735"/>
      <w:bookmarkEnd w:id="737"/>
    </w:p>
    <w:p>
      <w:pPr>
        <w:pStyle w:val="Style35"/>
        <w:keepNext w:val="0"/>
        <w:keepLines w:val="0"/>
        <w:widowControl w:val="0"/>
        <w:shd w:val="clear" w:color="auto" w:fill="auto"/>
        <w:bidi w:val="0"/>
        <w:spacing w:before="0" w:after="260" w:line="312" w:lineRule="exact"/>
        <w:ind w:left="0" w:right="0"/>
        <w:jc w:val="both"/>
      </w:pPr>
      <w:r>
        <w:rPr>
          <w:color w:val="000000"/>
          <w:spacing w:val="0"/>
          <w:w w:val="100"/>
          <w:position w:val="0"/>
        </w:rPr>
        <w:t>在满足业绩条件和服务期限条件的期间，应确认以权益结算的股份支付的成本或费用，并相应增加资本公积。可行权日 之前，于每个资产负债表日为以权益结算的股份支付确认的累计金额反映了等待期已届满的部分以及本公司对最终可行权的 权益工具数量的最佳估计。</w:t>
      </w:r>
    </w:p>
    <w:p>
      <w:pPr>
        <w:pStyle w:val="Style40"/>
        <w:keepNext/>
        <w:keepLines/>
        <w:widowControl w:val="0"/>
        <w:shd w:val="clear" w:color="auto" w:fill="auto"/>
        <w:bidi w:val="0"/>
        <w:spacing w:before="0" w:after="260" w:line="240" w:lineRule="auto"/>
        <w:ind w:left="0" w:right="0" w:firstLine="0"/>
        <w:jc w:val="left"/>
      </w:pPr>
      <w:bookmarkStart w:id="738" w:name="bookmark738"/>
      <w:bookmarkStart w:id="739" w:name="bookmark739"/>
      <w:bookmarkStart w:id="740" w:name="bookmark740"/>
      <w:bookmarkStart w:id="741" w:name="bookmark741"/>
      <w:r>
        <w:rPr>
          <w:color w:val="000000"/>
          <w:spacing w:val="0"/>
          <w:w w:val="100"/>
          <w:position w:val="0"/>
        </w:rPr>
        <w:t>（</w:t>
      </w:r>
      <w:bookmarkEnd w:id="740"/>
      <w:r>
        <w:rPr>
          <w:rFonts w:ascii="Times New Roman" w:eastAsia="Times New Roman" w:hAnsi="Times New Roman" w:cs="Times New Roman"/>
          <w:color w:val="000000"/>
          <w:spacing w:val="0"/>
          <w:w w:val="100"/>
          <w:position w:val="0"/>
        </w:rPr>
        <w:t>4</w:t>
      </w:r>
      <w:r>
        <w:rPr>
          <w:color w:val="000000"/>
          <w:spacing w:val="0"/>
          <w:w w:val="100"/>
          <w:position w:val="0"/>
        </w:rPr>
        <w:t>）实施、修改、终止股份支付计划的相关会计处理</w:t>
      </w:r>
      <w:bookmarkEnd w:id="738"/>
      <w:bookmarkEnd w:id="739"/>
      <w:bookmarkEnd w:id="741"/>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对于最终未能行权的股份支付，不确认成本或费用，除非行权条件是市场条件或非可行权条件，此时无论是否满足市场 条件或非可行权条件，只要满足所有可行权条件中的非市场条件，即视为可行权。</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如果修改了以权益结算的股份支付的条款，至少按照未修改条款的情况确认取得的服务。此外，任何增加所授予权益工 具公允价值的修改，或在修改日对职工有利的变更，均确认取得服务的增加。</w:t>
      </w:r>
    </w:p>
    <w:p>
      <w:pPr>
        <w:pStyle w:val="Style35"/>
        <w:keepNext w:val="0"/>
        <w:keepLines w:val="0"/>
        <w:widowControl w:val="0"/>
        <w:shd w:val="clear" w:color="auto" w:fill="auto"/>
        <w:bidi w:val="0"/>
        <w:spacing w:before="0" w:after="360" w:line="314" w:lineRule="exact"/>
        <w:ind w:left="0" w:right="0"/>
        <w:jc w:val="both"/>
      </w:pPr>
      <w:r>
        <w:rPr>
          <w:color w:val="000000"/>
          <w:spacing w:val="0"/>
          <w:w w:val="100"/>
          <w:position w:val="0"/>
        </w:rPr>
        <w:t>如果取消了以权益结算的股份支付，则于取消日作为加速行权处理，立即确认尚未确认的金额。职工或其他方能够选择 满足非可行权条件但在等待期内未满足的，作为取消以权益结算的股份支付处理。但是，如果授予新的权益工具，并在新权 益工具授予日认定所授予的新权益工具是用于替代被取消的权益工具的，则以与处理原权益工具条款和条件修改相同的方 式，对所授予的替代权益工具进行处理。</w:t>
      </w:r>
    </w:p>
    <w:p>
      <w:pPr>
        <w:pStyle w:val="Style40"/>
        <w:keepNext/>
        <w:keepLines/>
        <w:widowControl w:val="0"/>
        <w:shd w:val="clear" w:color="auto" w:fill="auto"/>
        <w:bidi w:val="0"/>
        <w:spacing w:before="0" w:after="36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2</w:t>
      </w:r>
      <w:bookmarkEnd w:id="744"/>
      <w:r>
        <w:rPr>
          <w:rFonts w:ascii="Times New Roman" w:eastAsia="Times New Roman" w:hAnsi="Times New Roman" w:cs="Times New Roman"/>
          <w:color w:val="000000"/>
          <w:spacing w:val="0"/>
          <w:w w:val="100"/>
          <w:position w:val="0"/>
        </w:rPr>
        <w:t>2</w:t>
      </w:r>
      <w:r>
        <w:rPr>
          <w:color w:val="000000"/>
          <w:spacing w:val="0"/>
          <w:w w:val="100"/>
          <w:position w:val="0"/>
        </w:rPr>
        <w:t>、收入</w:t>
      </w:r>
      <w:bookmarkEnd w:id="742"/>
      <w:bookmarkEnd w:id="743"/>
      <w:bookmarkEnd w:id="745"/>
    </w:p>
    <w:p>
      <w:pPr>
        <w:pStyle w:val="Style40"/>
        <w:keepNext/>
        <w:keepLines/>
        <w:widowControl w:val="0"/>
        <w:shd w:val="clear" w:color="auto" w:fill="auto"/>
        <w:tabs>
          <w:tab w:pos="498" w:val="left"/>
        </w:tabs>
        <w:bidi w:val="0"/>
        <w:spacing w:before="0" w:after="260" w:line="240" w:lineRule="auto"/>
        <w:ind w:left="0" w:right="0" w:firstLine="0"/>
        <w:jc w:val="left"/>
      </w:pPr>
      <w:bookmarkStart w:id="742" w:name="bookmark742"/>
      <w:bookmarkStart w:id="743" w:name="bookmark743"/>
      <w:bookmarkStart w:id="746" w:name="bookmark746"/>
      <w:bookmarkStart w:id="747" w:name="bookmark747"/>
      <w:r>
        <w:rPr>
          <w:color w:val="000000"/>
          <w:spacing w:val="0"/>
          <w:w w:val="100"/>
          <w:position w:val="0"/>
        </w:rPr>
        <w:t>（</w:t>
      </w:r>
      <w:bookmarkEnd w:id="746"/>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742"/>
      <w:bookmarkEnd w:id="743"/>
      <w:bookmarkEnd w:id="747"/>
    </w:p>
    <w:p>
      <w:pPr>
        <w:pStyle w:val="Style35"/>
        <w:keepNext w:val="0"/>
        <w:keepLines w:val="0"/>
        <w:widowControl w:val="0"/>
        <w:shd w:val="clear" w:color="auto" w:fill="auto"/>
        <w:bidi w:val="0"/>
        <w:spacing w:before="0" w:after="360" w:line="312" w:lineRule="exact"/>
        <w:ind w:left="0" w:right="0"/>
        <w:jc w:val="both"/>
      </w:pPr>
      <w:r>
        <w:rPr>
          <w:color w:val="000000"/>
          <w:spacing w:val="0"/>
          <w:w w:val="100"/>
          <w:position w:val="0"/>
        </w:rPr>
        <w:t>销售商品时，在同时满足以下条件时确认收入实现：①已将商品所有权上的主要风险和报酬转移给购货方；②企业既 没有保留通常与所有权相联系的继续管理权，也没有对已出售的商品实施有效控制；③收入的金额能够可靠地计量；④与 交易相关的经济利益很可能流入企业；⑤相关的已发生或将发生的成本能够可靠地计量。</w:t>
      </w:r>
    </w:p>
    <w:p>
      <w:pPr>
        <w:pStyle w:val="Style40"/>
        <w:keepNext/>
        <w:keepLines/>
        <w:widowControl w:val="0"/>
        <w:shd w:val="clear" w:color="auto" w:fill="auto"/>
        <w:tabs>
          <w:tab w:pos="498" w:val="left"/>
        </w:tabs>
        <w:bidi w:val="0"/>
        <w:spacing w:before="0" w:after="260" w:line="240" w:lineRule="auto"/>
        <w:ind w:left="0" w:right="0" w:firstLine="0"/>
        <w:jc w:val="left"/>
      </w:pPr>
      <w:bookmarkStart w:id="748" w:name="bookmark748"/>
      <w:bookmarkStart w:id="749" w:name="bookmark749"/>
      <w:bookmarkStart w:id="750" w:name="bookmark750"/>
      <w:bookmarkStart w:id="751" w:name="bookmark751"/>
      <w:r>
        <w:rPr>
          <w:color w:val="000000"/>
          <w:spacing w:val="0"/>
          <w:w w:val="100"/>
          <w:position w:val="0"/>
        </w:rPr>
        <w:t>（</w:t>
      </w:r>
      <w:bookmarkEnd w:id="750"/>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748"/>
      <w:bookmarkEnd w:id="749"/>
      <w:bookmarkEnd w:id="751"/>
    </w:p>
    <w:p>
      <w:pPr>
        <w:pStyle w:val="Style35"/>
        <w:keepNext w:val="0"/>
        <w:keepLines w:val="0"/>
        <w:widowControl w:val="0"/>
        <w:shd w:val="clear" w:color="auto" w:fill="auto"/>
        <w:bidi w:val="0"/>
        <w:spacing w:before="0" w:after="360" w:line="317" w:lineRule="exact"/>
        <w:ind w:left="0" w:right="0"/>
        <w:jc w:val="both"/>
      </w:pPr>
      <w:r>
        <w:rPr>
          <w:color w:val="000000"/>
          <w:spacing w:val="0"/>
          <w:w w:val="100"/>
          <w:position w:val="0"/>
        </w:rPr>
        <w:t>让渡资产使用权收入的确认和计量方法：以相关的经济利益很可能流入公司，收入的金额能够可靠地计量时，按有关合 同或协议规定的收费时间和方法计算确定。</w:t>
      </w:r>
    </w:p>
    <w:p>
      <w:pPr>
        <w:pStyle w:val="Style40"/>
        <w:keepNext/>
        <w:keepLines/>
        <w:widowControl w:val="0"/>
        <w:shd w:val="clear" w:color="auto" w:fill="auto"/>
        <w:tabs>
          <w:tab w:pos="498" w:val="left"/>
        </w:tabs>
        <w:bidi w:val="0"/>
        <w:spacing w:before="0" w:after="260" w:line="240" w:lineRule="auto"/>
        <w:ind w:left="0" w:right="0" w:firstLine="0"/>
        <w:jc w:val="left"/>
      </w:pPr>
      <w:bookmarkStart w:id="752" w:name="bookmark752"/>
      <w:bookmarkStart w:id="753" w:name="bookmark753"/>
      <w:bookmarkStart w:id="754" w:name="bookmark754"/>
      <w:bookmarkStart w:id="755" w:name="bookmark755"/>
      <w:r>
        <w:rPr>
          <w:color w:val="000000"/>
          <w:spacing w:val="0"/>
          <w:w w:val="100"/>
          <w:position w:val="0"/>
        </w:rPr>
        <w:t>（</w:t>
      </w:r>
      <w:bookmarkEnd w:id="754"/>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752"/>
      <w:bookmarkEnd w:id="753"/>
      <w:bookmarkEnd w:id="755"/>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提供劳务收入的确认和计量方法：在资产负债表日提供劳务交易的结果能够可靠估计的，应当采用完工百分比法确认提 供劳务收入；在资产负债表日提供劳务交易结果不能够可靠估计的，应当分别下列情况处理：</w:t>
      </w:r>
    </w:p>
    <w:p>
      <w:pPr>
        <w:pStyle w:val="Style35"/>
        <w:keepNext w:val="0"/>
        <w:keepLines w:val="0"/>
        <w:widowControl w:val="0"/>
        <w:numPr>
          <w:ilvl w:val="0"/>
          <w:numId w:val="31"/>
        </w:numPr>
        <w:shd w:val="clear" w:color="auto" w:fill="auto"/>
        <w:tabs>
          <w:tab w:pos="753" w:val="left"/>
        </w:tabs>
        <w:bidi w:val="0"/>
        <w:spacing w:before="0" w:after="0" w:line="312" w:lineRule="exact"/>
        <w:ind w:left="0" w:right="0"/>
        <w:jc w:val="both"/>
      </w:pPr>
      <w:bookmarkStart w:id="756" w:name="bookmark756"/>
      <w:bookmarkEnd w:id="756"/>
      <w:r>
        <w:rPr>
          <w:color w:val="000000"/>
          <w:spacing w:val="0"/>
          <w:w w:val="100"/>
          <w:position w:val="0"/>
        </w:rPr>
        <w:t>己发生的劳务成本预计能够得到补偿，应按己经发生的劳务成本金额确认收入，并按相同金额结转成本；</w:t>
      </w:r>
    </w:p>
    <w:p>
      <w:pPr>
        <w:pStyle w:val="Style35"/>
        <w:keepNext w:val="0"/>
        <w:keepLines w:val="0"/>
        <w:widowControl w:val="0"/>
        <w:numPr>
          <w:ilvl w:val="0"/>
          <w:numId w:val="31"/>
        </w:numPr>
        <w:shd w:val="clear" w:color="auto" w:fill="auto"/>
        <w:tabs>
          <w:tab w:pos="753" w:val="left"/>
        </w:tabs>
        <w:bidi w:val="0"/>
        <w:spacing w:before="0" w:after="360" w:line="312" w:lineRule="exact"/>
        <w:ind w:left="0" w:right="0"/>
        <w:jc w:val="both"/>
      </w:pPr>
      <w:bookmarkStart w:id="757" w:name="bookmark757"/>
      <w:bookmarkEnd w:id="757"/>
      <w:r>
        <w:rPr>
          <w:color w:val="000000"/>
          <w:spacing w:val="0"/>
          <w:w w:val="100"/>
          <w:position w:val="0"/>
        </w:rPr>
        <w:t>己发生的劳务成本预计不能够得到补偿的，应当将己经发生的劳务成本计入当期损益，不确认提供劳务收入。</w:t>
      </w:r>
    </w:p>
    <w:p>
      <w:pPr>
        <w:pStyle w:val="Style40"/>
        <w:keepNext/>
        <w:keepLines/>
        <w:widowControl w:val="0"/>
        <w:shd w:val="clear" w:color="auto" w:fill="auto"/>
        <w:tabs>
          <w:tab w:pos="669" w:val="left"/>
        </w:tabs>
        <w:bidi w:val="0"/>
        <w:spacing w:before="0" w:after="260" w:line="240" w:lineRule="auto"/>
        <w:ind w:left="0" w:right="0" w:firstLine="0"/>
        <w:jc w:val="left"/>
      </w:pPr>
      <w:bookmarkStart w:id="758" w:name="bookmark758"/>
      <w:bookmarkStart w:id="759" w:name="bookmark759"/>
      <w:bookmarkStart w:id="760" w:name="bookmark760"/>
      <w:bookmarkStart w:id="761" w:name="bookmark761"/>
      <w:r>
        <w:rPr>
          <w:color w:val="000000"/>
          <w:spacing w:val="0"/>
          <w:w w:val="100"/>
          <w:position w:val="0"/>
        </w:rPr>
        <w:t>（</w:t>
      </w:r>
      <w:bookmarkEnd w:id="760"/>
      <w:r>
        <w:rPr>
          <w:rFonts w:ascii="Times New Roman" w:eastAsia="Times New Roman" w:hAnsi="Times New Roman" w:cs="Times New Roman"/>
          <w:color w:val="000000"/>
          <w:spacing w:val="0"/>
          <w:w w:val="100"/>
          <w:position w:val="0"/>
        </w:rPr>
        <w:t>4</w:t>
      </w:r>
      <w:r>
        <w:rPr>
          <w:color w:val="000000"/>
          <w:spacing w:val="0"/>
          <w:w w:val="100"/>
          <w:position w:val="0"/>
        </w:rPr>
        <w:t>）</w:t>
        <w:tab/>
        <w:t>收入确认的具体方法</w:t>
      </w:r>
      <w:bookmarkEnd w:id="758"/>
      <w:bookmarkEnd w:id="759"/>
      <w:bookmarkEnd w:id="761"/>
    </w:p>
    <w:p>
      <w:pPr>
        <w:pStyle w:val="Style35"/>
        <w:keepNext w:val="0"/>
        <w:keepLines w:val="0"/>
        <w:widowControl w:val="0"/>
        <w:numPr>
          <w:ilvl w:val="0"/>
          <w:numId w:val="33"/>
        </w:numPr>
        <w:shd w:val="clear" w:color="auto" w:fill="auto"/>
        <w:tabs>
          <w:tab w:pos="753" w:val="left"/>
        </w:tabs>
        <w:bidi w:val="0"/>
        <w:spacing w:before="0" w:after="0" w:line="313" w:lineRule="exact"/>
        <w:ind w:left="0" w:right="0"/>
        <w:jc w:val="both"/>
      </w:pPr>
      <w:bookmarkStart w:id="762" w:name="bookmark762"/>
      <w:bookmarkEnd w:id="762"/>
      <w:r>
        <w:rPr>
          <w:color w:val="000000"/>
          <w:spacing w:val="0"/>
          <w:w w:val="100"/>
          <w:position w:val="0"/>
        </w:rPr>
        <w:t>自行开发研制的软件产品销售收入确认和计量方法</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自行开发研制的软件产品是指经过信息产业部认证并获得著作权，销售时不转让所有权的软件产品，由此开发出来的软 件具有自主知识产权、无差异化、可批量复制的特性。</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不需要安装的以产品交付并经购货方验收后确认收入；需安装调试的按合同约定在项目实施完成并经对方验收合格后确 认收入，对合同约定完工比例的，按合同约定的完工确认条件确认收入。</w:t>
      </w:r>
    </w:p>
    <w:p>
      <w:pPr>
        <w:pStyle w:val="Style35"/>
        <w:keepNext w:val="0"/>
        <w:keepLines w:val="0"/>
        <w:widowControl w:val="0"/>
        <w:numPr>
          <w:ilvl w:val="0"/>
          <w:numId w:val="33"/>
        </w:numPr>
        <w:shd w:val="clear" w:color="auto" w:fill="auto"/>
        <w:tabs>
          <w:tab w:pos="753" w:val="left"/>
        </w:tabs>
        <w:bidi w:val="0"/>
        <w:spacing w:before="0" w:after="0" w:line="313" w:lineRule="exact"/>
        <w:ind w:left="0" w:right="0"/>
        <w:jc w:val="both"/>
      </w:pPr>
      <w:bookmarkStart w:id="763" w:name="bookmark763"/>
      <w:bookmarkEnd w:id="763"/>
      <w:r>
        <w:rPr>
          <w:color w:val="000000"/>
          <w:spacing w:val="0"/>
          <w:w w:val="100"/>
          <w:position w:val="0"/>
        </w:rPr>
        <w:t>定制软件产品销售收入确认和计量方法</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定制软件是指根据与客户签订的技术开发、技术转让合同，对用户的业务进行充分实地调查，并根据用户的实际需求进 行专门的软件设计与开发，由此开发出来的软件不具有通用性。</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定制软件项目按合同约定在项目实施完成并经对方验收合格后确认收入，对合同约定完工比例的，按合同约定的完工确 认条件确认收入。</w:t>
      </w:r>
    </w:p>
    <w:p>
      <w:pPr>
        <w:pStyle w:val="Style35"/>
        <w:keepNext w:val="0"/>
        <w:keepLines w:val="0"/>
        <w:widowControl w:val="0"/>
        <w:numPr>
          <w:ilvl w:val="0"/>
          <w:numId w:val="33"/>
        </w:numPr>
        <w:shd w:val="clear" w:color="auto" w:fill="auto"/>
        <w:tabs>
          <w:tab w:pos="753" w:val="left"/>
        </w:tabs>
        <w:bidi w:val="0"/>
        <w:spacing w:before="0" w:after="0" w:line="313" w:lineRule="exact"/>
        <w:ind w:left="0" w:right="0"/>
        <w:jc w:val="both"/>
      </w:pPr>
      <w:bookmarkStart w:id="764" w:name="bookmark764"/>
      <w:bookmarkEnd w:id="764"/>
      <w:r>
        <w:rPr>
          <w:color w:val="000000"/>
          <w:spacing w:val="0"/>
          <w:w w:val="100"/>
          <w:position w:val="0"/>
        </w:rPr>
        <w:t>系统集成收入确认和计量方法</w:t>
      </w:r>
    </w:p>
    <w:p>
      <w:pPr>
        <w:pStyle w:val="Style35"/>
        <w:keepNext w:val="0"/>
        <w:keepLines w:val="0"/>
        <w:widowControl w:val="0"/>
        <w:shd w:val="clear" w:color="auto" w:fill="auto"/>
        <w:bidi w:val="0"/>
        <w:spacing w:before="0" w:after="320" w:line="313" w:lineRule="exact"/>
        <w:ind w:left="0" w:right="0"/>
        <w:jc w:val="both"/>
      </w:pPr>
      <w:r>
        <w:rPr>
          <w:color w:val="000000"/>
          <w:spacing w:val="0"/>
          <w:w w:val="100"/>
          <w:position w:val="0"/>
        </w:rPr>
        <w:t>系统集成收入是指与客户订立软件产品销售的同时，为其提供软件嵌入所需的设备配件和安装服务。</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对于系统集成业务，如果软件收入与设备配件及安装服务收入能分开核算，则硬件收入按上述商品销售的原则进行确认, 软件收入按上述软件产品销售的原则进行确认。如果软件收入与设备配件及安装服务收入不能分开核算，则将其一并核算， 待系统集成于安装完成后确认收入，或根据合同约定的完工确认条件确认收入。</w:t>
      </w:r>
    </w:p>
    <w:p>
      <w:pPr>
        <w:pStyle w:val="Style35"/>
        <w:keepNext w:val="0"/>
        <w:keepLines w:val="0"/>
        <w:widowControl w:val="0"/>
        <w:numPr>
          <w:ilvl w:val="0"/>
          <w:numId w:val="33"/>
        </w:numPr>
        <w:shd w:val="clear" w:color="auto" w:fill="auto"/>
        <w:bidi w:val="0"/>
        <w:spacing w:before="0" w:after="0" w:line="312" w:lineRule="exact"/>
        <w:ind w:left="0" w:right="0"/>
        <w:jc w:val="both"/>
      </w:pPr>
      <w:bookmarkStart w:id="765" w:name="bookmark765"/>
      <w:bookmarkEnd w:id="765"/>
      <w:r>
        <w:rPr>
          <w:color w:val="000000"/>
          <w:spacing w:val="0"/>
          <w:w w:val="100"/>
          <w:position w:val="0"/>
        </w:rPr>
        <w:t>技术服务收入确认和计量方法</w:t>
      </w:r>
    </w:p>
    <w:p>
      <w:pPr>
        <w:pStyle w:val="Style35"/>
        <w:keepNext w:val="0"/>
        <w:keepLines w:val="0"/>
        <w:widowControl w:val="0"/>
        <w:shd w:val="clear" w:color="auto" w:fill="auto"/>
        <w:bidi w:val="0"/>
        <w:spacing w:before="0" w:after="360" w:line="312" w:lineRule="exact"/>
        <w:ind w:left="380" w:right="0" w:firstLine="0"/>
        <w:jc w:val="both"/>
      </w:pPr>
      <w:r>
        <w:rPr>
          <w:color w:val="000000"/>
          <w:spacing w:val="0"/>
          <w:w w:val="100"/>
          <w:position w:val="0"/>
        </w:rPr>
        <w:t>技术服务收入，主要是指按合同要求向客户提供技术咨询、实施和产品售后服务等业务。 技术服务收入在劳务已经提供，收到价款或取得收取款项的证据时，确认劳务收入。</w:t>
      </w:r>
    </w:p>
    <w:p>
      <w:pPr>
        <w:pStyle w:val="Style40"/>
        <w:keepNext/>
        <w:keepLines/>
        <w:widowControl w:val="0"/>
        <w:shd w:val="clear" w:color="auto" w:fill="auto"/>
        <w:tabs>
          <w:tab w:pos="483" w:val="left"/>
        </w:tabs>
        <w:bidi w:val="0"/>
        <w:spacing w:before="0" w:after="36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2</w:t>
      </w:r>
      <w:bookmarkEnd w:id="768"/>
      <w:r>
        <w:rPr>
          <w:rFonts w:ascii="Times New Roman" w:eastAsia="Times New Roman" w:hAnsi="Times New Roman" w:cs="Times New Roman"/>
          <w:color w:val="000000"/>
          <w:spacing w:val="0"/>
          <w:w w:val="100"/>
          <w:position w:val="0"/>
        </w:rPr>
        <w:t>3</w:t>
      </w:r>
      <w:r>
        <w:rPr>
          <w:color w:val="000000"/>
          <w:spacing w:val="0"/>
          <w:w w:val="100"/>
          <w:position w:val="0"/>
        </w:rPr>
        <w:t>、</w:t>
        <w:tab/>
        <w:t>政府补助</w:t>
      </w:r>
      <w:bookmarkEnd w:id="766"/>
      <w:bookmarkEnd w:id="767"/>
      <w:bookmarkEnd w:id="769"/>
    </w:p>
    <w:p>
      <w:pPr>
        <w:pStyle w:val="Style40"/>
        <w:keepNext/>
        <w:keepLines/>
        <w:widowControl w:val="0"/>
        <w:shd w:val="clear" w:color="auto" w:fill="auto"/>
        <w:tabs>
          <w:tab w:pos="498" w:val="left"/>
        </w:tabs>
        <w:bidi w:val="0"/>
        <w:spacing w:before="0" w:after="280" w:line="240" w:lineRule="auto"/>
        <w:ind w:left="0" w:right="0" w:firstLine="0"/>
        <w:jc w:val="left"/>
      </w:pPr>
      <w:bookmarkStart w:id="766" w:name="bookmark766"/>
      <w:bookmarkStart w:id="767" w:name="bookmark767"/>
      <w:bookmarkStart w:id="770" w:name="bookmark770"/>
      <w:bookmarkStart w:id="771" w:name="bookmark771"/>
      <w:r>
        <w:rPr>
          <w:color w:val="000000"/>
          <w:spacing w:val="0"/>
          <w:w w:val="100"/>
          <w:position w:val="0"/>
        </w:rPr>
        <w:t>（</w:t>
      </w:r>
      <w:bookmarkEnd w:id="770"/>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766"/>
      <w:bookmarkEnd w:id="767"/>
      <w:bookmarkEnd w:id="771"/>
    </w:p>
    <w:p>
      <w:pPr>
        <w:pStyle w:val="Style35"/>
        <w:keepNext w:val="0"/>
        <w:keepLines w:val="0"/>
        <w:widowControl w:val="0"/>
        <w:shd w:val="clear" w:color="auto" w:fill="auto"/>
        <w:bidi w:val="0"/>
        <w:spacing w:before="0" w:after="360" w:line="312" w:lineRule="exact"/>
        <w:ind w:left="0" w:right="0"/>
        <w:jc w:val="both"/>
      </w:pPr>
      <w:r>
        <w:rPr>
          <w:color w:val="000000"/>
          <w:spacing w:val="0"/>
          <w:w w:val="100"/>
          <w:position w:val="0"/>
        </w:rPr>
        <w:t>政府补助，是本公司从政府无偿取得的货币性资产与非货币性资产。分为与资产相关的政府补助和与收益相关的政府补 助。</w:t>
      </w:r>
    </w:p>
    <w:p>
      <w:pPr>
        <w:pStyle w:val="Style40"/>
        <w:keepNext/>
        <w:keepLines/>
        <w:widowControl w:val="0"/>
        <w:shd w:val="clear" w:color="auto" w:fill="auto"/>
        <w:tabs>
          <w:tab w:pos="498" w:val="left"/>
        </w:tabs>
        <w:bidi w:val="0"/>
        <w:spacing w:before="0" w:after="280" w:line="240" w:lineRule="auto"/>
        <w:ind w:left="0" w:right="0" w:firstLine="0"/>
        <w:jc w:val="left"/>
      </w:pPr>
      <w:bookmarkStart w:id="772" w:name="bookmark772"/>
      <w:bookmarkStart w:id="773" w:name="bookmark773"/>
      <w:bookmarkStart w:id="774" w:name="bookmark774"/>
      <w:bookmarkStart w:id="775" w:name="bookmark775"/>
      <w:r>
        <w:rPr>
          <w:color w:val="000000"/>
          <w:spacing w:val="0"/>
          <w:w w:val="100"/>
          <w:position w:val="0"/>
        </w:rPr>
        <w:t>（</w:t>
      </w:r>
      <w:bookmarkEnd w:id="774"/>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772"/>
      <w:bookmarkEnd w:id="773"/>
      <w:bookmarkEnd w:id="775"/>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与购建固定资产、无形资产等长期资产相关的政府补助，确认为递延收益，按照所建造或购买的资产使用年限分期计入 营业外收入；</w:t>
      </w:r>
    </w:p>
    <w:p>
      <w:pPr>
        <w:pStyle w:val="Style35"/>
        <w:keepNext w:val="0"/>
        <w:keepLines w:val="0"/>
        <w:widowControl w:val="0"/>
        <w:shd w:val="clear" w:color="auto" w:fill="auto"/>
        <w:bidi w:val="0"/>
        <w:spacing w:before="0" w:after="360" w:line="314" w:lineRule="exact"/>
        <w:ind w:left="0" w:right="0"/>
        <w:jc w:val="both"/>
      </w:pPr>
      <w:r>
        <w:rPr>
          <w:color w:val="000000"/>
          <w:spacing w:val="0"/>
          <w:w w:val="100"/>
          <w:position w:val="0"/>
        </w:rPr>
        <w:t>与收益相关的政府补助，用于补偿企业以后期间的相关费用或损失的，取得时确认为递延收益，在确认相关费用的期间 计入当期营业外收入；用于补偿企业已发生的相关费用或损失的，取得时直接计入当期营业外收入。</w:t>
      </w:r>
    </w:p>
    <w:p>
      <w:pPr>
        <w:pStyle w:val="Style40"/>
        <w:keepNext/>
        <w:keepLines/>
        <w:widowControl w:val="0"/>
        <w:shd w:val="clear" w:color="auto" w:fill="auto"/>
        <w:tabs>
          <w:tab w:pos="483" w:val="left"/>
        </w:tabs>
        <w:bidi w:val="0"/>
        <w:spacing w:before="0" w:after="36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2</w:t>
      </w:r>
      <w:bookmarkEnd w:id="778"/>
      <w:r>
        <w:rPr>
          <w:rFonts w:ascii="Times New Roman" w:eastAsia="Times New Roman" w:hAnsi="Times New Roman" w:cs="Times New Roman"/>
          <w:color w:val="000000"/>
          <w:spacing w:val="0"/>
          <w:w w:val="100"/>
          <w:position w:val="0"/>
        </w:rPr>
        <w:t>4</w:t>
      </w:r>
      <w:r>
        <w:rPr>
          <w:color w:val="000000"/>
          <w:spacing w:val="0"/>
          <w:w w:val="100"/>
          <w:position w:val="0"/>
        </w:rPr>
        <w:t>、</w:t>
        <w:tab/>
        <w:t>递延所得税资产和递延所得税负债</w:t>
      </w:r>
      <w:bookmarkEnd w:id="776"/>
      <w:bookmarkEnd w:id="777"/>
      <w:bookmarkEnd w:id="779"/>
    </w:p>
    <w:p>
      <w:pPr>
        <w:pStyle w:val="Style40"/>
        <w:keepNext/>
        <w:keepLines/>
        <w:widowControl w:val="0"/>
        <w:shd w:val="clear" w:color="auto" w:fill="auto"/>
        <w:tabs>
          <w:tab w:pos="498" w:val="left"/>
        </w:tabs>
        <w:bidi w:val="0"/>
        <w:spacing w:before="0" w:after="280" w:line="240" w:lineRule="auto"/>
        <w:ind w:left="0" w:right="0" w:firstLine="0"/>
        <w:jc w:val="left"/>
      </w:pPr>
      <w:bookmarkStart w:id="776" w:name="bookmark776"/>
      <w:bookmarkStart w:id="777" w:name="bookmark777"/>
      <w:bookmarkStart w:id="780" w:name="bookmark780"/>
      <w:bookmarkStart w:id="781" w:name="bookmark781"/>
      <w:r>
        <w:rPr>
          <w:color w:val="000000"/>
          <w:spacing w:val="0"/>
          <w:w w:val="100"/>
          <w:position w:val="0"/>
        </w:rPr>
        <w:t>（</w:t>
      </w:r>
      <w:bookmarkEnd w:id="780"/>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776"/>
      <w:bookmarkEnd w:id="777"/>
      <w:bookmarkEnd w:id="781"/>
    </w:p>
    <w:p>
      <w:pPr>
        <w:pStyle w:val="Style35"/>
        <w:keepNext w:val="0"/>
        <w:keepLines w:val="0"/>
        <w:widowControl w:val="0"/>
        <w:shd w:val="clear" w:color="auto" w:fill="auto"/>
        <w:bidi w:val="0"/>
        <w:spacing w:before="0" w:after="360" w:line="312" w:lineRule="exact"/>
        <w:ind w:left="0" w:right="0" w:firstLine="280"/>
        <w:jc w:val="both"/>
      </w:pPr>
      <w:r>
        <w:rPr>
          <w:color w:val="000000"/>
          <w:spacing w:val="0"/>
          <w:w w:val="100"/>
          <w:position w:val="0"/>
        </w:rPr>
        <w:t>对于可抵扣暂时性差异确认递延所得税资产，以未来期间很可能取得的用来抵扣可抵扣暂时性差异的应纳税所得额为限。</w:t>
      </w:r>
    </w:p>
    <w:p>
      <w:pPr>
        <w:pStyle w:val="Style40"/>
        <w:keepNext/>
        <w:keepLines/>
        <w:widowControl w:val="0"/>
        <w:shd w:val="clear" w:color="auto" w:fill="auto"/>
        <w:tabs>
          <w:tab w:pos="498" w:val="left"/>
        </w:tabs>
        <w:bidi w:val="0"/>
        <w:spacing w:before="0" w:after="280" w:line="240" w:lineRule="auto"/>
        <w:ind w:left="0" w:right="0" w:firstLine="0"/>
        <w:jc w:val="left"/>
      </w:pPr>
      <w:bookmarkStart w:id="782" w:name="bookmark782"/>
      <w:bookmarkStart w:id="783" w:name="bookmark783"/>
      <w:bookmarkStart w:id="784" w:name="bookmark784"/>
      <w:bookmarkStart w:id="785" w:name="bookmark785"/>
      <w:r>
        <w:rPr>
          <w:color w:val="000000"/>
          <w:spacing w:val="0"/>
          <w:w w:val="100"/>
          <w:position w:val="0"/>
        </w:rPr>
        <w:t>（</w:t>
      </w:r>
      <w:bookmarkEnd w:id="784"/>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782"/>
      <w:bookmarkEnd w:id="783"/>
      <w:bookmarkEnd w:id="785"/>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对于应纳税暂时性差异，除特殊情况外，确认递延所得税负债。</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不确认递延所得税资产或递延所得税负债的特殊情况包括：商誉的初始确认；除企业合并以外的发生时既不影响会计利 润也不影响应纳税所得额（或可抵扣亏损）的其他交易或事项。</w:t>
      </w:r>
    </w:p>
    <w:p>
      <w:pPr>
        <w:pStyle w:val="Style3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当拥有以净额结算的法定权利，且意图以净额结算或取得资产、清偿负债同时进行时，当期所得税资产及当期所得税 负债以抵销后的净额列报。</w:t>
      </w:r>
    </w:p>
    <w:p>
      <w:pPr>
        <w:pStyle w:val="Style35"/>
        <w:keepNext w:val="0"/>
        <w:keepLines w:val="0"/>
        <w:widowControl w:val="0"/>
        <w:shd w:val="clear" w:color="auto" w:fill="auto"/>
        <w:bidi w:val="0"/>
        <w:spacing w:before="0" w:after="360" w:line="312" w:lineRule="exact"/>
        <w:ind w:left="0" w:right="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转回的期间内，涉及的纳税主体意图以净额结算当期所得税资产和负债或是同时取得资产、清偿负债时，递延所得税资产及 递延所得税负债以抵销后的净额列报。</w:t>
      </w:r>
    </w:p>
    <w:p>
      <w:pPr>
        <w:pStyle w:val="Style40"/>
        <w:keepNext/>
        <w:keepLines/>
        <w:widowControl w:val="0"/>
        <w:shd w:val="clear" w:color="auto" w:fill="auto"/>
        <w:tabs>
          <w:tab w:pos="483" w:val="left"/>
        </w:tabs>
        <w:bidi w:val="0"/>
        <w:spacing w:before="0" w:after="28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2</w:t>
      </w:r>
      <w:bookmarkEnd w:id="788"/>
      <w:r>
        <w:rPr>
          <w:rFonts w:ascii="Times New Roman" w:eastAsia="Times New Roman" w:hAnsi="Times New Roman" w:cs="Times New Roman"/>
          <w:color w:val="000000"/>
          <w:spacing w:val="0"/>
          <w:w w:val="100"/>
          <w:position w:val="0"/>
        </w:rPr>
        <w:t>5</w:t>
      </w:r>
      <w:r>
        <w:rPr>
          <w:color w:val="000000"/>
          <w:spacing w:val="0"/>
          <w:w w:val="100"/>
          <w:position w:val="0"/>
        </w:rPr>
        <w:t>、</w:t>
        <w:tab/>
        <w:t>关联方</w:t>
      </w:r>
      <w:bookmarkEnd w:id="786"/>
      <w:bookmarkEnd w:id="787"/>
      <w:bookmarkEnd w:id="789"/>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一方控制、共同控制另一方或对另一方施加重大影响，以及两方或两方以上同受一方控制、共同控制的，构成关联方。 关联方可为个人或企业。仅仅同受国家控制而不存在其他关联方关系的企业，不构成本公司的关联方。</w:t>
      </w:r>
    </w:p>
    <w:p>
      <w:pPr>
        <w:pStyle w:val="Style35"/>
        <w:keepNext w:val="0"/>
        <w:keepLines w:val="0"/>
        <w:widowControl w:val="0"/>
        <w:shd w:val="clear" w:color="auto" w:fill="auto"/>
        <w:bidi w:val="0"/>
        <w:spacing w:before="0" w:after="320" w:line="312" w:lineRule="exact"/>
        <w:ind w:left="0" w:right="0"/>
        <w:jc w:val="both"/>
      </w:pPr>
      <w:r>
        <w:rPr>
          <w:color w:val="000000"/>
          <w:spacing w:val="0"/>
          <w:w w:val="100"/>
          <w:position w:val="0"/>
        </w:rPr>
        <w:t>本公司的关联方包括但不限于：</w:t>
      </w:r>
    </w:p>
    <w:p>
      <w:pPr>
        <w:pStyle w:val="Style35"/>
        <w:keepNext w:val="0"/>
        <w:keepLines w:val="0"/>
        <w:widowControl w:val="0"/>
        <w:numPr>
          <w:ilvl w:val="0"/>
          <w:numId w:val="35"/>
        </w:numPr>
        <w:shd w:val="clear" w:color="auto" w:fill="auto"/>
        <w:tabs>
          <w:tab w:pos="820" w:val="left"/>
        </w:tabs>
        <w:bidi w:val="0"/>
        <w:spacing w:before="0" w:line="240" w:lineRule="auto"/>
        <w:ind w:left="0" w:right="0"/>
        <w:jc w:val="left"/>
      </w:pPr>
      <w:bookmarkStart w:id="790" w:name="bookmark790"/>
      <w:bookmarkEnd w:id="790"/>
      <w:r>
        <w:rPr>
          <w:color w:val="000000"/>
          <w:spacing w:val="0"/>
          <w:w w:val="100"/>
          <w:position w:val="0"/>
        </w:rPr>
        <w:t>本公司的母公司；</w:t>
      </w:r>
    </w:p>
    <w:p>
      <w:pPr>
        <w:pStyle w:val="Style35"/>
        <w:keepNext w:val="0"/>
        <w:keepLines w:val="0"/>
        <w:widowControl w:val="0"/>
        <w:numPr>
          <w:ilvl w:val="0"/>
          <w:numId w:val="35"/>
        </w:numPr>
        <w:shd w:val="clear" w:color="auto" w:fill="auto"/>
        <w:tabs>
          <w:tab w:pos="820" w:val="left"/>
        </w:tabs>
        <w:bidi w:val="0"/>
        <w:spacing w:before="0" w:line="240" w:lineRule="auto"/>
        <w:ind w:left="0" w:right="0"/>
        <w:jc w:val="left"/>
      </w:pPr>
      <w:bookmarkStart w:id="791" w:name="bookmark791"/>
      <w:bookmarkEnd w:id="791"/>
      <w:r>
        <w:rPr>
          <w:color w:val="000000"/>
          <w:spacing w:val="0"/>
          <w:w w:val="100"/>
          <w:position w:val="0"/>
        </w:rPr>
        <w:t>本公司的子公司；</w:t>
      </w:r>
    </w:p>
    <w:p>
      <w:pPr>
        <w:pStyle w:val="Style35"/>
        <w:keepNext w:val="0"/>
        <w:keepLines w:val="0"/>
        <w:widowControl w:val="0"/>
        <w:numPr>
          <w:ilvl w:val="0"/>
          <w:numId w:val="35"/>
        </w:numPr>
        <w:shd w:val="clear" w:color="auto" w:fill="auto"/>
        <w:tabs>
          <w:tab w:pos="820" w:val="left"/>
        </w:tabs>
        <w:bidi w:val="0"/>
        <w:spacing w:before="0" w:line="240" w:lineRule="auto"/>
        <w:ind w:left="0" w:right="0"/>
        <w:jc w:val="left"/>
      </w:pPr>
      <w:bookmarkStart w:id="792" w:name="bookmark792"/>
      <w:bookmarkEnd w:id="792"/>
      <w:r>
        <w:rPr>
          <w:color w:val="000000"/>
          <w:spacing w:val="0"/>
          <w:w w:val="100"/>
          <w:position w:val="0"/>
        </w:rPr>
        <w:t>与本公司受同一母公司控制的其他企业；</w:t>
      </w:r>
    </w:p>
    <w:p>
      <w:pPr>
        <w:pStyle w:val="Style35"/>
        <w:keepNext w:val="0"/>
        <w:keepLines w:val="0"/>
        <w:widowControl w:val="0"/>
        <w:numPr>
          <w:ilvl w:val="0"/>
          <w:numId w:val="35"/>
        </w:numPr>
        <w:shd w:val="clear" w:color="auto" w:fill="auto"/>
        <w:tabs>
          <w:tab w:pos="820" w:val="left"/>
        </w:tabs>
        <w:bidi w:val="0"/>
        <w:spacing w:before="0" w:line="240" w:lineRule="auto"/>
        <w:ind w:left="0" w:right="0"/>
        <w:jc w:val="left"/>
      </w:pPr>
      <w:bookmarkStart w:id="793" w:name="bookmark793"/>
      <w:bookmarkEnd w:id="793"/>
      <w:r>
        <w:rPr>
          <w:color w:val="000000"/>
          <w:spacing w:val="0"/>
          <w:w w:val="100"/>
          <w:position w:val="0"/>
        </w:rPr>
        <w:t>对本公司实施共同控制的投资方；</w:t>
      </w:r>
    </w:p>
    <w:p>
      <w:pPr>
        <w:pStyle w:val="Style35"/>
        <w:keepNext w:val="0"/>
        <w:keepLines w:val="0"/>
        <w:widowControl w:val="0"/>
        <w:numPr>
          <w:ilvl w:val="0"/>
          <w:numId w:val="35"/>
        </w:numPr>
        <w:shd w:val="clear" w:color="auto" w:fill="auto"/>
        <w:tabs>
          <w:tab w:pos="820" w:val="left"/>
        </w:tabs>
        <w:bidi w:val="0"/>
        <w:spacing w:before="0" w:line="240" w:lineRule="auto"/>
        <w:ind w:left="0" w:right="0"/>
        <w:jc w:val="left"/>
      </w:pPr>
      <w:bookmarkStart w:id="794" w:name="bookmark794"/>
      <w:bookmarkEnd w:id="794"/>
      <w:r>
        <w:rPr>
          <w:color w:val="000000"/>
          <w:spacing w:val="0"/>
          <w:w w:val="100"/>
          <w:position w:val="0"/>
        </w:rPr>
        <w:t>对本公司施加重大影响的投资方；</w:t>
      </w:r>
    </w:p>
    <w:p>
      <w:pPr>
        <w:pStyle w:val="Style35"/>
        <w:keepNext w:val="0"/>
        <w:keepLines w:val="0"/>
        <w:widowControl w:val="0"/>
        <w:numPr>
          <w:ilvl w:val="0"/>
          <w:numId w:val="35"/>
        </w:numPr>
        <w:shd w:val="clear" w:color="auto" w:fill="auto"/>
        <w:tabs>
          <w:tab w:pos="820" w:val="left"/>
        </w:tabs>
        <w:bidi w:val="0"/>
        <w:spacing w:before="0" w:line="240" w:lineRule="auto"/>
        <w:ind w:left="0" w:right="0"/>
        <w:jc w:val="left"/>
      </w:pPr>
      <w:bookmarkStart w:id="795" w:name="bookmark795"/>
      <w:bookmarkEnd w:id="795"/>
      <w:r>
        <w:rPr>
          <w:color w:val="000000"/>
          <w:spacing w:val="0"/>
          <w:w w:val="100"/>
          <w:position w:val="0"/>
        </w:rPr>
        <w:t>本公司的合营企业，包括合营企业的子公司；</w:t>
      </w:r>
    </w:p>
    <w:p>
      <w:pPr>
        <w:pStyle w:val="Style35"/>
        <w:keepNext w:val="0"/>
        <w:keepLines w:val="0"/>
        <w:widowControl w:val="0"/>
        <w:numPr>
          <w:ilvl w:val="0"/>
          <w:numId w:val="35"/>
        </w:numPr>
        <w:shd w:val="clear" w:color="auto" w:fill="auto"/>
        <w:tabs>
          <w:tab w:pos="820" w:val="left"/>
        </w:tabs>
        <w:bidi w:val="0"/>
        <w:spacing w:before="0" w:line="240" w:lineRule="auto"/>
        <w:ind w:left="0" w:right="0"/>
        <w:jc w:val="left"/>
      </w:pPr>
      <w:bookmarkStart w:id="796" w:name="bookmark796"/>
      <w:bookmarkEnd w:id="796"/>
      <w:r>
        <w:rPr>
          <w:color w:val="000000"/>
          <w:spacing w:val="0"/>
          <w:w w:val="100"/>
          <w:position w:val="0"/>
        </w:rPr>
        <w:t>本公司的联营企业，包括联营企业的子公司；</w:t>
      </w:r>
    </w:p>
    <w:p>
      <w:pPr>
        <w:pStyle w:val="Style35"/>
        <w:keepNext w:val="0"/>
        <w:keepLines w:val="0"/>
        <w:widowControl w:val="0"/>
        <w:numPr>
          <w:ilvl w:val="0"/>
          <w:numId w:val="35"/>
        </w:numPr>
        <w:shd w:val="clear" w:color="auto" w:fill="auto"/>
        <w:tabs>
          <w:tab w:pos="820" w:val="left"/>
        </w:tabs>
        <w:bidi w:val="0"/>
        <w:spacing w:before="0" w:line="240" w:lineRule="auto"/>
        <w:ind w:left="0" w:right="0"/>
        <w:jc w:val="left"/>
      </w:pPr>
      <w:bookmarkStart w:id="797" w:name="bookmark797"/>
      <w:bookmarkEnd w:id="797"/>
      <w:r>
        <w:rPr>
          <w:color w:val="000000"/>
          <w:spacing w:val="0"/>
          <w:w w:val="100"/>
          <w:position w:val="0"/>
        </w:rPr>
        <w:t>本公司的主要投资者个人及与其关系密切的家庭成员；</w:t>
      </w:r>
    </w:p>
    <w:p>
      <w:pPr>
        <w:pStyle w:val="Style35"/>
        <w:keepNext w:val="0"/>
        <w:keepLines w:val="0"/>
        <w:widowControl w:val="0"/>
        <w:numPr>
          <w:ilvl w:val="0"/>
          <w:numId w:val="35"/>
        </w:numPr>
        <w:shd w:val="clear" w:color="auto" w:fill="auto"/>
        <w:tabs>
          <w:tab w:pos="820" w:val="left"/>
        </w:tabs>
        <w:bidi w:val="0"/>
        <w:spacing w:before="0" w:line="240" w:lineRule="auto"/>
        <w:ind w:left="0" w:right="0"/>
        <w:jc w:val="left"/>
      </w:pPr>
      <w:bookmarkStart w:id="798" w:name="bookmark798"/>
      <w:bookmarkEnd w:id="798"/>
      <w:r>
        <w:rPr>
          <w:color w:val="000000"/>
          <w:spacing w:val="0"/>
          <w:w w:val="100"/>
          <w:position w:val="0"/>
        </w:rPr>
        <w:t>本公司或其母公司的关键管理人员及与其关系密切的家庭成员；</w:t>
      </w:r>
    </w:p>
    <w:p>
      <w:pPr>
        <w:pStyle w:val="Style35"/>
        <w:keepNext w:val="0"/>
        <w:keepLines w:val="0"/>
        <w:widowControl w:val="0"/>
        <w:numPr>
          <w:ilvl w:val="0"/>
          <w:numId w:val="35"/>
        </w:numPr>
        <w:shd w:val="clear" w:color="auto" w:fill="auto"/>
        <w:tabs>
          <w:tab w:pos="911" w:val="left"/>
        </w:tabs>
        <w:bidi w:val="0"/>
        <w:spacing w:before="0" w:after="360" w:line="240" w:lineRule="auto"/>
        <w:ind w:left="0" w:right="0"/>
        <w:jc w:val="left"/>
      </w:pPr>
      <w:bookmarkStart w:id="799" w:name="bookmark799"/>
      <w:bookmarkEnd w:id="799"/>
      <w:r>
        <w:rPr>
          <w:color w:val="000000"/>
          <w:spacing w:val="0"/>
          <w:w w:val="100"/>
          <w:position w:val="0"/>
        </w:rPr>
        <w:t>本公司的主要投资者个人、关键管理人员或与其关系密切的家庭成员控制、共同控制的其他企业。</w:t>
      </w:r>
    </w:p>
    <w:p>
      <w:pPr>
        <w:pStyle w:val="Style40"/>
        <w:keepNext/>
        <w:keepLines/>
        <w:widowControl w:val="0"/>
        <w:shd w:val="clear" w:color="auto" w:fill="auto"/>
        <w:tabs>
          <w:tab w:pos="483" w:val="left"/>
        </w:tabs>
        <w:bidi w:val="0"/>
        <w:spacing w:before="0" w:after="36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2</w:t>
      </w:r>
      <w:bookmarkEnd w:id="802"/>
      <w:r>
        <w:rPr>
          <w:rFonts w:ascii="Times New Roman" w:eastAsia="Times New Roman" w:hAnsi="Times New Roman" w:cs="Times New Roman"/>
          <w:color w:val="000000"/>
          <w:spacing w:val="0"/>
          <w:w w:val="100"/>
          <w:position w:val="0"/>
        </w:rPr>
        <w:t>6</w:t>
      </w:r>
      <w:r>
        <w:rPr>
          <w:color w:val="000000"/>
          <w:spacing w:val="0"/>
          <w:w w:val="100"/>
          <w:position w:val="0"/>
        </w:rPr>
        <w:t>、</w:t>
        <w:tab/>
        <w:t>主要会计政策、会计估计的变更</w:t>
      </w:r>
      <w:bookmarkEnd w:id="800"/>
      <w:bookmarkEnd w:id="801"/>
      <w:bookmarkEnd w:id="803"/>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本报告期主要会计政策、会计估计是否变更</w:t>
      </w:r>
    </w:p>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numPr>
          <w:ilvl w:val="0"/>
          <w:numId w:val="37"/>
        </w:numPr>
        <w:shd w:val="clear" w:color="auto" w:fill="auto"/>
        <w:tabs>
          <w:tab w:pos="498" w:val="left"/>
        </w:tabs>
        <w:bidi w:val="0"/>
        <w:spacing w:before="0" w:after="360" w:line="240" w:lineRule="auto"/>
        <w:ind w:left="0" w:right="0" w:firstLine="0"/>
        <w:jc w:val="left"/>
      </w:pPr>
      <w:bookmarkStart w:id="804" w:name="bookmark804"/>
      <w:bookmarkStart w:id="805" w:name="bookmark805"/>
      <w:bookmarkStart w:id="806" w:name="bookmark806"/>
      <w:bookmarkStart w:id="807" w:name="bookmark807"/>
      <w:bookmarkEnd w:id="806"/>
      <w:r>
        <w:rPr>
          <w:color w:val="000000"/>
          <w:spacing w:val="0"/>
          <w:w w:val="100"/>
          <w:position w:val="0"/>
        </w:rPr>
        <w:t>会计政策变更</w:t>
      </w:r>
      <w:bookmarkEnd w:id="804"/>
      <w:bookmarkEnd w:id="805"/>
      <w:bookmarkEnd w:id="807"/>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本报告期主要会计政策是否变更</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0"/>
        <w:keepNext/>
        <w:keepLines/>
        <w:widowControl w:val="0"/>
        <w:numPr>
          <w:ilvl w:val="0"/>
          <w:numId w:val="37"/>
        </w:numPr>
        <w:shd w:val="clear" w:color="auto" w:fill="auto"/>
        <w:tabs>
          <w:tab w:pos="498" w:val="left"/>
        </w:tabs>
        <w:bidi w:val="0"/>
        <w:spacing w:before="0" w:after="360" w:line="240" w:lineRule="auto"/>
        <w:ind w:left="0" w:right="0" w:firstLine="0"/>
        <w:jc w:val="left"/>
      </w:pPr>
      <w:bookmarkStart w:id="808" w:name="bookmark808"/>
      <w:bookmarkStart w:id="809" w:name="bookmark809"/>
      <w:bookmarkStart w:id="810" w:name="bookmark810"/>
      <w:bookmarkStart w:id="811" w:name="bookmark811"/>
      <w:bookmarkEnd w:id="810"/>
      <w:r>
        <w:rPr>
          <w:color w:val="000000"/>
          <w:spacing w:val="0"/>
          <w:w w:val="100"/>
          <w:position w:val="0"/>
        </w:rPr>
        <w:t>会计估计变更</w:t>
      </w:r>
      <w:bookmarkEnd w:id="808"/>
      <w:bookmarkEnd w:id="809"/>
      <w:bookmarkEnd w:id="811"/>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本报告期主要会计估计是否变更</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0"/>
        <w:keepNext/>
        <w:keepLines/>
        <w:widowControl w:val="0"/>
        <w:shd w:val="clear" w:color="auto" w:fill="auto"/>
        <w:tabs>
          <w:tab w:pos="483" w:val="left"/>
        </w:tabs>
        <w:bidi w:val="0"/>
        <w:spacing w:before="0" w:after="36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2</w:t>
      </w:r>
      <w:bookmarkEnd w:id="814"/>
      <w:r>
        <w:rPr>
          <w:rFonts w:ascii="Times New Roman" w:eastAsia="Times New Roman" w:hAnsi="Times New Roman" w:cs="Times New Roman"/>
          <w:color w:val="000000"/>
          <w:spacing w:val="0"/>
          <w:w w:val="100"/>
          <w:position w:val="0"/>
        </w:rPr>
        <w:t>7</w:t>
      </w:r>
      <w:r>
        <w:rPr>
          <w:color w:val="000000"/>
          <w:spacing w:val="0"/>
          <w:w w:val="100"/>
          <w:position w:val="0"/>
        </w:rPr>
        <w:t>、</w:t>
        <w:tab/>
        <w:t>前期会计差错更正</w:t>
      </w:r>
      <w:bookmarkEnd w:id="812"/>
      <w:bookmarkEnd w:id="813"/>
      <w:bookmarkEnd w:id="815"/>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本报告期是否发现前期会计差错</w:t>
      </w:r>
    </w:p>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numPr>
          <w:ilvl w:val="0"/>
          <w:numId w:val="39"/>
        </w:numPr>
        <w:shd w:val="clear" w:color="auto" w:fill="auto"/>
        <w:tabs>
          <w:tab w:pos="498" w:val="left"/>
        </w:tabs>
        <w:bidi w:val="0"/>
        <w:spacing w:before="0" w:after="360" w:line="240" w:lineRule="auto"/>
        <w:ind w:left="0" w:right="0" w:firstLine="0"/>
        <w:jc w:val="left"/>
      </w:pPr>
      <w:bookmarkStart w:id="816" w:name="bookmark816"/>
      <w:bookmarkStart w:id="817" w:name="bookmark817"/>
      <w:bookmarkStart w:id="818" w:name="bookmark818"/>
      <w:bookmarkStart w:id="819" w:name="bookmark819"/>
      <w:bookmarkEnd w:id="818"/>
      <w:r>
        <w:rPr>
          <w:color w:val="000000"/>
          <w:spacing w:val="0"/>
          <w:w w:val="100"/>
          <w:position w:val="0"/>
        </w:rPr>
        <w:t>追溯重述法</w:t>
      </w:r>
      <w:bookmarkEnd w:id="816"/>
      <w:bookmarkEnd w:id="817"/>
      <w:bookmarkEnd w:id="819"/>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本报告期是否发现采用追溯重述法的前期会计差错</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0"/>
        <w:keepNext/>
        <w:keepLines/>
        <w:widowControl w:val="0"/>
        <w:numPr>
          <w:ilvl w:val="0"/>
          <w:numId w:val="39"/>
        </w:numPr>
        <w:shd w:val="clear" w:color="auto" w:fill="auto"/>
        <w:tabs>
          <w:tab w:pos="498" w:val="left"/>
        </w:tabs>
        <w:bidi w:val="0"/>
        <w:spacing w:before="0" w:after="360" w:line="240" w:lineRule="auto"/>
        <w:ind w:left="0" w:right="0" w:firstLine="0"/>
        <w:jc w:val="left"/>
      </w:pPr>
      <w:bookmarkStart w:id="820" w:name="bookmark820"/>
      <w:bookmarkStart w:id="821" w:name="bookmark821"/>
      <w:bookmarkStart w:id="822" w:name="bookmark822"/>
      <w:bookmarkStart w:id="823" w:name="bookmark823"/>
      <w:bookmarkEnd w:id="822"/>
      <w:r>
        <w:rPr>
          <w:color w:val="000000"/>
          <w:spacing w:val="0"/>
          <w:w w:val="100"/>
          <w:position w:val="0"/>
        </w:rPr>
        <w:t>未来适用法</w:t>
      </w:r>
      <w:bookmarkEnd w:id="820"/>
      <w:bookmarkEnd w:id="821"/>
      <w:bookmarkEnd w:id="823"/>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本报告期是否发现采用未来适用法的前期会计差错</w:t>
      </w:r>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br w:type="page"/>
      </w:r>
    </w:p>
    <w:p>
      <w:pPr>
        <w:pStyle w:val="Style31"/>
        <w:keepNext/>
        <w:keepLines/>
        <w:widowControl w:val="0"/>
        <w:shd w:val="clear" w:color="auto" w:fill="auto"/>
        <w:bidi w:val="0"/>
        <w:spacing w:before="0" w:after="320" w:line="240" w:lineRule="auto"/>
        <w:ind w:left="0" w:right="0" w:firstLine="0"/>
        <w:jc w:val="left"/>
      </w:pPr>
      <w:bookmarkStart w:id="824" w:name="bookmark824"/>
      <w:bookmarkStart w:id="825" w:name="bookmark825"/>
      <w:bookmarkStart w:id="826" w:name="bookmark826"/>
      <w:bookmarkStart w:id="827" w:name="bookmark827"/>
      <w:r>
        <w:rPr>
          <w:color w:val="000000"/>
          <w:spacing w:val="0"/>
          <w:w w:val="100"/>
          <w:position w:val="0"/>
          <w:sz w:val="24"/>
          <w:szCs w:val="24"/>
        </w:rPr>
        <w:t>五</w:t>
      </w:r>
      <w:bookmarkEnd w:id="826"/>
      <w:r>
        <w:rPr>
          <w:color w:val="000000"/>
          <w:spacing w:val="0"/>
          <w:w w:val="100"/>
          <w:position w:val="0"/>
          <w:sz w:val="24"/>
          <w:szCs w:val="24"/>
        </w:rPr>
        <w:t>、税项</w:t>
      </w:r>
      <w:bookmarkEnd w:id="824"/>
      <w:bookmarkEnd w:id="825"/>
      <w:bookmarkEnd w:id="827"/>
    </w:p>
    <w:p>
      <w:pPr>
        <w:pStyle w:val="Style40"/>
        <w:keepNext/>
        <w:keepLines/>
        <w:widowControl w:val="0"/>
        <w:shd w:val="clear" w:color="auto" w:fill="auto"/>
        <w:bidi w:val="0"/>
        <w:spacing w:before="0" w:after="32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w:t>
      </w:r>
      <w:bookmarkEnd w:id="830"/>
      <w:r>
        <w:rPr>
          <w:color w:val="000000"/>
          <w:spacing w:val="0"/>
          <w:w w:val="100"/>
          <w:position w:val="0"/>
        </w:rPr>
        <w:t>、公司主要税种和税率</w:t>
      </w:r>
      <w:bookmarkEnd w:id="828"/>
      <w:bookmarkEnd w:id="829"/>
      <w:bookmarkEnd w:id="831"/>
    </w:p>
    <w:tbl>
      <w:tblPr>
        <w:tblOverlap w:val="never"/>
        <w:jc w:val="center"/>
        <w:tblLayout w:type="fixed"/>
      </w:tblPr>
      <w:tblGrid>
        <w:gridCol w:w="3518"/>
        <w:gridCol w:w="3024"/>
        <w:gridCol w:w="303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按税法规定计算的销售货物和应税劳 务收入为基础计算销项税额，在扣除当 期允许抵扣的进项税额后，差额部分为 应交增值税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按应税营业收入计征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按实际缴纳的营业税、增值税及消费税 计征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widowControl w:val="0"/>
        <w:spacing w:after="79" w:line="1" w:lineRule="exact"/>
      </w:pPr>
    </w:p>
    <w:p>
      <w:pPr>
        <w:widowControl w:val="0"/>
        <w:spacing w:line="1" w:lineRule="exact"/>
      </w:pPr>
    </w:p>
    <w:tbl>
      <w:tblPr>
        <w:tblOverlap w:val="never"/>
        <w:jc w:val="center"/>
        <w:tblLayout w:type="fixed"/>
      </w:tblPr>
      <w:tblGrid>
        <w:gridCol w:w="7027"/>
        <w:gridCol w:w="2650"/>
      </w:tblGrid>
      <w:tr>
        <w:trPr>
          <w:trHeight w:val="34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 司</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北京久其软件股份有限公司武汉分公司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汇总纳税</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北京久其软件股份有限公司郑州分公司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汇总纳税</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北京久其软件股份有限公司南京分公司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汇总纳税</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北京久其软件股份有限公司南昌分公司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汇总纳税</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北京久其软件股份有限公司石家庄分公司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汇总纳税</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北京久其软件股份有限公司贵州分公司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汇总纳税</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北京久其软件股份有限公司杭州分公司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汇总纳税</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北京久其软件股份有限公司沈阳分公司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汇总纳税</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北京久其软件股份有限公司哈尔滨分公司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本年已注销</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北京久其软件股份有限公司安徽分公司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汇总纳税</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北京久其软件股份有限公司银川分公司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汇总纳税</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北京久其软件股份有限公司兰州分公司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汇总纳税</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北京久其软件股份有限公司研发中心</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不独立核算</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北京久其政务软件股份有限公司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西安久其软件有限公司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上海久其软件有限公司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成都久其软件有限公司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深圳市久其软件有限公司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本年已注销</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广东久其软件有限公司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新疆久其科技有限公司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重庆久其软件有限公司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北京北邮中望信息科技有限责任公司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5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海南久其云计算科技有限公司</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pStyle w:val="Style40"/>
        <w:keepNext/>
        <w:keepLines/>
        <w:widowControl w:val="0"/>
        <w:shd w:val="clear" w:color="auto" w:fill="auto"/>
        <w:bidi w:val="0"/>
        <w:spacing w:before="0" w:after="280" w:line="240" w:lineRule="auto"/>
        <w:ind w:left="0" w:right="0" w:firstLine="0"/>
        <w:jc w:val="both"/>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2</w:t>
      </w:r>
      <w:bookmarkEnd w:id="834"/>
      <w:r>
        <w:rPr>
          <w:color w:val="000000"/>
          <w:spacing w:val="0"/>
          <w:w w:val="100"/>
          <w:position w:val="0"/>
        </w:rPr>
        <w:t>、税收优惠及批文</w:t>
      </w:r>
      <w:bookmarkEnd w:id="832"/>
      <w:bookmarkEnd w:id="833"/>
      <w:bookmarkEnd w:id="835"/>
    </w:p>
    <w:p>
      <w:pPr>
        <w:pStyle w:val="Style35"/>
        <w:keepNext w:val="0"/>
        <w:keepLines w:val="0"/>
        <w:widowControl w:val="0"/>
        <w:numPr>
          <w:ilvl w:val="0"/>
          <w:numId w:val="41"/>
        </w:numPr>
        <w:shd w:val="clear" w:color="auto" w:fill="auto"/>
        <w:tabs>
          <w:tab w:pos="818" w:val="left"/>
        </w:tabs>
        <w:bidi w:val="0"/>
        <w:spacing w:before="0" w:after="0" w:line="309" w:lineRule="exact"/>
        <w:ind w:left="0" w:right="0"/>
        <w:jc w:val="both"/>
      </w:pPr>
      <w:bookmarkStart w:id="836" w:name="bookmark836"/>
      <w:bookmarkEnd w:id="836"/>
      <w:r>
        <w:rPr>
          <w:color w:val="000000"/>
          <w:spacing w:val="0"/>
          <w:w w:val="100"/>
          <w:position w:val="0"/>
        </w:rPr>
        <w:t>所得税</w:t>
      </w:r>
    </w:p>
    <w:p>
      <w:pPr>
        <w:pStyle w:val="Style35"/>
        <w:keepNext w:val="0"/>
        <w:keepLines w:val="0"/>
        <w:widowControl w:val="0"/>
        <w:shd w:val="clear" w:color="auto" w:fill="auto"/>
        <w:bidi w:val="0"/>
        <w:spacing w:before="0" w:after="0" w:line="309" w:lineRule="exact"/>
        <w:ind w:left="0" w:right="0"/>
        <w:jc w:val="both"/>
      </w:pPr>
      <w:r>
        <w:rPr>
          <w:color w:val="000000"/>
          <w:spacing w:val="0"/>
          <w:w w:val="100"/>
          <w:position w:val="0"/>
        </w:rPr>
        <w:t>根据国家发展和改革委员会、工业和信息化部、财政部、商务部与国家税务总局联合下发的《关于认定</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年度 国家规划布局内重点软件企业和集成电路设计企业名单的通知》(发改高技</w:t>
      </w:r>
      <w:r>
        <w:rPr>
          <w:rFonts w:ascii="Times New Roman" w:eastAsia="Times New Roman" w:hAnsi="Times New Roman" w:cs="Times New Roman"/>
          <w:color w:val="000000"/>
          <w:spacing w:val="0"/>
          <w:w w:val="100"/>
          <w:position w:val="0"/>
        </w:rPr>
        <w:t>[2013]2458</w:t>
      </w:r>
      <w:r>
        <w:rPr>
          <w:color w:val="000000"/>
          <w:spacing w:val="0"/>
          <w:w w:val="100"/>
          <w:position w:val="0"/>
        </w:rPr>
        <w:t>号)，本公司被认定为</w:t>
      </w:r>
      <w:r>
        <w:rPr>
          <w:rFonts w:ascii="Times New Roman" w:eastAsia="Times New Roman" w:hAnsi="Times New Roman" w:cs="Times New Roman"/>
          <w:color w:val="000000"/>
          <w:spacing w:val="0"/>
          <w:w w:val="100"/>
          <w:position w:val="0"/>
        </w:rPr>
        <w:t>“2013-2014</w:t>
      </w:r>
      <w:r>
        <w:rPr>
          <w:color w:val="000000"/>
          <w:spacing w:val="0"/>
          <w:w w:val="100"/>
          <w:position w:val="0"/>
        </w:rPr>
        <w:t>年 度国家规划布局内重点软件企业</w:t>
      </w:r>
      <w:r>
        <w:rPr>
          <w:rFonts w:ascii="Times New Roman" w:eastAsia="Times New Roman" w:hAnsi="Times New Roman" w:cs="Times New Roman"/>
          <w:color w:val="000000"/>
          <w:spacing w:val="0"/>
          <w:w w:val="100"/>
          <w:position w:val="0"/>
        </w:rPr>
        <w:t>”</w:t>
      </w:r>
      <w:r>
        <w:rPr>
          <w:color w:val="000000"/>
          <w:spacing w:val="0"/>
          <w:w w:val="100"/>
          <w:position w:val="0"/>
        </w:rPr>
        <w:t>，根据《财政部国家税务总局关于进一步鼓励软件产业和集成电路产业发展企业所得税政 策的通知》(财税〔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27</w:t>
      </w:r>
      <w:r>
        <w:rPr>
          <w:color w:val="000000"/>
          <w:spacing w:val="0"/>
          <w:w w:val="100"/>
          <w:position w:val="0"/>
        </w:rPr>
        <w:t>号)的规定，国家规划布局内重点软件企业可享受企业所得税减按</w:t>
      </w:r>
      <w:r>
        <w:rPr>
          <w:rFonts w:ascii="Times New Roman" w:eastAsia="Times New Roman" w:hAnsi="Times New Roman" w:cs="Times New Roman"/>
          <w:color w:val="000000"/>
          <w:spacing w:val="0"/>
          <w:w w:val="100"/>
          <w:position w:val="0"/>
        </w:rPr>
        <w:t>10%</w:t>
      </w:r>
      <w:r>
        <w:rPr>
          <w:color w:val="000000"/>
          <w:spacing w:val="0"/>
          <w:w w:val="100"/>
          <w:position w:val="0"/>
        </w:rPr>
        <w:t>税率征收的优惠政策。 通过此次认定后，公司</w:t>
      </w:r>
      <w:r>
        <w:rPr>
          <w:rFonts w:ascii="Times New Roman" w:eastAsia="Times New Roman" w:hAnsi="Times New Roman" w:cs="Times New Roman"/>
          <w:color w:val="000000"/>
          <w:spacing w:val="0"/>
          <w:w w:val="100"/>
          <w:position w:val="0"/>
        </w:rPr>
        <w:t>2013</w:t>
      </w:r>
      <w:r>
        <w:rPr>
          <w:color w:val="000000"/>
          <w:spacing w:val="0"/>
          <w:w w:val="100"/>
          <w:position w:val="0"/>
        </w:rPr>
        <w:t>年度和</w:t>
      </w:r>
      <w:r>
        <w:rPr>
          <w:rFonts w:ascii="Times New Roman" w:eastAsia="Times New Roman" w:hAnsi="Times New Roman" w:cs="Times New Roman"/>
          <w:color w:val="000000"/>
          <w:spacing w:val="0"/>
          <w:w w:val="100"/>
          <w:position w:val="0"/>
        </w:rPr>
        <w:t>2014</w:t>
      </w:r>
      <w:r>
        <w:rPr>
          <w:color w:val="000000"/>
          <w:spacing w:val="0"/>
          <w:w w:val="100"/>
          <w:position w:val="0"/>
        </w:rPr>
        <w:t>年度的企业所得税将执行</w:t>
      </w:r>
      <w:r>
        <w:rPr>
          <w:rFonts w:ascii="Times New Roman" w:eastAsia="Times New Roman" w:hAnsi="Times New Roman" w:cs="Times New Roman"/>
          <w:color w:val="000000"/>
          <w:spacing w:val="0"/>
          <w:w w:val="100"/>
          <w:position w:val="0"/>
        </w:rPr>
        <w:t>10%</w:t>
      </w:r>
      <w:r>
        <w:rPr>
          <w:color w:val="000000"/>
          <w:spacing w:val="0"/>
          <w:w w:val="100"/>
          <w:position w:val="0"/>
        </w:rPr>
        <w:t>的税率。</w:t>
      </w:r>
    </w:p>
    <w:p>
      <w:pPr>
        <w:pStyle w:val="Style35"/>
        <w:keepNext w:val="0"/>
        <w:keepLines w:val="0"/>
        <w:widowControl w:val="0"/>
        <w:shd w:val="clear" w:color="auto" w:fill="auto"/>
        <w:bidi w:val="0"/>
        <w:spacing w:before="0" w:after="0" w:line="309" w:lineRule="exact"/>
        <w:ind w:left="0" w:right="0"/>
        <w:jc w:val="both"/>
      </w:pPr>
      <w:r>
        <w:rPr>
          <w:color w:val="000000"/>
          <w:spacing w:val="0"/>
          <w:w w:val="100"/>
          <w:position w:val="0"/>
        </w:rPr>
        <w:t xml:space="preserve">北京久其政务软件股份有限公司、北京北邮中望信息科技有限责任公司、上海久其软件有限公司系高新技术企业，执行 </w:t>
      </w:r>
      <w:r>
        <w:rPr>
          <w:rFonts w:ascii="Times New Roman" w:eastAsia="Times New Roman" w:hAnsi="Times New Roman" w:cs="Times New Roman"/>
          <w:color w:val="000000"/>
          <w:spacing w:val="0"/>
          <w:w w:val="100"/>
          <w:position w:val="0"/>
        </w:rPr>
        <w:t>15%</w:t>
      </w:r>
      <w:r>
        <w:rPr>
          <w:color w:val="000000"/>
          <w:spacing w:val="0"/>
          <w:w w:val="100"/>
          <w:position w:val="0"/>
        </w:rPr>
        <w:t>的企业所得税税率；新疆久其科技有限公司执行</w:t>
      </w:r>
      <w:r>
        <w:rPr>
          <w:rFonts w:ascii="Times New Roman" w:eastAsia="Times New Roman" w:hAnsi="Times New Roman" w:cs="Times New Roman"/>
          <w:color w:val="000000"/>
          <w:spacing w:val="0"/>
          <w:w w:val="100"/>
          <w:position w:val="0"/>
        </w:rPr>
        <w:t>20%</w:t>
      </w:r>
      <w:r>
        <w:rPr>
          <w:color w:val="000000"/>
          <w:spacing w:val="0"/>
          <w:w w:val="100"/>
          <w:position w:val="0"/>
        </w:rPr>
        <w:t>的企业所得税税率；其他各子公司暂执行</w:t>
      </w:r>
      <w:r>
        <w:rPr>
          <w:rFonts w:ascii="Times New Roman" w:eastAsia="Times New Roman" w:hAnsi="Times New Roman" w:cs="Times New Roman"/>
          <w:color w:val="000000"/>
          <w:spacing w:val="0"/>
          <w:w w:val="100"/>
          <w:position w:val="0"/>
        </w:rPr>
        <w:t>25</w:t>
      </w:r>
      <w:r>
        <w:rPr>
          <w:color w:val="000000"/>
          <w:spacing w:val="0"/>
          <w:w w:val="100"/>
          <w:position w:val="0"/>
        </w:rPr>
        <w:t>%的企业所得税税率。</w:t>
      </w:r>
    </w:p>
    <w:p>
      <w:pPr>
        <w:pStyle w:val="Style35"/>
        <w:keepNext w:val="0"/>
        <w:keepLines w:val="0"/>
        <w:widowControl w:val="0"/>
        <w:numPr>
          <w:ilvl w:val="0"/>
          <w:numId w:val="41"/>
        </w:numPr>
        <w:shd w:val="clear" w:color="auto" w:fill="auto"/>
        <w:tabs>
          <w:tab w:pos="818" w:val="left"/>
        </w:tabs>
        <w:bidi w:val="0"/>
        <w:spacing w:before="0" w:after="0" w:line="309" w:lineRule="exact"/>
        <w:ind w:left="0" w:right="0"/>
        <w:jc w:val="both"/>
      </w:pPr>
      <w:bookmarkStart w:id="837" w:name="bookmark837"/>
      <w:bookmarkEnd w:id="837"/>
      <w:r>
        <w:rPr>
          <w:color w:val="000000"/>
          <w:spacing w:val="0"/>
          <w:w w:val="100"/>
          <w:position w:val="0"/>
        </w:rPr>
        <w:t>增值税</w:t>
      </w:r>
    </w:p>
    <w:p>
      <w:pPr>
        <w:pStyle w:val="Style35"/>
        <w:keepNext w:val="0"/>
        <w:keepLines w:val="0"/>
        <w:widowControl w:val="0"/>
        <w:shd w:val="clear" w:color="auto" w:fill="auto"/>
        <w:bidi w:val="0"/>
        <w:spacing w:before="0" w:after="0" w:line="309" w:lineRule="exact"/>
        <w:ind w:left="0" w:right="0"/>
        <w:jc w:val="both"/>
      </w:pPr>
      <w:r>
        <w:rPr>
          <w:color w:val="000000"/>
          <w:spacing w:val="0"/>
          <w:w w:val="100"/>
          <w:position w:val="0"/>
        </w:rPr>
        <w:t>公司及其控股子公司上海久其软件有限公司、广东久其软件有限公司、北京久其政务软件股份有限公司、成都久其软件 有限公司、新疆久其科技有限公司、西安久其软件有限公司、北京北邮中望信息科技有限责任公司为增值税一般纳税人，安 徽分公司、武汉分公司为增值税一般纳税人，分别适用</w:t>
      </w:r>
      <w:r>
        <w:rPr>
          <w:rFonts w:ascii="Times New Roman" w:eastAsia="Times New Roman" w:hAnsi="Times New Roman" w:cs="Times New Roman"/>
          <w:color w:val="000000"/>
          <w:spacing w:val="0"/>
          <w:w w:val="100"/>
          <w:position w:val="0"/>
        </w:rPr>
        <w:t>17%</w:t>
      </w:r>
      <w:r>
        <w:rPr>
          <w:color w:val="000000"/>
          <w:spacing w:val="0"/>
          <w:w w:val="100"/>
          <w:position w:val="0"/>
        </w:rPr>
        <w:t>和</w:t>
      </w:r>
      <w:r>
        <w:rPr>
          <w:rFonts w:ascii="Times New Roman" w:eastAsia="Times New Roman" w:hAnsi="Times New Roman" w:cs="Times New Roman"/>
          <w:color w:val="000000"/>
          <w:spacing w:val="0"/>
          <w:w w:val="100"/>
          <w:position w:val="0"/>
        </w:rPr>
        <w:t>6%</w:t>
      </w:r>
      <w:r>
        <w:rPr>
          <w:color w:val="000000"/>
          <w:spacing w:val="0"/>
          <w:w w:val="100"/>
          <w:position w:val="0"/>
        </w:rPr>
        <w:t xml:space="preserve">的增值税税率。公司其他分子公司均为小规模纳税人，按 </w:t>
      </w:r>
      <w:r>
        <w:rPr>
          <w:rFonts w:ascii="Times New Roman" w:eastAsia="Times New Roman" w:hAnsi="Times New Roman" w:cs="Times New Roman"/>
          <w:color w:val="000000"/>
          <w:spacing w:val="0"/>
          <w:w w:val="100"/>
          <w:position w:val="0"/>
        </w:rPr>
        <w:t>3%</w:t>
      </w:r>
      <w:r>
        <w:rPr>
          <w:color w:val="000000"/>
          <w:spacing w:val="0"/>
          <w:w w:val="100"/>
          <w:position w:val="0"/>
        </w:rPr>
        <w:t>的征收率计算缴纳增值税。</w:t>
      </w:r>
    </w:p>
    <w:p>
      <w:pPr>
        <w:pStyle w:val="Style35"/>
        <w:keepNext w:val="0"/>
        <w:keepLines w:val="0"/>
        <w:widowControl w:val="0"/>
        <w:shd w:val="clear" w:color="auto" w:fill="auto"/>
        <w:bidi w:val="0"/>
        <w:spacing w:before="0" w:after="340" w:line="309" w:lineRule="exact"/>
        <w:ind w:left="0" w:right="0"/>
        <w:jc w:val="both"/>
      </w:pPr>
      <w:r>
        <w:rPr>
          <w:color w:val="000000"/>
          <w:spacing w:val="0"/>
          <w:w w:val="100"/>
          <w:position w:val="0"/>
        </w:rPr>
        <w:t>根据国务院国发</w:t>
      </w:r>
      <w:r>
        <w:rPr>
          <w:rFonts w:ascii="Times New Roman" w:eastAsia="Times New Roman" w:hAnsi="Times New Roman" w:cs="Times New Roman"/>
          <w:color w:val="000000"/>
          <w:spacing w:val="0"/>
          <w:w w:val="100"/>
          <w:position w:val="0"/>
        </w:rPr>
        <w:t>[2011]4</w:t>
      </w:r>
      <w:r>
        <w:rPr>
          <w:color w:val="000000"/>
          <w:spacing w:val="0"/>
          <w:w w:val="100"/>
          <w:position w:val="0"/>
        </w:rPr>
        <w:t>号文件《国务院关于印发进一步鼓励软件产业和集成电路产业发展若干政策的通知》的规定， 对增值税一般纳税人销售其自行开发生产的软件产品，按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 即征即退政策，公司及其控股子公司上海久其软件有限公司、广东久其软件有限公司、北京久其政务软件股份有限公司、北 京北邮中望信息科技有限责任公司适用此规定。</w:t>
      </w:r>
    </w:p>
    <w:p>
      <w:pPr>
        <w:pStyle w:val="Style31"/>
        <w:keepNext/>
        <w:keepLines/>
        <w:widowControl w:val="0"/>
        <w:shd w:val="clear" w:color="auto" w:fill="auto"/>
        <w:bidi w:val="0"/>
        <w:spacing w:before="0" w:after="340" w:line="240" w:lineRule="auto"/>
        <w:ind w:left="0" w:right="0" w:firstLine="0"/>
        <w:jc w:val="left"/>
      </w:pPr>
      <w:bookmarkStart w:id="838" w:name="bookmark838"/>
      <w:bookmarkStart w:id="839" w:name="bookmark839"/>
      <w:bookmarkStart w:id="840" w:name="bookmark840"/>
      <w:bookmarkStart w:id="841" w:name="bookmark841"/>
      <w:r>
        <w:rPr>
          <w:color w:val="000000"/>
          <w:spacing w:val="0"/>
          <w:w w:val="100"/>
          <w:position w:val="0"/>
          <w:sz w:val="24"/>
          <w:szCs w:val="24"/>
        </w:rPr>
        <w:t>六</w:t>
      </w:r>
      <w:bookmarkEnd w:id="840"/>
      <w:r>
        <w:rPr>
          <w:color w:val="000000"/>
          <w:spacing w:val="0"/>
          <w:w w:val="100"/>
          <w:position w:val="0"/>
          <w:sz w:val="24"/>
          <w:szCs w:val="24"/>
        </w:rPr>
        <w:t>、企业合并及合并财务报表</w:t>
      </w:r>
      <w:bookmarkEnd w:id="838"/>
      <w:bookmarkEnd w:id="839"/>
      <w:bookmarkEnd w:id="841"/>
    </w:p>
    <w:p>
      <w:pPr>
        <w:pStyle w:val="Style40"/>
        <w:keepNext/>
        <w:keepLines/>
        <w:widowControl w:val="0"/>
        <w:shd w:val="clear" w:color="auto" w:fill="auto"/>
        <w:bidi w:val="0"/>
        <w:spacing w:before="0" w:after="34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1</w:t>
      </w:r>
      <w:bookmarkEnd w:id="844"/>
      <w:r>
        <w:rPr>
          <w:color w:val="000000"/>
          <w:spacing w:val="0"/>
          <w:w w:val="100"/>
          <w:position w:val="0"/>
        </w:rPr>
        <w:t>、子公司情况</w:t>
      </w:r>
      <w:bookmarkEnd w:id="842"/>
      <w:bookmarkEnd w:id="843"/>
      <w:bookmarkEnd w:id="845"/>
    </w:p>
    <w:p>
      <w:pPr>
        <w:pStyle w:val="Style40"/>
        <w:keepNext/>
        <w:keepLines/>
        <w:widowControl w:val="0"/>
        <w:shd w:val="clear" w:color="auto" w:fill="auto"/>
        <w:bidi w:val="0"/>
        <w:spacing w:before="0" w:after="280" w:line="240" w:lineRule="auto"/>
        <w:ind w:left="0" w:right="0" w:firstLine="0"/>
        <w:jc w:val="left"/>
      </w:pPr>
      <w:bookmarkStart w:id="842" w:name="bookmark842"/>
      <w:bookmarkStart w:id="843" w:name="bookmark843"/>
      <w:bookmarkStart w:id="846" w:name="bookmark8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842"/>
      <w:bookmarkEnd w:id="843"/>
      <w:bookmarkEnd w:id="846"/>
    </w:p>
    <w:p>
      <w:pPr>
        <w:pStyle w:val="Style35"/>
        <w:keepNext w:val="0"/>
        <w:keepLines w:val="0"/>
        <w:widowControl w:val="0"/>
        <w:shd w:val="clear" w:color="auto" w:fill="auto"/>
        <w:bidi w:val="0"/>
        <w:spacing w:before="0" w:after="80" w:line="309" w:lineRule="exact"/>
        <w:ind w:left="0" w:right="0" w:firstLine="0"/>
        <w:jc w:val="right"/>
      </w:pPr>
      <w:r>
        <w:rPr>
          <w:color w:val="000000"/>
          <w:spacing w:val="0"/>
          <w:w w:val="100"/>
          <w:position w:val="0"/>
        </w:rPr>
        <w:t>单位：元</w:t>
      </w:r>
    </w:p>
    <w:tbl>
      <w:tblPr>
        <w:tblOverlap w:val="never"/>
        <w:jc w:val="center"/>
        <w:tblLayout w:type="fixed"/>
      </w:tblPr>
      <w:tblGrid>
        <w:gridCol w:w="686"/>
        <w:gridCol w:w="686"/>
        <w:gridCol w:w="682"/>
        <w:gridCol w:w="682"/>
        <w:gridCol w:w="682"/>
        <w:gridCol w:w="686"/>
        <w:gridCol w:w="682"/>
        <w:gridCol w:w="682"/>
        <w:gridCol w:w="686"/>
        <w:gridCol w:w="682"/>
        <w:gridCol w:w="682"/>
        <w:gridCol w:w="686"/>
        <w:gridCol w:w="682"/>
        <w:gridCol w:w="691"/>
      </w:tblGrid>
      <w:tr>
        <w:trPr>
          <w:trHeight w:val="5366"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是否合</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w:t>
            </w:r>
          </w:p>
        </w:tc>
      </w:tr>
    </w:tbl>
    <w:p>
      <w:pPr>
        <w:widowControl w:val="0"/>
        <w:spacing w:line="1" w:lineRule="exact"/>
      </w:pPr>
      <w:r>
        <w:br w:type="page"/>
      </w:r>
    </w:p>
    <w:tbl>
      <w:tblPr>
        <w:tblOverlap w:val="never"/>
        <w:jc w:val="center"/>
        <w:tblLayout w:type="fixed"/>
      </w:tblPr>
      <w:tblGrid>
        <w:gridCol w:w="686"/>
        <w:gridCol w:w="686"/>
        <w:gridCol w:w="682"/>
        <w:gridCol w:w="682"/>
        <w:gridCol w:w="682"/>
        <w:gridCol w:w="686"/>
        <w:gridCol w:w="682"/>
        <w:gridCol w:w="682"/>
        <w:gridCol w:w="686"/>
        <w:gridCol w:w="682"/>
        <w:gridCol w:w="682"/>
        <w:gridCol w:w="686"/>
        <w:gridCol w:w="682"/>
        <w:gridCol w:w="69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74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西安久</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 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其软件</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软、硬</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件行业</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务、软</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硬件产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品销售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上海久</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技术开</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其软件</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both"/>
            </w:pPr>
            <w:r>
              <w:rPr>
                <w:color w:val="000000"/>
                <w:spacing w:val="0"/>
                <w:w w:val="100"/>
                <w:position w:val="0"/>
              </w:rPr>
              <w:t>软、硬</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件行业</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硬件产</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品销售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成都久</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技术开</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其软件</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both"/>
            </w:pPr>
            <w:r>
              <w:rPr>
                <w:color w:val="000000"/>
                <w:spacing w:val="0"/>
                <w:w w:val="100"/>
                <w:position w:val="0"/>
              </w:rPr>
              <w:t>软、硬</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件行业</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硬件产</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品销售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广东久</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技术开</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其软件</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both"/>
            </w:pPr>
            <w:r>
              <w:rPr>
                <w:color w:val="000000"/>
                <w:spacing w:val="0"/>
                <w:w w:val="100"/>
                <w:position w:val="0"/>
              </w:rPr>
              <w:t>软、硬</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1,576,2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件行业</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硬件产</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品销售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北京久</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其政务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 发、技 术服</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软件股</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软、硬</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务、软</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件行业</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硬件产</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品销售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新疆久</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技术开</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其科技</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both"/>
            </w:pPr>
            <w:r>
              <w:rPr>
                <w:color w:val="000000"/>
                <w:spacing w:val="0"/>
                <w:w w:val="100"/>
                <w:position w:val="0"/>
              </w:rPr>
              <w:t>软、硬</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件行业</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硬件产</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品销售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重庆久</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其软件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计算机</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软、硬</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技术开</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发、技</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件行业</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6"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硬件产</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86"/>
        <w:gridCol w:w="686"/>
        <w:gridCol w:w="682"/>
        <w:gridCol w:w="682"/>
        <w:gridCol w:w="682"/>
        <w:gridCol w:w="686"/>
        <w:gridCol w:w="682"/>
        <w:gridCol w:w="682"/>
        <w:gridCol w:w="686"/>
        <w:gridCol w:w="682"/>
        <w:gridCol w:w="682"/>
        <w:gridCol w:w="686"/>
        <w:gridCol w:w="682"/>
        <w:gridCol w:w="69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北京北 邮中望 信息科 技有限 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 软、硬 件行业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技术开 发、技 术服 务、软 硬件产 品销售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7,502,5</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-720,83</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-348,56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w:t>
            </w: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海南久 其云计 算科技 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澄迈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 软、硬 件行业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 发、技 术服</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务、软 硬件产 品销售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5,000,0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331" w:lineRule="exact"/>
        <w:ind w:left="0" w:right="0" w:firstLine="0"/>
        <w:jc w:val="left"/>
      </w:pPr>
      <w:r>
        <w:rPr>
          <w:color w:val="000000"/>
          <w:spacing w:val="0"/>
          <w:w w:val="100"/>
          <w:position w:val="0"/>
        </w:rPr>
        <w:t>通过设立或投资等方式取得的子公司的其他说明</w:t>
      </w:r>
    </w:p>
    <w:p>
      <w:pPr>
        <w:pStyle w:val="Style35"/>
        <w:keepNext w:val="0"/>
        <w:keepLines w:val="0"/>
        <w:widowControl w:val="0"/>
        <w:shd w:val="clear" w:color="auto" w:fill="auto"/>
        <w:bidi w:val="0"/>
        <w:spacing w:before="0" w:after="340" w:line="331" w:lineRule="exact"/>
        <w:ind w:left="0" w:right="0" w:firstLine="0"/>
        <w:jc w:val="left"/>
      </w:pPr>
      <w:r>
        <w:rPr>
          <w:color w:val="000000"/>
          <w:spacing w:val="0"/>
          <w:w w:val="100"/>
          <w:position w:val="0"/>
        </w:rPr>
        <w:t>无</w:t>
      </w:r>
    </w:p>
    <w:p>
      <w:pPr>
        <w:pStyle w:val="Style40"/>
        <w:keepNext/>
        <w:keepLines/>
        <w:widowControl w:val="0"/>
        <w:shd w:val="clear" w:color="auto" w:fill="auto"/>
        <w:tabs>
          <w:tab w:pos="378" w:val="left"/>
        </w:tabs>
        <w:bidi w:val="0"/>
        <w:spacing w:before="0" w:after="240" w:line="240"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2</w:t>
      </w:r>
      <w:bookmarkEnd w:id="849"/>
      <w:r>
        <w:rPr>
          <w:color w:val="000000"/>
          <w:spacing w:val="0"/>
          <w:w w:val="100"/>
          <w:position w:val="0"/>
        </w:rPr>
        <w:t>、</w:t>
        <w:tab/>
        <w:t>合并范围发生变更的说明</w:t>
      </w:r>
      <w:bookmarkEnd w:id="847"/>
      <w:bookmarkEnd w:id="848"/>
      <w:bookmarkEnd w:id="850"/>
    </w:p>
    <w:p>
      <w:pPr>
        <w:pStyle w:val="Style35"/>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合并报表范围发生变更说明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 与上年相比本年（期）减少合并单位</w:t>
      </w:r>
      <w:r>
        <w:rPr>
          <w:rFonts w:ascii="Times New Roman" w:eastAsia="Times New Roman" w:hAnsi="Times New Roman" w:cs="Times New Roman"/>
          <w:color w:val="000000"/>
          <w:spacing w:val="0"/>
          <w:w w:val="100"/>
          <w:position w:val="0"/>
        </w:rPr>
        <w:t>1</w:t>
      </w:r>
      <w:r>
        <w:rPr>
          <w:color w:val="000000"/>
          <w:spacing w:val="0"/>
          <w:w w:val="100"/>
          <w:position w:val="0"/>
        </w:rPr>
        <w:t>家，原因为</w:t>
      </w:r>
    </w:p>
    <w:p>
      <w:pPr>
        <w:pStyle w:val="Style35"/>
        <w:keepNext w:val="0"/>
        <w:keepLines w:val="0"/>
        <w:widowControl w:val="0"/>
        <w:shd w:val="clear" w:color="auto" w:fill="auto"/>
        <w:bidi w:val="0"/>
        <w:spacing w:before="0" w:after="340" w:line="312" w:lineRule="exact"/>
        <w:ind w:left="0" w:right="0"/>
        <w:jc w:val="both"/>
      </w:pPr>
      <w:r>
        <w:rPr>
          <w:color w:val="000000"/>
          <w:spacing w:val="0"/>
          <w:w w:val="100"/>
          <w:position w:val="0"/>
        </w:rPr>
        <w:t>由于深圳市久其软件有限公司与公司另一家控股子公司广东久其软件有限公司的区域市场重合度较高。为进一步整合资 源，降低管理成本，提升管理效能，深圳市久其软件有限公司于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月办完注销手续，其资产负债将由公司总部承担， 其人员、业务资源等将转入公司总部统一安排。</w:t>
      </w:r>
    </w:p>
    <w:p>
      <w:pPr>
        <w:pStyle w:val="Style40"/>
        <w:keepNext/>
        <w:keepLines/>
        <w:widowControl w:val="0"/>
        <w:shd w:val="clear" w:color="auto" w:fill="auto"/>
        <w:tabs>
          <w:tab w:pos="378" w:val="left"/>
        </w:tabs>
        <w:bidi w:val="0"/>
        <w:spacing w:before="0" w:after="240" w:line="240"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3</w:t>
      </w:r>
      <w:bookmarkEnd w:id="853"/>
      <w:r>
        <w:rPr>
          <w:color w:val="000000"/>
          <w:spacing w:val="0"/>
          <w:w w:val="100"/>
          <w:position w:val="0"/>
        </w:rPr>
        <w:t>、</w:t>
        <w:tab/>
        <w:t>报告期内新纳入合并范围的主体和报告期内不再纳入合并范围的主体</w:t>
      </w:r>
      <w:bookmarkEnd w:id="851"/>
      <w:bookmarkEnd w:id="852"/>
      <w:bookmarkEnd w:id="854"/>
    </w:p>
    <w:p>
      <w:pPr>
        <w:pStyle w:val="Style35"/>
        <w:keepNext w:val="0"/>
        <w:keepLines w:val="0"/>
        <w:widowControl w:val="0"/>
        <w:shd w:val="clear" w:color="auto" w:fill="auto"/>
        <w:bidi w:val="0"/>
        <w:spacing w:before="0" w:after="120" w:line="331" w:lineRule="exact"/>
        <w:ind w:left="0" w:right="0" w:firstLine="0"/>
        <w:jc w:val="left"/>
      </w:pPr>
      <w:r>
        <w:rPr>
          <w:color w:val="000000"/>
          <w:spacing w:val="0"/>
          <w:w w:val="100"/>
          <w:position w:val="0"/>
        </w:rPr>
        <w:t>本期不再纳入合并范围的子公司、特殊目的主体、通过受托经营或承租等方式形成控制权的经营实体</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75"/>
        <w:gridCol w:w="2851"/>
        <w:gridCol w:w="265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年初至处置日净利润</w:t>
            </w:r>
          </w:p>
        </w:tc>
      </w:tr>
      <w:tr>
        <w:trPr>
          <w:trHeight w:val="41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深圳市久其软件有限公司</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2,267,936.87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-62,892.76</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855" w:name="bookmark855"/>
      <w:bookmarkStart w:id="856" w:name="bookmark856"/>
      <w:bookmarkStart w:id="857" w:name="bookmark857"/>
      <w:bookmarkStart w:id="858" w:name="bookmark858"/>
      <w:r>
        <w:rPr>
          <w:color w:val="000000"/>
          <w:spacing w:val="0"/>
          <w:w w:val="100"/>
          <w:position w:val="0"/>
          <w:sz w:val="24"/>
          <w:szCs w:val="24"/>
        </w:rPr>
        <w:t>七</w:t>
      </w:r>
      <w:bookmarkEnd w:id="857"/>
      <w:r>
        <w:rPr>
          <w:color w:val="000000"/>
          <w:spacing w:val="0"/>
          <w:w w:val="100"/>
          <w:position w:val="0"/>
          <w:sz w:val="24"/>
          <w:szCs w:val="24"/>
        </w:rPr>
        <w:t>、合并财务报表主要项目注释</w:t>
      </w:r>
      <w:bookmarkEnd w:id="855"/>
      <w:bookmarkEnd w:id="856"/>
      <w:bookmarkEnd w:id="858"/>
    </w:p>
    <w:p>
      <w:pPr>
        <w:pStyle w:val="Style40"/>
        <w:keepNext/>
        <w:keepLines/>
        <w:widowControl w:val="0"/>
        <w:shd w:val="clear" w:color="auto" w:fill="auto"/>
        <w:bidi w:val="0"/>
        <w:spacing w:before="0" w:after="340" w:line="240" w:lineRule="auto"/>
        <w:ind w:left="0" w:right="0" w:firstLine="0"/>
        <w:jc w:val="left"/>
      </w:pPr>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859"/>
      <w:bookmarkEnd w:id="860"/>
      <w:bookmarkEnd w:id="86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r>
              <w:rPr>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429,120.96</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215,932.08</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429,120.96</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215,932.08</w:t>
            </w:r>
          </w:p>
        </w:tc>
      </w:tr>
    </w:tbl>
    <w:p>
      <w:pPr>
        <w:widowControl w:val="0"/>
        <w:spacing w:line="1" w:lineRule="exact"/>
      </w:pPr>
      <w:r>
        <w:br w:type="page"/>
      </w:r>
    </w:p>
    <w:tbl>
      <w:tblPr>
        <w:tblOverlap w:val="never"/>
        <w:jc w:val="center"/>
        <w:tblLayout w:type="fixed"/>
      </w:tblPr>
      <w:tblGrid>
        <w:gridCol w:w="2002"/>
        <w:gridCol w:w="1325"/>
        <w:gridCol w:w="931"/>
        <w:gridCol w:w="1464"/>
        <w:gridCol w:w="1325"/>
        <w:gridCol w:w="931"/>
        <w:gridCol w:w="1603"/>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224,804,237.84</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227,751,509.35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224,804,237.84</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227,751,509.35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9,479,530.28</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3,161,360.37</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9,479,530.28</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3,161,360.37</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234,712,889.08</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231,128,801.80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360" w:right="0" w:firstLine="0"/>
        <w:jc w:val="left"/>
      </w:pPr>
      <w:r>
        <w:rPr>
          <w:color w:val="000000"/>
          <w:spacing w:val="0"/>
          <w:w w:val="100"/>
          <w:position w:val="0"/>
        </w:rPr>
        <w:t>其中受限制的货币资金明细如下:</w:t>
      </w:r>
    </w:p>
    <w:tbl>
      <w:tblPr>
        <w:tblOverlap w:val="never"/>
        <w:jc w:val="center"/>
        <w:tblLayout w:type="fixed"/>
      </w:tblPr>
      <w:tblGrid>
        <w:gridCol w:w="4382"/>
        <w:gridCol w:w="2683"/>
        <w:gridCol w:w="2611"/>
      </w:tblGrid>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9,479,530.28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3,161,360.37</w:t>
            </w:r>
          </w:p>
        </w:tc>
      </w:tr>
      <w:tr>
        <w:trPr>
          <w:trHeight w:val="432"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9,479,530.28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3,161,360.37</w:t>
            </w:r>
          </w:p>
        </w:tc>
      </w:tr>
    </w:tbl>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日，其他货币资金中人民币</w:t>
      </w:r>
      <w:r>
        <w:rPr>
          <w:rFonts w:ascii="Times New Roman" w:eastAsia="Times New Roman" w:hAnsi="Times New Roman" w:cs="Times New Roman"/>
          <w:color w:val="000000"/>
          <w:spacing w:val="0"/>
          <w:w w:val="100"/>
          <w:position w:val="0"/>
        </w:rPr>
        <w:t>9,479,530.28</w:t>
      </w:r>
      <w:r>
        <w:rPr>
          <w:color w:val="000000"/>
          <w:spacing w:val="0"/>
          <w:w w:val="100"/>
          <w:position w:val="0"/>
        </w:rPr>
        <w:t>元为本公司向银行申请开具无条件、不可撤销的担保函所存 入的保证金存款。</w:t>
      </w:r>
    </w:p>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2</w:t>
      </w:r>
      <w:bookmarkEnd w:id="864"/>
      <w:r>
        <w:rPr>
          <w:color w:val="000000"/>
          <w:spacing w:val="0"/>
          <w:w w:val="100"/>
          <w:position w:val="0"/>
        </w:rPr>
        <w:t>、交易性金融资产</w:t>
      </w:r>
      <w:bookmarkEnd w:id="862"/>
      <w:bookmarkEnd w:id="863"/>
      <w:bookmarkEnd w:id="865"/>
    </w:p>
    <w:p>
      <w:pPr>
        <w:pStyle w:val="Style40"/>
        <w:keepNext/>
        <w:keepLines/>
        <w:widowControl w:val="0"/>
        <w:shd w:val="clear" w:color="auto" w:fill="auto"/>
        <w:bidi w:val="0"/>
        <w:spacing w:before="0" w:after="360" w:line="240" w:lineRule="auto"/>
        <w:ind w:left="0" w:right="0" w:firstLine="0"/>
        <w:jc w:val="left"/>
      </w:pPr>
      <w:bookmarkStart w:id="862" w:name="bookmark862"/>
      <w:bookmarkStart w:id="863" w:name="bookmark863"/>
      <w:bookmarkStart w:id="866" w:name="bookmark8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bookmarkEnd w:id="862"/>
      <w:bookmarkEnd w:id="863"/>
      <w:bookmarkEnd w:id="86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0"/>
        <w:gridCol w:w="266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期末公允价值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指定为以公允价值计量且变动计入当期损益的金融资产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80,788,375.18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70,685,791.77</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80,788,375.18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70,685,791.77</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3</w:t>
      </w:r>
      <w:bookmarkEnd w:id="869"/>
      <w:r>
        <w:rPr>
          <w:color w:val="000000"/>
          <w:spacing w:val="0"/>
          <w:w w:val="100"/>
          <w:position w:val="0"/>
        </w:rPr>
        <w:t>、应收票据</w:t>
      </w:r>
      <w:bookmarkEnd w:id="867"/>
      <w:bookmarkEnd w:id="868"/>
      <w:bookmarkEnd w:id="870"/>
    </w:p>
    <w:p>
      <w:pPr>
        <w:pStyle w:val="Style40"/>
        <w:keepNext/>
        <w:keepLines/>
        <w:widowControl w:val="0"/>
        <w:shd w:val="clear" w:color="auto" w:fill="auto"/>
        <w:bidi w:val="0"/>
        <w:spacing w:before="0" w:after="360" w:line="240" w:lineRule="auto"/>
        <w:ind w:left="0" w:right="0" w:firstLine="0"/>
        <w:jc w:val="left"/>
      </w:pPr>
      <w:bookmarkStart w:id="867" w:name="bookmark867"/>
      <w:bookmarkStart w:id="868" w:name="bookmark868"/>
      <w:bookmarkStart w:id="871" w:name="bookmark8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867"/>
      <w:bookmarkEnd w:id="868"/>
      <w:bookmarkEnd w:id="87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4"/>
        <w:gridCol w:w="2654"/>
        <w:gridCol w:w="293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280,000.00</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280,000.00</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4</w:t>
      </w:r>
      <w:bookmarkEnd w:id="874"/>
      <w:r>
        <w:rPr>
          <w:color w:val="000000"/>
          <w:spacing w:val="0"/>
          <w:w w:val="100"/>
          <w:position w:val="0"/>
        </w:rPr>
        <w:t>、应收账款</w:t>
      </w:r>
      <w:bookmarkEnd w:id="872"/>
      <w:bookmarkEnd w:id="873"/>
      <w:bookmarkEnd w:id="875"/>
    </w:p>
    <w:p>
      <w:pPr>
        <w:pStyle w:val="Style40"/>
        <w:keepNext/>
        <w:keepLines/>
        <w:widowControl w:val="0"/>
        <w:shd w:val="clear" w:color="auto" w:fill="auto"/>
        <w:bidi w:val="0"/>
        <w:spacing w:before="0" w:after="360" w:line="240" w:lineRule="auto"/>
        <w:ind w:left="0" w:right="0" w:firstLine="0"/>
        <w:jc w:val="left"/>
      </w:pPr>
      <w:bookmarkStart w:id="872" w:name="bookmark872"/>
      <w:bookmarkStart w:id="873" w:name="bookmark873"/>
      <w:bookmarkStart w:id="876" w:name="bookmark8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872"/>
      <w:bookmarkEnd w:id="873"/>
      <w:bookmarkEnd w:id="87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118"/>
        <w:gridCol w:w="739"/>
        <w:gridCol w:w="1104"/>
        <w:gridCol w:w="758"/>
        <w:gridCol w:w="1229"/>
        <w:gridCol w:w="706"/>
        <w:gridCol w:w="994"/>
        <w:gridCol w:w="931"/>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2002"/>
        <w:gridCol w:w="1118"/>
        <w:gridCol w:w="739"/>
        <w:gridCol w:w="1104"/>
        <w:gridCol w:w="758"/>
        <w:gridCol w:w="1229"/>
        <w:gridCol w:w="706"/>
        <w:gridCol w:w="994"/>
        <w:gridCol w:w="931"/>
      </w:tblGrid>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按账龄分析法计提 坏账准备的应收账款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68,329,886.10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1,244,898.20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61,912,305.35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864,726.58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内部及关联方应收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68,329,886.10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1,244,898.20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61,912,305.35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864,726.58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68,329,886.10</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1,244,898.20</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61,912,305.35</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864,726.58</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pStyle w:val="Style35"/>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单项金额重大并单项计提坏账准备的应收账款指单笔金额为</w:t>
      </w:r>
      <w:r>
        <w:rPr>
          <w:rFonts w:ascii="Times New Roman" w:eastAsia="Times New Roman" w:hAnsi="Times New Roman" w:cs="Times New Roman"/>
          <w:color w:val="000000"/>
          <w:spacing w:val="0"/>
          <w:w w:val="100"/>
          <w:position w:val="0"/>
        </w:rPr>
        <w:t>200</w:t>
      </w:r>
      <w:r>
        <w:rPr>
          <w:color w:val="000000"/>
          <w:spacing w:val="0"/>
          <w:w w:val="100"/>
          <w:position w:val="0"/>
        </w:rPr>
        <w:t>万元以上的客户应收账款，经减值测试后不存在减值， 公司按账龄计提坏账准备；按账龄分析法计提坏账准备的应收账款是指经减值测试后不存在减值，公司按账龄分析法计提坏 账准备；对关联方的应收账款，除有确定依据表明无法收回全额计提减值准备外，不确认坏账准备。</w:t>
      </w:r>
    </w:p>
    <w:p>
      <w:pPr>
        <w:pStyle w:val="Style35"/>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期末单项金额重大并单项计提坏账准备的应收账款</w:t>
      </w:r>
    </w:p>
    <w:p>
      <w:pPr>
        <w:pStyle w:val="Style3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20" w:line="317" w:lineRule="exact"/>
        <w:ind w:left="0" w:right="0" w:firstLine="0"/>
        <w:jc w:val="left"/>
      </w:pPr>
      <w:r>
        <w:rPr>
          <w:color w:val="000000"/>
          <w:spacing w:val="0"/>
          <w:w w:val="100"/>
          <w:position w:val="0"/>
        </w:rPr>
        <w:t>组合中，按账龄分析法计提坏账准备的应收账款</w:t>
      </w:r>
    </w:p>
    <w:p>
      <w:pPr>
        <w:pStyle w:val="Style3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69"/>
        <w:gridCol w:w="1594"/>
        <w:gridCol w:w="931"/>
        <w:gridCol w:w="1723"/>
        <w:gridCol w:w="1464"/>
        <w:gridCol w:w="926"/>
        <w:gridCol w:w="147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56,662,863.10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53,104,753.75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6-12</w:t>
            </w:r>
            <w:r>
              <w:rPr>
                <w:color w:val="000000"/>
                <w:spacing w:val="0"/>
                <w:w w:val="100"/>
                <w:position w:val="0"/>
              </w:rPr>
              <w:t>个月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2,442,866.00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122,143.30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3,024,855.60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151,242.78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59,105,729.10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122,143.30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56,129,609.35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151,242.78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7,181,529.00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718,152.90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4,770,944.00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477,094.40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1,790,600.00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268,590.00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690,980.00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103,647.00</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145,020.00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29,004.00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235,037.00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47,007.40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107,008.00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107,008.00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85,735.00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85,735.00</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68,329,886.10</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1,244,898.20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61,912,305.35</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864,726.58</w:t>
            </w:r>
          </w:p>
        </w:tc>
      </w:tr>
    </w:tbl>
    <w:p>
      <w:pPr>
        <w:widowControl w:val="0"/>
        <w:spacing w:after="7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r>
        <w:br w:type="page"/>
      </w:r>
    </w:p>
    <w:p>
      <w:pPr>
        <w:pStyle w:val="Style40"/>
        <w:keepNext/>
        <w:keepLines/>
        <w:widowControl w:val="0"/>
        <w:shd w:val="clear" w:color="auto" w:fill="auto"/>
        <w:bidi w:val="0"/>
        <w:spacing w:before="0" w:after="380" w:line="240" w:lineRule="auto"/>
        <w:ind w:left="0" w:right="0" w:firstLine="0"/>
        <w:jc w:val="left"/>
      </w:pPr>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(2</w:t>
      </w:r>
      <w:r>
        <w:rPr>
          <w:color w:val="000000"/>
          <w:spacing w:val="0"/>
          <w:w w:val="100"/>
          <w:position w:val="0"/>
        </w:rPr>
        <w:t>)本报告期实际核销的应收账款情况</w:t>
      </w:r>
      <w:bookmarkEnd w:id="877"/>
      <w:bookmarkEnd w:id="878"/>
      <w:bookmarkEnd w:id="87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是否因关联交易产</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580,000.00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57,540.00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477,989.60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1,386,529.60</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40"/>
        <w:keepNext/>
        <w:keepLines/>
        <w:widowControl w:val="0"/>
        <w:numPr>
          <w:ilvl w:val="0"/>
          <w:numId w:val="41"/>
        </w:numPr>
        <w:shd w:val="clear" w:color="auto" w:fill="auto"/>
        <w:bidi w:val="0"/>
        <w:spacing w:before="0" w:after="380" w:line="240" w:lineRule="auto"/>
        <w:ind w:left="0" w:right="0" w:firstLine="0"/>
        <w:jc w:val="left"/>
      </w:pPr>
      <w:bookmarkStart w:id="880" w:name="bookmark880"/>
      <w:bookmarkStart w:id="881" w:name="bookmark881"/>
      <w:bookmarkStart w:id="882" w:name="bookmark882"/>
      <w:bookmarkStart w:id="883" w:name="bookmark883"/>
      <w:bookmarkEnd w:id="882"/>
      <w:r>
        <w:rPr>
          <w:color w:val="000000"/>
          <w:spacing w:val="0"/>
          <w:w w:val="100"/>
          <w:position w:val="0"/>
        </w:rPr>
        <w:t>应收账款中金额前五名单位情况</w:t>
      </w:r>
      <w:bookmarkEnd w:id="880"/>
      <w:bookmarkEnd w:id="881"/>
      <w:bookmarkEnd w:id="88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2,930,000.00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2,908,000.00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2,545,300.00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2,465,400.00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15,348,700.00</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22.48%</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5</w:t>
      </w:r>
      <w:bookmarkEnd w:id="886"/>
      <w:r>
        <w:rPr>
          <w:color w:val="000000"/>
          <w:spacing w:val="0"/>
          <w:w w:val="100"/>
          <w:position w:val="0"/>
        </w:rPr>
        <w:t>、其他应收款</w:t>
      </w:r>
      <w:bookmarkEnd w:id="884"/>
      <w:bookmarkEnd w:id="885"/>
      <w:bookmarkEnd w:id="887"/>
    </w:p>
    <w:p>
      <w:pPr>
        <w:pStyle w:val="Style40"/>
        <w:keepNext/>
        <w:keepLines/>
        <w:widowControl w:val="0"/>
        <w:shd w:val="clear" w:color="auto" w:fill="auto"/>
        <w:bidi w:val="0"/>
        <w:spacing w:before="0" w:after="380" w:line="240" w:lineRule="auto"/>
        <w:ind w:left="0" w:right="0" w:firstLine="0"/>
        <w:jc w:val="left"/>
      </w:pPr>
      <w:bookmarkStart w:id="884" w:name="bookmark884"/>
      <w:bookmarkStart w:id="885" w:name="bookmark885"/>
      <w:bookmarkStart w:id="888" w:name="bookmark8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884"/>
      <w:bookmarkEnd w:id="885"/>
      <w:bookmarkEnd w:id="88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06"/>
        <w:gridCol w:w="1214"/>
        <w:gridCol w:w="710"/>
        <w:gridCol w:w="984"/>
        <w:gridCol w:w="792"/>
        <w:gridCol w:w="1200"/>
        <w:gridCol w:w="782"/>
        <w:gridCol w:w="1190"/>
        <w:gridCol w:w="80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103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按账龄分析法计 提坏账准备的其他应收 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11,721,596.25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900,397.68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9,283,088.38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1,606,082.29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w:t>
            </w:r>
          </w:p>
        </w:tc>
      </w:tr>
    </w:tbl>
    <w:p>
      <w:pPr>
        <w:widowControl w:val="0"/>
        <w:spacing w:line="1" w:lineRule="exact"/>
      </w:pPr>
      <w:r>
        <w:br w:type="page"/>
      </w:r>
    </w:p>
    <w:tbl>
      <w:tblPr>
        <w:tblOverlap w:val="never"/>
        <w:jc w:val="center"/>
        <w:tblLayout w:type="fixed"/>
      </w:tblPr>
      <w:tblGrid>
        <w:gridCol w:w="1906"/>
        <w:gridCol w:w="1214"/>
        <w:gridCol w:w="710"/>
        <w:gridCol w:w="984"/>
        <w:gridCol w:w="792"/>
        <w:gridCol w:w="1200"/>
        <w:gridCol w:w="782"/>
        <w:gridCol w:w="1190"/>
        <w:gridCol w:w="802"/>
      </w:tblGrid>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内部及关联方其 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3,853,641.47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3,689,376.07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15,575,237.72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900,397.68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12,972,464.45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1,606,082.29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12.38%</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15,575,237.72</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900,397.68</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12,972,464.45</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1,606,082.29</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p>
    <w:p>
      <w:pPr>
        <w:pStyle w:val="Style35"/>
        <w:keepNext w:val="0"/>
        <w:keepLines w:val="0"/>
        <w:widowControl w:val="0"/>
        <w:shd w:val="clear" w:color="auto" w:fill="auto"/>
        <w:bidi w:val="0"/>
        <w:spacing w:before="0" w:after="0" w:line="328" w:lineRule="exact"/>
        <w:ind w:left="0" w:right="0"/>
        <w:jc w:val="left"/>
      </w:pPr>
      <w:r>
        <w:rPr>
          <w:color w:val="000000"/>
          <w:spacing w:val="0"/>
          <w:w w:val="100"/>
          <w:position w:val="0"/>
        </w:rPr>
        <w:t>单项金额重大并单项计提坏账准备的其他应收款指单笔金额为</w:t>
      </w:r>
      <w:r>
        <w:rPr>
          <w:rFonts w:ascii="Times New Roman" w:eastAsia="Times New Roman" w:hAnsi="Times New Roman" w:cs="Times New Roman"/>
          <w:color w:val="000000"/>
          <w:spacing w:val="0"/>
          <w:w w:val="100"/>
          <w:position w:val="0"/>
        </w:rPr>
        <w:t>200</w:t>
      </w:r>
      <w:r>
        <w:rPr>
          <w:color w:val="000000"/>
          <w:spacing w:val="0"/>
          <w:w w:val="100"/>
          <w:position w:val="0"/>
        </w:rPr>
        <w:t>万元以上的客户其他应收款，经减值测试后不存在减 值，公司按账龄分析法计提坏账准备；按账龄分析法计提坏账准备的其他应收款是指经减值测试后不存在减值，公司按账龄 分析法计提坏账准备；对公司内部员工备用金或关联方借款，除有确定依据无法收回全额计提坏账准备外，不确认坏账准备。 期末单项金额重大并单项计提坏账准备的其他应收款</w:t>
      </w:r>
    </w:p>
    <w:p>
      <w:pPr>
        <w:pStyle w:val="Style35"/>
        <w:keepNext w:val="0"/>
        <w:keepLines w:val="0"/>
        <w:widowControl w:val="0"/>
        <w:shd w:val="clear" w:color="auto" w:fill="auto"/>
        <w:bidi w:val="0"/>
        <w:spacing w:before="0" w:after="120" w:line="36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组合中，采用账龄分析法计提坏账准备的其他应收款</w:t>
      </w:r>
    </w:p>
    <w:p>
      <w:pPr>
        <w:pStyle w:val="Style35"/>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843"/>
        <w:gridCol w:w="658"/>
        <w:gridCol w:w="1450"/>
        <w:gridCol w:w="1445"/>
        <w:gridCol w:w="658"/>
        <w:gridCol w:w="168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4,585,037.87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4,292,990.00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6-12</w:t>
            </w:r>
            <w:r>
              <w:rPr>
                <w:color w:val="000000"/>
                <w:spacing w:val="0"/>
                <w:w w:val="100"/>
                <w:position w:val="0"/>
              </w:rPr>
              <w:t>个月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309,016.60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15,450.83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3,004,433.00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150,221.65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4,894,054.47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15,450.83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7,297,423.00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150,221.65</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6,060,623.00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606,062.30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257,926.60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25,792.66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250,080.00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37,512.00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313,435.42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47,015.31</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344,332.78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68,866.55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39,063.36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7,812.67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172,506.00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172,506.00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1,375,240.00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1,375,240.00</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11,721,596.25</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900,397.68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9,283,088.38</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1,606,082.29</w:t>
            </w:r>
          </w:p>
        </w:tc>
      </w:tr>
    </w:tbl>
    <w:p>
      <w:pPr>
        <w:widowControl w:val="0"/>
        <w:spacing w:after="7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5"/>
        <w:keepNext w:val="0"/>
        <w:keepLines w:val="0"/>
        <w:widowControl w:val="0"/>
        <w:numPr>
          <w:ilvl w:val="0"/>
          <w:numId w:val="43"/>
        </w:numPr>
        <w:shd w:val="clear" w:color="auto" w:fill="auto"/>
        <w:tabs>
          <w:tab w:pos="282" w:val="left"/>
        </w:tabs>
        <w:bidi w:val="0"/>
        <w:spacing w:before="0" w:after="120" w:line="240" w:lineRule="auto"/>
        <w:ind w:left="0" w:right="0" w:firstLine="0"/>
        <w:jc w:val="left"/>
      </w:pPr>
      <w:bookmarkStart w:id="889" w:name="bookmark889"/>
      <w:bookmarkEnd w:id="88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35"/>
        <w:keepNext w:val="0"/>
        <w:keepLines w:val="0"/>
        <w:widowControl w:val="0"/>
        <w:numPr>
          <w:ilvl w:val="0"/>
          <w:numId w:val="43"/>
        </w:numPr>
        <w:shd w:val="clear" w:color="auto" w:fill="auto"/>
        <w:tabs>
          <w:tab w:pos="282" w:val="left"/>
        </w:tabs>
        <w:bidi w:val="0"/>
        <w:spacing w:before="0" w:after="380" w:line="240" w:lineRule="auto"/>
        <w:ind w:left="0" w:right="0" w:firstLine="0"/>
        <w:jc w:val="left"/>
      </w:pPr>
      <w:bookmarkStart w:id="890" w:name="bookmark890"/>
      <w:bookmarkEnd w:id="89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40"/>
        <w:keepNext/>
        <w:keepLines/>
        <w:widowControl w:val="0"/>
        <w:shd w:val="clear" w:color="auto" w:fill="auto"/>
        <w:bidi w:val="0"/>
        <w:spacing w:before="0" w:after="380" w:line="240" w:lineRule="auto"/>
        <w:ind w:left="0" w:right="0" w:firstLine="0"/>
        <w:jc w:val="left"/>
      </w:pPr>
      <w:bookmarkStart w:id="891" w:name="bookmark891"/>
      <w:bookmarkStart w:id="892" w:name="bookmark892"/>
      <w:bookmarkStart w:id="893" w:name="bookmark8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)金额较大的其他应收款的性质或内容</w:t>
      </w:r>
      <w:bookmarkEnd w:id="891"/>
      <w:bookmarkEnd w:id="892"/>
      <w:bookmarkEnd w:id="893"/>
    </w:p>
    <w:p>
      <w:pPr>
        <w:pStyle w:val="Style3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95"/>
        <w:gridCol w:w="2390"/>
        <w:gridCol w:w="1915"/>
        <w:gridCol w:w="288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款项的性质或内容</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2,725,000.00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2,177,040.00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13.98%</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1,452,000.00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6,354,040.00</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w:t>
            </w:r>
          </w:p>
        </w:tc>
      </w:tr>
    </w:tbl>
    <w:p>
      <w:pPr>
        <w:widowControl w:val="0"/>
        <w:spacing w:after="99" w:line="1" w:lineRule="exact"/>
      </w:pPr>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3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本公司金额较大的其他应收款主要为履约保证金。</w:t>
      </w:r>
    </w:p>
    <w:p>
      <w:pPr>
        <w:pStyle w:val="Style40"/>
        <w:keepNext/>
        <w:keepLines/>
        <w:widowControl w:val="0"/>
        <w:shd w:val="clear" w:color="auto" w:fill="auto"/>
        <w:bidi w:val="0"/>
        <w:spacing w:before="0" w:after="34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w:t>
      </w:r>
      <w:bookmarkEnd w:id="896"/>
      <w:r>
        <w:rPr>
          <w:rFonts w:ascii="Times New Roman" w:eastAsia="Times New Roman" w:hAnsi="Times New Roman" w:cs="Times New Roman"/>
          <w:color w:val="000000"/>
          <w:spacing w:val="0"/>
          <w:w w:val="100"/>
          <w:position w:val="0"/>
        </w:rPr>
        <w:t>3</w:t>
      </w:r>
      <w:r>
        <w:rPr>
          <w:color w:val="000000"/>
          <w:spacing w:val="0"/>
          <w:w w:val="100"/>
          <w:position w:val="0"/>
        </w:rPr>
        <w:t>）其他应收款金额前五名单位情况</w:t>
      </w:r>
      <w:bookmarkEnd w:id="894"/>
      <w:bookmarkEnd w:id="895"/>
      <w:bookmarkEnd w:id="89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2,725,000.00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17.5%</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2,177,040.00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13.98%</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1,452,000.00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9.32%</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449,150.00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2.88%</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1.91%</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7,101,190.00</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45.59%</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6</w:t>
      </w:r>
      <w:bookmarkEnd w:id="900"/>
      <w:r>
        <w:rPr>
          <w:color w:val="000000"/>
          <w:spacing w:val="0"/>
          <w:w w:val="100"/>
          <w:position w:val="0"/>
        </w:rPr>
        <w:t>、预付款项</w:t>
      </w:r>
      <w:bookmarkEnd w:id="898"/>
      <w:bookmarkEnd w:id="899"/>
      <w:bookmarkEnd w:id="901"/>
    </w:p>
    <w:p>
      <w:pPr>
        <w:pStyle w:val="Style40"/>
        <w:keepNext/>
        <w:keepLines/>
        <w:widowControl w:val="0"/>
        <w:shd w:val="clear" w:color="auto" w:fill="auto"/>
        <w:bidi w:val="0"/>
        <w:spacing w:before="0" w:after="340" w:line="240" w:lineRule="auto"/>
        <w:ind w:left="0" w:right="0" w:firstLine="0"/>
        <w:jc w:val="left"/>
      </w:pPr>
      <w:bookmarkStart w:id="898" w:name="bookmark898"/>
      <w:bookmarkStart w:id="899" w:name="bookmark899"/>
      <w:bookmarkStart w:id="902" w:name="bookmark9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898"/>
      <w:bookmarkEnd w:id="899"/>
      <w:bookmarkEnd w:id="90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3187"/>
        <w:gridCol w:w="1061"/>
        <w:gridCol w:w="3058"/>
        <w:gridCol w:w="107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3,244,898.89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87.87%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823,418.73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56.03%</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10,559.76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337,189.00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22.94%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308,742.80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245,120.10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16.68%</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3,692,601.45</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1,469,727.83</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预付款项账龄的说明</w:t>
      </w:r>
    </w:p>
    <w:p>
      <w:pPr>
        <w:widowControl w:val="0"/>
        <w:spacing w:after="99" w:line="1" w:lineRule="exact"/>
      </w:pPr>
    </w:p>
    <w:p>
      <w:pPr>
        <w:pStyle w:val="Style35"/>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账龄超过一年的预付款项系未结算的购货尾款。</w:t>
      </w:r>
    </w:p>
    <w:p>
      <w:pPr>
        <w:pStyle w:val="Style40"/>
        <w:keepNext/>
        <w:keepLines/>
        <w:widowControl w:val="0"/>
        <w:shd w:val="clear" w:color="auto" w:fill="auto"/>
        <w:bidi w:val="0"/>
        <w:spacing w:before="0" w:after="400" w:line="240" w:lineRule="auto"/>
        <w:ind w:left="0" w:right="0" w:firstLine="0"/>
        <w:jc w:val="left"/>
      </w:pPr>
      <w:bookmarkStart w:id="903" w:name="bookmark903"/>
      <w:bookmarkStart w:id="904" w:name="bookmark904"/>
      <w:bookmarkStart w:id="905" w:name="bookmark9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903"/>
      <w:bookmarkEnd w:id="904"/>
      <w:bookmarkEnd w:id="905"/>
    </w:p>
    <w:p>
      <w:pPr>
        <w:pStyle w:val="Style35"/>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424,990.00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384,600.00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6-12</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216,340.33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2,125,930.33</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预付款项主要单位的说明</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期末预付款项中无持本公司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）表决权股份的股东单位欠款。</w:t>
      </w:r>
    </w:p>
    <w:p>
      <w:pPr>
        <w:pStyle w:val="Style40"/>
        <w:keepNext/>
        <w:keepLines/>
        <w:widowControl w:val="0"/>
        <w:shd w:val="clear" w:color="auto" w:fill="auto"/>
        <w:bidi w:val="0"/>
        <w:spacing w:before="0" w:after="360" w:line="24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7</w:t>
      </w:r>
      <w:bookmarkEnd w:id="908"/>
      <w:r>
        <w:rPr>
          <w:color w:val="000000"/>
          <w:spacing w:val="0"/>
          <w:w w:val="100"/>
          <w:position w:val="0"/>
        </w:rPr>
        <w:t>、存货</w:t>
      </w:r>
      <w:bookmarkEnd w:id="906"/>
      <w:bookmarkEnd w:id="907"/>
      <w:bookmarkEnd w:id="909"/>
    </w:p>
    <w:p>
      <w:pPr>
        <w:pStyle w:val="Style40"/>
        <w:keepNext/>
        <w:keepLines/>
        <w:widowControl w:val="0"/>
        <w:shd w:val="clear" w:color="auto" w:fill="auto"/>
        <w:bidi w:val="0"/>
        <w:spacing w:before="0" w:after="360" w:line="240" w:lineRule="auto"/>
        <w:ind w:left="0" w:right="0" w:firstLine="0"/>
        <w:jc w:val="left"/>
      </w:pPr>
      <w:bookmarkStart w:id="906" w:name="bookmark906"/>
      <w:bookmarkStart w:id="907" w:name="bookmark907"/>
      <w:bookmarkStart w:id="910" w:name="bookmark9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906"/>
      <w:bookmarkEnd w:id="907"/>
      <w:bookmarkEnd w:id="91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459"/>
        <w:gridCol w:w="1195"/>
        <w:gridCol w:w="1325"/>
        <w:gridCol w:w="1330"/>
        <w:gridCol w:w="1330"/>
        <w:gridCol w:w="1339"/>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1,210,750.04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1,210,750.04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519,813.04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519,813.04</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1,210,750.04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1,210,750.04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519,813.04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519,813.04</w:t>
            </w:r>
          </w:p>
        </w:tc>
      </w:tr>
    </w:tbl>
    <w:p>
      <w:pPr>
        <w:widowControl w:val="0"/>
        <w:spacing w:after="279" w:line="1" w:lineRule="exact"/>
      </w:pPr>
    </w:p>
    <w:p>
      <w:pPr>
        <w:pStyle w:val="Style40"/>
        <w:keepNext/>
        <w:keepLines/>
        <w:widowControl w:val="0"/>
        <w:shd w:val="clear" w:color="auto" w:fill="auto"/>
        <w:bidi w:val="0"/>
        <w:spacing w:before="0" w:after="360" w:line="240"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8</w:t>
      </w:r>
      <w:bookmarkEnd w:id="913"/>
      <w:r>
        <w:rPr>
          <w:color w:val="000000"/>
          <w:spacing w:val="0"/>
          <w:w w:val="100"/>
          <w:position w:val="0"/>
        </w:rPr>
        <w:t>、持有至到期投资</w:t>
      </w:r>
      <w:bookmarkEnd w:id="911"/>
      <w:bookmarkEnd w:id="912"/>
      <w:bookmarkEnd w:id="914"/>
    </w:p>
    <w:p>
      <w:pPr>
        <w:pStyle w:val="Style40"/>
        <w:keepNext/>
        <w:keepLines/>
        <w:widowControl w:val="0"/>
        <w:shd w:val="clear" w:color="auto" w:fill="auto"/>
        <w:bidi w:val="0"/>
        <w:spacing w:before="0" w:after="360" w:line="240" w:lineRule="auto"/>
        <w:ind w:left="0" w:right="0" w:firstLine="0"/>
        <w:jc w:val="left"/>
      </w:pPr>
      <w:bookmarkStart w:id="911" w:name="bookmark911"/>
      <w:bookmarkStart w:id="912" w:name="bookmark912"/>
      <w:bookmarkStart w:id="915" w:name="bookmark9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911"/>
      <w:bookmarkEnd w:id="912"/>
      <w:bookmarkEnd w:id="91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w:t>
            </w:r>
            <w:r>
              <w:rPr>
                <w:rFonts w:ascii="Times New Roman" w:eastAsia="Times New Roman" w:hAnsi="Times New Roman" w:cs="Times New Roman"/>
                <w:color w:val="000000"/>
                <w:spacing w:val="0"/>
                <w:w w:val="100"/>
                <w:position w:val="0"/>
              </w:rPr>
              <w:t>-</w:t>
            </w:r>
            <w:r>
              <w:rPr>
                <w:color w:val="000000"/>
                <w:spacing w:val="0"/>
                <w:w w:val="100"/>
                <w:position w:val="0"/>
              </w:rPr>
              <w:t>济南小清河财产权信托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30,824,383.56</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w:t>
            </w:r>
            <w:r>
              <w:rPr>
                <w:rFonts w:ascii="Times New Roman" w:eastAsia="Times New Roman" w:hAnsi="Times New Roman" w:cs="Times New Roman"/>
                <w:color w:val="000000"/>
                <w:spacing w:val="0"/>
                <w:w w:val="100"/>
                <w:position w:val="0"/>
              </w:rPr>
              <w:t>-</w:t>
            </w:r>
            <w:r>
              <w:rPr>
                <w:color w:val="000000"/>
                <w:spacing w:val="0"/>
                <w:w w:val="100"/>
                <w:position w:val="0"/>
              </w:rPr>
              <w:t>华夏孔雀城五期集合资金信托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71,795,068.49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71,795,068.49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30,824,383.56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持有至到期投资的说明</w:t>
      </w:r>
    </w:p>
    <w:p>
      <w:pPr>
        <w:pStyle w:val="Style35"/>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日，中融</w:t>
      </w:r>
      <w:r>
        <w:rPr>
          <w:rFonts w:ascii="Times New Roman" w:eastAsia="Times New Roman" w:hAnsi="Times New Roman" w:cs="Times New Roman"/>
          <w:color w:val="000000"/>
          <w:spacing w:val="0"/>
          <w:w w:val="100"/>
          <w:position w:val="0"/>
        </w:rPr>
        <w:t>-</w:t>
      </w:r>
      <w:r>
        <w:rPr>
          <w:color w:val="000000"/>
          <w:spacing w:val="0"/>
          <w:w w:val="100"/>
          <w:position w:val="0"/>
        </w:rPr>
        <w:t>济南小清河财产权信托项下信托受益权到期连本带息收回</w:t>
      </w:r>
      <w:r>
        <w:rPr>
          <w:rFonts w:ascii="Times New Roman" w:eastAsia="Times New Roman" w:hAnsi="Times New Roman" w:cs="Times New Roman"/>
          <w:color w:val="000000"/>
          <w:spacing w:val="0"/>
          <w:w w:val="100"/>
          <w:position w:val="0"/>
        </w:rPr>
        <w:t>32,054,264.27</w:t>
      </w:r>
      <w:r>
        <w:rPr>
          <w:color w:val="000000"/>
          <w:spacing w:val="0"/>
          <w:w w:val="100"/>
          <w:position w:val="0"/>
        </w:rPr>
        <w:t xml:space="preserve">元，其中信托理财收益为 </w:t>
      </w:r>
      <w:r>
        <w:rPr>
          <w:rFonts w:ascii="Times New Roman" w:eastAsia="Times New Roman" w:hAnsi="Times New Roman" w:cs="Times New Roman"/>
          <w:color w:val="000000"/>
          <w:spacing w:val="0"/>
          <w:w w:val="100"/>
          <w:position w:val="0"/>
        </w:rPr>
        <w:t>2,054,264.27</w:t>
      </w:r>
      <w:r>
        <w:rPr>
          <w:color w:val="000000"/>
          <w:spacing w:val="0"/>
          <w:w w:val="100"/>
          <w:position w:val="0"/>
        </w:rPr>
        <w:t>元；</w:t>
      </w:r>
    </w:p>
    <w:p>
      <w:pPr>
        <w:pStyle w:val="Style35"/>
        <w:keepNext w:val="0"/>
        <w:keepLines w:val="0"/>
        <w:widowControl w:val="0"/>
        <w:shd w:val="clear" w:color="auto" w:fill="auto"/>
        <w:bidi w:val="0"/>
        <w:spacing w:before="0" w:after="360" w:line="317"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日，公司认购中融</w:t>
      </w:r>
      <w:r>
        <w:rPr>
          <w:rFonts w:ascii="Times New Roman" w:eastAsia="Times New Roman" w:hAnsi="Times New Roman" w:cs="Times New Roman"/>
          <w:color w:val="000000"/>
          <w:spacing w:val="0"/>
          <w:w w:val="100"/>
          <w:position w:val="0"/>
        </w:rPr>
        <w:t>-</w:t>
      </w:r>
      <w:r>
        <w:rPr>
          <w:color w:val="000000"/>
          <w:spacing w:val="0"/>
          <w:w w:val="100"/>
          <w:position w:val="0"/>
        </w:rPr>
        <w:t>华夏孔雀城五期集合资金信托计划</w:t>
      </w:r>
      <w:r>
        <w:rPr>
          <w:rFonts w:ascii="Times New Roman" w:eastAsia="Times New Roman" w:hAnsi="Times New Roman" w:cs="Times New Roman"/>
          <w:color w:val="000000"/>
          <w:spacing w:val="0"/>
          <w:w w:val="100"/>
          <w:position w:val="0"/>
        </w:rPr>
        <w:t>7000</w:t>
      </w:r>
      <w:r>
        <w:rPr>
          <w:color w:val="000000"/>
          <w:spacing w:val="0"/>
          <w:w w:val="100"/>
          <w:position w:val="0"/>
        </w:rPr>
        <w:t>万份，认购金额为人民币</w:t>
      </w:r>
      <w:r>
        <w:rPr>
          <w:rFonts w:ascii="Times New Roman" w:eastAsia="Times New Roman" w:hAnsi="Times New Roman" w:cs="Times New Roman"/>
          <w:color w:val="000000"/>
          <w:spacing w:val="0"/>
          <w:w w:val="100"/>
          <w:position w:val="0"/>
        </w:rPr>
        <w:t>7000</w:t>
      </w:r>
      <w:r>
        <w:rPr>
          <w:color w:val="000000"/>
          <w:spacing w:val="0"/>
          <w:w w:val="100"/>
          <w:position w:val="0"/>
        </w:rPr>
        <w:t xml:space="preserve">万元，持有期间为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日，年化预期收益率为</w:t>
      </w:r>
      <w:r>
        <w:rPr>
          <w:rFonts w:ascii="Times New Roman" w:eastAsia="Times New Roman" w:hAnsi="Times New Roman" w:cs="Times New Roman"/>
          <w:color w:val="000000"/>
          <w:spacing w:val="0"/>
          <w:w w:val="100"/>
          <w:position w:val="0"/>
        </w:rPr>
        <w:t>9%</w:t>
      </w:r>
      <w:r>
        <w:rPr>
          <w:color w:val="000000"/>
          <w:spacing w:val="0"/>
          <w:w w:val="100"/>
          <w:position w:val="0"/>
        </w:rPr>
        <w:t>；本信托产品担保方为廊坊京御房地产开发有限公司和华夏幸福基 业股份有限公司。</w:t>
      </w:r>
    </w:p>
    <w:p>
      <w:pPr>
        <w:pStyle w:val="Style40"/>
        <w:keepNext/>
        <w:keepLines/>
        <w:widowControl w:val="0"/>
        <w:shd w:val="clear" w:color="auto" w:fill="auto"/>
        <w:bidi w:val="0"/>
        <w:spacing w:before="0" w:after="28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9</w:t>
      </w:r>
      <w:bookmarkEnd w:id="918"/>
      <w:r>
        <w:rPr>
          <w:color w:val="000000"/>
          <w:spacing w:val="0"/>
          <w:w w:val="100"/>
          <w:position w:val="0"/>
        </w:rPr>
        <w:t>、对合营企业投资和联营企业投资</w:t>
      </w:r>
      <w:bookmarkEnd w:id="916"/>
      <w:bookmarkEnd w:id="917"/>
      <w:bookmarkEnd w:id="919"/>
    </w:p>
    <w:p>
      <w:pPr>
        <w:pStyle w:val="Style35"/>
        <w:keepNext w:val="0"/>
        <w:keepLines w:val="0"/>
        <w:widowControl w:val="0"/>
        <w:shd w:val="clear" w:color="auto" w:fill="auto"/>
        <w:bidi w:val="0"/>
        <w:spacing w:before="0" w:after="360" w:line="317" w:lineRule="exact"/>
        <w:ind w:left="0" w:right="0" w:firstLine="0"/>
        <w:jc w:val="right"/>
      </w:pPr>
      <w:r>
        <w:rPr>
          <w:color w:val="000000"/>
          <w:spacing w:val="0"/>
          <w:w w:val="100"/>
          <w:position w:val="0"/>
        </w:rPr>
        <w:t>单位：元</w:t>
      </w:r>
      <w:r>
        <w:br w:type="page"/>
      </w:r>
    </w:p>
    <w:tbl>
      <w:tblPr>
        <w:tblOverlap w:val="never"/>
        <w:jc w:val="center"/>
        <w:tblLayout w:type="fixed"/>
      </w:tblPr>
      <w:tblGrid>
        <w:gridCol w:w="1421"/>
        <w:gridCol w:w="974"/>
        <w:gridCol w:w="1195"/>
        <w:gridCol w:w="1195"/>
        <w:gridCol w:w="1195"/>
        <w:gridCol w:w="1195"/>
        <w:gridCol w:w="1200"/>
        <w:gridCol w:w="1205"/>
      </w:tblGrid>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本企业持股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本企业在被投 资单位表决权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期末资产总额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期末负债总额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本期净利润</w:t>
            </w:r>
          </w:p>
        </w:tc>
      </w:tr>
      <w:tr>
        <w:trPr>
          <w:trHeight w:val="403" w:hRule="exact"/>
        </w:trPr>
        <w:tc>
          <w:tcPr>
            <w:gridSpan w:val="8"/>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8"/>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深圳市拜特科技 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84,409,869.32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41,691,076.71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42,718,792.61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64,136,732.51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1,519,809.08</w:t>
            </w:r>
          </w:p>
        </w:tc>
      </w:tr>
      <w:tr>
        <w:trPr>
          <w:trHeight w:val="72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广东同望科技股 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144,523,680.25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36,957,211.48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107,566,468.77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77,251,061.51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2,573,919.66</w:t>
            </w:r>
          </w:p>
        </w:tc>
      </w:tr>
    </w:tbl>
    <w:p>
      <w:pPr>
        <w:pStyle w:val="Style35"/>
        <w:keepNext w:val="0"/>
        <w:keepLines w:val="0"/>
        <w:widowControl w:val="0"/>
        <w:shd w:val="clear" w:color="auto" w:fill="auto"/>
        <w:bidi w:val="0"/>
        <w:spacing w:before="0" w:after="340" w:line="360" w:lineRule="exact"/>
        <w:ind w:left="0" w:right="0" w:firstLine="0"/>
        <w:jc w:val="left"/>
      </w:pPr>
      <w:r>
        <w:rPr>
          <w:color w:val="000000"/>
          <w:spacing w:val="0"/>
          <w:w w:val="100"/>
          <w:position w:val="0"/>
        </w:rPr>
        <w:t>合营企业、联营企业的重要会计政策、会计估计与公司的会计政策、会计估计存在重大差异的说明 无</w:t>
      </w:r>
    </w:p>
    <w:p>
      <w:pPr>
        <w:pStyle w:val="Style40"/>
        <w:keepNext/>
        <w:keepLines/>
        <w:widowControl w:val="0"/>
        <w:shd w:val="clear" w:color="auto" w:fill="auto"/>
        <w:bidi w:val="0"/>
        <w:spacing w:before="0" w:after="340" w:line="240" w:lineRule="auto"/>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1</w:t>
      </w:r>
      <w:bookmarkEnd w:id="922"/>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920"/>
      <w:bookmarkEnd w:id="921"/>
      <w:bookmarkEnd w:id="923"/>
    </w:p>
    <w:p>
      <w:pPr>
        <w:pStyle w:val="Style40"/>
        <w:keepNext/>
        <w:keepLines/>
        <w:widowControl w:val="0"/>
        <w:shd w:val="clear" w:color="auto" w:fill="auto"/>
        <w:bidi w:val="0"/>
        <w:spacing w:before="0" w:after="340" w:line="240" w:lineRule="auto"/>
        <w:ind w:left="0" w:right="0" w:firstLine="0"/>
        <w:jc w:val="left"/>
      </w:pPr>
      <w:bookmarkStart w:id="920" w:name="bookmark920"/>
      <w:bookmarkStart w:id="921" w:name="bookmark921"/>
      <w:bookmarkStart w:id="924" w:name="bookmark9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920"/>
      <w:bookmarkEnd w:id="921"/>
      <w:bookmarkEnd w:id="92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97"/>
        <w:gridCol w:w="797"/>
        <w:gridCol w:w="797"/>
        <w:gridCol w:w="802"/>
        <w:gridCol w:w="797"/>
        <w:gridCol w:w="797"/>
        <w:gridCol w:w="797"/>
        <w:gridCol w:w="802"/>
        <w:gridCol w:w="797"/>
        <w:gridCol w:w="797"/>
        <w:gridCol w:w="797"/>
        <w:gridCol w:w="811"/>
      </w:tblGrid>
      <w:tr>
        <w:trPr>
          <w:trHeight w:val="196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增减变动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317" w:lineRule="exact"/>
              <w:ind w:left="0" w:right="0" w:firstLine="0"/>
              <w:jc w:val="center"/>
            </w:pPr>
            <w:r>
              <w:rPr>
                <w:color w:val="000000"/>
                <w:spacing w:val="0"/>
                <w:w w:val="100"/>
                <w:position w:val="0"/>
              </w:rPr>
              <w:t>在被投资 单位表决 权比例</w:t>
            </w:r>
          </w:p>
          <w:p>
            <w:pPr>
              <w:pStyle w:val="Style27"/>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本期计提 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深圳市拜 特科技股 份有限公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21,000,00</w:t>
            </w:r>
          </w:p>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21,085,20</w:t>
            </w:r>
          </w:p>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-1,728,66</w:t>
            </w:r>
          </w:p>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19,356,54</w:t>
            </w:r>
          </w:p>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广东同望 科技股份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49,950,00</w:t>
            </w:r>
          </w:p>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52,007,17</w:t>
            </w:r>
          </w:p>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-58,008.9</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51,949,16</w:t>
            </w:r>
          </w:p>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70,950,00</w:t>
            </w:r>
          </w:p>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73,092,38</w:t>
            </w:r>
          </w:p>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-1,786,67</w:t>
            </w:r>
          </w:p>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6.19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71,305,70</w:t>
            </w:r>
          </w:p>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6.12</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1</w:t>
      </w:r>
      <w:bookmarkEnd w:id="927"/>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925"/>
      <w:bookmarkEnd w:id="926"/>
      <w:bookmarkEnd w:id="928"/>
    </w:p>
    <w:p>
      <w:pPr>
        <w:pStyle w:val="Style40"/>
        <w:keepNext/>
        <w:keepLines/>
        <w:widowControl w:val="0"/>
        <w:shd w:val="clear" w:color="auto" w:fill="auto"/>
        <w:bidi w:val="0"/>
        <w:spacing w:before="0" w:after="340" w:line="240" w:lineRule="auto"/>
        <w:ind w:left="0" w:right="0" w:firstLine="0"/>
        <w:jc w:val="left"/>
      </w:pPr>
      <w:bookmarkStart w:id="925" w:name="bookmark925"/>
      <w:bookmarkStart w:id="926" w:name="bookmark926"/>
      <w:bookmarkStart w:id="929" w:name="bookmark9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925"/>
      <w:bookmarkEnd w:id="926"/>
      <w:bookmarkEnd w:id="92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459"/>
        <w:gridCol w:w="2923"/>
        <w:gridCol w:w="1594"/>
        <w:gridCol w:w="147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193,644,279.57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3,117,577.76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11,340,431.63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185,421,425.70</w:t>
            </w:r>
          </w:p>
        </w:tc>
      </w:tr>
    </w:tbl>
    <w:p>
      <w:pPr>
        <w:widowControl w:val="0"/>
        <w:spacing w:line="1" w:lineRule="exact"/>
      </w:pPr>
      <w:r>
        <w:br w:type="page"/>
      </w:r>
    </w:p>
    <w:tbl>
      <w:tblPr>
        <w:tblOverlap w:val="never"/>
        <w:jc w:val="center"/>
        <w:tblLayout w:type="fixed"/>
      </w:tblPr>
      <w:tblGrid>
        <w:gridCol w:w="2131"/>
        <w:gridCol w:w="1459"/>
        <w:gridCol w:w="1330"/>
        <w:gridCol w:w="1594"/>
        <w:gridCol w:w="1594"/>
        <w:gridCol w:w="1474"/>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147,404,405.74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21,594.40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147,382,811.34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34,344,806.04</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3,117,577.76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10,499,397.23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26,962,986.57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11,895,067.79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819,440.00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11,075,627.79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38,851,725.59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9,764,326.99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9,850,431.29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38,765,621.29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14,685,944.28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3,398,341.40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18,084,285.68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17,786,168.27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5,350,653.70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9,684,505.58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13,452,316.39</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6,379,613.04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1,015,331.89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165,925.71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7,229,019.22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154,792,553.98</w:t>
            </w:r>
          </w:p>
        </w:tc>
        <w:tc>
          <w:tcPr>
            <w:gridSpan w:val="3"/>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146,655,804.41</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132,718,461.46</w:t>
            </w:r>
          </w:p>
        </w:tc>
        <w:tc>
          <w:tcPr>
            <w:gridSpan w:val="3"/>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129,298,525.66</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16,558,637.77</w:t>
            </w:r>
          </w:p>
        </w:tc>
        <w:tc>
          <w:tcPr>
            <w:gridSpan w:val="3"/>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13,510,670.18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5,515,454.75</w:t>
            </w:r>
          </w:p>
        </w:tc>
        <w:tc>
          <w:tcPr>
            <w:gridSpan w:val="3"/>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3,846,608.57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四、固定资产账面价值合计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154,792,553.98</w:t>
            </w:r>
          </w:p>
        </w:tc>
        <w:tc>
          <w:tcPr>
            <w:gridSpan w:val="3"/>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146,655,804.41</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132,718,461.46</w:t>
            </w:r>
          </w:p>
        </w:tc>
        <w:tc>
          <w:tcPr>
            <w:gridSpan w:val="3"/>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129,298,525.66</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16,558,637.77</w:t>
            </w:r>
          </w:p>
        </w:tc>
        <w:tc>
          <w:tcPr>
            <w:gridSpan w:val="3"/>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13,510,670.18</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5,515,454.75</w:t>
            </w:r>
          </w:p>
        </w:tc>
        <w:tc>
          <w:tcPr>
            <w:gridSpan w:val="3"/>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3,846,608.57</w:t>
            </w:r>
          </w:p>
        </w:tc>
      </w:tr>
    </w:tbl>
    <w:p>
      <w:pPr>
        <w:widowControl w:val="0"/>
        <w:spacing w:after="59" w:line="1" w:lineRule="exact"/>
      </w:pPr>
    </w:p>
    <w:p>
      <w:pPr>
        <w:pStyle w:val="Style3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本期折旧额</w:t>
      </w:r>
      <w:r>
        <w:rPr>
          <w:rFonts w:ascii="Times New Roman" w:eastAsia="Times New Roman" w:hAnsi="Times New Roman" w:cs="Times New Roman"/>
          <w:color w:val="000000"/>
          <w:spacing w:val="0"/>
          <w:w w:val="100"/>
          <w:position w:val="0"/>
        </w:rPr>
        <w:t>9,764,326.99</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40"/>
        <w:keepNext/>
        <w:keepLines/>
        <w:widowControl w:val="0"/>
        <w:shd w:val="clear" w:color="auto" w:fill="auto"/>
        <w:bidi w:val="0"/>
        <w:spacing w:before="0" w:after="360" w:line="240" w:lineRule="auto"/>
        <w:ind w:left="0" w:right="0" w:firstLine="0"/>
        <w:jc w:val="both"/>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1</w:t>
      </w:r>
      <w:bookmarkEnd w:id="932"/>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930"/>
      <w:bookmarkEnd w:id="931"/>
      <w:bookmarkEnd w:id="933"/>
    </w:p>
    <w:p>
      <w:pPr>
        <w:pStyle w:val="Style40"/>
        <w:keepNext/>
        <w:keepLines/>
        <w:widowControl w:val="0"/>
        <w:shd w:val="clear" w:color="auto" w:fill="auto"/>
        <w:bidi w:val="0"/>
        <w:spacing w:before="0" w:after="360" w:line="240" w:lineRule="auto"/>
        <w:ind w:left="0" w:right="0" w:firstLine="0"/>
        <w:jc w:val="both"/>
      </w:pPr>
      <w:bookmarkStart w:id="930" w:name="bookmark930"/>
      <w:bookmarkStart w:id="931" w:name="bookmark931"/>
      <w:bookmarkStart w:id="934" w:name="bookmark934"/>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930"/>
      <w:bookmarkEnd w:id="931"/>
      <w:bookmarkEnd w:id="93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200"/>
        <w:gridCol w:w="1195"/>
        <w:gridCol w:w="1190"/>
        <w:gridCol w:w="1195"/>
        <w:gridCol w:w="1195"/>
        <w:gridCol w:w="1339"/>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分部房屋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1,871,701.00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1,871,701.00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1,871,701.00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1,871,701.00</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1,871,701.00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1,871,701.00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1,871,701.00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1,871,701.00</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both"/>
      </w:pPr>
      <w:bookmarkStart w:id="935" w:name="bookmark935"/>
      <w:bookmarkStart w:id="936" w:name="bookmark936"/>
      <w:bookmarkStart w:id="937" w:name="bookmark9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）在建工程的说明</w:t>
      </w:r>
      <w:bookmarkEnd w:id="935"/>
      <w:bookmarkEnd w:id="936"/>
      <w:bookmarkEnd w:id="937"/>
    </w:p>
    <w:p>
      <w:pPr>
        <w:pStyle w:val="Style35"/>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日，公司在贵州、呼和浩特购入的办公用房（期房）仍未达到交付使用的条件。</w:t>
      </w:r>
    </w:p>
    <w:p>
      <w:pPr>
        <w:pStyle w:val="Style40"/>
        <w:keepNext/>
        <w:keepLines/>
        <w:widowControl w:val="0"/>
        <w:shd w:val="clear" w:color="auto" w:fill="auto"/>
        <w:bidi w:val="0"/>
        <w:spacing w:before="0" w:after="360" w:line="240" w:lineRule="auto"/>
        <w:ind w:left="0" w:right="0" w:firstLine="0"/>
        <w:jc w:val="both"/>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1</w:t>
      </w:r>
      <w:bookmarkEnd w:id="940"/>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938"/>
      <w:bookmarkEnd w:id="939"/>
      <w:bookmarkEnd w:id="941"/>
    </w:p>
    <w:p>
      <w:pPr>
        <w:pStyle w:val="Style40"/>
        <w:keepNext/>
        <w:keepLines/>
        <w:widowControl w:val="0"/>
        <w:shd w:val="clear" w:color="auto" w:fill="auto"/>
        <w:bidi w:val="0"/>
        <w:spacing w:before="0" w:after="360" w:line="240" w:lineRule="auto"/>
        <w:ind w:left="0" w:right="0" w:firstLine="0"/>
        <w:jc w:val="both"/>
      </w:pPr>
      <w:bookmarkStart w:id="938" w:name="bookmark938"/>
      <w:bookmarkStart w:id="939" w:name="bookmark939"/>
      <w:bookmarkStart w:id="942" w:name="bookmark9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938"/>
      <w:bookmarkEnd w:id="939"/>
      <w:bookmarkEnd w:id="942"/>
    </w:p>
    <w:p>
      <w:pPr>
        <w:pStyle w:val="Style3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198"/>
        <w:gridCol w:w="1843"/>
        <w:gridCol w:w="1843"/>
        <w:gridCol w:w="1843"/>
        <w:gridCol w:w="185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期初账面余额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57,645,873.85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26,727,324.79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84,373,198.64</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12,348,668.59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12,585,268.59</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41,886,979.26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26,490,724.79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68,377,704.05</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3,410,226.00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3,410,226.00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17,826,366.06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6,289,409.19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24,115,775.25</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8,745,334.77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482,860.99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9,228,195.76</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8,645,683.29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5,733,990.20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14,379,673.49</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435,348.00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507,906.00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39,819,507.79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20,437,915.60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60,257,423.39</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3,603,333.82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3,357,072.83</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33,241,295.97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53,998,030.56</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2,974,878.00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2,902,320.00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四、无形资产账面价值合计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39,819,507.79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20,437,915.60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60,257,423.39</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3,603,333.82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3,357,072.83</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33,241,295.97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53,998,030.56</w:t>
            </w:r>
          </w:p>
        </w:tc>
      </w:tr>
      <w:tr>
        <w:trPr>
          <w:trHeight w:val="40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2,974,878.00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2,902,320.00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rPr>
        <w:t>6,289,409.19</w:t>
      </w:r>
      <w:r>
        <w:rPr>
          <w:color w:val="000000"/>
          <w:spacing w:val="0"/>
          <w:w w:val="100"/>
          <w:position w:val="0"/>
        </w:rPr>
        <w:t>元。</w:t>
      </w:r>
    </w:p>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left"/>
      </w:pPr>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943"/>
      <w:bookmarkEnd w:id="944"/>
      <w:bookmarkEnd w:id="94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确认为无形资产</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全面预算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21,172,335.16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5,318,389.63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26,490,724.79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财务共享服务中心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5,604,111.69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5,604,111.69</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21,172,335.16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10,922,501.32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26,490,724.79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5,604,111.69</w:t>
            </w:r>
          </w:p>
        </w:tc>
      </w:tr>
    </w:tbl>
    <w:p>
      <w:pPr>
        <w:pStyle w:val="Style35"/>
        <w:keepNext w:val="0"/>
        <w:keepLines w:val="0"/>
        <w:widowControl w:val="0"/>
        <w:shd w:val="clear" w:color="auto" w:fill="auto"/>
        <w:bidi w:val="0"/>
        <w:spacing w:before="0" w:after="0" w:line="360" w:lineRule="exact"/>
        <w:ind w:left="0" w:right="0" w:firstLine="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rPr>
        <w:t>9.39%</w:t>
      </w:r>
      <w:r>
        <w:rPr>
          <w:color w:val="000000"/>
          <w:spacing w:val="0"/>
          <w:w w:val="100"/>
          <w:position w:val="0"/>
        </w:rPr>
        <w:t>。</w:t>
      </w:r>
    </w:p>
    <w:p>
      <w:pPr>
        <w:pStyle w:val="Style35"/>
        <w:keepNext w:val="0"/>
        <w:keepLines w:val="0"/>
        <w:widowControl w:val="0"/>
        <w:shd w:val="clear" w:color="auto" w:fill="auto"/>
        <w:bidi w:val="0"/>
        <w:spacing w:before="0" w:after="0" w:line="360" w:lineRule="exact"/>
        <w:ind w:left="0" w:right="0" w:firstLine="0"/>
        <w:jc w:val="left"/>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rPr>
        <w:t>89.61%</w:t>
      </w:r>
      <w:r>
        <w:rPr>
          <w:color w:val="000000"/>
          <w:spacing w:val="0"/>
          <w:w w:val="100"/>
          <w:position w:val="0"/>
        </w:rPr>
        <w:t>。</w:t>
      </w:r>
    </w:p>
    <w:p>
      <w:pPr>
        <w:pStyle w:val="Style35"/>
        <w:keepNext w:val="0"/>
        <w:keepLines w:val="0"/>
        <w:widowControl w:val="0"/>
        <w:shd w:val="clear" w:color="auto" w:fill="auto"/>
        <w:bidi w:val="0"/>
        <w:spacing w:before="0" w:after="320" w:line="360" w:lineRule="exact"/>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rPr>
        <w:t>100</w:t>
      </w:r>
      <w:r>
        <w:rPr>
          <w:color w:val="000000"/>
          <w:spacing w:val="0"/>
          <w:w w:val="100"/>
          <w:position w:val="0"/>
        </w:rPr>
        <w:t>万元以上且以评估值为入账依据的，应披露评估机构名称、评估方法 公司本期无以评估值为入账依据的开发支出。</w:t>
      </w:r>
      <w:r>
        <w:br w:type="page"/>
      </w:r>
    </w:p>
    <w:p>
      <w:pPr>
        <w:pStyle w:val="Style40"/>
        <w:keepNext/>
        <w:keepLines/>
        <w:widowControl w:val="0"/>
        <w:shd w:val="clear" w:color="auto" w:fill="auto"/>
        <w:bidi w:val="0"/>
        <w:spacing w:before="0" w:after="360" w:line="240" w:lineRule="auto"/>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1</w:t>
      </w:r>
      <w:bookmarkEnd w:id="948"/>
      <w:r>
        <w:rPr>
          <w:rFonts w:ascii="Times New Roman" w:eastAsia="Times New Roman" w:hAnsi="Times New Roman" w:cs="Times New Roman"/>
          <w:color w:val="000000"/>
          <w:spacing w:val="0"/>
          <w:w w:val="100"/>
          <w:position w:val="0"/>
        </w:rPr>
        <w:t>4</w:t>
      </w:r>
      <w:r>
        <w:rPr>
          <w:color w:val="000000"/>
          <w:spacing w:val="0"/>
          <w:w w:val="100"/>
          <w:position w:val="0"/>
        </w:rPr>
        <w:t>、商誉</w:t>
      </w:r>
      <w:bookmarkEnd w:id="946"/>
      <w:bookmarkEnd w:id="947"/>
      <w:bookmarkEnd w:id="94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1459"/>
        <w:gridCol w:w="1464"/>
        <w:gridCol w:w="1459"/>
        <w:gridCol w:w="1459"/>
        <w:gridCol w:w="121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北京北邮中望信息科技有限责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5,627,588.30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5,627,588.30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5,627,588.30</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5,627,588.30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5,627,588.30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5,627,588.30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说明商誉的减值测试方法和减值准备计提方法</w:t>
      </w:r>
    </w:p>
    <w:p>
      <w:pPr>
        <w:pStyle w:val="Style35"/>
        <w:keepNext w:val="0"/>
        <w:keepLines w:val="0"/>
        <w:widowControl w:val="0"/>
        <w:shd w:val="clear" w:color="auto" w:fill="auto"/>
        <w:bidi w:val="0"/>
        <w:spacing w:before="0" w:after="360" w:line="312" w:lineRule="exact"/>
        <w:ind w:left="0" w:right="0" w:firstLine="360"/>
        <w:jc w:val="both"/>
      </w:pPr>
      <w:r>
        <w:rPr>
          <w:rFonts w:ascii="Times New Roman" w:eastAsia="Times New Roman" w:hAnsi="Times New Roman" w:cs="Times New Roman"/>
          <w:color w:val="000000"/>
          <w:spacing w:val="0"/>
          <w:w w:val="100"/>
          <w:position w:val="0"/>
        </w:rPr>
        <w:t>2010-201</w:t>
      </w:r>
      <w:r>
        <w:rPr>
          <w:rFonts w:ascii="Times New Roman" w:eastAsia="Times New Roman" w:hAnsi="Times New Roman" w:cs="Times New Roman"/>
          <w:color w:val="000000"/>
          <w:spacing w:val="0"/>
          <w:w w:val="100"/>
          <w:position w:val="0"/>
        </w:rPr>
        <w:t>2</w:t>
      </w:r>
      <w:r>
        <w:rPr>
          <w:color w:val="000000"/>
          <w:spacing w:val="0"/>
          <w:w w:val="100"/>
          <w:position w:val="0"/>
        </w:rPr>
        <w:t>年，北京北邮中望信息科技有限责任公司经营情况不佳，盈利能力不稳定。</w:t>
      </w:r>
      <w:r>
        <w:rPr>
          <w:rFonts w:ascii="Times New Roman" w:eastAsia="Times New Roman" w:hAnsi="Times New Roman" w:cs="Times New Roman"/>
          <w:color w:val="000000"/>
          <w:spacing w:val="0"/>
          <w:w w:val="100"/>
          <w:position w:val="0"/>
        </w:rPr>
        <w:t>2013</w:t>
      </w:r>
      <w:r>
        <w:rPr>
          <w:color w:val="000000"/>
          <w:spacing w:val="0"/>
          <w:w w:val="100"/>
          <w:position w:val="0"/>
        </w:rPr>
        <w:t>年北邮中望资不抵债的情况 没有得到根本扭转，业务和人员规模更加萎缩，鉴于此，超额投资部分的经济价值没有得到体现，对其投资形成的商誉予以 全额减值；本期计提商誉减值准备</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,971,594.34</w:t>
      </w:r>
      <w:r>
        <w:rPr>
          <w:color w:val="000000"/>
          <w:spacing w:val="0"/>
          <w:w w:val="100"/>
          <w:position w:val="0"/>
        </w:rPr>
        <w:t>元。</w:t>
      </w:r>
    </w:p>
    <w:p>
      <w:pPr>
        <w:pStyle w:val="Style40"/>
        <w:keepNext/>
        <w:keepLines/>
        <w:widowControl w:val="0"/>
        <w:shd w:val="clear" w:color="auto" w:fill="auto"/>
        <w:bidi w:val="0"/>
        <w:spacing w:before="0" w:after="360" w:line="240" w:lineRule="auto"/>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1</w:t>
      </w:r>
      <w:bookmarkEnd w:id="952"/>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950"/>
      <w:bookmarkEnd w:id="951"/>
      <w:bookmarkEnd w:id="95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272"/>
        <w:gridCol w:w="1267"/>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国英一号装修费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176,759.16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73,141.68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103,617.48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亦庄研发楼装修费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3,161,761.45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1,488,136.32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1,673,625.13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天津鼎泰装修费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80,266.61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22,400.04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57,866.57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重庆装修费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336,504.39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160,142.76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176,361.63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新疆装修费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106,347.03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31,125.96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75,221.07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3,861,638.64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1,774,946.76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2,086,691.88</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长期待摊费用的说明</w:t>
      </w:r>
    </w:p>
    <w:p>
      <w:pPr>
        <w:pStyle w:val="Style35"/>
        <w:keepNext w:val="0"/>
        <w:keepLines w:val="0"/>
        <w:widowControl w:val="0"/>
        <w:shd w:val="clear" w:color="auto" w:fill="auto"/>
        <w:bidi w:val="0"/>
        <w:spacing w:before="0" w:after="360" w:line="317" w:lineRule="exact"/>
        <w:ind w:left="0" w:right="0" w:firstLine="360"/>
        <w:jc w:val="both"/>
      </w:pPr>
      <w:r>
        <w:rPr>
          <w:color w:val="000000"/>
          <w:spacing w:val="0"/>
          <w:w w:val="100"/>
          <w:position w:val="0"/>
        </w:rPr>
        <w:t>公司长期待摊费用是指已经支出，但受益期限在一年以上（不含一年）的各项费用。长期待摊费用按费用项目的受益期 限分期摊销。长期待摊的费用项目不能使以后会计期间受益，则将尚未摊销的该项目的摊余价值全部转入当期损益。</w:t>
      </w:r>
    </w:p>
    <w:p>
      <w:pPr>
        <w:pStyle w:val="Style40"/>
        <w:keepNext/>
        <w:keepLines/>
        <w:widowControl w:val="0"/>
        <w:shd w:val="clear" w:color="auto" w:fill="auto"/>
        <w:bidi w:val="0"/>
        <w:spacing w:before="0" w:after="360" w:line="240" w:lineRule="auto"/>
        <w:ind w:left="0" w:right="0" w:firstLine="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1</w:t>
      </w:r>
      <w:bookmarkEnd w:id="956"/>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954"/>
      <w:bookmarkEnd w:id="955"/>
      <w:bookmarkEnd w:id="957"/>
    </w:p>
    <w:p>
      <w:pPr>
        <w:pStyle w:val="Style40"/>
        <w:keepNext/>
        <w:keepLines/>
        <w:widowControl w:val="0"/>
        <w:shd w:val="clear" w:color="auto" w:fill="auto"/>
        <w:bidi w:val="0"/>
        <w:spacing w:before="0" w:after="260" w:line="240" w:lineRule="auto"/>
        <w:ind w:left="0" w:right="0" w:firstLine="0"/>
        <w:jc w:val="left"/>
      </w:pPr>
      <w:bookmarkStart w:id="954" w:name="bookmark954"/>
      <w:bookmarkStart w:id="955" w:name="bookmark955"/>
      <w:bookmarkStart w:id="958" w:name="bookmark9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954"/>
      <w:bookmarkEnd w:id="955"/>
      <w:bookmarkEnd w:id="958"/>
    </w:p>
    <w:p>
      <w:pPr>
        <w:pStyle w:val="Style35"/>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已确认的递延所得税资产和递延所得税负债</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229,064.06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262,323.91</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152,877.38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381,941.44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432,323.91</w:t>
            </w:r>
          </w:p>
        </w:tc>
      </w:tr>
      <w:tr>
        <w:trPr>
          <w:trHeight w:val="408" w:hRule="exact"/>
        </w:trPr>
        <w:tc>
          <w:tcPr>
            <w:gridSpan w:val="3"/>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widowControl w:val="0"/>
        <w:spacing w:line="1" w:lineRule="exact"/>
      </w:pPr>
      <w:r>
        <w:br w:type="page"/>
      </w:r>
    </w:p>
    <w:tbl>
      <w:tblPr>
        <w:tblOverlap w:val="never"/>
        <w:jc w:val="center"/>
        <w:tblLayout w:type="fixed"/>
      </w:tblPr>
      <w:tblGrid>
        <w:gridCol w:w="3725"/>
        <w:gridCol w:w="2923"/>
        <w:gridCol w:w="2933"/>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交易性金融工具、衍生金融工具的估值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78,837.52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68,579.18</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78,837.52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68,579.18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18,660.58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80,542.31</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18,660.58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80,542.31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923"/>
        <w:gridCol w:w="279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交易性金融工具、衍生金融工具的估值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788,375.18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685,791.77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788,375.18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685,791.77</w:t>
            </w:r>
          </w:p>
        </w:tc>
      </w:tr>
      <w:tr>
        <w:trPr>
          <w:trHeight w:val="403"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2,126,635.30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2,390,266.56</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1,528,773.84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1,700,000.00</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3,655,409.14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4,090,266.56</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1</w:t>
      </w:r>
      <w:bookmarkEnd w:id="961"/>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959"/>
      <w:bookmarkEnd w:id="960"/>
      <w:bookmarkEnd w:id="96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531"/>
        <w:gridCol w:w="1526"/>
        <w:gridCol w:w="1397"/>
        <w:gridCol w:w="1402"/>
        <w:gridCol w:w="1459"/>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2,470,808.87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1,061,016.61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1,386,529.60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2,145,295.88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2,655,993.96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2,971,594.34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5,627,588.30</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5,126,802.83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4,032,610.95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1,386,529.60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7,772,884.18</w:t>
            </w:r>
          </w:p>
        </w:tc>
      </w:tr>
    </w:tbl>
    <w:p>
      <w:pPr>
        <w:widowControl w:val="0"/>
        <w:spacing w:after="99" w:line="1" w:lineRule="exact"/>
      </w:pP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资产减值明细情况的说明</w:t>
      </w:r>
    </w:p>
    <w:p>
      <w:pPr>
        <w:pStyle w:val="Style40"/>
        <w:keepNext/>
        <w:keepLines/>
        <w:widowControl w:val="0"/>
        <w:shd w:val="clear" w:color="auto" w:fill="auto"/>
        <w:bidi w:val="0"/>
        <w:spacing w:before="0" w:after="36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1</w:t>
      </w:r>
      <w:bookmarkEnd w:id="965"/>
      <w:r>
        <w:rPr>
          <w:rFonts w:ascii="Times New Roman" w:eastAsia="Times New Roman" w:hAnsi="Times New Roman" w:cs="Times New Roman"/>
          <w:color w:val="000000"/>
          <w:spacing w:val="0"/>
          <w:w w:val="100"/>
          <w:position w:val="0"/>
        </w:rPr>
        <w:t>8</w:t>
      </w:r>
      <w:r>
        <w:rPr>
          <w:color w:val="000000"/>
          <w:spacing w:val="0"/>
          <w:w w:val="100"/>
          <w:position w:val="0"/>
        </w:rPr>
        <w:t>、应付账款</w:t>
      </w:r>
      <w:bookmarkEnd w:id="963"/>
      <w:bookmarkEnd w:id="964"/>
      <w:bookmarkEnd w:id="966"/>
    </w:p>
    <w:p>
      <w:pPr>
        <w:pStyle w:val="Style40"/>
        <w:keepNext/>
        <w:keepLines/>
        <w:widowControl w:val="0"/>
        <w:shd w:val="clear" w:color="auto" w:fill="auto"/>
        <w:bidi w:val="0"/>
        <w:spacing w:before="0" w:after="360" w:line="240" w:lineRule="auto"/>
        <w:ind w:left="0" w:right="0" w:firstLine="0"/>
        <w:jc w:val="left"/>
      </w:pPr>
      <w:bookmarkStart w:id="963" w:name="bookmark963"/>
      <w:bookmarkStart w:id="964" w:name="bookmark964"/>
      <w:bookmarkStart w:id="967" w:name="bookmark967"/>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963"/>
      <w:bookmarkEnd w:id="964"/>
      <w:bookmarkEnd w:id="96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0"/>
        <w:gridCol w:w="2923"/>
        <w:gridCol w:w="306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1,055,603.50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989,840.00</w:t>
            </w:r>
          </w:p>
        </w:tc>
      </w:tr>
      <w:tr>
        <w:trPr>
          <w:trHeight w:val="40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196,600.00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940,880.89</w:t>
            </w:r>
          </w:p>
        </w:tc>
      </w:tr>
    </w:tbl>
    <w:p>
      <w:pPr>
        <w:widowControl w:val="0"/>
        <w:spacing w:line="1" w:lineRule="exact"/>
      </w:pPr>
      <w:r>
        <w:br w:type="page"/>
      </w:r>
    </w:p>
    <w:tbl>
      <w:tblPr>
        <w:tblOverlap w:val="never"/>
        <w:jc w:val="center"/>
        <w:tblLayout w:type="fixed"/>
      </w:tblPr>
      <w:tblGrid>
        <w:gridCol w:w="3590"/>
        <w:gridCol w:w="2923"/>
        <w:gridCol w:w="3067"/>
      </w:tblGrid>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788,380.89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742,086.83</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932,737.81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264,432.20</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2,973,322.20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2,937,239.92</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left"/>
      </w:pPr>
      <w:bookmarkStart w:id="968" w:name="bookmark968"/>
      <w:bookmarkStart w:id="969" w:name="bookmark969"/>
      <w:bookmarkStart w:id="970" w:name="bookmark9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)账龄超过一年的大额应付账款情况的说明</w:t>
      </w:r>
      <w:bookmarkEnd w:id="968"/>
      <w:bookmarkEnd w:id="969"/>
      <w:bookmarkEnd w:id="970"/>
    </w:p>
    <w:p>
      <w:pPr>
        <w:pStyle w:val="Style35"/>
        <w:keepNext w:val="0"/>
        <w:keepLines w:val="0"/>
        <w:widowControl w:val="0"/>
        <w:shd w:val="clear" w:color="auto" w:fill="auto"/>
        <w:bidi w:val="0"/>
        <w:spacing w:before="0" w:after="360" w:line="240" w:lineRule="auto"/>
        <w:ind w:left="0" w:right="0"/>
        <w:jc w:val="left"/>
      </w:pPr>
      <w:r>
        <w:rPr>
          <w:color w:val="000000"/>
          <w:spacing w:val="0"/>
          <w:w w:val="100"/>
          <w:position w:val="0"/>
        </w:rPr>
        <w:t>报告期账龄超过一年的应付账款主要为未到账期工程款，无单项金额重大的</w:t>
      </w:r>
      <w:r>
        <w:rPr>
          <w:rFonts w:ascii="Times New Roman" w:eastAsia="Times New Roman" w:hAnsi="Times New Roman" w:cs="Times New Roman"/>
          <w:color w:val="000000"/>
          <w:spacing w:val="0"/>
          <w:w w:val="100"/>
          <w:position w:val="0"/>
        </w:rPr>
        <w:t>1</w:t>
      </w:r>
      <w:r>
        <w:rPr>
          <w:color w:val="000000"/>
          <w:spacing w:val="0"/>
          <w:w w:val="100"/>
          <w:position w:val="0"/>
        </w:rPr>
        <w:t>年以上应付账款。</w:t>
      </w:r>
    </w:p>
    <w:p>
      <w:pPr>
        <w:pStyle w:val="Style40"/>
        <w:keepNext/>
        <w:keepLines/>
        <w:widowControl w:val="0"/>
        <w:shd w:val="clear" w:color="auto" w:fill="auto"/>
        <w:bidi w:val="0"/>
        <w:spacing w:before="0" w:after="320" w:line="240" w:lineRule="auto"/>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1</w:t>
      </w:r>
      <w:bookmarkEnd w:id="973"/>
      <w:r>
        <w:rPr>
          <w:rFonts w:ascii="Times New Roman" w:eastAsia="Times New Roman" w:hAnsi="Times New Roman" w:cs="Times New Roman"/>
          <w:color w:val="000000"/>
          <w:spacing w:val="0"/>
          <w:w w:val="100"/>
          <w:position w:val="0"/>
        </w:rPr>
        <w:t>9</w:t>
      </w:r>
      <w:r>
        <w:rPr>
          <w:color w:val="000000"/>
          <w:spacing w:val="0"/>
          <w:w w:val="100"/>
          <w:position w:val="0"/>
        </w:rPr>
        <w:t>、预收账款</w:t>
      </w:r>
      <w:bookmarkEnd w:id="971"/>
      <w:bookmarkEnd w:id="972"/>
      <w:bookmarkEnd w:id="974"/>
    </w:p>
    <w:p>
      <w:pPr>
        <w:pStyle w:val="Style40"/>
        <w:keepNext/>
        <w:keepLines/>
        <w:widowControl w:val="0"/>
        <w:shd w:val="clear" w:color="auto" w:fill="auto"/>
        <w:bidi w:val="0"/>
        <w:spacing w:before="0" w:after="360" w:line="240" w:lineRule="auto"/>
        <w:ind w:left="0" w:right="0" w:firstLine="0"/>
        <w:jc w:val="left"/>
      </w:pPr>
      <w:bookmarkStart w:id="971" w:name="bookmark971"/>
      <w:bookmarkStart w:id="972" w:name="bookmark972"/>
      <w:bookmarkStart w:id="975" w:name="bookmark9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971"/>
      <w:bookmarkEnd w:id="972"/>
      <w:bookmarkEnd w:id="97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89"/>
        <w:gridCol w:w="293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1,627,616.98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1,153,139.00</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237,924.00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277,902.00</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158,678.00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116,802.00</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307,275.00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221,793.00</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2,331,493.98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1,769,636.00</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left"/>
      </w:pPr>
      <w:bookmarkStart w:id="976" w:name="bookmark976"/>
      <w:bookmarkStart w:id="977" w:name="bookmark977"/>
      <w:bookmarkStart w:id="978" w:name="bookmark9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)账龄超过一年的大额预收账款情况的说明</w:t>
      </w:r>
      <w:bookmarkEnd w:id="976"/>
      <w:bookmarkEnd w:id="977"/>
      <w:bookmarkEnd w:id="978"/>
    </w:p>
    <w:p>
      <w:pPr>
        <w:pStyle w:val="Style35"/>
        <w:keepNext w:val="0"/>
        <w:keepLines w:val="0"/>
        <w:widowControl w:val="0"/>
        <w:shd w:val="clear" w:color="auto" w:fill="auto"/>
        <w:bidi w:val="0"/>
        <w:spacing w:before="0" w:after="360" w:line="240" w:lineRule="auto"/>
        <w:ind w:left="0" w:right="0"/>
        <w:jc w:val="left"/>
      </w:pPr>
      <w:r>
        <w:rPr>
          <w:color w:val="000000"/>
          <w:spacing w:val="0"/>
          <w:w w:val="100"/>
          <w:position w:val="0"/>
        </w:rPr>
        <w:t>报告期账龄超过一年的预收款项主要系未完工项目与未结算尾款，无单项金额重大的</w:t>
      </w:r>
      <w:r>
        <w:rPr>
          <w:rFonts w:ascii="Times New Roman" w:eastAsia="Times New Roman" w:hAnsi="Times New Roman" w:cs="Times New Roman"/>
          <w:color w:val="000000"/>
          <w:spacing w:val="0"/>
          <w:w w:val="100"/>
          <w:position w:val="0"/>
        </w:rPr>
        <w:t>1</w:t>
      </w:r>
      <w:r>
        <w:rPr>
          <w:color w:val="000000"/>
          <w:spacing w:val="0"/>
          <w:w w:val="100"/>
          <w:position w:val="0"/>
        </w:rPr>
        <w:t>年以上预收账款。</w:t>
      </w:r>
    </w:p>
    <w:p>
      <w:pPr>
        <w:pStyle w:val="Style40"/>
        <w:keepNext/>
        <w:keepLines/>
        <w:widowControl w:val="0"/>
        <w:shd w:val="clear" w:color="auto" w:fill="auto"/>
        <w:bidi w:val="0"/>
        <w:spacing w:before="0" w:after="36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2</w:t>
      </w:r>
      <w:bookmarkEnd w:id="981"/>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979"/>
      <w:bookmarkEnd w:id="980"/>
      <w:bookmarkEnd w:id="98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2126"/>
        <w:gridCol w:w="1843"/>
        <w:gridCol w:w="1699"/>
        <w:gridCol w:w="164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期末账面余额</w:t>
            </w: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一、工资、奖金、津贴和补 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17,297,988.73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141,312,851.01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128,472,987.14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30,137,852.60</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6,320,402.28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6,320,402.28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24,933,051.49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24,933,051.49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7,627,553.00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7,627,553.00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基本养老保险费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15,523,347.49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15,523,347.49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889,593.54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889,593.54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276,276.38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276,276.38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616,281.08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616,281.08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70"/>
        <w:gridCol w:w="2126"/>
        <w:gridCol w:w="1843"/>
        <w:gridCol w:w="1699"/>
        <w:gridCol w:w="1642"/>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8,432,440.63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8,425,782.63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6,658.00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2,856,176.62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732,857.79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1,152,404.56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2,436,629.85</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其中：工会及教育经费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2,856,176.62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73,438.27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492,985.04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2,436,629.85</w:t>
            </w: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100" w:line="240" w:lineRule="auto"/>
              <w:ind w:left="0" w:right="0" w:firstLine="920"/>
              <w:jc w:val="left"/>
            </w:pPr>
            <w:r>
              <w:rPr>
                <w:color w:val="000000"/>
                <w:spacing w:val="0"/>
                <w:w w:val="100"/>
                <w:position w:val="0"/>
              </w:rPr>
              <w:t>解除劳动关系给</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予的补偿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659,419.52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659,419.52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20,154,165.35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181,731,603.20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169,304,628.10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32,581,140.45</w:t>
            </w:r>
          </w:p>
        </w:tc>
      </w:tr>
    </w:tbl>
    <w:p>
      <w:pPr>
        <w:widowControl w:val="0"/>
        <w:spacing w:after="5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73,438.27</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rPr>
        <w:t>659,419.52</w:t>
      </w:r>
      <w:r>
        <w:rPr>
          <w:color w:val="000000"/>
          <w:spacing w:val="0"/>
          <w:w w:val="100"/>
          <w:position w:val="0"/>
        </w:rPr>
        <w:t>元。</w:t>
      </w:r>
    </w:p>
    <w:p>
      <w:pPr>
        <w:pStyle w:val="Style40"/>
        <w:keepNext/>
        <w:keepLines/>
        <w:widowControl w:val="0"/>
        <w:shd w:val="clear" w:color="auto" w:fill="auto"/>
        <w:bidi w:val="0"/>
        <w:spacing w:before="0" w:after="360" w:line="240" w:lineRule="auto"/>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2</w:t>
      </w:r>
      <w:bookmarkEnd w:id="985"/>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983"/>
      <w:bookmarkEnd w:id="984"/>
      <w:bookmarkEnd w:id="98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3"/>
        <w:gridCol w:w="2789"/>
        <w:gridCol w:w="266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期初数</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4,098,127.75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3,095,371.26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196,464.21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149,826.00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3,309,888.79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1,143,529.28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597,351.25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310,202.46</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312,308.87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276,931.34</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3,249.95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3,249.95</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223,050.49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198,233.16</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堤防费（防洪费）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4,031.42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3,371.23</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平抑副食品基金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1,153.43</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8,744,472.73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5,181,868.11</w:t>
            </w:r>
          </w:p>
        </w:tc>
      </w:tr>
    </w:tbl>
    <w:p>
      <w:pPr>
        <w:pStyle w:val="Style35"/>
        <w:keepNext w:val="0"/>
        <w:keepLines w:val="0"/>
        <w:widowControl w:val="0"/>
        <w:shd w:val="clear" w:color="auto" w:fill="auto"/>
        <w:bidi w:val="0"/>
        <w:spacing w:before="0" w:after="360" w:line="365" w:lineRule="exact"/>
        <w:ind w:left="0" w:right="0" w:firstLine="0"/>
        <w:jc w:val="left"/>
      </w:pPr>
      <w:r>
        <w:rPr>
          <w:color w:val="000000"/>
          <w:spacing w:val="0"/>
          <w:w w:val="100"/>
          <w:position w:val="0"/>
        </w:rPr>
        <w:t>应交税费说明，所在地税务机关同意各分公司、分厂之间应纳税所得额相互调剂的，应说明税款计算过程 无</w:t>
      </w:r>
    </w:p>
    <w:p>
      <w:pPr>
        <w:pStyle w:val="Style40"/>
        <w:keepNext/>
        <w:keepLines/>
        <w:widowControl w:val="0"/>
        <w:shd w:val="clear" w:color="auto" w:fill="auto"/>
        <w:bidi w:val="0"/>
        <w:spacing w:before="0" w:after="360" w:line="240" w:lineRule="auto"/>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2</w:t>
      </w:r>
      <w:bookmarkEnd w:id="989"/>
      <w:r>
        <w:rPr>
          <w:rFonts w:ascii="Times New Roman" w:eastAsia="Times New Roman" w:hAnsi="Times New Roman" w:cs="Times New Roman"/>
          <w:color w:val="000000"/>
          <w:spacing w:val="0"/>
          <w:w w:val="100"/>
          <w:position w:val="0"/>
        </w:rPr>
        <w:t>2</w:t>
      </w:r>
      <w:r>
        <w:rPr>
          <w:color w:val="000000"/>
          <w:spacing w:val="0"/>
          <w:w w:val="100"/>
          <w:position w:val="0"/>
        </w:rPr>
        <w:t>、应付利息</w:t>
      </w:r>
      <w:bookmarkEnd w:id="987"/>
      <w:bookmarkEnd w:id="988"/>
      <w:bookmarkEnd w:id="99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3"/>
        <w:gridCol w:w="2789"/>
        <w:gridCol w:w="266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其他借款应付利息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687,583.46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687,583.46</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687,583.46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687,583.46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应付利息说明</w:t>
      </w:r>
    </w:p>
    <w:p>
      <w:pPr>
        <w:widowControl w:val="0"/>
        <w:spacing w:after="119" w:line="1" w:lineRule="exact"/>
      </w:pPr>
    </w:p>
    <w:p>
      <w:pPr>
        <w:pStyle w:val="Style35"/>
        <w:keepNext w:val="0"/>
        <w:keepLines w:val="0"/>
        <w:widowControl w:val="0"/>
        <w:shd w:val="clear" w:color="auto" w:fill="auto"/>
        <w:bidi w:val="0"/>
        <w:spacing w:before="0" w:after="360" w:line="240" w:lineRule="auto"/>
        <w:ind w:left="0" w:right="0"/>
        <w:jc w:val="left"/>
      </w:pPr>
      <w:r>
        <w:rPr>
          <w:color w:val="000000"/>
          <w:spacing w:val="0"/>
          <w:w w:val="100"/>
          <w:position w:val="0"/>
        </w:rPr>
        <w:t>其他借款应付利息为子公司北京北邮中望信息科技有限责任公司以前年度股东借款应付利息。</w:t>
      </w:r>
    </w:p>
    <w:p>
      <w:pPr>
        <w:pStyle w:val="Style40"/>
        <w:keepNext/>
        <w:keepLines/>
        <w:widowControl w:val="0"/>
        <w:shd w:val="clear" w:color="auto" w:fill="auto"/>
        <w:bidi w:val="0"/>
        <w:spacing w:before="0" w:after="36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2</w:t>
      </w:r>
      <w:bookmarkEnd w:id="993"/>
      <w:r>
        <w:rPr>
          <w:rFonts w:ascii="Times New Roman" w:eastAsia="Times New Roman" w:hAnsi="Times New Roman" w:cs="Times New Roman"/>
          <w:color w:val="000000"/>
          <w:spacing w:val="0"/>
          <w:w w:val="100"/>
          <w:position w:val="0"/>
        </w:rPr>
        <w:t>3</w:t>
      </w:r>
      <w:r>
        <w:rPr>
          <w:color w:val="000000"/>
          <w:spacing w:val="0"/>
          <w:w w:val="100"/>
          <w:position w:val="0"/>
        </w:rPr>
        <w:t>、应付股利</w:t>
      </w:r>
      <w:bookmarkEnd w:id="991"/>
      <w:bookmarkEnd w:id="992"/>
      <w:bookmarkEnd w:id="994"/>
    </w:p>
    <w:p>
      <w:pPr>
        <w:pStyle w:val="Style3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794"/>
        <w:gridCol w:w="1992"/>
        <w:gridCol w:w="2126"/>
        <w:gridCol w:w="2669"/>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超过一年未支付原因</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董泰湘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80,000.00</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应付股利的说明</w:t>
      </w:r>
    </w:p>
    <w:p>
      <w:pPr>
        <w:widowControl w:val="0"/>
        <w:spacing w:after="119" w:line="1" w:lineRule="exact"/>
      </w:pPr>
    </w:p>
    <w:p>
      <w:pPr>
        <w:pStyle w:val="Style35"/>
        <w:keepNext w:val="0"/>
        <w:keepLines w:val="0"/>
        <w:widowControl w:val="0"/>
        <w:shd w:val="clear" w:color="auto" w:fill="auto"/>
        <w:bidi w:val="0"/>
        <w:spacing w:before="0" w:after="360" w:line="240" w:lineRule="auto"/>
        <w:ind w:left="0" w:right="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日，北京久其政务软件股份有限公司支付自然人董泰湘现金股利</w:t>
      </w:r>
      <w:r>
        <w:rPr>
          <w:rFonts w:ascii="Times New Roman" w:eastAsia="Times New Roman" w:hAnsi="Times New Roman" w:cs="Times New Roman"/>
          <w:color w:val="000000"/>
          <w:spacing w:val="0"/>
          <w:w w:val="100"/>
          <w:position w:val="0"/>
        </w:rPr>
        <w:t>80,000.00</w:t>
      </w:r>
      <w:r>
        <w:rPr>
          <w:color w:val="000000"/>
          <w:spacing w:val="0"/>
          <w:w w:val="100"/>
          <w:position w:val="0"/>
        </w:rPr>
        <w:t>元。</w:t>
      </w:r>
    </w:p>
    <w:p>
      <w:pPr>
        <w:pStyle w:val="Style40"/>
        <w:keepNext/>
        <w:keepLines/>
        <w:widowControl w:val="0"/>
        <w:shd w:val="clear" w:color="auto" w:fill="auto"/>
        <w:bidi w:val="0"/>
        <w:spacing w:before="0" w:after="360" w:line="240" w:lineRule="auto"/>
        <w:ind w:left="0" w:right="0" w:firstLine="0"/>
        <w:jc w:val="both"/>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2</w:t>
      </w:r>
      <w:bookmarkEnd w:id="997"/>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995"/>
      <w:bookmarkEnd w:id="996"/>
      <w:bookmarkEnd w:id="998"/>
    </w:p>
    <w:p>
      <w:pPr>
        <w:pStyle w:val="Style40"/>
        <w:keepNext/>
        <w:keepLines/>
        <w:widowControl w:val="0"/>
        <w:shd w:val="clear" w:color="auto" w:fill="auto"/>
        <w:bidi w:val="0"/>
        <w:spacing w:before="0" w:after="360" w:line="240" w:lineRule="auto"/>
        <w:ind w:left="0" w:right="0" w:firstLine="0"/>
        <w:jc w:val="both"/>
      </w:pPr>
      <w:bookmarkStart w:id="995" w:name="bookmark995"/>
      <w:bookmarkStart w:id="996" w:name="bookmark996"/>
      <w:bookmarkStart w:id="999" w:name="bookmark9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995"/>
      <w:bookmarkEnd w:id="996"/>
      <w:bookmarkEnd w:id="99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058"/>
        <w:gridCol w:w="279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936,093.07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1,403,100.80</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94,926.80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111,524.65</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89,429.11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1,017,794.31</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2,427,252.89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1,910,047.04</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3,547,701.87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4,442,466.80</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both"/>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2</w:t>
      </w:r>
      <w:bookmarkEnd w:id="1002"/>
      <w:r>
        <w:rPr>
          <w:rFonts w:ascii="Times New Roman" w:eastAsia="Times New Roman" w:hAnsi="Times New Roman" w:cs="Times New Roman"/>
          <w:color w:val="000000"/>
          <w:spacing w:val="0"/>
          <w:w w:val="100"/>
          <w:position w:val="0"/>
        </w:rPr>
        <w:t>5</w:t>
      </w:r>
      <w:r>
        <w:rPr>
          <w:color w:val="000000"/>
          <w:spacing w:val="0"/>
          <w:w w:val="100"/>
          <w:position w:val="0"/>
        </w:rPr>
        <w:t>、其他非流动负债</w:t>
      </w:r>
      <w:bookmarkEnd w:id="1000"/>
      <w:bookmarkEnd w:id="1001"/>
      <w:bookmarkEnd w:id="100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70"/>
        <w:gridCol w:w="2544"/>
        <w:gridCol w:w="306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基于新一代开发平台的集团管控软件的升级改造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1,528,773.84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1,700,000.00</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1,528,773.84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其他非流动负债说明</w:t>
      </w:r>
    </w:p>
    <w:p>
      <w:pPr>
        <w:pStyle w:val="Style35"/>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月，根据北京市发展和改革委员会《关于北京久其软件股份有限公司基于新一代开发平台的集团管控软件的升 级改造项目资金申请报告的批复》（京发改</w:t>
      </w:r>
      <w:r>
        <w:rPr>
          <w:rFonts w:ascii="Times New Roman" w:eastAsia="Times New Roman" w:hAnsi="Times New Roman" w:cs="Times New Roman"/>
          <w:color w:val="000000"/>
          <w:spacing w:val="0"/>
          <w:w w:val="100"/>
          <w:position w:val="0"/>
        </w:rPr>
        <w:t>[2012]1313</w:t>
      </w:r>
      <w:r>
        <w:rPr>
          <w:color w:val="000000"/>
          <w:spacing w:val="0"/>
          <w:w w:val="100"/>
          <w:position w:val="0"/>
        </w:rPr>
        <w:t>号），公司收到</w:t>
      </w:r>
      <w:r>
        <w:rPr>
          <w:rFonts w:ascii="Times New Roman" w:eastAsia="Times New Roman" w:hAnsi="Times New Roman" w:cs="Times New Roman"/>
          <w:color w:val="000000"/>
          <w:spacing w:val="0"/>
          <w:w w:val="100"/>
          <w:position w:val="0"/>
        </w:rPr>
        <w:t>“</w:t>
      </w:r>
      <w:r>
        <w:rPr>
          <w:color w:val="000000"/>
          <w:spacing w:val="0"/>
          <w:w w:val="100"/>
          <w:position w:val="0"/>
        </w:rPr>
        <w:t>基于新一代开发平台的集团管控软件的升级改造项 目</w:t>
      </w:r>
      <w:r>
        <w:rPr>
          <w:rFonts w:ascii="Times New Roman" w:eastAsia="Times New Roman" w:hAnsi="Times New Roman" w:cs="Times New Roman"/>
          <w:color w:val="000000"/>
          <w:spacing w:val="0"/>
          <w:w w:val="100"/>
          <w:position w:val="0"/>
        </w:rPr>
        <w:t>”</w:t>
      </w:r>
      <w:r>
        <w:rPr>
          <w:color w:val="000000"/>
          <w:spacing w:val="0"/>
          <w:w w:val="100"/>
          <w:position w:val="0"/>
        </w:rPr>
        <w:t>专项补贴</w:t>
      </w:r>
      <w:r>
        <w:rPr>
          <w:rFonts w:ascii="Times New Roman" w:eastAsia="Times New Roman" w:hAnsi="Times New Roman" w:cs="Times New Roman"/>
          <w:color w:val="000000"/>
          <w:spacing w:val="0"/>
          <w:w w:val="100"/>
          <w:position w:val="0"/>
        </w:rPr>
        <w:t>1,700,000.00</w:t>
      </w:r>
      <w:r>
        <w:rPr>
          <w:color w:val="000000"/>
          <w:spacing w:val="0"/>
          <w:w w:val="100"/>
          <w:position w:val="0"/>
        </w:rPr>
        <w:t>元；截止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月，该资金已全部用于购买机器设备和无形资产，该专项补贴按机器设备和无形 资产使用年限分摊计入营业外收入，本年计入营业外收入</w:t>
      </w:r>
      <w:r>
        <w:rPr>
          <w:rFonts w:ascii="Times New Roman" w:eastAsia="Times New Roman" w:hAnsi="Times New Roman" w:cs="Times New Roman"/>
          <w:color w:val="000000"/>
          <w:spacing w:val="0"/>
          <w:w w:val="100"/>
          <w:position w:val="0"/>
        </w:rPr>
        <w:t>171,226.16</w:t>
      </w:r>
      <w:r>
        <w:rPr>
          <w:color w:val="000000"/>
          <w:spacing w:val="0"/>
          <w:w w:val="100"/>
          <w:position w:val="0"/>
        </w:rPr>
        <w:t>元。</w:t>
      </w:r>
    </w:p>
    <w:p>
      <w:pPr>
        <w:pStyle w:val="Style35"/>
        <w:keepNext w:val="0"/>
        <w:keepLines w:val="0"/>
        <w:widowControl w:val="0"/>
        <w:shd w:val="clear" w:color="auto" w:fill="auto"/>
        <w:bidi w:val="0"/>
        <w:spacing w:before="0" w:after="120" w:line="314" w:lineRule="exact"/>
        <w:ind w:left="0" w:right="0" w:firstLine="0"/>
        <w:jc w:val="both"/>
      </w:pPr>
      <w:r>
        <w:rPr>
          <w:color w:val="000000"/>
          <w:spacing w:val="0"/>
          <w:w w:val="100"/>
          <w:position w:val="0"/>
        </w:rPr>
        <w:t>涉及政府补助的负债项目</w:t>
      </w:r>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656"/>
        <w:gridCol w:w="1411"/>
        <w:gridCol w:w="1238"/>
        <w:gridCol w:w="1430"/>
        <w:gridCol w:w="1152"/>
        <w:gridCol w:w="1118"/>
        <w:gridCol w:w="1574"/>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r>
        <w:trPr>
          <w:trHeight w:val="10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基于新一代开发平 台的集团管控软件 的升级改造项目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171,226.16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1,528,773.84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171,226.16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1,528,773.84</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40"/>
        <w:keepNext/>
        <w:keepLines/>
        <w:widowControl w:val="0"/>
        <w:shd w:val="clear" w:color="auto" w:fill="auto"/>
        <w:bidi w:val="0"/>
        <w:spacing w:before="0" w:after="360" w:line="240" w:lineRule="auto"/>
        <w:ind w:left="0" w:right="0" w:firstLine="0"/>
        <w:jc w:val="both"/>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2</w:t>
      </w:r>
      <w:bookmarkEnd w:id="1006"/>
      <w:r>
        <w:rPr>
          <w:rFonts w:ascii="Times New Roman" w:eastAsia="Times New Roman" w:hAnsi="Times New Roman" w:cs="Times New Roman"/>
          <w:color w:val="000000"/>
          <w:spacing w:val="0"/>
          <w:w w:val="100"/>
          <w:position w:val="0"/>
        </w:rPr>
        <w:t>6</w:t>
      </w:r>
      <w:r>
        <w:rPr>
          <w:color w:val="000000"/>
          <w:spacing w:val="0"/>
          <w:w w:val="100"/>
          <w:position w:val="0"/>
        </w:rPr>
        <w:t>、股本</w:t>
      </w:r>
      <w:bookmarkEnd w:id="1004"/>
      <w:bookmarkEnd w:id="1005"/>
      <w:bookmarkEnd w:id="100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195"/>
        <w:gridCol w:w="1200"/>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175,795,305.00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175,795,305.00</w:t>
            </w:r>
          </w:p>
        </w:tc>
      </w:tr>
    </w:tbl>
    <w:p>
      <w:pPr>
        <w:pStyle w:val="Style35"/>
        <w:keepNext w:val="0"/>
        <w:keepLines w:val="0"/>
        <w:widowControl w:val="0"/>
        <w:shd w:val="clear" w:color="auto" w:fill="auto"/>
        <w:bidi w:val="0"/>
        <w:spacing w:before="0" w:after="360" w:line="338"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rPr>
        <w:t xml:space="preserve">3 </w:t>
      </w:r>
      <w:r>
        <w:rPr>
          <w:color w:val="000000"/>
          <w:spacing w:val="0"/>
          <w:w w:val="100"/>
          <w:position w:val="0"/>
        </w:rPr>
        <w:t>年的股份有限公司，设立前的年份只需说明净资产情况；有限责任公司整体变更为股份公司应说明公司设立时的验资情况 无</w:t>
      </w:r>
    </w:p>
    <w:p>
      <w:pPr>
        <w:pStyle w:val="Style40"/>
        <w:keepNext/>
        <w:keepLines/>
        <w:widowControl w:val="0"/>
        <w:shd w:val="clear" w:color="auto" w:fill="auto"/>
        <w:bidi w:val="0"/>
        <w:spacing w:before="0" w:after="360" w:line="240" w:lineRule="auto"/>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2</w:t>
      </w:r>
      <w:bookmarkEnd w:id="1010"/>
      <w:r>
        <w:rPr>
          <w:rFonts w:ascii="Times New Roman" w:eastAsia="Times New Roman" w:hAnsi="Times New Roman" w:cs="Times New Roman"/>
          <w:color w:val="000000"/>
          <w:spacing w:val="0"/>
          <w:w w:val="100"/>
          <w:position w:val="0"/>
        </w:rPr>
        <w:t>7</w:t>
      </w:r>
      <w:r>
        <w:rPr>
          <w:color w:val="000000"/>
          <w:spacing w:val="0"/>
          <w:w w:val="100"/>
          <w:position w:val="0"/>
        </w:rPr>
        <w:t>、资本公积</w:t>
      </w:r>
      <w:bookmarkEnd w:id="1008"/>
      <w:bookmarkEnd w:id="1009"/>
      <w:bookmarkEnd w:id="101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1862"/>
        <w:gridCol w:w="1992"/>
        <w:gridCol w:w="1728"/>
        <w:gridCol w:w="160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255,019,596.69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255,019,596.69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20,899,633.82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20,899,633.82</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275,919,230.51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275,919,230.51</w:t>
            </w:r>
          </w:p>
        </w:tc>
      </w:tr>
    </w:tbl>
    <w:p>
      <w:pPr>
        <w:widowControl w:val="0"/>
        <w:spacing w:after="79" w:line="1" w:lineRule="exact"/>
      </w:pPr>
    </w:p>
    <w:p>
      <w:pPr>
        <w:pStyle w:val="Style35"/>
        <w:keepNext w:val="0"/>
        <w:keepLines w:val="0"/>
        <w:widowControl w:val="0"/>
        <w:shd w:val="clear" w:color="auto" w:fill="auto"/>
        <w:bidi w:val="0"/>
        <w:spacing w:before="0" w:after="360" w:line="240" w:lineRule="auto"/>
        <w:ind w:left="0" w:right="0" w:firstLine="0"/>
        <w:jc w:val="both"/>
      </w:pPr>
      <w:r>
        <w:rPr>
          <w:color w:val="000000"/>
          <w:spacing w:val="0"/>
          <w:w w:val="100"/>
          <w:position w:val="0"/>
        </w:rPr>
        <w:t>资本公积说明</w:t>
      </w:r>
    </w:p>
    <w:p>
      <w:pPr>
        <w:pStyle w:val="Style40"/>
        <w:keepNext/>
        <w:keepLines/>
        <w:widowControl w:val="0"/>
        <w:shd w:val="clear" w:color="auto" w:fill="auto"/>
        <w:bidi w:val="0"/>
        <w:spacing w:before="0" w:after="360" w:line="240" w:lineRule="auto"/>
        <w:ind w:left="0" w:right="0" w:firstLine="0"/>
        <w:jc w:val="both"/>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2</w:t>
      </w:r>
      <w:bookmarkEnd w:id="1014"/>
      <w:r>
        <w:rPr>
          <w:rFonts w:ascii="Times New Roman" w:eastAsia="Times New Roman" w:hAnsi="Times New Roman" w:cs="Times New Roman"/>
          <w:color w:val="000000"/>
          <w:spacing w:val="0"/>
          <w:w w:val="100"/>
          <w:position w:val="0"/>
        </w:rPr>
        <w:t>8</w:t>
      </w:r>
      <w:r>
        <w:rPr>
          <w:color w:val="000000"/>
          <w:spacing w:val="0"/>
          <w:w w:val="100"/>
          <w:position w:val="0"/>
        </w:rPr>
        <w:t>、盈余公积</w:t>
      </w:r>
      <w:bookmarkEnd w:id="1012"/>
      <w:bookmarkEnd w:id="1013"/>
      <w:bookmarkEnd w:id="101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1862"/>
        <w:gridCol w:w="1992"/>
        <w:gridCol w:w="1728"/>
        <w:gridCol w:w="160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32,871,261.46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5,970,636.89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38,841,898.35</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32,871,261.46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5,970,636.89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38,841,898.35</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盈余公积说明，用盈余公积转增股本、弥补亏损、分派股利的，应说明有关决议</w:t>
      </w:r>
    </w:p>
    <w:p>
      <w:pPr>
        <w:pStyle w:val="Style3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both"/>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2</w:t>
      </w:r>
      <w:bookmarkEnd w:id="1018"/>
      <w:r>
        <w:rPr>
          <w:rFonts w:ascii="Times New Roman" w:eastAsia="Times New Roman" w:hAnsi="Times New Roman" w:cs="Times New Roman"/>
          <w:color w:val="000000"/>
          <w:spacing w:val="0"/>
          <w:w w:val="100"/>
          <w:position w:val="0"/>
        </w:rPr>
        <w:t>9</w:t>
      </w:r>
      <w:r>
        <w:rPr>
          <w:color w:val="000000"/>
          <w:spacing w:val="0"/>
          <w:w w:val="100"/>
          <w:position w:val="0"/>
        </w:rPr>
        <w:t>、未分配利润</w:t>
      </w:r>
      <w:bookmarkEnd w:id="1016"/>
      <w:bookmarkEnd w:id="1017"/>
      <w:bookmarkEnd w:id="101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0"/>
        <w:gridCol w:w="3730"/>
        <w:gridCol w:w="2131"/>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182,310,083.56</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182,310,083.56</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59,433,902.96</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5,970,636.89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17,579,530.50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218,193,819.13</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bl>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调整年初未分配利润明细：</w:t>
      </w:r>
    </w:p>
    <w:p>
      <w:pPr>
        <w:pStyle w:val="Style35"/>
        <w:keepNext w:val="0"/>
        <w:keepLines w:val="0"/>
        <w:widowControl w:val="0"/>
        <w:shd w:val="clear" w:color="auto" w:fill="auto"/>
        <w:tabs>
          <w:tab w:pos="330" w:val="left"/>
        </w:tabs>
        <w:bidi w:val="0"/>
        <w:spacing w:before="0" w:after="0" w:line="314" w:lineRule="exact"/>
        <w:ind w:left="0" w:right="0" w:firstLine="0"/>
        <w:jc w:val="both"/>
      </w:pPr>
      <w:bookmarkStart w:id="1020" w:name="bookmark1020"/>
      <w:r>
        <w:rPr>
          <w:rFonts w:ascii="Times New Roman" w:eastAsia="Times New Roman" w:hAnsi="Times New Roman" w:cs="Times New Roman"/>
          <w:color w:val="000000"/>
          <w:spacing w:val="0"/>
          <w:w w:val="100"/>
          <w:position w:val="0"/>
        </w:rPr>
        <w:t>1</w:t>
      </w:r>
      <w:bookmarkEnd w:id="1020"/>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5"/>
        <w:keepNext w:val="0"/>
        <w:keepLines w:val="0"/>
        <w:widowControl w:val="0"/>
        <w:shd w:val="clear" w:color="auto" w:fill="auto"/>
        <w:tabs>
          <w:tab w:pos="344" w:val="left"/>
        </w:tabs>
        <w:bidi w:val="0"/>
        <w:spacing w:before="0" w:after="0" w:line="314" w:lineRule="exact"/>
        <w:ind w:left="0" w:right="0" w:firstLine="0"/>
        <w:jc w:val="both"/>
      </w:pPr>
      <w:bookmarkStart w:id="1021" w:name="bookmark1021"/>
      <w:r>
        <w:rPr>
          <w:rFonts w:ascii="Times New Roman" w:eastAsia="Times New Roman" w:hAnsi="Times New Roman" w:cs="Times New Roman"/>
          <w:color w:val="000000"/>
          <w:spacing w:val="0"/>
          <w:w w:val="100"/>
          <w:position w:val="0"/>
        </w:rPr>
        <w:t>2</w:t>
      </w:r>
      <w:bookmarkEnd w:id="1021"/>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5"/>
        <w:keepNext w:val="0"/>
        <w:keepLines w:val="0"/>
        <w:widowControl w:val="0"/>
        <w:shd w:val="clear" w:color="auto" w:fill="auto"/>
        <w:tabs>
          <w:tab w:pos="344" w:val="left"/>
        </w:tabs>
        <w:bidi w:val="0"/>
        <w:spacing w:before="0" w:after="0" w:line="314" w:lineRule="exact"/>
        <w:ind w:left="0" w:right="0" w:firstLine="0"/>
        <w:jc w:val="both"/>
      </w:pPr>
      <w:bookmarkStart w:id="1022" w:name="bookmark1022"/>
      <w:r>
        <w:rPr>
          <w:rFonts w:ascii="Times New Roman" w:eastAsia="Times New Roman" w:hAnsi="Times New Roman" w:cs="Times New Roman"/>
          <w:color w:val="000000"/>
          <w:spacing w:val="0"/>
          <w:w w:val="100"/>
          <w:position w:val="0"/>
        </w:rPr>
        <w:t>3</w:t>
      </w:r>
      <w:bookmarkEnd w:id="1022"/>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5"/>
        <w:keepNext w:val="0"/>
        <w:keepLines w:val="0"/>
        <w:widowControl w:val="0"/>
        <w:shd w:val="clear" w:color="auto" w:fill="auto"/>
        <w:tabs>
          <w:tab w:pos="344" w:val="left"/>
        </w:tabs>
        <w:bidi w:val="0"/>
        <w:spacing w:before="0" w:after="0" w:line="314" w:lineRule="exact"/>
        <w:ind w:left="0" w:right="0" w:firstLine="0"/>
        <w:jc w:val="both"/>
      </w:pPr>
      <w:bookmarkStart w:id="1023" w:name="bookmark1023"/>
      <w:r>
        <w:rPr>
          <w:rFonts w:ascii="Times New Roman" w:eastAsia="Times New Roman" w:hAnsi="Times New Roman" w:cs="Times New Roman"/>
          <w:color w:val="000000"/>
          <w:spacing w:val="0"/>
          <w:w w:val="100"/>
          <w:position w:val="0"/>
        </w:rPr>
        <w:t>4</w:t>
      </w:r>
      <w:bookmarkEnd w:id="1023"/>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5"/>
        <w:keepNext w:val="0"/>
        <w:keepLines w:val="0"/>
        <w:widowControl w:val="0"/>
        <w:shd w:val="clear" w:color="auto" w:fill="auto"/>
        <w:tabs>
          <w:tab w:pos="344" w:val="left"/>
        </w:tabs>
        <w:bidi w:val="0"/>
        <w:spacing w:before="0" w:after="0" w:line="314" w:lineRule="exact"/>
        <w:ind w:left="0" w:right="0" w:firstLine="0"/>
        <w:jc w:val="both"/>
      </w:pPr>
      <w:bookmarkStart w:id="1024" w:name="bookmark1024"/>
      <w:r>
        <w:rPr>
          <w:rFonts w:ascii="Times New Roman" w:eastAsia="Times New Roman" w:hAnsi="Times New Roman" w:cs="Times New Roman"/>
          <w:color w:val="000000"/>
          <w:spacing w:val="0"/>
          <w:w w:val="100"/>
          <w:position w:val="0"/>
        </w:rPr>
        <w:t>5</w:t>
      </w:r>
      <w:bookmarkEnd w:id="1024"/>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5"/>
        <w:keepNext w:val="0"/>
        <w:keepLines w:val="0"/>
        <w:widowControl w:val="0"/>
        <w:shd w:val="clear" w:color="auto" w:fill="auto"/>
        <w:bidi w:val="0"/>
        <w:spacing w:before="0" w:after="360" w:line="317"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年度股东大会通过的有关决议，公司以总股本</w:t>
      </w:r>
      <w:r>
        <w:rPr>
          <w:rFonts w:ascii="Times New Roman" w:eastAsia="Times New Roman" w:hAnsi="Times New Roman" w:cs="Times New Roman"/>
          <w:color w:val="000000"/>
          <w:spacing w:val="0"/>
          <w:w w:val="100"/>
          <w:position w:val="0"/>
        </w:rPr>
        <w:t>175,795,305.00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1</w:t>
      </w:r>
      <w:r>
        <w:rPr>
          <w:color w:val="000000"/>
          <w:spacing w:val="0"/>
          <w:w w:val="100"/>
          <w:position w:val="0"/>
        </w:rPr>
        <w:t>元人民币现 金（含税），共计派送现金</w:t>
      </w:r>
      <w:r>
        <w:rPr>
          <w:rFonts w:ascii="Times New Roman" w:eastAsia="Times New Roman" w:hAnsi="Times New Roman" w:cs="Times New Roman"/>
          <w:color w:val="000000"/>
          <w:spacing w:val="0"/>
          <w:w w:val="100"/>
          <w:position w:val="0"/>
        </w:rPr>
        <w:t>17,579,530.50</w:t>
      </w:r>
      <w:r>
        <w:rPr>
          <w:color w:val="000000"/>
          <w:spacing w:val="0"/>
          <w:w w:val="100"/>
          <w:position w:val="0"/>
        </w:rPr>
        <w:t>元。</w:t>
      </w:r>
    </w:p>
    <w:p>
      <w:pPr>
        <w:pStyle w:val="Style40"/>
        <w:keepNext/>
        <w:keepLines/>
        <w:widowControl w:val="0"/>
        <w:shd w:val="clear" w:color="auto" w:fill="auto"/>
        <w:bidi w:val="0"/>
        <w:spacing w:before="0" w:after="36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3</w:t>
      </w:r>
      <w:bookmarkEnd w:id="1027"/>
      <w:r>
        <w:rPr>
          <w:rFonts w:ascii="Times New Roman" w:eastAsia="Times New Roman" w:hAnsi="Times New Roman" w:cs="Times New Roman"/>
          <w:color w:val="000000"/>
          <w:spacing w:val="0"/>
          <w:w w:val="100"/>
          <w:position w:val="0"/>
        </w:rPr>
        <w:t>0</w:t>
      </w:r>
      <w:r>
        <w:rPr>
          <w:color w:val="000000"/>
          <w:spacing w:val="0"/>
          <w:w w:val="100"/>
          <w:position w:val="0"/>
        </w:rPr>
        <w:t>、营业收入、营业成本</w:t>
      </w:r>
      <w:bookmarkEnd w:id="1025"/>
      <w:bookmarkEnd w:id="1026"/>
      <w:bookmarkEnd w:id="1028"/>
    </w:p>
    <w:p>
      <w:pPr>
        <w:pStyle w:val="Style40"/>
        <w:keepNext/>
        <w:keepLines/>
        <w:widowControl w:val="0"/>
        <w:shd w:val="clear" w:color="auto" w:fill="auto"/>
        <w:bidi w:val="0"/>
        <w:spacing w:before="0" w:after="360" w:line="240" w:lineRule="auto"/>
        <w:ind w:left="0" w:right="0" w:firstLine="0"/>
        <w:jc w:val="left"/>
      </w:pPr>
      <w:bookmarkStart w:id="1025" w:name="bookmark1025"/>
      <w:bookmarkStart w:id="1026" w:name="bookmark1026"/>
      <w:bookmarkStart w:id="1029" w:name="bookmark10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025"/>
      <w:bookmarkEnd w:id="1026"/>
      <w:bookmarkEnd w:id="102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3"/>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288,774,492.15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246,553,988.27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770,958.85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767,205.00</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7,834,873.69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9,125,865.63</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140"/>
        <w:jc w:val="left"/>
      </w:pPr>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030"/>
      <w:bookmarkEnd w:id="1031"/>
      <w:bookmarkEnd w:id="103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电子政务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151,179,089.32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3,737,821.88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110,996,082.23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5,220,045.00</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集团管控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127,955,313.53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3,234,015.90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126,895,656.61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3,367,459.38</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中小企业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9,640,089.30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863,035.91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8,662,249.43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538,361.25</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288,774,492.15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7,834,873.69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246,553,988.27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9,125,865.63</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140"/>
        <w:jc w:val="left"/>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w:t>
      </w:r>
      <w:bookmarkEnd w:id="1035"/>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033"/>
      <w:bookmarkEnd w:id="1034"/>
      <w:bookmarkEnd w:id="103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168,533,263.63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1,377,426.93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144,341,622.06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1,626,208.96</w:t>
            </w:r>
          </w:p>
        </w:tc>
      </w:tr>
      <w:tr>
        <w:trPr>
          <w:trHeight w:val="41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2,269,606.87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2,151,657.67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2,545,299.16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2,292,690.21</w:t>
            </w:r>
          </w:p>
        </w:tc>
      </w:tr>
    </w:tbl>
    <w:p>
      <w:pPr>
        <w:widowControl w:val="0"/>
        <w:spacing w:line="1" w:lineRule="exact"/>
      </w:pPr>
      <w:r>
        <w:br w:type="page"/>
      </w:r>
    </w:p>
    <w:tbl>
      <w:tblPr>
        <w:tblOverlap w:val="never"/>
        <w:jc w:val="center"/>
        <w:tblLayout w:type="fixed"/>
      </w:tblPr>
      <w:tblGrid>
        <w:gridCol w:w="2530"/>
        <w:gridCol w:w="1728"/>
        <w:gridCol w:w="1858"/>
        <w:gridCol w:w="1728"/>
        <w:gridCol w:w="1738"/>
      </w:tblGrid>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117,971,621.65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4,305,789.09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99,667,067.05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5,206,966.46</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288,774,492.15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7,834,873.69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246,553,988.27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9,125,865.63</w:t>
            </w:r>
          </w:p>
        </w:tc>
      </w:tr>
    </w:tbl>
    <w:p>
      <w:pPr>
        <w:widowControl w:val="0"/>
        <w:spacing w:after="299" w:line="1" w:lineRule="exact"/>
      </w:pPr>
    </w:p>
    <w:p>
      <w:pPr>
        <w:pStyle w:val="Style40"/>
        <w:keepNext/>
        <w:keepLines/>
        <w:widowControl w:val="0"/>
        <w:numPr>
          <w:ilvl w:val="0"/>
          <w:numId w:val="45"/>
        </w:numPr>
        <w:shd w:val="clear" w:color="auto" w:fill="auto"/>
        <w:bidi w:val="0"/>
        <w:spacing w:before="0" w:after="360" w:line="240" w:lineRule="auto"/>
        <w:ind w:left="0" w:right="0" w:firstLine="0"/>
        <w:jc w:val="left"/>
      </w:pPr>
      <w:bookmarkStart w:id="1037" w:name="bookmark1037"/>
      <w:bookmarkStart w:id="1038" w:name="bookmark1038"/>
      <w:bookmarkStart w:id="1039" w:name="bookmark1039"/>
      <w:bookmarkStart w:id="1040" w:name="bookmark1040"/>
      <w:bookmarkEnd w:id="1039"/>
      <w:r>
        <w:rPr>
          <w:color w:val="000000"/>
          <w:spacing w:val="0"/>
          <w:w w:val="100"/>
          <w:position w:val="0"/>
        </w:rPr>
        <w:t>公司来自前五名客户的营业收入情况</w:t>
      </w:r>
      <w:bookmarkEnd w:id="1037"/>
      <w:bookmarkEnd w:id="1038"/>
      <w:bookmarkEnd w:id="1040"/>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597"/>
        <w:gridCol w:w="2846"/>
        <w:gridCol w:w="413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8,906,489.10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7,520,566.04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5,860,051.28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5,780,000.00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34,067,106.42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3</w:t>
      </w:r>
      <w:bookmarkEnd w:id="1043"/>
      <w:r>
        <w:rPr>
          <w:rFonts w:ascii="Times New Roman" w:eastAsia="Times New Roman" w:hAnsi="Times New Roman" w:cs="Times New Roman"/>
          <w:color w:val="000000"/>
          <w:spacing w:val="0"/>
          <w:w w:val="100"/>
          <w:position w:val="0"/>
        </w:rPr>
        <w:t>1</w:t>
      </w:r>
      <w:r>
        <w:rPr>
          <w:color w:val="000000"/>
          <w:spacing w:val="0"/>
          <w:w w:val="100"/>
          <w:position w:val="0"/>
        </w:rPr>
        <w:t>、营业税金及附加</w:t>
      </w:r>
      <w:bookmarkEnd w:id="1041"/>
      <w:bookmarkEnd w:id="1042"/>
      <w:bookmarkEnd w:id="1044"/>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794"/>
        <w:gridCol w:w="1997"/>
        <w:gridCol w:w="1858"/>
        <w:gridCol w:w="293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621,726.01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1,891,047.60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846,128.55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750,016.51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605,405.51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536,213.67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副食品调控基金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堤防费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2,444.21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3,399.73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2,075,704.38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3,181,832.55</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3</w:t>
      </w:r>
      <w:bookmarkEnd w:id="1047"/>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045"/>
      <w:bookmarkEnd w:id="1046"/>
      <w:bookmarkEnd w:id="1048"/>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16,121,168.22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16,055,634.02</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1,646,710.60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1,858,442.18</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262,892.00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958,638.53</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1,123,939.10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1,361,395.45</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86,188.06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604,683.35</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2,816,762.84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2,714,342.69</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22,057,660.82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23,553,136.22</w:t>
            </w:r>
          </w:p>
        </w:tc>
      </w:tr>
    </w:tbl>
    <w:p>
      <w:pPr>
        <w:spacing w:lineRule="exact" w:line="1"/>
        <w:rPr>
          <w:sz w:val="2"/>
          <w:szCs w:val="2"/>
        </w:rPr>
      </w:pPr>
      <w:r>
        <w:br w:type="page"/>
      </w:r>
    </w:p>
    <w:p>
      <w:pPr>
        <w:pStyle w:val="Style40"/>
        <w:keepNext/>
        <w:keepLines/>
        <w:widowControl w:val="0"/>
        <w:shd w:val="clear" w:color="auto" w:fill="auto"/>
        <w:bidi w:val="0"/>
        <w:spacing w:before="0" w:after="36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3</w:t>
      </w:r>
      <w:bookmarkEnd w:id="1051"/>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049"/>
      <w:bookmarkEnd w:id="1050"/>
      <w:bookmarkEnd w:id="1052"/>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192"/>
        <w:gridCol w:w="3187"/>
        <w:gridCol w:w="320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105,345,215.63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94,523,788.76</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63,540,141.19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57,428,080.80</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2,514,546.06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4,545,945.45</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5,055,308.62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4,675,350.58</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5,555,949.40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4,174,039.25</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2,942,537.62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3,737,951.48</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2,361,812.97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3,082,507.70</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2,420,379.70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2,278,495.42</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3,141,555.17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2,678,069.55</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1,774,946.76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1,965,593.26</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9,531,681.72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26,576,899.47</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204,184,074.84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205,666,721.72</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3</w:t>
      </w:r>
      <w:bookmarkEnd w:id="1055"/>
      <w:r>
        <w:rPr>
          <w:rFonts w:ascii="Times New Roman" w:eastAsia="Times New Roman" w:hAnsi="Times New Roman" w:cs="Times New Roman"/>
          <w:color w:val="000000"/>
          <w:spacing w:val="0"/>
          <w:w w:val="100"/>
          <w:position w:val="0"/>
        </w:rPr>
        <w:t>4</w:t>
      </w:r>
      <w:r>
        <w:rPr>
          <w:color w:val="000000"/>
          <w:spacing w:val="0"/>
          <w:w w:val="100"/>
          <w:position w:val="0"/>
        </w:rPr>
        <w:t>、财务费用</w:t>
      </w:r>
      <w:bookmarkEnd w:id="1053"/>
      <w:bookmarkEnd w:id="1054"/>
      <w:bookmarkEnd w:id="1056"/>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-3,237,752.35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-5,881,265.12</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11,199.62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10,479.55</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-3,226,552.73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-5,870,785.57</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3</w:t>
      </w:r>
      <w:bookmarkEnd w:id="1059"/>
      <w:r>
        <w:rPr>
          <w:rFonts w:ascii="Times New Roman" w:eastAsia="Times New Roman" w:hAnsi="Times New Roman" w:cs="Times New Roman"/>
          <w:color w:val="000000"/>
          <w:spacing w:val="0"/>
          <w:w w:val="100"/>
          <w:position w:val="0"/>
        </w:rPr>
        <w:t>5</w:t>
      </w:r>
      <w:r>
        <w:rPr>
          <w:color w:val="000000"/>
          <w:spacing w:val="0"/>
          <w:w w:val="100"/>
          <w:position w:val="0"/>
        </w:rPr>
        <w:t>、公允价值变动收益</w:t>
      </w:r>
      <w:bookmarkEnd w:id="1057"/>
      <w:bookmarkEnd w:id="1058"/>
      <w:bookmarkEnd w:id="1060"/>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3,345,119.03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685,791.77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其中：衍生金融工具产生的公允价值变动收益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3,345,119.03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685,791.77</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因资产终止确认而转出至投资收益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-3,242,535.62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102,583.41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685,791.77</w:t>
            </w:r>
          </w:p>
        </w:tc>
      </w:tr>
    </w:tbl>
    <w:p>
      <w:pPr>
        <w:spacing w:lineRule="exact" w:line="1"/>
        <w:rPr>
          <w:sz w:val="2"/>
          <w:szCs w:val="2"/>
        </w:rPr>
      </w:pPr>
      <w:r>
        <w:br w:type="page"/>
      </w:r>
    </w:p>
    <w:p>
      <w:pPr>
        <w:pStyle w:val="Style40"/>
        <w:keepNext/>
        <w:keepLines/>
        <w:widowControl w:val="0"/>
        <w:shd w:val="clear" w:color="auto" w:fill="auto"/>
        <w:bidi w:val="0"/>
        <w:spacing w:before="0" w:after="36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3</w:t>
      </w:r>
      <w:bookmarkEnd w:id="1063"/>
      <w:r>
        <w:rPr>
          <w:rFonts w:ascii="Times New Roman" w:eastAsia="Times New Roman" w:hAnsi="Times New Roman" w:cs="Times New Roman"/>
          <w:color w:val="000000"/>
          <w:spacing w:val="0"/>
          <w:w w:val="100"/>
          <w:position w:val="0"/>
        </w:rPr>
        <w:t>6</w:t>
      </w:r>
      <w:r>
        <w:rPr>
          <w:color w:val="000000"/>
          <w:spacing w:val="0"/>
          <w:w w:val="100"/>
          <w:position w:val="0"/>
        </w:rPr>
        <w:t>、投资收益</w:t>
      </w:r>
      <w:bookmarkEnd w:id="1061"/>
      <w:bookmarkEnd w:id="1062"/>
      <w:bookmarkEnd w:id="1064"/>
    </w:p>
    <w:p>
      <w:pPr>
        <w:pStyle w:val="Style40"/>
        <w:keepNext/>
        <w:keepLines/>
        <w:widowControl w:val="0"/>
        <w:shd w:val="clear" w:color="auto" w:fill="auto"/>
        <w:bidi w:val="0"/>
        <w:spacing w:before="0" w:after="360" w:line="240" w:lineRule="auto"/>
        <w:ind w:left="0" w:right="0" w:firstLine="0"/>
        <w:jc w:val="left"/>
      </w:pPr>
      <w:bookmarkStart w:id="1061" w:name="bookmark1061"/>
      <w:bookmarkStart w:id="1062" w:name="bookmark1062"/>
      <w:bookmarkStart w:id="1065" w:name="bookmark10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061"/>
      <w:bookmarkEnd w:id="1062"/>
      <w:bookmarkEnd w:id="106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-1,786,676.19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-2,697,223.67</w:t>
            </w:r>
          </w:p>
        </w:tc>
      </w:tr>
      <w:tr>
        <w:trPr>
          <w:trHeight w:val="710"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持有至到期投资取得的投资收益期间取得的投资 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1,795,068.49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824,383.56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3,242,535.62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163,730.14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持有至到期投资取得的投资收益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1,229,880.71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4,480,808.63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-1,709,109.97</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(2</w:t>
      </w:r>
      <w:r>
        <w:rPr>
          <w:color w:val="000000"/>
          <w:spacing w:val="0"/>
          <w:w w:val="100"/>
          <w:position w:val="0"/>
        </w:rPr>
        <w:t>)按权益法核算的长期股权投资收益</w:t>
      </w:r>
      <w:bookmarkEnd w:id="1066"/>
      <w:bookmarkEnd w:id="1067"/>
      <w:bookmarkEnd w:id="106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28"/>
        <w:gridCol w:w="1997"/>
        <w:gridCol w:w="1723"/>
        <w:gridCol w:w="293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深圳市拜特科技股份有限公司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-1,728,667.21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-1,492,298.19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被投资单位净利润变动</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广东同望科技股份有限公司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-58,008.98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-1,204,925.48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被投资单位净利润变动</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-1,786,676.19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-2,697,223.67</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深圳市拜特科技股份有限公司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年度实现净利润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,519,809.08</w:t>
      </w:r>
      <w:r>
        <w:rPr>
          <w:color w:val="000000"/>
          <w:spacing w:val="0"/>
          <w:w w:val="100"/>
          <w:position w:val="0"/>
        </w:rPr>
        <w:t>元，根据深圳市义达会计师事务所有限责任公司对深圳 市拜特科技股份有限公司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年度财务报表年初数的会计差错更正调整，调减年初留存收益</w:t>
      </w:r>
      <w:r>
        <w:rPr>
          <w:rFonts w:ascii="Times New Roman" w:eastAsia="Times New Roman" w:hAnsi="Times New Roman" w:cs="Times New Roman"/>
          <w:color w:val="000000"/>
          <w:spacing w:val="0"/>
          <w:w w:val="100"/>
          <w:position w:val="0"/>
        </w:rPr>
        <w:t>10,689,970.94</w:t>
      </w:r>
      <w:r>
        <w:rPr>
          <w:color w:val="000000"/>
          <w:spacing w:val="0"/>
          <w:w w:val="100"/>
          <w:position w:val="0"/>
        </w:rPr>
        <w:t>元，公司当年投资 收益</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1,519,809.08-10,689,970.94</w:t>
      </w:r>
      <w:r>
        <w:rPr>
          <w:color w:val="000000"/>
          <w:spacing w:val="0"/>
          <w:w w:val="100"/>
          <w:position w:val="0"/>
        </w:rPr>
        <w:t>)</w:t>
      </w:r>
      <w:r>
        <w:rPr>
          <w:rFonts w:ascii="Times New Roman" w:eastAsia="Times New Roman" w:hAnsi="Times New Roman" w:cs="Times New Roman"/>
          <w:color w:val="000000"/>
          <w:spacing w:val="0"/>
          <w:w w:val="100"/>
          <w:position w:val="0"/>
        </w:rPr>
        <w:t xml:space="preserve">*18.851%=-1,728,667.21 </w:t>
      </w:r>
      <w:r>
        <w:rPr>
          <w:color w:val="000000"/>
          <w:spacing w:val="0"/>
          <w:w w:val="100"/>
          <w:position w:val="0"/>
        </w:rPr>
        <w:t>元。</w:t>
      </w:r>
    </w:p>
    <w:p>
      <w:pPr>
        <w:pStyle w:val="Style35"/>
        <w:keepNext w:val="0"/>
        <w:keepLines w:val="0"/>
        <w:widowControl w:val="0"/>
        <w:shd w:val="clear" w:color="auto" w:fill="auto"/>
        <w:bidi w:val="0"/>
        <w:spacing w:before="0" w:after="360" w:line="311" w:lineRule="exact"/>
        <w:ind w:left="0" w:right="0"/>
        <w:jc w:val="both"/>
      </w:pPr>
      <w:r>
        <w:rPr>
          <w:color w:val="000000"/>
          <w:spacing w:val="0"/>
          <w:w w:val="100"/>
          <w:position w:val="0"/>
        </w:rPr>
        <w:t>广东同望科技股份有限公司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年度实现净利润</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,573,919.66</w:t>
      </w:r>
      <w:r>
        <w:rPr>
          <w:color w:val="000000"/>
          <w:spacing w:val="0"/>
          <w:w w:val="100"/>
          <w:position w:val="0"/>
        </w:rPr>
        <w:t>元，根据大华会计师事务所(特殊普通合伙)对广东同望 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年度财务报表年初数的会计差错更正调整，调减年初未分配利润</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,858,976.07</w:t>
      </w:r>
      <w:r>
        <w:rPr>
          <w:color w:val="000000"/>
          <w:spacing w:val="0"/>
          <w:w w:val="100"/>
          <w:position w:val="0"/>
        </w:rPr>
        <w:t>元，公司当年投资收益</w:t>
      </w:r>
      <w:r>
        <w:rPr>
          <w:rFonts w:ascii="Times New Roman" w:eastAsia="Times New Roman" w:hAnsi="Times New Roman" w:cs="Times New Roman"/>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rPr>
        <w:t>2,573,919.66-2,858,976.07</w:t>
      </w:r>
      <w:r>
        <w:rPr>
          <w:color w:val="000000"/>
          <w:spacing w:val="0"/>
          <w:w w:val="100"/>
          <w:position w:val="0"/>
        </w:rPr>
        <w:t>)</w:t>
      </w:r>
      <w:r>
        <w:rPr>
          <w:rFonts w:ascii="Times New Roman" w:eastAsia="Times New Roman" w:hAnsi="Times New Roman" w:cs="Times New Roman"/>
          <w:color w:val="000000"/>
          <w:spacing w:val="0"/>
          <w:w w:val="100"/>
          <w:position w:val="0"/>
        </w:rPr>
        <w:t>*20.35%=-58,008.98</w:t>
      </w:r>
      <w:r>
        <w:rPr>
          <w:color w:val="000000"/>
          <w:spacing w:val="0"/>
          <w:w w:val="100"/>
          <w:position w:val="0"/>
        </w:rPr>
        <w:t>元。</w:t>
      </w:r>
    </w:p>
    <w:p>
      <w:pPr>
        <w:pStyle w:val="Style40"/>
        <w:keepNext/>
        <w:keepLines/>
        <w:widowControl w:val="0"/>
        <w:shd w:val="clear" w:color="auto" w:fill="auto"/>
        <w:bidi w:val="0"/>
        <w:spacing w:before="0" w:after="360" w:line="240"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3</w:t>
      </w:r>
      <w:bookmarkEnd w:id="1071"/>
      <w:r>
        <w:rPr>
          <w:rFonts w:ascii="Times New Roman" w:eastAsia="Times New Roman" w:hAnsi="Times New Roman" w:cs="Times New Roman"/>
          <w:color w:val="000000"/>
          <w:spacing w:val="0"/>
          <w:w w:val="100"/>
          <w:position w:val="0"/>
        </w:rPr>
        <w:t>7</w:t>
      </w:r>
      <w:r>
        <w:rPr>
          <w:color w:val="000000"/>
          <w:spacing w:val="0"/>
          <w:w w:val="100"/>
          <w:position w:val="0"/>
        </w:rPr>
        <w:t>、资产减值损失</w:t>
      </w:r>
      <w:bookmarkEnd w:id="1069"/>
      <w:bookmarkEnd w:id="1070"/>
      <w:bookmarkEnd w:id="107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2525"/>
        <w:gridCol w:w="279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1,061,016.61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1,116,421.93</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2,971,594.34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1,579,894.16</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4,032,610.95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2,696,316.09</w:t>
            </w:r>
          </w:p>
        </w:tc>
      </w:tr>
    </w:tbl>
    <w:p>
      <w:pPr>
        <w:spacing w:lineRule="exact" w:line="1"/>
        <w:rPr>
          <w:sz w:val="2"/>
          <w:szCs w:val="2"/>
        </w:rPr>
      </w:pPr>
      <w:r>
        <w:br w:type="page"/>
      </w:r>
    </w:p>
    <w:p>
      <w:pPr>
        <w:pStyle w:val="Style40"/>
        <w:keepNext/>
        <w:keepLines/>
        <w:widowControl w:val="0"/>
        <w:shd w:val="clear" w:color="auto" w:fill="auto"/>
        <w:bidi w:val="0"/>
        <w:spacing w:before="0" w:after="32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3</w:t>
      </w:r>
      <w:bookmarkEnd w:id="1075"/>
      <w:r>
        <w:rPr>
          <w:rFonts w:ascii="Times New Roman" w:eastAsia="Times New Roman" w:hAnsi="Times New Roman" w:cs="Times New Roman"/>
          <w:color w:val="000000"/>
          <w:spacing w:val="0"/>
          <w:w w:val="100"/>
          <w:position w:val="0"/>
        </w:rPr>
        <w:t>8</w:t>
      </w:r>
      <w:r>
        <w:rPr>
          <w:color w:val="000000"/>
          <w:spacing w:val="0"/>
          <w:w w:val="100"/>
          <w:position w:val="0"/>
        </w:rPr>
        <w:t>、营业外收入</w:t>
      </w:r>
      <w:bookmarkEnd w:id="1073"/>
      <w:bookmarkEnd w:id="1074"/>
      <w:bookmarkEnd w:id="1076"/>
    </w:p>
    <w:p>
      <w:pPr>
        <w:pStyle w:val="Style40"/>
        <w:keepNext/>
        <w:keepLines/>
        <w:widowControl w:val="0"/>
        <w:shd w:val="clear" w:color="auto" w:fill="auto"/>
        <w:bidi w:val="0"/>
        <w:spacing w:before="0" w:after="380" w:line="240" w:lineRule="auto"/>
        <w:ind w:left="0" w:right="0" w:firstLine="0"/>
        <w:jc w:val="left"/>
      </w:pPr>
      <w:bookmarkStart w:id="1073" w:name="bookmark1073"/>
      <w:bookmarkStart w:id="1074" w:name="bookmark1074"/>
      <w:bookmarkStart w:id="1077" w:name="bookmark10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073"/>
      <w:bookmarkEnd w:id="1074"/>
      <w:bookmarkEnd w:id="107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954"/>
        <w:gridCol w:w="2160"/>
        <w:gridCol w:w="217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937.16</w:t>
            </w:r>
          </w:p>
        </w:tc>
      </w:tr>
      <w:tr>
        <w:trPr>
          <w:trHeight w:val="398"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937.16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937.16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2,303,946.16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8,918,765.00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2,303,946.16</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无法支付的款项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276,453.66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276,453.66</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5,416,272.13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5,694,734.95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22,584.14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34,198.82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22,584.14</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8,020,193.25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14,647,698.77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2,603,921.12</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078"/>
      <w:bookmarkEnd w:id="1079"/>
      <w:bookmarkEnd w:id="108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1560"/>
        <w:gridCol w:w="1488"/>
        <w:gridCol w:w="1915"/>
        <w:gridCol w:w="192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企业扶持资金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w:t>
            </w:r>
            <w:r>
              <w:rPr>
                <w:rFonts w:ascii="Times New Roman" w:eastAsia="Times New Roman" w:hAnsi="Times New Roman" w:cs="Times New Roman"/>
                <w:color w:val="000000"/>
                <w:spacing w:val="0"/>
                <w:w w:val="100"/>
                <w:position w:val="0"/>
              </w:rPr>
              <w:t>“</w:t>
            </w:r>
            <w:r>
              <w:rPr>
                <w:color w:val="000000"/>
                <w:spacing w:val="0"/>
                <w:w w:val="100"/>
                <w:position w:val="0"/>
              </w:rPr>
              <w:t>物流港</w:t>
            </w:r>
            <w:r>
              <w:rPr>
                <w:rFonts w:ascii="Times New Roman" w:eastAsia="Times New Roman" w:hAnsi="Times New Roman" w:cs="Times New Roman"/>
                <w:color w:val="000000"/>
                <w:spacing w:val="0"/>
                <w:w w:val="100"/>
                <w:position w:val="0"/>
              </w:rPr>
              <w:t>”</w:t>
            </w:r>
            <w:r>
              <w:rPr>
                <w:color w:val="000000"/>
                <w:spacing w:val="0"/>
                <w:w w:val="100"/>
                <w:position w:val="0"/>
              </w:rPr>
              <w:t>的研发与示范应用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年度海南省电子信息产业发 展专项资金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中关村商标奖励、著作权补贴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海淀区促进产学研合作专项</w:t>
            </w:r>
            <w:r>
              <w:rPr>
                <w:rFonts w:ascii="Times New Roman" w:eastAsia="Times New Roman" w:hAnsi="Times New Roman" w:cs="Times New Roman"/>
                <w:color w:val="000000"/>
                <w:spacing w:val="0"/>
                <w:w w:val="100"/>
                <w:position w:val="0"/>
              </w:rPr>
              <w:t>--</w:t>
            </w:r>
            <w:r>
              <w:rPr>
                <w:color w:val="000000"/>
                <w:spacing w:val="0"/>
                <w:w w:val="100"/>
                <w:position w:val="0"/>
              </w:rPr>
              <w:t>产 学研合作示范基地项目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基于新一代开发平台的集团管控 软件的升级改造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171,226.16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中介服务支持资金补贴款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基于企业内部控制基本规范的</w:t>
            </w:r>
            <w:r>
              <w:rPr>
                <w:rFonts w:ascii="Times New Roman" w:eastAsia="Times New Roman" w:hAnsi="Times New Roman" w:cs="Times New Roman"/>
                <w:color w:val="000000"/>
                <w:spacing w:val="0"/>
                <w:w w:val="100"/>
                <w:position w:val="0"/>
              </w:rPr>
              <w:t xml:space="preserve">IT </w:t>
            </w:r>
            <w:r>
              <w:rPr>
                <w:color w:val="000000"/>
                <w:spacing w:val="0"/>
                <w:w w:val="100"/>
                <w:position w:val="0"/>
              </w:rPr>
              <w:t>治理管理系统研发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专利申请资助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color w:val="000000"/>
                <w:spacing w:val="0"/>
                <w:w w:val="100"/>
                <w:position w:val="0"/>
              </w:rPr>
              <w:t>基于大规模成本分摊网络算法的</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ABC</w:t>
            </w:r>
            <w:r>
              <w:rPr>
                <w:color w:val="000000"/>
                <w:spacing w:val="0"/>
                <w:w w:val="100"/>
                <w:position w:val="0"/>
              </w:rPr>
              <w:t>作业成本分析系统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年北京市高新技术成果转化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海淀区企业研发中心研发投入补 贴项目立项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2698"/>
        <w:gridCol w:w="1560"/>
        <w:gridCol w:w="1488"/>
        <w:gridCol w:w="1915"/>
        <w:gridCol w:w="1920"/>
      </w:tblGrid>
      <w:tr>
        <w:trPr>
          <w:trHeight w:val="10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科技型中小企业技术创新基金无 偿资助项目《行政事业单位资产管 理系统》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rPr>
              <w:t>JAVA</w:t>
            </w:r>
            <w:r>
              <w:rPr>
                <w:color w:val="000000"/>
                <w:spacing w:val="0"/>
                <w:w w:val="100"/>
                <w:position w:val="0"/>
              </w:rPr>
              <w:t>的电子政务开发平台研 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rPr>
              <w:t>JAVA</w:t>
            </w:r>
            <w:r>
              <w:rPr>
                <w:color w:val="000000"/>
                <w:spacing w:val="0"/>
                <w:w w:val="100"/>
                <w:position w:val="0"/>
              </w:rPr>
              <w:t>的电子政务开发平台研 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年企业信息管理补助经费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科技型中小企业技术创新基金无 偿资助项目《久其企业集团综合信 息管理平台》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590,000.00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2,303,946.16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8,918,765.00</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3</w:t>
      </w:r>
      <w:bookmarkEnd w:id="1083"/>
      <w:r>
        <w:rPr>
          <w:rFonts w:ascii="Times New Roman" w:eastAsia="Times New Roman" w:hAnsi="Times New Roman" w:cs="Times New Roman"/>
          <w:color w:val="000000"/>
          <w:spacing w:val="0"/>
          <w:w w:val="100"/>
          <w:position w:val="0"/>
        </w:rPr>
        <w:t>9</w:t>
      </w:r>
      <w:r>
        <w:rPr>
          <w:color w:val="000000"/>
          <w:spacing w:val="0"/>
          <w:w w:val="100"/>
          <w:position w:val="0"/>
        </w:rPr>
        <w:t>、营业外支出</w:t>
      </w:r>
      <w:bookmarkEnd w:id="1081"/>
      <w:bookmarkEnd w:id="1082"/>
      <w:bookmarkEnd w:id="108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021"/>
        <w:gridCol w:w="1910"/>
        <w:gridCol w:w="1925"/>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计入当期非经常性损益</w:t>
            </w:r>
          </w:p>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的金额</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843,367.17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115,149.45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843,367.17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843,367.17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115,149.45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843,367.17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4,599.38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1,212.48</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1,844,579.65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119,748.83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1,844,579.65</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4</w:t>
      </w:r>
      <w:bookmarkEnd w:id="1087"/>
      <w:r>
        <w:rPr>
          <w:rFonts w:ascii="Times New Roman" w:eastAsia="Times New Roman" w:hAnsi="Times New Roman" w:cs="Times New Roman"/>
          <w:color w:val="000000"/>
          <w:spacing w:val="0"/>
          <w:w w:val="100"/>
          <w:position w:val="0"/>
        </w:rPr>
        <w:t>0</w:t>
      </w:r>
      <w:r>
        <w:rPr>
          <w:color w:val="000000"/>
          <w:spacing w:val="0"/>
          <w:w w:val="100"/>
          <w:position w:val="0"/>
        </w:rPr>
        <w:t>、所得税费用</w:t>
      </w:r>
      <w:bookmarkEnd w:id="1085"/>
      <w:bookmarkEnd w:id="1086"/>
      <w:bookmarkEnd w:id="108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56"/>
        <w:gridCol w:w="252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4,171,324.56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3,500,226.08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60,640.81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-212,016.58</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4,231,965.37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3,288,209.50</w:t>
            </w:r>
          </w:p>
        </w:tc>
      </w:tr>
    </w:tbl>
    <w:p>
      <w:pPr>
        <w:widowControl w:val="0"/>
        <w:spacing w:after="299" w:line="1" w:lineRule="exact"/>
      </w:pPr>
    </w:p>
    <w:p>
      <w:pPr>
        <w:pStyle w:val="Style40"/>
        <w:keepNext/>
        <w:keepLines/>
        <w:widowControl w:val="0"/>
        <w:shd w:val="clear" w:color="auto" w:fill="auto"/>
        <w:bidi w:val="0"/>
        <w:spacing w:before="0" w:after="24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4</w:t>
      </w:r>
      <w:bookmarkEnd w:id="1091"/>
      <w:r>
        <w:rPr>
          <w:rFonts w:ascii="Times New Roman" w:eastAsia="Times New Roman" w:hAnsi="Times New Roman" w:cs="Times New Roman"/>
          <w:color w:val="000000"/>
          <w:spacing w:val="0"/>
          <w:w w:val="100"/>
          <w:position w:val="0"/>
        </w:rPr>
        <w:t>1</w:t>
      </w:r>
      <w:r>
        <w:rPr>
          <w:color w:val="000000"/>
          <w:spacing w:val="0"/>
          <w:w w:val="100"/>
          <w:position w:val="0"/>
        </w:rPr>
        <w:t>、基本每股收益和稀释每股收益的计算过程</w:t>
      </w:r>
      <w:bookmarkEnd w:id="1089"/>
      <w:bookmarkEnd w:id="1090"/>
      <w:bookmarkEnd w:id="1092"/>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34</w:t>
      </w:r>
      <w:r>
        <w:rPr>
          <w:color w:val="000000"/>
          <w:spacing w:val="0"/>
          <w:w w:val="100"/>
          <w:position w:val="0"/>
        </w:rPr>
        <w:t>号</w:t>
      </w:r>
      <w:r>
        <w:rPr>
          <w:color w:val="000000"/>
          <w:spacing w:val="0"/>
          <w:w w:val="100"/>
          <w:position w:val="0"/>
        </w:rPr>
        <w:t>一</w:t>
      </w:r>
      <w:r>
        <w:rPr>
          <w:color w:val="000000"/>
          <w:spacing w:val="0"/>
          <w:w w:val="100"/>
          <w:position w:val="0"/>
        </w:rPr>
        <w:t>每股收益》及《公开发行证券的公司信息披露编报规则第</w:t>
      </w:r>
      <w:r>
        <w:rPr>
          <w:rFonts w:ascii="Times New Roman" w:eastAsia="Times New Roman" w:hAnsi="Times New Roman" w:cs="Times New Roman"/>
          <w:color w:val="000000"/>
          <w:spacing w:val="0"/>
          <w:w w:val="100"/>
          <w:position w:val="0"/>
        </w:rPr>
        <w:t>9</w:t>
      </w:r>
      <w:r>
        <w:rPr>
          <w:color w:val="000000"/>
          <w:spacing w:val="0"/>
          <w:w w:val="100"/>
          <w:position w:val="0"/>
        </w:rPr>
        <w:t>号</w:t>
      </w:r>
      <w:r>
        <w:rPr>
          <w:color w:val="000000"/>
          <w:spacing w:val="0"/>
          <w:w w:val="100"/>
          <w:position w:val="0"/>
        </w:rPr>
        <w:t>一</w:t>
      </w:r>
      <w:r>
        <w:rPr>
          <w:color w:val="000000"/>
          <w:spacing w:val="0"/>
          <w:w w:val="100"/>
          <w:position w:val="0"/>
        </w:rPr>
        <w:t>净资产收益率和每股收 益的计算及披露》（</w:t>
      </w:r>
      <w:r>
        <w:rPr>
          <w:rFonts w:ascii="Times New Roman" w:eastAsia="Times New Roman" w:hAnsi="Times New Roman" w:cs="Times New Roman"/>
          <w:color w:val="000000"/>
          <w:spacing w:val="0"/>
          <w:w w:val="100"/>
          <w:position w:val="0"/>
        </w:rPr>
        <w:t>2010</w:t>
      </w:r>
      <w:r>
        <w:rPr>
          <w:color w:val="000000"/>
          <w:spacing w:val="0"/>
          <w:w w:val="100"/>
          <w:position w:val="0"/>
        </w:rPr>
        <w:t>年修订）的规定列示计算公式及相关数据的计算过程。）</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计算公式：</w:t>
      </w:r>
    </w:p>
    <w:p>
      <w:pPr>
        <w:pStyle w:val="Style35"/>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、基本每股收益</w:t>
      </w:r>
    </w:p>
    <w:p>
      <w:pPr>
        <w:pStyle w:val="Style35"/>
        <w:keepNext w:val="0"/>
        <w:keepLines w:val="0"/>
        <w:widowControl w:val="0"/>
        <w:shd w:val="clear" w:color="auto" w:fill="auto"/>
        <w:bidi w:val="0"/>
        <w:spacing w:before="0" w:line="317" w:lineRule="exact"/>
        <w:ind w:left="0" w:right="0"/>
        <w:jc w:val="both"/>
      </w:pPr>
      <w:r>
        <w:rPr>
          <w:color w:val="000000"/>
          <w:spacing w:val="0"/>
          <w:w w:val="100"/>
          <w:position w:val="0"/>
        </w:rPr>
        <w:t>基本每股收益</w:t>
      </w:r>
      <w:r>
        <w:rPr>
          <w:rFonts w:ascii="Times New Roman" w:eastAsia="Times New Roman" w:hAnsi="Times New Roman" w:cs="Times New Roman"/>
          <w:color w:val="000000"/>
          <w:spacing w:val="0"/>
          <w:w w:val="100"/>
          <w:position w:val="0"/>
        </w:rPr>
        <w:t>=P0+S</w:t>
      </w:r>
    </w:p>
    <w:p>
      <w:pPr>
        <w:pStyle w:val="Style27"/>
        <w:keepNext w:val="0"/>
        <w:keepLines w:val="0"/>
        <w:widowControl w:val="0"/>
        <w:shd w:val="clear" w:color="auto" w:fill="auto"/>
        <w:bidi w:val="0"/>
        <w:spacing w:before="0" w:after="300" w:line="360" w:lineRule="auto"/>
        <w:ind w:left="0" w:right="0" w:firstLine="380"/>
        <w:jc w:val="both"/>
      </w:pPr>
      <w:r>
        <w:rPr>
          <w:rFonts w:ascii="Times New Roman" w:eastAsia="Times New Roman" w:hAnsi="Times New Roman" w:cs="Times New Roman"/>
          <w:color w:val="000000"/>
          <w:spacing w:val="0"/>
          <w:w w:val="100"/>
          <w:position w:val="0"/>
        </w:rPr>
        <w:t>S= S0</w:t>
      </w:r>
      <w:r>
        <w:rPr>
          <w:color w:val="000000"/>
          <w:spacing w:val="0"/>
          <w:w w:val="100"/>
          <w:position w:val="0"/>
        </w:rPr>
        <w:t>+</w:t>
      </w:r>
      <w:r>
        <w:rPr>
          <w:rFonts w:ascii="Times New Roman" w:eastAsia="Times New Roman" w:hAnsi="Times New Roman" w:cs="Times New Roman"/>
          <w:color w:val="000000"/>
          <w:spacing w:val="0"/>
          <w:w w:val="100"/>
          <w:position w:val="0"/>
        </w:rPr>
        <w:t>S1</w:t>
      </w:r>
      <w:r>
        <w:rPr>
          <w:color w:val="000000"/>
          <w:spacing w:val="0"/>
          <w:w w:val="100"/>
          <w:position w:val="0"/>
        </w:rPr>
        <w:t>+</w:t>
      </w:r>
      <w:r>
        <w:rPr>
          <w:rFonts w:ascii="Times New Roman" w:eastAsia="Times New Roman" w:hAnsi="Times New Roman" w:cs="Times New Roman"/>
          <w:color w:val="000000"/>
          <w:spacing w:val="0"/>
          <w:w w:val="100"/>
          <w:position w:val="0"/>
        </w:rPr>
        <w:t>Si xMi-M0-SjxMj -M0-Sk</w:t>
      </w:r>
    </w:p>
    <w:p>
      <w:pPr>
        <w:pStyle w:val="Style35"/>
        <w:keepNext w:val="0"/>
        <w:keepLines w:val="0"/>
        <w:widowControl w:val="0"/>
        <w:shd w:val="clear" w:color="auto" w:fill="auto"/>
        <w:bidi w:val="0"/>
        <w:spacing w:before="0" w:after="0" w:line="318" w:lineRule="exact"/>
        <w:ind w:left="0" w:right="0"/>
        <w:jc w:val="both"/>
      </w:pPr>
      <w:r>
        <w:rPr>
          <w:color w:val="000000"/>
          <w:spacing w:val="0"/>
          <w:w w:val="100"/>
          <w:position w:val="0"/>
        </w:rPr>
        <w:t>其中：</w:t>
      </w:r>
      <w:r>
        <w:rPr>
          <w:rFonts w:ascii="Times New Roman" w:eastAsia="Times New Roman" w:hAnsi="Times New Roman" w:cs="Times New Roman"/>
          <w:color w:val="000000"/>
          <w:spacing w:val="0"/>
          <w:w w:val="100"/>
          <w:position w:val="0"/>
        </w:rPr>
        <w:t>P0</w:t>
      </w:r>
      <w:r>
        <w:rPr>
          <w:color w:val="000000"/>
          <w:spacing w:val="0"/>
          <w:w w:val="100"/>
          <w:position w:val="0"/>
        </w:rPr>
        <w:t>为归属于公司普通股股东的净利润或扣除非经常性损益后归属于普通股股东的净利润；</w:t>
      </w:r>
      <w:r>
        <w:rPr>
          <w:rFonts w:ascii="Times New Roman" w:eastAsia="Times New Roman" w:hAnsi="Times New Roman" w:cs="Times New Roman"/>
          <w:color w:val="000000"/>
          <w:spacing w:val="0"/>
          <w:w w:val="100"/>
          <w:position w:val="0"/>
        </w:rPr>
        <w:t>S</w:t>
      </w:r>
      <w:r>
        <w:rPr>
          <w:color w:val="000000"/>
          <w:spacing w:val="0"/>
          <w:w w:val="100"/>
          <w:position w:val="0"/>
        </w:rPr>
        <w:t>为发行在外的普通股 加权平均数；</w:t>
      </w:r>
      <w:r>
        <w:rPr>
          <w:rFonts w:ascii="Times New Roman" w:eastAsia="Times New Roman" w:hAnsi="Times New Roman" w:cs="Times New Roman"/>
          <w:color w:val="000000"/>
          <w:spacing w:val="0"/>
          <w:w w:val="100"/>
          <w:position w:val="0"/>
        </w:rPr>
        <w:t>S0</w:t>
      </w:r>
      <w:r>
        <w:rPr>
          <w:color w:val="000000"/>
          <w:spacing w:val="0"/>
          <w:w w:val="100"/>
          <w:position w:val="0"/>
        </w:rPr>
        <w:t>为期初股份总数；</w:t>
      </w:r>
      <w:r>
        <w:rPr>
          <w:rFonts w:ascii="Times New Roman" w:eastAsia="Times New Roman" w:hAnsi="Times New Roman" w:cs="Times New Roman"/>
          <w:color w:val="000000"/>
          <w:spacing w:val="0"/>
          <w:w w:val="100"/>
          <w:position w:val="0"/>
        </w:rPr>
        <w:t>S1</w:t>
      </w:r>
      <w:r>
        <w:rPr>
          <w:color w:val="000000"/>
          <w:spacing w:val="0"/>
          <w:w w:val="100"/>
          <w:position w:val="0"/>
        </w:rPr>
        <w:t>为报告期因公积金转增股本或股票股利分配等增加股份数；</w:t>
      </w:r>
      <w:r>
        <w:rPr>
          <w:rFonts w:ascii="Times New Roman" w:eastAsia="Times New Roman" w:hAnsi="Times New Roman" w:cs="Times New Roman"/>
          <w:color w:val="000000"/>
          <w:spacing w:val="0"/>
          <w:w w:val="100"/>
          <w:position w:val="0"/>
        </w:rPr>
        <w:t>Si</w:t>
      </w:r>
      <w:r>
        <w:rPr>
          <w:color w:val="000000"/>
          <w:spacing w:val="0"/>
          <w:w w:val="100"/>
          <w:position w:val="0"/>
        </w:rPr>
        <w:t>为报告期因发行新股或债 转股等增加股份数；</w:t>
      </w:r>
      <w:r>
        <w:rPr>
          <w:rFonts w:ascii="Times New Roman" w:eastAsia="Times New Roman" w:hAnsi="Times New Roman" w:cs="Times New Roman"/>
          <w:color w:val="000000"/>
          <w:spacing w:val="0"/>
          <w:w w:val="100"/>
          <w:position w:val="0"/>
        </w:rPr>
        <w:t>Sj</w:t>
      </w:r>
      <w:r>
        <w:rPr>
          <w:color w:val="000000"/>
          <w:spacing w:val="0"/>
          <w:w w:val="100"/>
          <w:position w:val="0"/>
        </w:rPr>
        <w:t>为报告期因回购等减少股份数；</w:t>
      </w:r>
      <w:r>
        <w:rPr>
          <w:rFonts w:ascii="Times New Roman" w:eastAsia="Times New Roman" w:hAnsi="Times New Roman" w:cs="Times New Roman"/>
          <w:color w:val="000000"/>
          <w:spacing w:val="0"/>
          <w:w w:val="100"/>
          <w:position w:val="0"/>
        </w:rPr>
        <w:t>Sk</w:t>
      </w:r>
      <w:r>
        <w:rPr>
          <w:color w:val="000000"/>
          <w:spacing w:val="0"/>
          <w:w w:val="100"/>
          <w:position w:val="0"/>
        </w:rPr>
        <w:t>为报告期缩股数；</w:t>
      </w:r>
      <w:r>
        <w:rPr>
          <w:rFonts w:ascii="Times New Roman" w:eastAsia="Times New Roman" w:hAnsi="Times New Roman" w:cs="Times New Roman"/>
          <w:color w:val="000000"/>
          <w:spacing w:val="0"/>
          <w:w w:val="100"/>
          <w:position w:val="0"/>
        </w:rPr>
        <w:t>M0</w:t>
      </w:r>
      <w:r>
        <w:rPr>
          <w:color w:val="000000"/>
          <w:spacing w:val="0"/>
          <w:w w:val="100"/>
          <w:position w:val="0"/>
        </w:rPr>
        <w:t>报告期月份数；</w:t>
      </w:r>
      <w:r>
        <w:rPr>
          <w:rFonts w:ascii="Times New Roman" w:eastAsia="Times New Roman" w:hAnsi="Times New Roman" w:cs="Times New Roman"/>
          <w:color w:val="000000"/>
          <w:spacing w:val="0"/>
          <w:w w:val="100"/>
          <w:position w:val="0"/>
        </w:rPr>
        <w:t>Mi</w:t>
      </w:r>
      <w:r>
        <w:rPr>
          <w:color w:val="000000"/>
          <w:spacing w:val="0"/>
          <w:w w:val="100"/>
          <w:position w:val="0"/>
        </w:rPr>
        <w:t>为增加股份次月起至报告 期期末的累计月数；</w:t>
      </w:r>
      <w:r>
        <w:rPr>
          <w:rFonts w:ascii="Times New Roman" w:eastAsia="Times New Roman" w:hAnsi="Times New Roman" w:cs="Times New Roman"/>
          <w:color w:val="000000"/>
          <w:spacing w:val="0"/>
          <w:w w:val="100"/>
          <w:position w:val="0"/>
        </w:rPr>
        <w:t>Mj</w:t>
      </w:r>
      <w:r>
        <w:rPr>
          <w:color w:val="000000"/>
          <w:spacing w:val="0"/>
          <w:w w:val="100"/>
          <w:position w:val="0"/>
        </w:rPr>
        <w:t>为减少股份次月起至报告期期末的累计月数。</w:t>
      </w:r>
    </w:p>
    <w:p>
      <w:pPr>
        <w:pStyle w:val="Style35"/>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、稀释每股收益</w:t>
      </w:r>
    </w:p>
    <w:p>
      <w:pPr>
        <w:pStyle w:val="Style35"/>
        <w:keepNext w:val="0"/>
        <w:keepLines w:val="0"/>
        <w:widowControl w:val="0"/>
        <w:shd w:val="clear" w:color="auto" w:fill="auto"/>
        <w:bidi w:val="0"/>
        <w:spacing w:before="0" w:after="80" w:line="316" w:lineRule="exact"/>
        <w:ind w:left="0" w:right="0"/>
        <w:jc w:val="both"/>
      </w:pPr>
      <w:r>
        <w:rPr>
          <w:color w:val="000000"/>
          <w:spacing w:val="0"/>
          <w:w w:val="100"/>
          <w:position w:val="0"/>
        </w:rPr>
        <w:t>稀释每股收益</w:t>
      </w:r>
      <w:r>
        <w:rPr>
          <w:rFonts w:ascii="Times New Roman" w:eastAsia="Times New Roman" w:hAnsi="Times New Roman" w:cs="Times New Roman"/>
          <w:color w:val="000000"/>
          <w:spacing w:val="0"/>
          <w:w w:val="100"/>
          <w:position w:val="0"/>
        </w:rPr>
        <w:t xml:space="preserve">=P1/(S0 </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S1 </w:t>
      </w:r>
      <w:r>
        <w:rPr>
          <w:color w:val="000000"/>
          <w:spacing w:val="0"/>
          <w:w w:val="100"/>
          <w:position w:val="0"/>
        </w:rPr>
        <w:t>+</w:t>
      </w:r>
      <w:r>
        <w:rPr>
          <w:rFonts w:ascii="Times New Roman" w:eastAsia="Times New Roman" w:hAnsi="Times New Roman" w:cs="Times New Roman"/>
          <w:color w:val="000000"/>
          <w:spacing w:val="0"/>
          <w:w w:val="100"/>
          <w:position w:val="0"/>
        </w:rPr>
        <w:t>SixMi+M0-SjxMj+M0-Sk+</w:t>
      </w:r>
      <w:r>
        <w:rPr>
          <w:color w:val="000000"/>
          <w:spacing w:val="0"/>
          <w:w w:val="100"/>
          <w:position w:val="0"/>
        </w:rPr>
        <w:t>认股权证、股份期权、可转换债券等增加的普通股加权平均数</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其中，</w:t>
      </w:r>
      <w:r>
        <w:rPr>
          <w:rFonts w:ascii="Times New Roman" w:eastAsia="Times New Roman" w:hAnsi="Times New Roman" w:cs="Times New Roman"/>
          <w:color w:val="000000"/>
          <w:spacing w:val="0"/>
          <w:w w:val="100"/>
          <w:position w:val="0"/>
        </w:rPr>
        <w:t>P1</w:t>
      </w:r>
      <w:r>
        <w:rPr>
          <w:color w:val="000000"/>
          <w:spacing w:val="0"/>
          <w:w w:val="100"/>
          <w:position w:val="0"/>
        </w:rPr>
        <w:t>为归属于公司普通股股东的净利润或扣除非经常性损益后归属于公司普通股股东的净利润，并考虑稀释性潜 在普通股对其影响，按《企业会计准则》及有关规定进行调整。公司在计算稀释每股收益时，应考虑所有稀释性潜在普通股 对归属于公司普通股股东的净利润或扣除非经常性损益后归属于公司普通股股东的净利润和加权平均股数的影响，按照其稀 释程度从大到小的顺序计入稀释每股收益，直至稀释每股收益达到最小值。</w:t>
      </w:r>
    </w:p>
    <w:p>
      <w:pPr>
        <w:pStyle w:val="Style33"/>
        <w:keepNext w:val="0"/>
        <w:keepLines w:val="0"/>
        <w:widowControl w:val="0"/>
        <w:shd w:val="clear" w:color="auto" w:fill="auto"/>
        <w:bidi w:val="0"/>
        <w:spacing w:before="0" w:after="0" w:line="240" w:lineRule="auto"/>
        <w:ind w:left="360" w:right="0" w:firstLine="0"/>
        <w:jc w:val="left"/>
      </w:pPr>
      <w:r>
        <w:rPr>
          <w:color w:val="000000"/>
          <w:spacing w:val="0"/>
          <w:w w:val="100"/>
          <w:position w:val="0"/>
        </w:rPr>
        <w:t>计算过程:</w:t>
      </w:r>
    </w:p>
    <w:tbl>
      <w:tblPr>
        <w:tblOverlap w:val="never"/>
        <w:jc w:val="center"/>
        <w:tblLayout w:type="fixed"/>
      </w:tblPr>
      <w:tblGrid>
        <w:gridCol w:w="5770"/>
        <w:gridCol w:w="802"/>
        <w:gridCol w:w="1608"/>
        <w:gridCol w:w="1498"/>
      </w:tblGrid>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00" w:firstLine="0"/>
              <w:jc w:val="right"/>
            </w:pPr>
            <w:r>
              <w:rPr>
                <w:color w:val="000000"/>
                <w:spacing w:val="0"/>
                <w:w w:val="100"/>
                <w:position w:val="0"/>
              </w:rPr>
              <w:t>上期发生额</w:t>
            </w:r>
          </w:p>
        </w:tc>
      </w:tr>
      <w:tr>
        <w:trPr>
          <w:trHeight w:val="4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归属于公司普通股股东的净利润</w:t>
            </w:r>
            <w:r>
              <w:rPr>
                <w:color w:val="000000"/>
                <w:spacing w:val="0"/>
                <w:w w:val="100"/>
                <w:position w:val="0"/>
              </w:rPr>
              <w:t>(</w:t>
            </w:r>
            <w:r>
              <w:rPr>
                <w:color w:val="000000"/>
                <w:spacing w:val="0"/>
                <w:w w:val="100"/>
                <w:position w:val="0"/>
                <w:sz w:val="18"/>
                <w:szCs w:val="18"/>
              </w:rPr>
              <w:t>I</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P0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560"/>
              <w:jc w:val="both"/>
            </w:pPr>
            <w:r>
              <w:rPr>
                <w:rFonts w:ascii="Times New Roman" w:eastAsia="Times New Roman" w:hAnsi="Times New Roman" w:cs="Times New Roman"/>
                <w:color w:val="000000"/>
                <w:spacing w:val="0"/>
                <w:w w:val="100"/>
                <w:position w:val="0"/>
              </w:rPr>
              <w:t>59,433,902.96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440"/>
              <w:jc w:val="both"/>
            </w:pPr>
            <w:r>
              <w:rPr>
                <w:rFonts w:ascii="Times New Roman" w:eastAsia="Times New Roman" w:hAnsi="Times New Roman" w:cs="Times New Roman"/>
                <w:color w:val="000000"/>
                <w:spacing w:val="0"/>
                <w:w w:val="100"/>
                <w:position w:val="0"/>
              </w:rPr>
              <w:t>19,533,232.88</w:t>
            </w:r>
          </w:p>
        </w:tc>
      </w:tr>
      <w:tr>
        <w:trPr>
          <w:trHeight w:val="41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扣除非经常性损益后归属于普通股股东的净利润</w:t>
            </w:r>
            <w:r>
              <w:rPr>
                <w:rFonts w:ascii="Times New Roman" w:eastAsia="Times New Roman" w:hAnsi="Times New Roman" w:cs="Times New Roman"/>
                <w:color w:val="000000"/>
                <w:spacing w:val="0"/>
                <w:w w:val="100"/>
                <w:position w:val="0"/>
              </w:rPr>
              <w:t>(II)</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P0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53,195,549.02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10,212,494.95</w:t>
            </w:r>
          </w:p>
        </w:tc>
      </w:tr>
      <w:tr>
        <w:trPr>
          <w:trHeight w:val="4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期初股份总数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175,795,305.00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109,872,066.00</w:t>
            </w:r>
          </w:p>
        </w:tc>
      </w:tr>
      <w:tr>
        <w:trPr>
          <w:trHeight w:val="4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报告期因公积金转增股本或股票股利分配等增加股份数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440"/>
              <w:jc w:val="both"/>
            </w:pPr>
            <w:r>
              <w:rPr>
                <w:rFonts w:ascii="Times New Roman" w:eastAsia="Times New Roman" w:hAnsi="Times New Roman" w:cs="Times New Roman"/>
                <w:color w:val="000000"/>
                <w:spacing w:val="0"/>
                <w:w w:val="100"/>
                <w:position w:val="0"/>
              </w:rPr>
              <w:t>65,923,239.00</w:t>
            </w:r>
          </w:p>
        </w:tc>
      </w:tr>
      <w:tr>
        <w:trPr>
          <w:trHeight w:val="4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报告期因发行新股或债转股等增加股份数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报告期因回购等减少股份数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Sk</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M0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4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增加股份次月起至报告期期末的累计月数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Mi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减少股份次月起至报告期期末的累计月数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Mj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发行在外的普通股加权平均数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460"/>
              <w:jc w:val="both"/>
            </w:pPr>
            <w:r>
              <w:rPr>
                <w:rFonts w:ascii="Times New Roman" w:eastAsia="Times New Roman" w:hAnsi="Times New Roman" w:cs="Times New Roman"/>
                <w:color w:val="000000"/>
                <w:spacing w:val="0"/>
                <w:w w:val="100"/>
                <w:position w:val="0"/>
              </w:rPr>
              <w:t>175,795,305.00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340"/>
              <w:jc w:val="both"/>
            </w:pPr>
            <w:r>
              <w:rPr>
                <w:rFonts w:ascii="Times New Roman" w:eastAsia="Times New Roman" w:hAnsi="Times New Roman" w:cs="Times New Roman"/>
                <w:color w:val="000000"/>
                <w:spacing w:val="0"/>
                <w:w w:val="100"/>
                <w:position w:val="0"/>
              </w:rPr>
              <w:t>175,795,305.00</w:t>
            </w:r>
          </w:p>
        </w:tc>
      </w:tr>
      <w:tr>
        <w:trPr>
          <w:trHeight w:val="4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left"/>
            </w:pPr>
            <w:r>
              <w:rPr>
                <w:color w:val="000000"/>
                <w:spacing w:val="0"/>
                <w:w w:val="100"/>
                <w:position w:val="0"/>
              </w:rPr>
              <w:t>基本每股收益</w:t>
            </w:r>
            <w:r>
              <w:rPr>
                <w:color w:val="000000"/>
                <w:spacing w:val="0"/>
                <w:w w:val="100"/>
                <w:position w:val="0"/>
              </w:rPr>
              <w:t>(</w:t>
            </w:r>
            <w:r>
              <w:rPr>
                <w:color w:val="000000"/>
                <w:spacing w:val="0"/>
                <w:w w:val="100"/>
                <w:position w:val="0"/>
                <w:sz w:val="18"/>
                <w:szCs w:val="18"/>
              </w:rPr>
              <w:t>I</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0.3381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0.1111</w:t>
            </w:r>
          </w:p>
        </w:tc>
      </w:tr>
      <w:tr>
        <w:trPr>
          <w:trHeight w:val="4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left"/>
            </w:pPr>
            <w:r>
              <w:rPr>
                <w:color w:val="000000"/>
                <w:spacing w:val="0"/>
                <w:w w:val="100"/>
                <w:position w:val="0"/>
              </w:rPr>
              <w:t>基本每股收益</w:t>
            </w:r>
            <w:r>
              <w:rPr>
                <w:rFonts w:ascii="Times New Roman" w:eastAsia="Times New Roman" w:hAnsi="Times New Roman" w:cs="Times New Roman"/>
                <w:color w:val="000000"/>
                <w:spacing w:val="0"/>
                <w:w w:val="100"/>
                <w:position w:val="0"/>
              </w:rPr>
              <w:t>(II)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0.3026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0.0581</w:t>
            </w:r>
          </w:p>
        </w:tc>
      </w:tr>
      <w:tr>
        <w:trPr>
          <w:trHeight w:val="4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调整后的归属于普通股股东的当期净利润</w:t>
            </w:r>
            <w:r>
              <w:rPr>
                <w:color w:val="000000"/>
                <w:spacing w:val="0"/>
                <w:w w:val="100"/>
                <w:position w:val="0"/>
              </w:rPr>
              <w:t>(</w:t>
            </w:r>
            <w:r>
              <w:rPr>
                <w:color w:val="000000"/>
                <w:spacing w:val="0"/>
                <w:w w:val="100"/>
                <w:position w:val="0"/>
                <w:sz w:val="18"/>
                <w:szCs w:val="18"/>
              </w:rPr>
              <w:t>I</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P1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调整后扣除非经常性损益后归属于普通股股东的净利润</w:t>
            </w:r>
            <w:r>
              <w:rPr>
                <w:rFonts w:ascii="Times New Roman" w:eastAsia="Times New Roman" w:hAnsi="Times New Roman" w:cs="Times New Roman"/>
                <w:color w:val="000000"/>
                <w:spacing w:val="0"/>
                <w:w w:val="100"/>
                <w:position w:val="0"/>
              </w:rPr>
              <w:t>(II)</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P1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认股权证、股份期权、可转换债券等增加的普通股加权平均数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稀释后的发行在外普通股的加权平均数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left"/>
            </w:pPr>
            <w:r>
              <w:rPr>
                <w:color w:val="000000"/>
                <w:spacing w:val="0"/>
                <w:w w:val="100"/>
                <w:position w:val="0"/>
              </w:rPr>
              <w:t>稀释每股收益</w:t>
            </w:r>
            <w:r>
              <w:rPr>
                <w:color w:val="000000"/>
                <w:spacing w:val="0"/>
                <w:w w:val="100"/>
                <w:position w:val="0"/>
              </w:rPr>
              <w:t>(</w:t>
            </w:r>
            <w:r>
              <w:rPr>
                <w:color w:val="000000"/>
                <w:spacing w:val="0"/>
                <w:w w:val="100"/>
                <w:position w:val="0"/>
                <w:sz w:val="18"/>
                <w:szCs w:val="18"/>
              </w:rPr>
              <w:t>I</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0.3381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0.1111</w:t>
            </w:r>
          </w:p>
        </w:tc>
      </w:tr>
      <w:tr>
        <w:trPr>
          <w:trHeight w:val="43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2180" w:right="0" w:firstLine="0"/>
              <w:jc w:val="left"/>
            </w:pPr>
            <w:r>
              <w:rPr>
                <w:color w:val="000000"/>
                <w:spacing w:val="0"/>
                <w:w w:val="100"/>
                <w:position w:val="0"/>
              </w:rPr>
              <w:t>稀释每股收益</w:t>
            </w:r>
            <w:r>
              <w:rPr>
                <w:rFonts w:ascii="Times New Roman" w:eastAsia="Times New Roman" w:hAnsi="Times New Roman" w:cs="Times New Roman"/>
                <w:color w:val="000000"/>
                <w:spacing w:val="0"/>
                <w:w w:val="100"/>
                <w:position w:val="0"/>
              </w:rPr>
              <w:t>(II)</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1100" w:right="0" w:firstLine="0"/>
              <w:jc w:val="both"/>
            </w:pPr>
            <w:r>
              <w:rPr>
                <w:rFonts w:ascii="Times New Roman" w:eastAsia="Times New Roman" w:hAnsi="Times New Roman" w:cs="Times New Roman"/>
                <w:color w:val="000000"/>
                <w:spacing w:val="0"/>
                <w:w w:val="100"/>
                <w:position w:val="0"/>
              </w:rPr>
              <w:t>0.3026</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0.0581</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4</w:t>
      </w:r>
      <w:bookmarkEnd w:id="1095"/>
      <w:r>
        <w:rPr>
          <w:rFonts w:ascii="Times New Roman" w:eastAsia="Times New Roman" w:hAnsi="Times New Roman" w:cs="Times New Roman"/>
          <w:color w:val="000000"/>
          <w:spacing w:val="0"/>
          <w:w w:val="100"/>
          <w:position w:val="0"/>
        </w:rPr>
        <w:t>2</w:t>
      </w:r>
      <w:r>
        <w:rPr>
          <w:color w:val="000000"/>
          <w:spacing w:val="0"/>
          <w:w w:val="100"/>
          <w:position w:val="0"/>
        </w:rPr>
        <w:t>、现金流量表附注</w:t>
      </w:r>
      <w:bookmarkEnd w:id="1093"/>
      <w:bookmarkEnd w:id="1094"/>
      <w:bookmarkEnd w:id="1096"/>
    </w:p>
    <w:p>
      <w:pPr>
        <w:pStyle w:val="Style40"/>
        <w:keepNext/>
        <w:keepLines/>
        <w:widowControl w:val="0"/>
        <w:shd w:val="clear" w:color="auto" w:fill="auto"/>
        <w:bidi w:val="0"/>
        <w:spacing w:before="0" w:after="360" w:line="240" w:lineRule="auto"/>
        <w:ind w:left="0" w:right="0" w:firstLine="0"/>
        <w:jc w:val="left"/>
      </w:pPr>
      <w:bookmarkStart w:id="1093" w:name="bookmark1093"/>
      <w:bookmarkStart w:id="1094" w:name="bookmark1094"/>
      <w:bookmarkStart w:id="1097" w:name="bookmark10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093"/>
      <w:bookmarkEnd w:id="1094"/>
      <w:bookmarkEnd w:id="1097"/>
    </w:p>
    <w:p>
      <w:pPr>
        <w:pStyle w:val="Style35"/>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5587"/>
        <w:gridCol w:w="399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2,132,720.00</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3,237,752.35</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18,023.00</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5,388,495.35</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098"/>
      <w:bookmarkEnd w:id="1099"/>
      <w:bookmarkEnd w:id="110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支付销售费用、管理费用和其它支出等付现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46,619,150.71</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46,619,150.71</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4</w:t>
      </w:r>
      <w:bookmarkEnd w:id="1103"/>
      <w:r>
        <w:rPr>
          <w:rFonts w:ascii="Times New Roman" w:eastAsia="Times New Roman" w:hAnsi="Times New Roman" w:cs="Times New Roman"/>
          <w:color w:val="000000"/>
          <w:spacing w:val="0"/>
          <w:w w:val="100"/>
          <w:position w:val="0"/>
        </w:rPr>
        <w:t>3</w:t>
      </w:r>
      <w:r>
        <w:rPr>
          <w:color w:val="000000"/>
          <w:spacing w:val="0"/>
          <w:w w:val="100"/>
          <w:position w:val="0"/>
        </w:rPr>
        <w:t>、现金流量表补充资料</w:t>
      </w:r>
      <w:bookmarkEnd w:id="1101"/>
      <w:bookmarkEnd w:id="1102"/>
      <w:bookmarkEnd w:id="1104"/>
    </w:p>
    <w:p>
      <w:pPr>
        <w:pStyle w:val="Style40"/>
        <w:keepNext/>
        <w:keepLines/>
        <w:widowControl w:val="0"/>
        <w:shd w:val="clear" w:color="auto" w:fill="auto"/>
        <w:bidi w:val="0"/>
        <w:spacing w:before="0" w:after="360" w:line="240" w:lineRule="auto"/>
        <w:ind w:left="0" w:right="0" w:firstLine="0"/>
        <w:jc w:val="left"/>
      </w:pPr>
      <w:bookmarkStart w:id="1101" w:name="bookmark1101"/>
      <w:bookmarkStart w:id="1102" w:name="bookmark1102"/>
      <w:bookmarkStart w:id="1105" w:name="bookmark11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101"/>
      <w:bookmarkEnd w:id="1102"/>
      <w:bookmarkEnd w:id="110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59,114,119.32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19,184,528.87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4,032,610.95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2,696,316.09</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9,240,257.27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8,942,459.51</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5,579,077.48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4,129,566.42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1,774,946.76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1,965,593.26</w:t>
            </w: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842,430.01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115,149.45</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-102,583.41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-685,791.77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-4,480,808.63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1,709,109.97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50,382.47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-280,595.76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10,258.34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68,579.18</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-691,057.00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-268,302.44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-15,484,319.16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-10,531,995.39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12,215,635.30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1,831,273.05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13,712,325.36</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72,100,949.70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42,588,215.80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4392"/>
        <w:gridCol w:w="2525"/>
        <w:gridCol w:w="2664"/>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225,233,358.80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227,967,441.43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227,967,441.43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336,015,003.39</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-2,734,082.63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-108,047,561.96</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left"/>
      </w:pPr>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106"/>
      <w:bookmarkEnd w:id="1107"/>
      <w:bookmarkEnd w:id="110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87"/>
        <w:gridCol w:w="2525"/>
        <w:gridCol w:w="266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225,233,358.80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227,967,441.43</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429,120.96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215,932.08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224,804,237.84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227,751,509.35</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225,233,358.80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227,967,441.43</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sz w:val="24"/>
          <w:szCs w:val="24"/>
        </w:rPr>
        <w:t>八</w:t>
      </w:r>
      <w:bookmarkEnd w:id="1111"/>
      <w:r>
        <w:rPr>
          <w:color w:val="000000"/>
          <w:spacing w:val="0"/>
          <w:w w:val="100"/>
          <w:position w:val="0"/>
          <w:sz w:val="24"/>
          <w:szCs w:val="24"/>
        </w:rPr>
        <w:t>、关联方及关联交易</w:t>
      </w:r>
      <w:bookmarkEnd w:id="1109"/>
      <w:bookmarkEnd w:id="1110"/>
      <w:bookmarkEnd w:id="1112"/>
    </w:p>
    <w:p>
      <w:pPr>
        <w:pStyle w:val="Style40"/>
        <w:keepNext/>
        <w:keepLines/>
        <w:widowControl w:val="0"/>
        <w:shd w:val="clear" w:color="auto" w:fill="auto"/>
        <w:bidi w:val="0"/>
        <w:spacing w:before="0" w:after="320" w:line="240" w:lineRule="auto"/>
        <w:ind w:left="0" w:right="0" w:firstLine="0"/>
        <w:jc w:val="left"/>
      </w:pPr>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113"/>
      <w:bookmarkEnd w:id="1114"/>
      <w:bookmarkEnd w:id="1115"/>
    </w:p>
    <w:tbl>
      <w:tblPr>
        <w:tblOverlap w:val="never"/>
        <w:jc w:val="center"/>
        <w:tblLayout w:type="fixed"/>
      </w:tblPr>
      <w:tblGrid>
        <w:gridCol w:w="874"/>
        <w:gridCol w:w="874"/>
        <w:gridCol w:w="869"/>
        <w:gridCol w:w="869"/>
        <w:gridCol w:w="869"/>
        <w:gridCol w:w="874"/>
        <w:gridCol w:w="869"/>
        <w:gridCol w:w="869"/>
        <w:gridCol w:w="869"/>
        <w:gridCol w:w="874"/>
        <w:gridCol w:w="869"/>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母公司对 本企业的 持股比例</w:t>
            </w:r>
          </w:p>
          <w:p>
            <w:pPr>
              <w:pStyle w:val="Style27"/>
              <w:keepNext w:val="0"/>
              <w:keepLines w:val="0"/>
              <w:widowControl w:val="0"/>
              <w:shd w:val="clear" w:color="auto" w:fill="auto"/>
              <w:bidi w:val="0"/>
              <w:spacing w:before="0" w:after="0" w:line="36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母公司对 本企业的 表决权比 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本企业最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终控制方</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组织机构 代码</w:t>
            </w:r>
          </w:p>
        </w:tc>
      </w:tr>
      <w:tr>
        <w:trPr>
          <w:trHeight w:val="10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北京久其 科技投资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有限责任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董泰湘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63361327</w:t>
              <w:softHyphen/>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董泰湘</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实际控制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实际控制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2</w:t>
      </w:r>
      <w:bookmarkEnd w:id="1118"/>
      <w:r>
        <w:rPr>
          <w:color w:val="000000"/>
          <w:spacing w:val="0"/>
          <w:w w:val="100"/>
          <w:position w:val="0"/>
        </w:rPr>
        <w:t>、本企业的子公司情况</w:t>
      </w:r>
      <w:bookmarkEnd w:id="1116"/>
      <w:bookmarkEnd w:id="1117"/>
      <w:bookmarkEnd w:id="1119"/>
    </w:p>
    <w:tbl>
      <w:tblPr>
        <w:tblOverlap w:val="never"/>
        <w:jc w:val="center"/>
        <w:tblLayout w:type="fixed"/>
      </w:tblPr>
      <w:tblGrid>
        <w:gridCol w:w="960"/>
        <w:gridCol w:w="955"/>
        <w:gridCol w:w="960"/>
        <w:gridCol w:w="955"/>
        <w:gridCol w:w="960"/>
        <w:gridCol w:w="955"/>
        <w:gridCol w:w="960"/>
        <w:gridCol w:w="955"/>
        <w:gridCol w:w="955"/>
        <w:gridCol w:w="965"/>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持股比例</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表决权比例</w:t>
            </w:r>
          </w:p>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组织机构代 码</w:t>
            </w:r>
          </w:p>
        </w:tc>
      </w:tr>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西安久其软 件有限公司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72998682-0</w:t>
            </w: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上海久其软 件有限公司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74269719-3</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成都久其软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74360794-6</w:t>
            </w:r>
          </w:p>
        </w:tc>
      </w:tr>
    </w:tbl>
    <w:p>
      <w:pPr>
        <w:widowControl w:val="0"/>
        <w:spacing w:line="1" w:lineRule="exact"/>
      </w:pPr>
      <w:r>
        <w:br w:type="page"/>
      </w:r>
    </w:p>
    <w:tbl>
      <w:tblPr>
        <w:tblOverlap w:val="never"/>
        <w:jc w:val="center"/>
        <w:tblLayout w:type="fixed"/>
      </w:tblPr>
      <w:tblGrid>
        <w:gridCol w:w="960"/>
        <w:gridCol w:w="955"/>
        <w:gridCol w:w="960"/>
        <w:gridCol w:w="955"/>
        <w:gridCol w:w="960"/>
        <w:gridCol w:w="955"/>
        <w:gridCol w:w="960"/>
        <w:gridCol w:w="955"/>
        <w:gridCol w:w="955"/>
        <w:gridCol w:w="965"/>
      </w:tblGrid>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广东久其软 件有限公司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郑建民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73409374-4</w:t>
            </w:r>
          </w:p>
        </w:tc>
      </w:tr>
      <w:tr>
        <w:trPr>
          <w:trHeight w:val="102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北京久其政 务软件股份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股份有限公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施瑞丰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78395382-7</w:t>
            </w: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100" w:line="240" w:lineRule="auto"/>
              <w:ind w:left="0" w:right="0" w:firstLine="0"/>
              <w:jc w:val="both"/>
            </w:pPr>
            <w:r>
              <w:rPr>
                <w:color w:val="000000"/>
                <w:spacing w:val="0"/>
                <w:w w:val="100"/>
                <w:position w:val="0"/>
              </w:rPr>
              <w:t>新疆久其科</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78466670-7</w:t>
            </w:r>
          </w:p>
        </w:tc>
      </w:tr>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重庆久其软 件有限公司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66892730-8</w:t>
            </w:r>
          </w:p>
        </w:tc>
      </w:tr>
      <w:tr>
        <w:trPr>
          <w:trHeight w:val="133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北京北邮中 望信息科技 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朱晓钧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72147971</w:t>
              <w:softHyphen/>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X</w:t>
            </w:r>
          </w:p>
        </w:tc>
      </w:tr>
      <w:tr>
        <w:trPr>
          <w:trHeight w:val="103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海南久其云 计算科技有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澄迈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59493309-3</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3</w:t>
      </w:r>
      <w:bookmarkEnd w:id="1122"/>
      <w:r>
        <w:rPr>
          <w:color w:val="000000"/>
          <w:spacing w:val="0"/>
          <w:w w:val="100"/>
          <w:position w:val="0"/>
        </w:rPr>
        <w:t>、本企业的合营和联营企业情况</w:t>
      </w:r>
      <w:bookmarkEnd w:id="1120"/>
      <w:bookmarkEnd w:id="1121"/>
      <w:bookmarkEnd w:id="1123"/>
    </w:p>
    <w:tbl>
      <w:tblPr>
        <w:tblOverlap w:val="never"/>
        <w:jc w:val="center"/>
        <w:tblLayout w:type="fixed"/>
      </w:tblPr>
      <w:tblGrid>
        <w:gridCol w:w="955"/>
        <w:gridCol w:w="955"/>
        <w:gridCol w:w="960"/>
        <w:gridCol w:w="955"/>
        <w:gridCol w:w="955"/>
        <w:gridCol w:w="960"/>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本企业持股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80" w:line="314" w:lineRule="exact"/>
              <w:ind w:left="0" w:right="0" w:firstLine="0"/>
              <w:jc w:val="center"/>
            </w:pPr>
            <w:r>
              <w:rPr>
                <w:color w:val="000000"/>
                <w:spacing w:val="0"/>
                <w:w w:val="100"/>
                <w:position w:val="0"/>
              </w:rPr>
              <w:t>本企业在被 投资单位表 决权比例</w:t>
            </w:r>
          </w:p>
          <w:p>
            <w:pPr>
              <w:pStyle w:val="Style27"/>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组织机构代 码</w:t>
            </w:r>
          </w:p>
        </w:tc>
      </w:tr>
      <w:tr>
        <w:trPr>
          <w:trHeight w:val="398" w:hRule="exact"/>
        </w:trPr>
        <w:tc>
          <w:tcPr>
            <w:gridSpan w:val="10"/>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0"/>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深圳市拜 特科技股 份有限公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胡德芳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2,785</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72617434-1</w:t>
            </w:r>
          </w:p>
        </w:tc>
      </w:tr>
      <w:tr>
        <w:trPr>
          <w:trHeight w:val="103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广东同望 科技股份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刘洪舟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5,529</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63283448-4</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4</w:t>
      </w:r>
      <w:bookmarkEnd w:id="1126"/>
      <w:r>
        <w:rPr>
          <w:color w:val="000000"/>
          <w:spacing w:val="0"/>
          <w:w w:val="100"/>
          <w:position w:val="0"/>
        </w:rPr>
        <w:t>、本企业的其他关联方情况</w:t>
      </w:r>
      <w:bookmarkEnd w:id="1124"/>
      <w:bookmarkEnd w:id="1125"/>
      <w:bookmarkEnd w:id="1127"/>
    </w:p>
    <w:tbl>
      <w:tblPr>
        <w:tblOverlap w:val="never"/>
        <w:jc w:val="center"/>
        <w:tblLayout w:type="fixed"/>
      </w:tblPr>
      <w:tblGrid>
        <w:gridCol w:w="3187"/>
        <w:gridCol w:w="3192"/>
        <w:gridCol w:w="320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北京久其移动商务科技有限公司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56748088-5</w:t>
            </w:r>
          </w:p>
        </w:tc>
      </w:tr>
    </w:tbl>
    <w:p>
      <w:pPr>
        <w:spacing w:lineRule="exact" w:line="1"/>
        <w:rPr>
          <w:sz w:val="2"/>
          <w:szCs w:val="2"/>
        </w:rPr>
      </w:pPr>
      <w:r>
        <w:br w:type="page"/>
      </w:r>
    </w:p>
    <w:p>
      <w:pPr>
        <w:pStyle w:val="Style40"/>
        <w:keepNext/>
        <w:keepLines/>
        <w:widowControl w:val="0"/>
        <w:shd w:val="clear" w:color="auto" w:fill="auto"/>
        <w:bidi w:val="0"/>
        <w:spacing w:before="0" w:after="320" w:line="240" w:lineRule="auto"/>
        <w:ind w:left="0" w:right="0" w:firstLine="0"/>
        <w:jc w:val="both"/>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5</w:t>
      </w:r>
      <w:bookmarkEnd w:id="1130"/>
      <w:r>
        <w:rPr>
          <w:color w:val="000000"/>
          <w:spacing w:val="0"/>
          <w:w w:val="100"/>
          <w:position w:val="0"/>
        </w:rPr>
        <w:t>、关联方交易</w:t>
      </w:r>
      <w:bookmarkEnd w:id="1128"/>
      <w:bookmarkEnd w:id="1129"/>
      <w:bookmarkEnd w:id="1131"/>
    </w:p>
    <w:p>
      <w:pPr>
        <w:pStyle w:val="Style40"/>
        <w:keepNext/>
        <w:keepLines/>
        <w:widowControl w:val="0"/>
        <w:shd w:val="clear" w:color="auto" w:fill="auto"/>
        <w:bidi w:val="0"/>
        <w:spacing w:before="0" w:after="320" w:line="240" w:lineRule="auto"/>
        <w:ind w:left="0" w:right="0" w:firstLine="0"/>
        <w:jc w:val="both"/>
      </w:pPr>
      <w:bookmarkStart w:id="1128" w:name="bookmark1128"/>
      <w:bookmarkStart w:id="1129" w:name="bookmark1129"/>
      <w:bookmarkStart w:id="1132" w:name="bookmark11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128"/>
      <w:bookmarkEnd w:id="1129"/>
      <w:bookmarkEnd w:id="113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339"/>
        <w:gridCol w:w="1498"/>
        <w:gridCol w:w="989"/>
        <w:gridCol w:w="1277"/>
        <w:gridCol w:w="1133"/>
        <w:gridCol w:w="135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关联交易定价方式 及决策程序</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占同类交易金 额的比例（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占同类交易金额 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深圳市拜特科技股份有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524,528.28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w:t>
            </w:r>
          </w:p>
        </w:tc>
      </w:tr>
      <w:tr>
        <w:trPr>
          <w:trHeight w:val="72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广东同望科技股份有限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434,140.00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both"/>
      </w:pPr>
      <w:bookmarkStart w:id="1133" w:name="bookmark1133"/>
      <w:bookmarkStart w:id="1134" w:name="bookmark1134"/>
      <w:bookmarkStart w:id="1135" w:name="bookmark11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133"/>
      <w:bookmarkEnd w:id="1134"/>
      <w:bookmarkEnd w:id="1135"/>
    </w:p>
    <w:p>
      <w:pPr>
        <w:pStyle w:val="Style3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公司出租情况表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3"/>
        <w:gridCol w:w="1368"/>
        <w:gridCol w:w="1238"/>
        <w:gridCol w:w="1502"/>
        <w:gridCol w:w="1478"/>
        <w:gridCol w:w="1262"/>
        <w:gridCol w:w="136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租赁终止日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租赁收益定价 依据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本报告期确认的 租赁收益</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北京久其软件股 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北京久其移动商 务科技有限公司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80,906.00</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136" w:name="bookmark1136"/>
      <w:bookmarkStart w:id="1137" w:name="bookmark1137"/>
      <w:bookmarkStart w:id="1138" w:name="bookmark1138"/>
      <w:bookmarkStart w:id="1139" w:name="bookmark1139"/>
      <w:r>
        <w:rPr>
          <w:color w:val="000000"/>
          <w:spacing w:val="0"/>
          <w:w w:val="100"/>
          <w:position w:val="0"/>
        </w:rPr>
        <w:t>（</w:t>
      </w:r>
      <w:bookmarkEnd w:id="1138"/>
      <w:r>
        <w:rPr>
          <w:rFonts w:ascii="Times New Roman" w:eastAsia="Times New Roman" w:hAnsi="Times New Roman" w:cs="Times New Roman"/>
          <w:color w:val="000000"/>
          <w:spacing w:val="0"/>
          <w:w w:val="100"/>
          <w:position w:val="0"/>
        </w:rPr>
        <w:t>3</w:t>
      </w:r>
      <w:r>
        <w:rPr>
          <w:color w:val="000000"/>
          <w:spacing w:val="0"/>
          <w:w w:val="100"/>
          <w:position w:val="0"/>
        </w:rPr>
        <w:t>）其他关联交易</w:t>
      </w:r>
      <w:bookmarkEnd w:id="1136"/>
      <w:bookmarkEnd w:id="1137"/>
      <w:bookmarkEnd w:id="1139"/>
    </w:p>
    <w:p>
      <w:pPr>
        <w:pStyle w:val="Style3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w:t>
      </w:r>
    </w:p>
    <w:p>
      <w:pPr>
        <w:pStyle w:val="Style33"/>
        <w:keepNext w:val="0"/>
        <w:keepLines w:val="0"/>
        <w:widowControl w:val="0"/>
        <w:shd w:val="clear" w:color="auto" w:fill="auto"/>
        <w:bidi w:val="0"/>
        <w:spacing w:before="0" w:after="0" w:line="240" w:lineRule="auto"/>
        <w:ind w:left="9456" w:right="0" w:firstLine="0"/>
        <w:jc w:val="left"/>
      </w:pPr>
      <w:r>
        <w:rPr>
          <w:color w:val="000000"/>
          <w:spacing w:val="0"/>
          <w:w w:val="100"/>
          <w:position w:val="0"/>
        </w:rPr>
        <w:t>元</w:t>
      </w:r>
    </w:p>
    <w:tbl>
      <w:tblPr>
        <w:tblOverlap w:val="never"/>
        <w:jc w:val="center"/>
        <w:tblLayout w:type="fixed"/>
      </w:tblPr>
      <w:tblGrid>
        <w:gridCol w:w="3346"/>
        <w:gridCol w:w="2280"/>
        <w:gridCol w:w="2102"/>
        <w:gridCol w:w="1949"/>
      </w:tblGrid>
      <w:tr>
        <w:trPr>
          <w:trHeight w:val="4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关联业务内容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上期发生额</w:t>
            </w:r>
          </w:p>
        </w:tc>
      </w:tr>
      <w:tr>
        <w:trPr>
          <w:trHeight w:val="4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北京久其移动商务科技有限公司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代收代缴网络宽带费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13,207.55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3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北京久其移动商务科技有限公司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color w:val="000000"/>
                <w:spacing w:val="0"/>
                <w:w w:val="100"/>
                <w:position w:val="0"/>
              </w:rPr>
              <w:t>代收代缴电费</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6,645.30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6</w:t>
      </w:r>
      <w:bookmarkEnd w:id="1142"/>
      <w:r>
        <w:rPr>
          <w:color w:val="000000"/>
          <w:spacing w:val="0"/>
          <w:w w:val="100"/>
          <w:position w:val="0"/>
        </w:rPr>
        <w:t>、关联方应收应付款项</w:t>
      </w:r>
      <w:bookmarkEnd w:id="1140"/>
      <w:bookmarkEnd w:id="1141"/>
      <w:bookmarkEnd w:id="1143"/>
    </w:p>
    <w:p>
      <w:pPr>
        <w:pStyle w:val="Style3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上市公司应付关联方款项</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2256"/>
        <w:gridCol w:w="2256"/>
        <w:gridCol w:w="227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广东同望科技股份有限公司</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136,140.00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sz w:val="24"/>
          <w:szCs w:val="24"/>
        </w:rPr>
        <w:t>九</w:t>
      </w:r>
      <w:bookmarkEnd w:id="1146"/>
      <w:r>
        <w:rPr>
          <w:color w:val="000000"/>
          <w:spacing w:val="0"/>
          <w:w w:val="100"/>
          <w:position w:val="0"/>
          <w:sz w:val="24"/>
          <w:szCs w:val="24"/>
        </w:rPr>
        <w:t>、股份支付</w:t>
      </w:r>
      <w:bookmarkEnd w:id="1144"/>
      <w:bookmarkEnd w:id="1145"/>
      <w:bookmarkEnd w:id="1147"/>
    </w:p>
    <w:p>
      <w:pPr>
        <w:pStyle w:val="Style40"/>
        <w:keepNext/>
        <w:keepLines/>
        <w:widowControl w:val="0"/>
        <w:shd w:val="clear" w:color="auto" w:fill="auto"/>
        <w:bidi w:val="0"/>
        <w:spacing w:before="0" w:after="360" w:line="240" w:lineRule="auto"/>
        <w:ind w:left="0" w:right="0" w:firstLine="0"/>
        <w:jc w:val="left"/>
      </w:pPr>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148"/>
      <w:bookmarkEnd w:id="1149"/>
      <w:bookmarkEnd w:id="115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3,763,200.00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公司期末发行在外的股份期权行权价格的范围和 合同剩余期限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不适用（已全部失效）</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公司期末其他权益工具行权价格的范围和合同剩 余期限</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151"/>
      <w:bookmarkEnd w:id="1152"/>
      <w:bookmarkEnd w:id="115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Black-Scholes</w:t>
            </w:r>
            <w:r>
              <w:rPr>
                <w:color w:val="000000"/>
                <w:spacing w:val="0"/>
                <w:w w:val="100"/>
                <w:position w:val="0"/>
              </w:rPr>
              <w:t>期权定价模型</w:t>
            </w:r>
          </w:p>
        </w:tc>
      </w:tr>
      <w:tr>
        <w:trPr>
          <w:trHeight w:val="16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对可行权权益工具数量的最佳估计的确定方法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left"/>
            </w:pPr>
            <w:r>
              <w:rPr>
                <w:color w:val="000000"/>
                <w:spacing w:val="0"/>
                <w:w w:val="100"/>
                <w:position w:val="0"/>
              </w:rPr>
              <w:t>在等待期内每个资产负债表日，企业应当根据最新取得的可 行权职工人数变动等后续信息作出最佳估计，修正预计可行 权的权益工具数量，并以此为依据确认各期应分摊的费用。</w:t>
            </w:r>
          </w:p>
          <w:p>
            <w:pPr>
              <w:pStyle w:val="Style27"/>
              <w:keepNext w:val="0"/>
              <w:keepLines w:val="0"/>
              <w:widowControl w:val="0"/>
              <w:shd w:val="clear" w:color="auto" w:fill="auto"/>
              <w:bidi w:val="0"/>
              <w:spacing w:before="0" w:after="0" w:line="309" w:lineRule="exact"/>
              <w:ind w:left="0" w:right="0" w:firstLine="0"/>
              <w:jc w:val="left"/>
            </w:pPr>
            <w:r>
              <w:rPr>
                <w:color w:val="000000"/>
                <w:spacing w:val="0"/>
                <w:w w:val="100"/>
                <w:position w:val="0"/>
              </w:rPr>
              <w:t>在可行权日，最终预计可行权权益工具的数量应当与实际可 行权工具的数量一致。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资本公积中以权益结算的股份支付的累计金额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17,869,633.82</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以权益结算的股份支付确认的费用总额</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17,869,633.82</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3</w:t>
      </w:r>
      <w:bookmarkEnd w:id="1156"/>
      <w:r>
        <w:rPr>
          <w:color w:val="000000"/>
          <w:spacing w:val="0"/>
          <w:w w:val="100"/>
          <w:position w:val="0"/>
        </w:rPr>
        <w:t>、以股份支付服务情况</w:t>
      </w:r>
      <w:bookmarkEnd w:id="1154"/>
      <w:bookmarkEnd w:id="1155"/>
      <w:bookmarkEnd w:id="115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以股份支付换取的职工服务总额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17,869,633.82</w:t>
            </w:r>
          </w:p>
        </w:tc>
      </w:tr>
      <w:tr>
        <w:trPr>
          <w:trHeight w:val="413"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以股份支付换取的其他服务总额</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40"/>
        <w:keepNext/>
        <w:keepLines/>
        <w:widowControl w:val="0"/>
        <w:shd w:val="clear" w:color="auto" w:fill="auto"/>
        <w:bidi w:val="0"/>
        <w:spacing w:before="0" w:after="30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4</w:t>
      </w:r>
      <w:bookmarkEnd w:id="1160"/>
      <w:r>
        <w:rPr>
          <w:color w:val="000000"/>
          <w:spacing w:val="0"/>
          <w:w w:val="100"/>
          <w:position w:val="0"/>
        </w:rPr>
        <w:t>、股份支付的修改、终止情况</w:t>
      </w:r>
      <w:bookmarkEnd w:id="1158"/>
      <w:bookmarkEnd w:id="1159"/>
      <w:bookmarkEnd w:id="1161"/>
    </w:p>
    <w:p>
      <w:pPr>
        <w:pStyle w:val="Style35"/>
        <w:keepNext w:val="0"/>
        <w:keepLines w:val="0"/>
        <w:widowControl w:val="0"/>
        <w:shd w:val="clear" w:color="auto" w:fill="auto"/>
        <w:bidi w:val="0"/>
        <w:spacing w:before="0" w:after="0" w:line="314" w:lineRule="exact"/>
        <w:ind w:left="0" w:right="0" w:firstLine="0"/>
        <w:jc w:val="left"/>
      </w:pPr>
      <w:r>
        <w:rPr>
          <w:b/>
          <w:bCs/>
          <w:color w:val="000000"/>
          <w:spacing w:val="0"/>
          <w:w w:val="100"/>
          <w:position w:val="0"/>
          <w:sz w:val="20"/>
          <w:szCs w:val="20"/>
        </w:rPr>
        <w:t>（</w:t>
      </w:r>
      <w:r>
        <w:rPr>
          <w:b/>
          <w:bCs/>
          <w:color w:val="000000"/>
          <w:spacing w:val="0"/>
          <w:w w:val="100"/>
          <w:position w:val="0"/>
        </w:rPr>
        <w:t>一）股权激励计划行权期失效情况</w:t>
      </w:r>
    </w:p>
    <w:p>
      <w:pPr>
        <w:pStyle w:val="Style35"/>
        <w:keepNext w:val="0"/>
        <w:keepLines w:val="0"/>
        <w:widowControl w:val="0"/>
        <w:shd w:val="clear" w:color="auto" w:fill="auto"/>
        <w:tabs>
          <w:tab w:pos="834" w:val="left"/>
        </w:tabs>
        <w:bidi w:val="0"/>
        <w:spacing w:before="0" w:after="0" w:line="314" w:lineRule="exact"/>
        <w:ind w:left="0" w:right="0"/>
        <w:jc w:val="both"/>
      </w:pPr>
      <w:bookmarkStart w:id="1162" w:name="bookmark1162"/>
      <w:r>
        <w:rPr>
          <w:b/>
          <w:bCs/>
          <w:color w:val="000000"/>
          <w:spacing w:val="0"/>
          <w:w w:val="100"/>
          <w:position w:val="0"/>
        </w:rPr>
        <w:t>（</w:t>
      </w:r>
      <w:bookmarkEnd w:id="1162"/>
      <w:r>
        <w:rPr>
          <w:rFonts w:ascii="Times New Roman" w:eastAsia="Times New Roman" w:hAnsi="Times New Roman" w:cs="Times New Roman"/>
          <w:b/>
          <w:bCs/>
          <w:color w:val="000000"/>
          <w:spacing w:val="0"/>
          <w:w w:val="100"/>
          <w:position w:val="0"/>
          <w:sz w:val="17"/>
          <w:szCs w:val="17"/>
        </w:rPr>
        <w:t>1</w:t>
      </w:r>
      <w:r>
        <w:rPr>
          <w:b/>
          <w:bCs/>
          <w:color w:val="000000"/>
          <w:spacing w:val="0"/>
          <w:w w:val="100"/>
          <w:position w:val="0"/>
        </w:rPr>
        <w:t>）</w:t>
        <w:tab/>
        <w:t>第一个行权期失效情况</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公司股权激励计划首期股票期权的第一个行权期已于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日期满，预留股票期权的第一个行权期已于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日期满。</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根据公司股权激励计划，并结合</w:t>
      </w:r>
      <w:r>
        <w:rPr>
          <w:rFonts w:ascii="Times New Roman" w:eastAsia="Times New Roman" w:hAnsi="Times New Roman" w:cs="Times New Roman"/>
          <w:color w:val="000000"/>
          <w:spacing w:val="0"/>
          <w:w w:val="100"/>
          <w:position w:val="0"/>
        </w:rPr>
        <w:t>2011</w:t>
      </w:r>
      <w:r>
        <w:rPr>
          <w:color w:val="000000"/>
          <w:spacing w:val="0"/>
          <w:w w:val="100"/>
          <w:position w:val="0"/>
        </w:rPr>
        <w:t>年度考核情况，第一个行权期的业绩指标和激励对象个人考核均已达标，但由于第 一个行权期内公司股票的二级市场价格一直低于行权价故无法实施行权，则首期及预留股票期权的第一个行权期逾期失效。</w:t>
      </w:r>
    </w:p>
    <w:p>
      <w:pPr>
        <w:pStyle w:val="Style35"/>
        <w:keepNext w:val="0"/>
        <w:keepLines w:val="0"/>
        <w:widowControl w:val="0"/>
        <w:shd w:val="clear" w:color="auto" w:fill="auto"/>
        <w:tabs>
          <w:tab w:pos="834" w:val="left"/>
        </w:tabs>
        <w:bidi w:val="0"/>
        <w:spacing w:before="0" w:after="300" w:line="314" w:lineRule="exact"/>
        <w:ind w:left="0" w:right="0"/>
        <w:jc w:val="both"/>
      </w:pPr>
      <w:bookmarkStart w:id="1163" w:name="bookmark1163"/>
      <w:r>
        <w:rPr>
          <w:b/>
          <w:bCs/>
          <w:color w:val="000000"/>
          <w:spacing w:val="0"/>
          <w:w w:val="100"/>
          <w:position w:val="0"/>
        </w:rPr>
        <w:t>（</w:t>
      </w:r>
      <w:bookmarkEnd w:id="1163"/>
      <w:r>
        <w:rPr>
          <w:rFonts w:ascii="Times New Roman" w:eastAsia="Times New Roman" w:hAnsi="Times New Roman" w:cs="Times New Roman"/>
          <w:b/>
          <w:bCs/>
          <w:color w:val="000000"/>
          <w:spacing w:val="0"/>
          <w:w w:val="100"/>
          <w:position w:val="0"/>
          <w:sz w:val="17"/>
          <w:szCs w:val="17"/>
        </w:rPr>
        <w:t>2</w:t>
      </w:r>
      <w:r>
        <w:rPr>
          <w:b/>
          <w:bCs/>
          <w:color w:val="000000"/>
          <w:spacing w:val="0"/>
          <w:w w:val="100"/>
          <w:position w:val="0"/>
        </w:rPr>
        <w:t>）</w:t>
        <w:tab/>
        <w:t>第二、第三个行权期失效情况</w:t>
      </w:r>
    </w:p>
    <w:p>
      <w:pPr>
        <w:pStyle w:val="Style35"/>
        <w:keepNext w:val="0"/>
        <w:keepLines w:val="0"/>
        <w:widowControl w:val="0"/>
        <w:shd w:val="clear" w:color="auto" w:fill="auto"/>
        <w:bidi w:val="0"/>
        <w:spacing w:before="0" w:after="0" w:line="308" w:lineRule="exact"/>
        <w:ind w:left="0" w:right="0"/>
        <w:jc w:val="both"/>
      </w:pPr>
      <w:r>
        <w:rPr>
          <w:color w:val="000000"/>
          <w:spacing w:val="0"/>
          <w:w w:val="100"/>
          <w:position w:val="0"/>
        </w:rPr>
        <w:t>公司股权激励计划</w:t>
      </w:r>
      <w:r>
        <w:rPr>
          <w:rFonts w:ascii="Times New Roman" w:eastAsia="Times New Roman" w:hAnsi="Times New Roman" w:cs="Times New Roman"/>
          <w:color w:val="000000"/>
          <w:spacing w:val="0"/>
          <w:w w:val="100"/>
          <w:position w:val="0"/>
        </w:rPr>
        <w:t>“</w:t>
      </w:r>
      <w:r>
        <w:rPr>
          <w:color w:val="000000"/>
          <w:spacing w:val="0"/>
          <w:w w:val="100"/>
          <w:position w:val="0"/>
        </w:rPr>
        <w:t>八、股票期权的获授条件、行权条件及行权安排（三）公司的业绩条件及其理由</w:t>
      </w:r>
      <w:r>
        <w:rPr>
          <w:rFonts w:ascii="Times New Roman" w:eastAsia="Times New Roman" w:hAnsi="Times New Roman" w:cs="Times New Roman"/>
          <w:color w:val="000000"/>
          <w:spacing w:val="0"/>
          <w:w w:val="100"/>
          <w:position w:val="0"/>
        </w:rPr>
        <w:t>1</w:t>
      </w:r>
      <w:r>
        <w:rPr>
          <w:color w:val="000000"/>
          <w:spacing w:val="0"/>
          <w:w w:val="100"/>
          <w:position w:val="0"/>
        </w:rPr>
        <w:t>、公司的业绩条 件</w:t>
      </w:r>
      <w:r>
        <w:rPr>
          <w:rFonts w:ascii="Times New Roman" w:eastAsia="Times New Roman" w:hAnsi="Times New Roman" w:cs="Times New Roman"/>
          <w:color w:val="000000"/>
          <w:spacing w:val="0"/>
          <w:w w:val="100"/>
          <w:position w:val="0"/>
        </w:rPr>
        <w:t>”</w:t>
      </w:r>
      <w:r>
        <w:rPr>
          <w:color w:val="000000"/>
          <w:spacing w:val="0"/>
          <w:w w:val="100"/>
          <w:position w:val="0"/>
        </w:rPr>
        <w:t>中对各年度业绩指标要求如下：</w:t>
      </w:r>
    </w:p>
    <w:p>
      <w:pPr>
        <w:pStyle w:val="Style35"/>
        <w:keepNext w:val="0"/>
        <w:keepLines w:val="0"/>
        <w:widowControl w:val="0"/>
        <w:numPr>
          <w:ilvl w:val="0"/>
          <w:numId w:val="47"/>
        </w:numPr>
        <w:shd w:val="clear" w:color="auto" w:fill="auto"/>
        <w:tabs>
          <w:tab w:pos="718" w:val="left"/>
        </w:tabs>
        <w:bidi w:val="0"/>
        <w:spacing w:before="0" w:after="0" w:line="308" w:lineRule="exact"/>
        <w:ind w:left="0" w:right="0"/>
        <w:jc w:val="both"/>
      </w:pPr>
      <w:bookmarkStart w:id="1164" w:name="bookmark1164"/>
      <w:bookmarkEnd w:id="1164"/>
      <w:r>
        <w:rPr>
          <w:color w:val="000000"/>
          <w:spacing w:val="0"/>
          <w:w w:val="100"/>
          <w:position w:val="0"/>
        </w:rPr>
        <w:t>股票期权等待期内，经审计的公司合并财务报告中各年度归属于上市公司股东的净利润及归属于上市公司股东的扣 除非经常性损益的净利润均不得低于授予日前最近三个会计年度的平均水平且不得为负。</w:t>
      </w:r>
    </w:p>
    <w:p>
      <w:pPr>
        <w:pStyle w:val="Style35"/>
        <w:keepNext w:val="0"/>
        <w:keepLines w:val="0"/>
        <w:widowControl w:val="0"/>
        <w:numPr>
          <w:ilvl w:val="0"/>
          <w:numId w:val="47"/>
        </w:numPr>
        <w:shd w:val="clear" w:color="auto" w:fill="auto"/>
        <w:tabs>
          <w:tab w:pos="728" w:val="left"/>
        </w:tabs>
        <w:bidi w:val="0"/>
        <w:spacing w:before="0" w:line="308" w:lineRule="exact"/>
        <w:ind w:left="0" w:right="0"/>
        <w:jc w:val="both"/>
      </w:pPr>
      <w:bookmarkStart w:id="1165" w:name="bookmark1165"/>
      <w:bookmarkEnd w:id="1165"/>
      <w:r>
        <w:rPr>
          <w:color w:val="000000"/>
          <w:spacing w:val="0"/>
          <w:w w:val="100"/>
          <w:position w:val="0"/>
        </w:rPr>
        <w:t xml:space="preserve">各行权期首个交易日的上一年度，经审计的加权平均净资产收益率（以扣除非经常性损益前后孰低者为准）不低于 </w:t>
      </w:r>
      <w:r>
        <w:rPr>
          <w:rFonts w:ascii="Times New Roman" w:eastAsia="Times New Roman" w:hAnsi="Times New Roman" w:cs="Times New Roman"/>
          <w:color w:val="000000"/>
          <w:spacing w:val="0"/>
          <w:w w:val="100"/>
          <w:position w:val="0"/>
        </w:rPr>
        <w:t>8%</w:t>
      </w:r>
      <w:r>
        <w:rPr>
          <w:color w:val="000000"/>
          <w:spacing w:val="0"/>
          <w:w w:val="100"/>
          <w:position w:val="0"/>
        </w:rPr>
        <w:t>。</w:t>
      </w:r>
    </w:p>
    <w:p>
      <w:pPr>
        <w:pStyle w:val="Style33"/>
        <w:keepNext w:val="0"/>
        <w:keepLines w:val="0"/>
        <w:widowControl w:val="0"/>
        <w:numPr>
          <w:ilvl w:val="0"/>
          <w:numId w:val="49"/>
        </w:numPr>
        <w:shd w:val="clear" w:color="auto" w:fill="auto"/>
        <w:tabs>
          <w:tab w:pos="634" w:val="left"/>
        </w:tabs>
        <w:bidi w:val="0"/>
        <w:spacing w:before="0" w:after="0" w:line="308" w:lineRule="exact"/>
        <w:ind w:left="0" w:right="0" w:firstLine="0"/>
        <w:jc w:val="left"/>
      </w:pPr>
      <w:r>
        <w:rPr>
          <w:color w:val="000000"/>
          <w:spacing w:val="0"/>
          <w:w w:val="100"/>
          <w:position w:val="0"/>
        </w:rPr>
        <w:t>各行权期首个交易日的上一年度，以</w:t>
      </w:r>
      <w:r>
        <w:rPr>
          <w:rFonts w:ascii="Times New Roman" w:eastAsia="Times New Roman" w:hAnsi="Times New Roman" w:cs="Times New Roman"/>
          <w:color w:val="000000"/>
          <w:spacing w:val="0"/>
          <w:w w:val="100"/>
          <w:position w:val="0"/>
        </w:rPr>
        <w:t>2010</w:t>
      </w:r>
      <w:r>
        <w:rPr>
          <w:color w:val="000000"/>
          <w:spacing w:val="0"/>
          <w:w w:val="100"/>
          <w:position w:val="0"/>
        </w:rPr>
        <w:t>年净利润为基数，相对于</w:t>
      </w:r>
      <w:r>
        <w:rPr>
          <w:rFonts w:ascii="Times New Roman" w:eastAsia="Times New Roman" w:hAnsi="Times New Roman" w:cs="Times New Roman"/>
          <w:color w:val="000000"/>
          <w:spacing w:val="0"/>
          <w:w w:val="100"/>
          <w:position w:val="0"/>
        </w:rPr>
        <w:t>2010</w:t>
      </w:r>
      <w:r>
        <w:rPr>
          <w:color w:val="000000"/>
          <w:spacing w:val="0"/>
          <w:w w:val="100"/>
          <w:position w:val="0"/>
        </w:rPr>
        <w:t>年度的净利润增长率不低于下表各个年度所 对应的百分比：</w:t>
      </w:r>
    </w:p>
    <w:tbl>
      <w:tblPr>
        <w:tblOverlap w:val="never"/>
        <w:jc w:val="center"/>
        <w:tblLayout w:type="fixed"/>
      </w:tblPr>
      <w:tblGrid>
        <w:gridCol w:w="2275"/>
        <w:gridCol w:w="1416"/>
        <w:gridCol w:w="1421"/>
        <w:gridCol w:w="1277"/>
        <w:gridCol w:w="1306"/>
      </w:tblGrid>
      <w:tr>
        <w:trPr>
          <w:trHeight w:val="4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1080" w:right="0" w:firstLine="0"/>
              <w:jc w:val="left"/>
            </w:pPr>
            <w:r>
              <w:rPr>
                <w:color w:val="000000"/>
                <w:spacing w:val="0"/>
                <w:w w:val="100"/>
                <w:position w:val="0"/>
              </w:rPr>
              <w:t>年度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6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较之</w:t>
            </w:r>
            <w:r>
              <w:rPr>
                <w:rFonts w:ascii="Times New Roman" w:eastAsia="Times New Roman" w:hAnsi="Times New Roman" w:cs="Times New Roman"/>
                <w:color w:val="000000"/>
                <w:spacing w:val="0"/>
                <w:w w:val="100"/>
                <w:position w:val="0"/>
              </w:rPr>
              <w:t>2 010</w:t>
            </w:r>
            <w:r>
              <w:rPr>
                <w:color w:val="000000"/>
                <w:spacing w:val="0"/>
                <w:w w:val="100"/>
                <w:position w:val="0"/>
              </w:rPr>
              <w:t>年净利润增长率</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30%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120%</w:t>
            </w:r>
          </w:p>
        </w:tc>
      </w:tr>
    </w:tbl>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授予日前三个会计年度</w:t>
      </w:r>
      <w:r>
        <w:rPr>
          <w:rFonts w:ascii="Times New Roman" w:eastAsia="Times New Roman" w:hAnsi="Times New Roman" w:cs="Times New Roman"/>
          <w:color w:val="000000"/>
          <w:spacing w:val="0"/>
          <w:w w:val="100"/>
          <w:position w:val="0"/>
        </w:rPr>
        <w:t>2010</w:t>
      </w:r>
      <w:r>
        <w:rPr>
          <w:color w:val="000000"/>
          <w:spacing w:val="0"/>
          <w:w w:val="100"/>
          <w:position w:val="0"/>
        </w:rPr>
        <w:t>、</w:t>
      </w:r>
      <w:r>
        <w:rPr>
          <w:rFonts w:ascii="Times New Roman" w:eastAsia="Times New Roman" w:hAnsi="Times New Roman" w:cs="Times New Roman"/>
          <w:color w:val="000000"/>
          <w:spacing w:val="0"/>
          <w:w w:val="100"/>
          <w:position w:val="0"/>
        </w:rPr>
        <w:t>2009</w:t>
      </w:r>
      <w:r>
        <w:rPr>
          <w:color w:val="000000"/>
          <w:spacing w:val="0"/>
          <w:w w:val="100"/>
          <w:position w:val="0"/>
        </w:rPr>
        <w:t>、</w:t>
      </w:r>
      <w:r>
        <w:rPr>
          <w:rFonts w:ascii="Times New Roman" w:eastAsia="Times New Roman" w:hAnsi="Times New Roman" w:cs="Times New Roman"/>
          <w:color w:val="000000"/>
          <w:spacing w:val="0"/>
          <w:w w:val="100"/>
          <w:position w:val="0"/>
        </w:rPr>
        <w:t>2008</w:t>
      </w:r>
      <w:r>
        <w:rPr>
          <w:color w:val="000000"/>
          <w:spacing w:val="0"/>
          <w:w w:val="100"/>
          <w:position w:val="0"/>
        </w:rPr>
        <w:t>年度扣除非经常性损益的净利润平均水平约为</w:t>
      </w:r>
      <w:r>
        <w:rPr>
          <w:rFonts w:ascii="Times New Roman" w:eastAsia="Times New Roman" w:hAnsi="Times New Roman" w:cs="Times New Roman"/>
          <w:color w:val="000000"/>
          <w:spacing w:val="0"/>
          <w:w w:val="100"/>
          <w:position w:val="0"/>
        </w:rPr>
        <w:t>4203</w:t>
      </w:r>
      <w:r>
        <w:rPr>
          <w:color w:val="000000"/>
          <w:spacing w:val="0"/>
          <w:w w:val="100"/>
          <w:position w:val="0"/>
        </w:rPr>
        <w:t>万元，第二个行权期考核年 度</w:t>
      </w:r>
      <w:r>
        <w:rPr>
          <w:rFonts w:ascii="Times New Roman" w:eastAsia="Times New Roman" w:hAnsi="Times New Roman" w:cs="Times New Roman"/>
          <w:color w:val="000000"/>
          <w:spacing w:val="0"/>
          <w:w w:val="100"/>
          <w:position w:val="0"/>
        </w:rPr>
        <w:t>2012</w:t>
      </w:r>
      <w:r>
        <w:rPr>
          <w:color w:val="000000"/>
          <w:spacing w:val="0"/>
          <w:w w:val="100"/>
          <w:position w:val="0"/>
        </w:rPr>
        <w:t>年度公司扣除非经常性损益后的净利润为</w:t>
      </w:r>
      <w:r>
        <w:rPr>
          <w:rFonts w:ascii="Times New Roman" w:eastAsia="Times New Roman" w:hAnsi="Times New Roman" w:cs="Times New Roman"/>
          <w:color w:val="000000"/>
          <w:spacing w:val="0"/>
          <w:w w:val="100"/>
          <w:position w:val="0"/>
        </w:rPr>
        <w:t>1021.25</w:t>
      </w:r>
      <w:r>
        <w:rPr>
          <w:color w:val="000000"/>
          <w:spacing w:val="0"/>
          <w:w w:val="100"/>
          <w:position w:val="0"/>
        </w:rPr>
        <w:t>万元，较</w:t>
      </w:r>
      <w:r>
        <w:rPr>
          <w:rFonts w:ascii="Times New Roman" w:eastAsia="Times New Roman" w:hAnsi="Times New Roman" w:cs="Times New Roman"/>
          <w:color w:val="000000"/>
          <w:spacing w:val="0"/>
          <w:w w:val="100"/>
          <w:position w:val="0"/>
        </w:rPr>
        <w:t>2 010</w:t>
      </w:r>
      <w:r>
        <w:rPr>
          <w:color w:val="000000"/>
          <w:spacing w:val="0"/>
          <w:w w:val="100"/>
          <w:position w:val="0"/>
        </w:rPr>
        <w:t>年度下降</w:t>
      </w:r>
      <w:r>
        <w:rPr>
          <w:rFonts w:ascii="Times New Roman" w:eastAsia="Times New Roman" w:hAnsi="Times New Roman" w:cs="Times New Roman"/>
          <w:color w:val="000000"/>
          <w:spacing w:val="0"/>
          <w:w w:val="100"/>
          <w:position w:val="0"/>
        </w:rPr>
        <w:t>76.41%</w:t>
      </w:r>
      <w:r>
        <w:rPr>
          <w:color w:val="000000"/>
          <w:spacing w:val="0"/>
          <w:w w:val="100"/>
          <w:position w:val="0"/>
        </w:rPr>
        <w:t>，且低于授予日前三个会计年度的平 均水平，导致公司股权激励计划第二和第三个行权期失效。</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鉴于公司股权激励计划行权期失效，公司向中国证券登记结算有限责任公司深圳分公司提交了注销股票期权的申请。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日，公司收到经中国证券登记结算有限责任公司深圳分公司审核确认的《注销证券结果报表》，股票期权注销 事宜已完成，共涉及人数</w:t>
      </w:r>
      <w:r>
        <w:rPr>
          <w:rFonts w:ascii="Times New Roman" w:eastAsia="Times New Roman" w:hAnsi="Times New Roman" w:cs="Times New Roman"/>
          <w:color w:val="000000"/>
          <w:spacing w:val="0"/>
          <w:w w:val="100"/>
          <w:position w:val="0"/>
        </w:rPr>
        <w:t>165</w:t>
      </w:r>
      <w:r>
        <w:rPr>
          <w:color w:val="000000"/>
          <w:spacing w:val="0"/>
          <w:w w:val="100"/>
          <w:position w:val="0"/>
        </w:rPr>
        <w:t>人，其中首次授予</w:t>
      </w:r>
      <w:r>
        <w:rPr>
          <w:rFonts w:ascii="Times New Roman" w:eastAsia="Times New Roman" w:hAnsi="Times New Roman" w:cs="Times New Roman"/>
          <w:color w:val="000000"/>
          <w:spacing w:val="0"/>
          <w:w w:val="100"/>
          <w:position w:val="0"/>
        </w:rPr>
        <w:t>126</w:t>
      </w:r>
      <w:r>
        <w:rPr>
          <w:color w:val="000000"/>
          <w:spacing w:val="0"/>
          <w:w w:val="100"/>
          <w:position w:val="0"/>
        </w:rPr>
        <w:t>人，预留授予</w:t>
      </w:r>
      <w:r>
        <w:rPr>
          <w:rFonts w:ascii="Times New Roman" w:eastAsia="Times New Roman" w:hAnsi="Times New Roman" w:cs="Times New Roman"/>
          <w:color w:val="000000"/>
          <w:spacing w:val="0"/>
          <w:w w:val="100"/>
          <w:position w:val="0"/>
        </w:rPr>
        <w:t>39</w:t>
      </w:r>
      <w:r>
        <w:rPr>
          <w:color w:val="000000"/>
          <w:spacing w:val="0"/>
          <w:w w:val="100"/>
          <w:position w:val="0"/>
        </w:rPr>
        <w:t>人；共涉及股票期权</w:t>
      </w:r>
      <w:r>
        <w:rPr>
          <w:rFonts w:ascii="Times New Roman" w:eastAsia="Times New Roman" w:hAnsi="Times New Roman" w:cs="Times New Roman"/>
          <w:color w:val="000000"/>
          <w:spacing w:val="0"/>
          <w:w w:val="100"/>
          <w:position w:val="0"/>
        </w:rPr>
        <w:t>1040</w:t>
      </w:r>
      <w:r>
        <w:rPr>
          <w:color w:val="000000"/>
          <w:spacing w:val="0"/>
          <w:w w:val="100"/>
          <w:position w:val="0"/>
        </w:rPr>
        <w:t>万份，其中首次授予股票期权</w:t>
      </w:r>
      <w:r>
        <w:rPr>
          <w:rFonts w:ascii="Times New Roman" w:eastAsia="Times New Roman" w:hAnsi="Times New Roman" w:cs="Times New Roman"/>
          <w:color w:val="000000"/>
          <w:spacing w:val="0"/>
          <w:w w:val="100"/>
          <w:position w:val="0"/>
        </w:rPr>
        <w:t xml:space="preserve">936 </w:t>
      </w:r>
      <w:r>
        <w:rPr>
          <w:color w:val="000000"/>
          <w:spacing w:val="0"/>
          <w:w w:val="100"/>
          <w:position w:val="0"/>
        </w:rPr>
        <w:t>万份，预留授予股票期权</w:t>
      </w:r>
      <w:r>
        <w:rPr>
          <w:rFonts w:ascii="Times New Roman" w:eastAsia="Times New Roman" w:hAnsi="Times New Roman" w:cs="Times New Roman"/>
          <w:color w:val="000000"/>
          <w:spacing w:val="0"/>
          <w:w w:val="100"/>
          <w:position w:val="0"/>
        </w:rPr>
        <w:t>104</w:t>
      </w:r>
      <w:r>
        <w:rPr>
          <w:color w:val="000000"/>
          <w:spacing w:val="0"/>
          <w:w w:val="100"/>
          <w:position w:val="0"/>
        </w:rPr>
        <w:t>万份。</w:t>
      </w:r>
    </w:p>
    <w:p>
      <w:pPr>
        <w:pStyle w:val="Style35"/>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b/>
          <w:bCs/>
          <w:color w:val="000000"/>
          <w:spacing w:val="0"/>
          <w:w w:val="100"/>
          <w:position w:val="0"/>
          <w:sz w:val="17"/>
          <w:szCs w:val="17"/>
        </w:rPr>
        <w:t>（</w:t>
      </w:r>
      <w:r>
        <w:rPr>
          <w:b/>
          <w:bCs/>
          <w:color w:val="000000"/>
          <w:spacing w:val="0"/>
          <w:w w:val="100"/>
          <w:position w:val="0"/>
        </w:rPr>
        <w:t>二</w:t>
      </w:r>
      <w:r>
        <w:rPr>
          <w:b/>
          <w:bCs/>
          <w:color w:val="000000"/>
          <w:spacing w:val="0"/>
          <w:w w:val="100"/>
          <w:position w:val="0"/>
          <w:sz w:val="18"/>
          <w:szCs w:val="18"/>
        </w:rPr>
        <w:t>）</w:t>
      </w:r>
      <w:r>
        <w:rPr>
          <w:b/>
          <w:bCs/>
          <w:color w:val="000000"/>
          <w:spacing w:val="0"/>
          <w:w w:val="100"/>
          <w:position w:val="0"/>
        </w:rPr>
        <w:t>法律意见书的结论性意见</w:t>
      </w:r>
    </w:p>
    <w:p>
      <w:pPr>
        <w:pStyle w:val="Style35"/>
        <w:keepNext w:val="0"/>
        <w:keepLines w:val="0"/>
        <w:widowControl w:val="0"/>
        <w:shd w:val="clear" w:color="auto" w:fill="auto"/>
        <w:bidi w:val="0"/>
        <w:spacing w:before="0" w:after="340" w:line="313" w:lineRule="exact"/>
        <w:ind w:left="0" w:right="0"/>
        <w:jc w:val="both"/>
      </w:pPr>
      <w:r>
        <w:rPr>
          <w:color w:val="000000"/>
          <w:spacing w:val="0"/>
          <w:w w:val="100"/>
          <w:position w:val="0"/>
        </w:rPr>
        <w:t>北京市万商天勤律师事务所就该行权期失效并注销已授予股票期权的事项进行了核查和验证，并出具了法律意见书，认 为：久其软件本次期权失效及注销履行了必要的法律程序，本次期权失效及注销符合《上市公司股权激励管理办法》（试行）、 《股权激励有关事项备忘录</w:t>
      </w:r>
      <w:r>
        <w:rPr>
          <w:rFonts w:ascii="Times New Roman" w:eastAsia="Times New Roman" w:hAnsi="Times New Roman" w:cs="Times New Roman"/>
          <w:color w:val="000000"/>
          <w:spacing w:val="0"/>
          <w:w w:val="100"/>
          <w:position w:val="0"/>
        </w:rPr>
        <w:t>1</w:t>
      </w:r>
      <w:r>
        <w:rPr>
          <w:color w:val="000000"/>
          <w:spacing w:val="0"/>
          <w:w w:val="100"/>
          <w:position w:val="0"/>
        </w:rPr>
        <w:t>号》、《股权激励有关事项备忘录</w:t>
      </w:r>
      <w:r>
        <w:rPr>
          <w:rFonts w:ascii="Times New Roman" w:eastAsia="Times New Roman" w:hAnsi="Times New Roman" w:cs="Times New Roman"/>
          <w:color w:val="000000"/>
          <w:spacing w:val="0"/>
          <w:w w:val="100"/>
          <w:position w:val="0"/>
        </w:rPr>
        <w:t>2</w:t>
      </w:r>
      <w:r>
        <w:rPr>
          <w:color w:val="000000"/>
          <w:spacing w:val="0"/>
          <w:w w:val="100"/>
          <w:position w:val="0"/>
        </w:rPr>
        <w:t>号》和《股权激励有关事项备忘录</w:t>
      </w:r>
      <w:r>
        <w:rPr>
          <w:rFonts w:ascii="Times New Roman" w:eastAsia="Times New Roman" w:hAnsi="Times New Roman" w:cs="Times New Roman"/>
          <w:color w:val="000000"/>
          <w:spacing w:val="0"/>
          <w:w w:val="100"/>
          <w:position w:val="0"/>
        </w:rPr>
        <w:t>3</w:t>
      </w:r>
      <w:r>
        <w:rPr>
          <w:color w:val="000000"/>
          <w:spacing w:val="0"/>
          <w:w w:val="100"/>
          <w:position w:val="0"/>
        </w:rPr>
        <w:t>号》以及公司股票期权 激励计划的规定。</w:t>
      </w:r>
    </w:p>
    <w:p>
      <w:pPr>
        <w:pStyle w:val="Style31"/>
        <w:keepNext/>
        <w:keepLines/>
        <w:widowControl w:val="0"/>
        <w:shd w:val="clear" w:color="auto" w:fill="auto"/>
        <w:bidi w:val="0"/>
        <w:spacing w:before="0" w:after="340" w:line="240" w:lineRule="auto"/>
        <w:ind w:left="0" w:right="0" w:firstLine="0"/>
        <w:jc w:val="left"/>
      </w:pPr>
      <w:bookmarkStart w:id="1166" w:name="bookmark1166"/>
      <w:bookmarkStart w:id="1167" w:name="bookmark1167"/>
      <w:bookmarkStart w:id="1168" w:name="bookmark1168"/>
      <w:r>
        <w:rPr>
          <w:color w:val="000000"/>
          <w:spacing w:val="0"/>
          <w:w w:val="100"/>
          <w:position w:val="0"/>
          <w:sz w:val="24"/>
          <w:szCs w:val="24"/>
        </w:rPr>
        <w:t>十、资产负债表日后事项</w:t>
      </w:r>
      <w:bookmarkEnd w:id="1166"/>
      <w:bookmarkEnd w:id="1167"/>
      <w:bookmarkEnd w:id="1168"/>
    </w:p>
    <w:p>
      <w:pPr>
        <w:pStyle w:val="Style40"/>
        <w:keepNext/>
        <w:keepLines/>
        <w:widowControl w:val="0"/>
        <w:shd w:val="clear" w:color="auto" w:fill="auto"/>
        <w:bidi w:val="0"/>
        <w:spacing w:before="0" w:after="340" w:line="240" w:lineRule="auto"/>
        <w:ind w:left="0" w:right="0" w:firstLine="0"/>
        <w:jc w:val="left"/>
      </w:pPr>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1</w:t>
      </w:r>
      <w:r>
        <w:rPr>
          <w:color w:val="000000"/>
          <w:spacing w:val="0"/>
          <w:w w:val="100"/>
          <w:position w:val="0"/>
        </w:rPr>
        <w:t>、资产负债表日后利润分配情况说明</w:t>
      </w:r>
      <w:bookmarkEnd w:id="1169"/>
      <w:bookmarkEnd w:id="1170"/>
      <w:bookmarkEnd w:id="117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31,643,154.90</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31,643,154.90</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172"/>
      <w:bookmarkEnd w:id="1173"/>
      <w:bookmarkEnd w:id="1174"/>
    </w:p>
    <w:p>
      <w:pPr>
        <w:pStyle w:val="Style3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日，除上述事项，本公司无需要披露的资产负债表日后事项。</w:t>
      </w:r>
    </w:p>
    <w:p>
      <w:pPr>
        <w:pStyle w:val="Style31"/>
        <w:keepNext/>
        <w:keepLines/>
        <w:widowControl w:val="0"/>
        <w:shd w:val="clear" w:color="auto" w:fill="auto"/>
        <w:bidi w:val="0"/>
        <w:spacing w:before="0" w:after="340" w:line="240" w:lineRule="auto"/>
        <w:ind w:left="0" w:right="0" w:firstLine="0"/>
        <w:jc w:val="left"/>
      </w:pPr>
      <w:bookmarkStart w:id="1175" w:name="bookmark1175"/>
      <w:bookmarkStart w:id="1176" w:name="bookmark1176"/>
      <w:bookmarkStart w:id="1177" w:name="bookmark1177"/>
      <w:r>
        <w:rPr>
          <w:color w:val="000000"/>
          <w:spacing w:val="0"/>
          <w:w w:val="100"/>
          <w:position w:val="0"/>
          <w:sz w:val="24"/>
          <w:szCs w:val="24"/>
        </w:rPr>
        <w:t>十一、其他重要事项</w:t>
      </w:r>
      <w:bookmarkEnd w:id="1175"/>
      <w:bookmarkEnd w:id="1176"/>
      <w:bookmarkEnd w:id="1177"/>
    </w:p>
    <w:p>
      <w:pPr>
        <w:pStyle w:val="Style40"/>
        <w:keepNext/>
        <w:keepLines/>
        <w:widowControl w:val="0"/>
        <w:shd w:val="clear" w:color="auto" w:fill="auto"/>
        <w:bidi w:val="0"/>
        <w:spacing w:before="0" w:after="340" w:line="240" w:lineRule="auto"/>
        <w:ind w:left="0" w:right="0" w:firstLine="0"/>
        <w:jc w:val="left"/>
      </w:pPr>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w:t>
      </w:r>
      <w:bookmarkEnd w:id="1178"/>
      <w:bookmarkEnd w:id="1179"/>
      <w:bookmarkEnd w:id="1180"/>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63"/>
        <w:gridCol w:w="1522"/>
        <w:gridCol w:w="1522"/>
        <w:gridCol w:w="1522"/>
        <w:gridCol w:w="1522"/>
        <w:gridCol w:w="1531"/>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计入权益的累计公 允价值变动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bl>
    <w:p>
      <w:pPr>
        <w:widowControl w:val="0"/>
        <w:spacing w:line="1" w:lineRule="exact"/>
      </w:pPr>
      <w:r>
        <w:br w:type="page"/>
      </w:r>
    </w:p>
    <w:tbl>
      <w:tblPr>
        <w:tblOverlap w:val="never"/>
        <w:jc w:val="center"/>
        <w:tblLayout w:type="fixed"/>
      </w:tblPr>
      <w:tblGrid>
        <w:gridCol w:w="1963"/>
        <w:gridCol w:w="1522"/>
        <w:gridCol w:w="1522"/>
        <w:gridCol w:w="1522"/>
        <w:gridCol w:w="1522"/>
        <w:gridCol w:w="1531"/>
      </w:tblGrid>
      <w:tr>
        <w:trPr>
          <w:trHeight w:val="408"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9"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 变动计入当期损益的金 融资产(不含衍生金融资 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70,685,791.77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102,583.41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788,375.18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80,788,375.18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70,685,791.77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102,583.41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788,375.18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80,788,375.18</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70,685,791.77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102,583.41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788,375.18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80,788,375.18</w:t>
            </w:r>
          </w:p>
        </w:tc>
      </w:tr>
      <w:tr>
        <w:trPr>
          <w:trHeight w:val="413"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both"/>
      </w:pPr>
      <w:bookmarkStart w:id="1181" w:name="bookmark1181"/>
      <w:bookmarkStart w:id="1182" w:name="bookmark1182"/>
      <w:bookmarkStart w:id="1183" w:name="bookmark1183"/>
      <w:r>
        <w:rPr>
          <w:color w:val="000000"/>
          <w:spacing w:val="0"/>
          <w:w w:val="100"/>
          <w:position w:val="0"/>
          <w:sz w:val="24"/>
          <w:szCs w:val="24"/>
        </w:rPr>
        <w:t>十二、母公司财务报表主要项目注释</w:t>
      </w:r>
      <w:bookmarkEnd w:id="1181"/>
      <w:bookmarkEnd w:id="1182"/>
      <w:bookmarkEnd w:id="1183"/>
    </w:p>
    <w:p>
      <w:pPr>
        <w:pStyle w:val="Style40"/>
        <w:keepNext/>
        <w:keepLines/>
        <w:widowControl w:val="0"/>
        <w:shd w:val="clear" w:color="auto" w:fill="auto"/>
        <w:bidi w:val="0"/>
        <w:spacing w:before="0" w:after="320" w:line="240" w:lineRule="auto"/>
        <w:ind w:left="0" w:right="0" w:firstLine="0"/>
        <w:jc w:val="both"/>
      </w:pPr>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184"/>
      <w:bookmarkEnd w:id="1185"/>
      <w:bookmarkEnd w:id="1186"/>
    </w:p>
    <w:p>
      <w:pPr>
        <w:pStyle w:val="Style40"/>
        <w:keepNext/>
        <w:keepLines/>
        <w:widowControl w:val="0"/>
        <w:shd w:val="clear" w:color="auto" w:fill="auto"/>
        <w:bidi w:val="0"/>
        <w:spacing w:before="0" w:after="360" w:line="240" w:lineRule="auto"/>
        <w:ind w:left="0" w:right="0" w:firstLine="0"/>
        <w:jc w:val="both"/>
      </w:pPr>
      <w:bookmarkStart w:id="1184" w:name="bookmark1184"/>
      <w:bookmarkStart w:id="1185" w:name="bookmark1185"/>
      <w:bookmarkStart w:id="1187" w:name="bookmark11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184"/>
      <w:bookmarkEnd w:id="1185"/>
      <w:bookmarkEnd w:id="118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195"/>
        <w:gridCol w:w="773"/>
        <w:gridCol w:w="1085"/>
        <w:gridCol w:w="667"/>
        <w:gridCol w:w="1190"/>
        <w:gridCol w:w="667"/>
        <w:gridCol w:w="1330"/>
        <w:gridCol w:w="672"/>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按账龄分析法计提 坏账准备的应收账款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57,893,268.10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1,098,547.70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53,393,321.35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611,306.58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1.14%</w:t>
            </w: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内部及关联方应收 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613,669.29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2,316,456.00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58,506,937.39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1,098,547.70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55,709,777.35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611,306.58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58,506,937.39</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1,098,547.70</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55,709,777.35</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611,306.58</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单项金额重大并单项计提坏账准备的应收账款指单笔金额为</w:t>
      </w:r>
      <w:r>
        <w:rPr>
          <w:rFonts w:ascii="Times New Roman" w:eastAsia="Times New Roman" w:hAnsi="Times New Roman" w:cs="Times New Roman"/>
          <w:color w:val="000000"/>
          <w:spacing w:val="0"/>
          <w:w w:val="100"/>
          <w:position w:val="0"/>
        </w:rPr>
        <w:t>200</w:t>
      </w:r>
      <w:r>
        <w:rPr>
          <w:color w:val="000000"/>
          <w:spacing w:val="0"/>
          <w:w w:val="100"/>
          <w:position w:val="0"/>
        </w:rPr>
        <w:t>万元以上的客户应收账款，经减值测试后不存在减值， 公司按账龄计提坏账准备；按账龄分析法计提坏账准备的应收账款是指经减值测试后不存在减值，公司按账龄分析法计提坏 账准备；对关联方的应收账款，除有确定依据表明无法收回全额计提减值准备外，不确认坏账准备。</w:t>
      </w:r>
    </w:p>
    <w:p>
      <w:pPr>
        <w:pStyle w:val="Style35"/>
        <w:keepNext w:val="0"/>
        <w:keepLines w:val="0"/>
        <w:widowControl w:val="0"/>
        <w:shd w:val="clear" w:color="auto" w:fill="auto"/>
        <w:bidi w:val="0"/>
        <w:spacing w:before="0" w:after="120" w:line="317" w:lineRule="exact"/>
        <w:ind w:left="0" w:right="0" w:firstLine="0"/>
        <w:jc w:val="both"/>
      </w:pPr>
      <w:r>
        <w:rPr>
          <w:color w:val="000000"/>
          <w:spacing w:val="0"/>
          <w:w w:val="100"/>
          <w:position w:val="0"/>
        </w:rPr>
        <w:t>期末单项金额重大并单项计提坏账准备的应收账款</w:t>
      </w:r>
    </w:p>
    <w:p>
      <w:pPr>
        <w:pStyle w:val="Style3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20" w:line="317" w:lineRule="exact"/>
        <w:ind w:left="0" w:right="0" w:firstLine="0"/>
        <w:jc w:val="both"/>
      </w:pPr>
      <w:r>
        <w:rPr>
          <w:color w:val="000000"/>
          <w:spacing w:val="0"/>
          <w:w w:val="100"/>
          <w:position w:val="0"/>
        </w:rPr>
        <w:t>组合中，采用账龄分析法计提坏账准备的应收账款</w:t>
      </w:r>
    </w:p>
    <w:p>
      <w:pPr>
        <w:pStyle w:val="Style3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997"/>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066"/>
        <w:gridCol w:w="1997"/>
        <w:gridCol w:w="662"/>
        <w:gridCol w:w="1464"/>
        <w:gridCol w:w="2126"/>
        <w:gridCol w:w="662"/>
        <w:gridCol w:w="1603"/>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47,735,555.10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46,790,186.75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6-12</w:t>
            </w:r>
            <w:r>
              <w:rPr>
                <w:color w:val="000000"/>
                <w:spacing w:val="0"/>
                <w:w w:val="100"/>
                <w:position w:val="0"/>
              </w:rPr>
              <w:t>个月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1,903,656.00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95,182.80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2,218,055.60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110,902.78</w:t>
            </w: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49,639,211.10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95,182.80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49,008,242.35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110,902.78</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6,590,829.00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659,082.90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3,593,694.00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359,369.40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1,431,400.00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214,710.00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576,980.00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86,547.00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127,820.00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25,564.00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199,897.00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39,979.40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104,008.00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104,008.00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14,508.00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14,508.00</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57,893,268.10</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1,098,547.70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53,393,321.35</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611,306.58</w:t>
            </w:r>
          </w:p>
        </w:tc>
      </w:tr>
    </w:tbl>
    <w:p>
      <w:pPr>
        <w:widowControl w:val="0"/>
        <w:spacing w:after="7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3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380" w:line="240" w:lineRule="auto"/>
        <w:ind w:left="0" w:right="0" w:firstLine="0"/>
        <w:jc w:val="left"/>
      </w:pPr>
      <w:bookmarkStart w:id="1188" w:name="bookmark1188"/>
      <w:bookmarkStart w:id="1189" w:name="bookmark1189"/>
      <w:bookmarkStart w:id="1190" w:name="bookmark11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)本报告期实际核销的应收账款情况</w:t>
      </w:r>
      <w:bookmarkEnd w:id="1188"/>
      <w:bookmarkEnd w:id="1189"/>
      <w:bookmarkEnd w:id="119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是否因关联交易产</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580,000.00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431,362.60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1,282,362.60</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0"/>
        <w:keepNext/>
        <w:keepLines/>
        <w:widowControl w:val="0"/>
        <w:numPr>
          <w:ilvl w:val="0"/>
          <w:numId w:val="51"/>
        </w:numPr>
        <w:shd w:val="clear" w:color="auto" w:fill="auto"/>
        <w:bidi w:val="0"/>
        <w:spacing w:before="0" w:after="380" w:line="240" w:lineRule="auto"/>
        <w:ind w:left="0" w:right="0" w:firstLine="0"/>
        <w:jc w:val="left"/>
      </w:pPr>
      <w:bookmarkStart w:id="1191" w:name="bookmark1191"/>
      <w:bookmarkStart w:id="1192" w:name="bookmark1192"/>
      <w:bookmarkStart w:id="1193" w:name="bookmark1193"/>
      <w:bookmarkStart w:id="1194" w:name="bookmark1194"/>
      <w:bookmarkEnd w:id="1193"/>
      <w:r>
        <w:rPr>
          <w:color w:val="000000"/>
          <w:spacing w:val="0"/>
          <w:w w:val="100"/>
          <w:position w:val="0"/>
        </w:rPr>
        <w:t>应收账款中金额前五名单位情况</w:t>
      </w:r>
      <w:bookmarkEnd w:id="1191"/>
      <w:bookmarkEnd w:id="1192"/>
      <w:bookmarkEnd w:id="119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占应收账款总额的比例</w:t>
            </w:r>
          </w:p>
        </w:tc>
      </w:tr>
    </w:tbl>
    <w:p>
      <w:pPr>
        <w:widowControl w:val="0"/>
        <w:spacing w:line="1" w:lineRule="exact"/>
      </w:pPr>
      <w:r>
        <w:br w:type="page"/>
      </w:r>
    </w:p>
    <w:tbl>
      <w:tblPr>
        <w:tblOverlap w:val="never"/>
        <w:jc w:val="center"/>
        <w:tblLayout w:type="fixed"/>
      </w:tblPr>
      <w:tblGrid>
        <w:gridCol w:w="1915"/>
        <w:gridCol w:w="1915"/>
        <w:gridCol w:w="1915"/>
        <w:gridCol w:w="1915"/>
        <w:gridCol w:w="192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7.69%</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2,930,000.00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5.01%</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2,908,000.00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4.97%</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2,545,300.00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4.35%</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2,465,400.00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4.21%</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15,348,700.00</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26.23%</w:t>
            </w:r>
          </w:p>
        </w:tc>
      </w:tr>
    </w:tbl>
    <w:p>
      <w:pPr>
        <w:widowControl w:val="0"/>
        <w:spacing w:after="319" w:line="1" w:lineRule="exact"/>
      </w:pPr>
    </w:p>
    <w:p>
      <w:pPr>
        <w:pStyle w:val="Style40"/>
        <w:keepNext/>
        <w:keepLines/>
        <w:widowControl w:val="0"/>
        <w:numPr>
          <w:ilvl w:val="0"/>
          <w:numId w:val="51"/>
        </w:numPr>
        <w:shd w:val="clear" w:color="auto" w:fill="auto"/>
        <w:bidi w:val="0"/>
        <w:spacing w:before="0" w:after="380" w:line="240" w:lineRule="auto"/>
        <w:ind w:left="0" w:right="0" w:firstLine="0"/>
        <w:jc w:val="left"/>
      </w:pPr>
      <w:bookmarkStart w:id="1195" w:name="bookmark1195"/>
      <w:bookmarkStart w:id="1196" w:name="bookmark1196"/>
      <w:bookmarkStart w:id="1197" w:name="bookmark1197"/>
      <w:bookmarkStart w:id="1198" w:name="bookmark1198"/>
      <w:bookmarkEnd w:id="1197"/>
      <w:r>
        <w:rPr>
          <w:color w:val="000000"/>
          <w:spacing w:val="0"/>
          <w:w w:val="100"/>
          <w:position w:val="0"/>
        </w:rPr>
        <w:t>应收关联方账款情况</w:t>
      </w:r>
      <w:bookmarkEnd w:id="1195"/>
      <w:bookmarkEnd w:id="1196"/>
      <w:bookmarkEnd w:id="119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2429"/>
        <w:gridCol w:w="2429"/>
        <w:gridCol w:w="244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北京北邮中望信息科技有限 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415,598.09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西安久其软件有限公司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124,613.60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成都久其软件有限公司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73,457.60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613,669.29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199"/>
      <w:bookmarkEnd w:id="1200"/>
      <w:bookmarkEnd w:id="1201"/>
    </w:p>
    <w:p>
      <w:pPr>
        <w:pStyle w:val="Style40"/>
        <w:keepNext/>
        <w:keepLines/>
        <w:widowControl w:val="0"/>
        <w:shd w:val="clear" w:color="auto" w:fill="auto"/>
        <w:bidi w:val="0"/>
        <w:spacing w:before="0" w:after="380" w:line="240" w:lineRule="auto"/>
        <w:ind w:left="0" w:right="0" w:firstLine="0"/>
        <w:jc w:val="left"/>
      </w:pPr>
      <w:bookmarkStart w:id="1199" w:name="bookmark1199"/>
      <w:bookmarkStart w:id="1200" w:name="bookmark1200"/>
      <w:bookmarkStart w:id="1202" w:name="bookmark12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99"/>
      <w:bookmarkEnd w:id="1200"/>
      <w:bookmarkEnd w:id="120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4"/>
        <w:gridCol w:w="1229"/>
        <w:gridCol w:w="710"/>
        <w:gridCol w:w="994"/>
        <w:gridCol w:w="706"/>
        <w:gridCol w:w="1138"/>
        <w:gridCol w:w="706"/>
        <w:gridCol w:w="1138"/>
        <w:gridCol w:w="787"/>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按账龄分析法计提 坏账准备的应收账款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10,999,370.96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848,747.10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9,128,982.96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1,563,624.98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17.13%</w:t>
            </w: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内部及关联方应收 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6,939,981.39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5,936,592.62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17,939,352.35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848,747.10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15,065,575.58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1,563,624.98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10.38%</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17,939,352.35</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848,747.10</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15,065,575.58</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1,563,624.98</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p>
    <w:p>
      <w:pPr>
        <w:pStyle w:val="Style35"/>
        <w:keepNext w:val="0"/>
        <w:keepLines w:val="0"/>
        <w:widowControl w:val="0"/>
        <w:shd w:val="clear" w:color="auto" w:fill="auto"/>
        <w:bidi w:val="0"/>
        <w:spacing w:before="0" w:after="320" w:line="328" w:lineRule="exact"/>
        <w:ind w:left="0" w:right="0"/>
        <w:jc w:val="both"/>
      </w:pPr>
      <w:r>
        <w:rPr>
          <w:color w:val="000000"/>
          <w:spacing w:val="0"/>
          <w:w w:val="100"/>
          <w:position w:val="0"/>
        </w:rPr>
        <w:t>单项金额重大并单项计提坏账准备的其他应收款指单笔金额为</w:t>
      </w:r>
      <w:r>
        <w:rPr>
          <w:rFonts w:ascii="Times New Roman" w:eastAsia="Times New Roman" w:hAnsi="Times New Roman" w:cs="Times New Roman"/>
          <w:color w:val="000000"/>
          <w:spacing w:val="0"/>
          <w:w w:val="100"/>
          <w:position w:val="0"/>
        </w:rPr>
        <w:t>200</w:t>
      </w:r>
      <w:r>
        <w:rPr>
          <w:color w:val="000000"/>
          <w:spacing w:val="0"/>
          <w:w w:val="100"/>
          <w:position w:val="0"/>
        </w:rPr>
        <w:t>万元以上的客户其他应收款，经减值测试后不存在减 值，公司按账龄分析法计提坏账准备；按账龄分析法计提坏账准备的其他应收款是指经减值测试后不存在减值，公司按账龄 分析法计提坏账准备；对公司内部员工备用金或关联方借款，除有确定依据无法收回全额计提坏账准备外，不确认坏账准备。 期末单项金额重大并单项计提坏账准备的其他应收款</w:t>
      </w:r>
      <w:r>
        <w:br w:type="page"/>
      </w:r>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组合中，采用账龄分析法计提坏账准备的其他应收款</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790"/>
        <w:gridCol w:w="662"/>
        <w:gridCol w:w="1594"/>
        <w:gridCol w:w="1862"/>
        <w:gridCol w:w="662"/>
        <w:gridCol w:w="173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4,073,268.00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4,279,740.00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6-12</w:t>
            </w:r>
            <w:r>
              <w:rPr>
                <w:color w:val="000000"/>
                <w:spacing w:val="0"/>
                <w:w w:val="100"/>
                <w:position w:val="0"/>
              </w:rPr>
              <w:t>个月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247,366.60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12,368.33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3,004,433.00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150,221.65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4,320,634.60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12,368.33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7,284,173.00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150,221.65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6,050,273.00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605,027.30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218,926.60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21,892.66</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211,080.00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31,662.00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241,320.00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36,198.00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272,117.36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54,423.47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36,563.36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7,312.67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145,266.00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145,266.00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1,348,000.00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1,348,000.00</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10,999,370.96</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848,747.10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9,128,982.96</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1,563,624.98</w:t>
            </w:r>
          </w:p>
        </w:tc>
      </w:tr>
    </w:tbl>
    <w:p>
      <w:pPr>
        <w:widowControl w:val="0"/>
        <w:spacing w:after="5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0"/>
        <w:jc w:val="left"/>
      </w:pPr>
      <w:bookmarkStart w:id="1203" w:name="bookmark1203"/>
      <w:bookmarkStart w:id="1204" w:name="bookmark1204"/>
      <w:bookmarkStart w:id="1205" w:name="bookmark12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1203"/>
      <w:bookmarkEnd w:id="1204"/>
      <w:bookmarkEnd w:id="120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2,725,000.00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15.19%</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重庆久其软件有限公司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2-3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13.38%</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2,177,040.00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12.14%</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1,452,000.00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w:t>
            </w:r>
          </w:p>
        </w:tc>
      </w:tr>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海南久其云计算科技有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个月、</w:t>
            </w:r>
            <w:r>
              <w:rPr>
                <w:rFonts w:ascii="Times New Roman" w:eastAsia="Times New Roman" w:hAnsi="Times New Roman" w:cs="Times New Roman"/>
                <w:color w:val="000000"/>
                <w:spacing w:val="0"/>
                <w:w w:val="100"/>
                <w:position w:val="0"/>
              </w:rPr>
              <w:t>6-12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9,854,040.00</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54.93%</w:t>
            </w:r>
          </w:p>
        </w:tc>
      </w:tr>
    </w:tbl>
    <w:p>
      <w:pPr>
        <w:spacing w:lineRule="exact" w:line="1"/>
        <w:rPr>
          <w:sz w:val="2"/>
          <w:szCs w:val="2"/>
        </w:rPr>
      </w:pPr>
      <w:r>
        <w:br w:type="page"/>
      </w:r>
    </w:p>
    <w:p>
      <w:pPr>
        <w:pStyle w:val="Style40"/>
        <w:keepNext/>
        <w:keepLines/>
        <w:widowControl w:val="0"/>
        <w:numPr>
          <w:ilvl w:val="0"/>
          <w:numId w:val="53"/>
        </w:numPr>
        <w:shd w:val="clear" w:color="auto" w:fill="auto"/>
        <w:bidi w:val="0"/>
        <w:spacing w:before="0" w:after="360" w:line="240" w:lineRule="auto"/>
        <w:ind w:left="0" w:right="0" w:firstLine="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其他应收关联方账款情况</w:t>
      </w:r>
      <w:bookmarkEnd w:id="1206"/>
      <w:bookmarkEnd w:id="1207"/>
      <w:bookmarkEnd w:id="1209"/>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981"/>
        <w:gridCol w:w="2126"/>
        <w:gridCol w:w="2030"/>
        <w:gridCol w:w="244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重庆久其软件有限公司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2,400,000.00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海南久其云计算科技有限公司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北京北邮中望信息科技有限责任公司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4,100,000.00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22.85%</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3</w:t>
      </w:r>
      <w:bookmarkEnd w:id="1212"/>
      <w:r>
        <w:rPr>
          <w:color w:val="000000"/>
          <w:spacing w:val="0"/>
          <w:w w:val="100"/>
          <w:position w:val="0"/>
        </w:rPr>
        <w:t>、长期股权投资</w:t>
      </w:r>
      <w:bookmarkEnd w:id="1210"/>
      <w:bookmarkEnd w:id="1211"/>
      <w:bookmarkEnd w:id="1213"/>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797"/>
        <w:gridCol w:w="797"/>
        <w:gridCol w:w="797"/>
        <w:gridCol w:w="802"/>
        <w:gridCol w:w="797"/>
        <w:gridCol w:w="797"/>
        <w:gridCol w:w="797"/>
        <w:gridCol w:w="802"/>
        <w:gridCol w:w="797"/>
        <w:gridCol w:w="797"/>
        <w:gridCol w:w="797"/>
        <w:gridCol w:w="811"/>
      </w:tblGrid>
      <w:tr>
        <w:trPr>
          <w:trHeight w:val="196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300" w:right="0" w:hanging="300"/>
              <w:jc w:val="both"/>
            </w:pPr>
            <w:r>
              <w:rPr>
                <w:color w:val="000000"/>
                <w:spacing w:val="0"/>
                <w:w w:val="100"/>
                <w:position w:val="0"/>
              </w:rPr>
              <w:t>被投资单 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增减变动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 xml:space="preserve">在被投资 单位表决 权比例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本期计提 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深圳市拜 特科技股 份有限公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21,000,00</w:t>
            </w:r>
          </w:p>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21,085,20</w:t>
            </w:r>
          </w:p>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-1,728,66</w:t>
            </w:r>
          </w:p>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19,356,54</w:t>
            </w:r>
          </w:p>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广东同望 科技股份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49,950,00</w:t>
            </w:r>
          </w:p>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52,007,17</w:t>
            </w:r>
          </w:p>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-58,008.9</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51,949,16</w:t>
            </w:r>
          </w:p>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西安久其 软件有限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2,974,522</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2,974,522</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2,974,522</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上海久其 软件有限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3,203,281</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3,203,281</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3,203,281</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成都久其 软件有限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2,952,000</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2,952,000</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2,952,000</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深圳市久 其软件有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2,951,010</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2,951,010</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-2,951,01</w:t>
            </w:r>
          </w:p>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广东久其 软件有限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1,504,638</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1,504,638</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1,504,638</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97"/>
        <w:gridCol w:w="797"/>
        <w:gridCol w:w="797"/>
        <w:gridCol w:w="802"/>
        <w:gridCol w:w="797"/>
        <w:gridCol w:w="797"/>
        <w:gridCol w:w="797"/>
        <w:gridCol w:w="802"/>
        <w:gridCol w:w="797"/>
        <w:gridCol w:w="797"/>
        <w:gridCol w:w="797"/>
        <w:gridCol w:w="811"/>
      </w:tblGrid>
      <w:tr>
        <w:trPr>
          <w:trHeight w:val="133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北京久其 政务软件 股份有限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10,582,35</w:t>
            </w:r>
          </w:p>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10,582,35</w:t>
            </w:r>
          </w:p>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10,582,35</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新疆久其 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2,876,628</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2,876,628</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2,876,628</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重庆久其 软件有限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北京北邮 中望信息 科技有限 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7,502,500</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7,502,500</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7,502,500</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海南久其 云计算科 技有限公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120,496,9</w:t>
            </w:r>
          </w:p>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34.65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122,639,3</w:t>
            </w:r>
          </w:p>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16.96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-4,737,68</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117,901,6</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长期股权投资的说明</w:t>
      </w:r>
    </w:p>
    <w:p>
      <w:pPr>
        <w:pStyle w:val="Style40"/>
        <w:keepNext/>
        <w:keepLines/>
        <w:widowControl w:val="0"/>
        <w:shd w:val="clear" w:color="auto" w:fill="auto"/>
        <w:bidi w:val="0"/>
        <w:spacing w:before="0" w:after="36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4</w:t>
      </w:r>
      <w:bookmarkEnd w:id="1216"/>
      <w:r>
        <w:rPr>
          <w:color w:val="000000"/>
          <w:spacing w:val="0"/>
          <w:w w:val="100"/>
          <w:position w:val="0"/>
        </w:rPr>
        <w:t>、营业收入和营业成本</w:t>
      </w:r>
      <w:bookmarkEnd w:id="1214"/>
      <w:bookmarkEnd w:id="1215"/>
      <w:bookmarkEnd w:id="1217"/>
    </w:p>
    <w:p>
      <w:pPr>
        <w:pStyle w:val="Style40"/>
        <w:keepNext/>
        <w:keepLines/>
        <w:widowControl w:val="0"/>
        <w:shd w:val="clear" w:color="auto" w:fill="auto"/>
        <w:bidi w:val="0"/>
        <w:spacing w:before="0" w:after="360" w:line="240" w:lineRule="auto"/>
        <w:ind w:left="0" w:right="0" w:firstLine="0"/>
        <w:jc w:val="left"/>
      </w:pPr>
      <w:bookmarkStart w:id="1214" w:name="bookmark1214"/>
      <w:bookmarkStart w:id="1215" w:name="bookmark1215"/>
      <w:bookmarkStart w:id="1218" w:name="bookmark1218"/>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214"/>
      <w:bookmarkEnd w:id="1215"/>
      <w:bookmarkEnd w:id="121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3451"/>
        <w:gridCol w:w="36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239,848,358.95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203,988,130.33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770,958.85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637,605.00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240,619,317.80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204,625,735.33</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6,543,346.02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8,437,400.96</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219"/>
      <w:bookmarkEnd w:id="1220"/>
      <w:bookmarkEnd w:id="122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58"/>
        <w:gridCol w:w="1862"/>
        <w:gridCol w:w="1858"/>
        <w:gridCol w:w="173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政府及企业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239,848,358.95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6,543,346.02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203,988,130.33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8,437,400.96</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239,848,358.95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6,543,346.02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203,988,130.33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8,437,400.96</w:t>
            </w:r>
          </w:p>
        </w:tc>
      </w:tr>
    </w:tbl>
    <w:p>
      <w:pPr>
        <w:spacing w:lineRule="exact" w:line="1"/>
        <w:rPr>
          <w:sz w:val="2"/>
          <w:szCs w:val="2"/>
        </w:rPr>
      </w:pPr>
      <w:r>
        <w:br w:type="page"/>
      </w:r>
    </w:p>
    <w:p>
      <w:pPr>
        <w:pStyle w:val="Style40"/>
        <w:keepNext/>
        <w:keepLines/>
        <w:widowControl w:val="0"/>
        <w:numPr>
          <w:ilvl w:val="0"/>
          <w:numId w:val="55"/>
        </w:numPr>
        <w:shd w:val="clear" w:color="auto" w:fill="auto"/>
        <w:bidi w:val="0"/>
        <w:spacing w:before="0" w:after="360" w:line="240" w:lineRule="auto"/>
        <w:ind w:left="0" w:right="0" w:firstLine="0"/>
        <w:jc w:val="left"/>
      </w:pPr>
      <w:bookmarkStart w:id="1222" w:name="bookmark1222"/>
      <w:bookmarkStart w:id="1223" w:name="bookmark1223"/>
      <w:bookmarkStart w:id="1224" w:name="bookmark1224"/>
      <w:bookmarkStart w:id="1225" w:name="bookmark1225"/>
      <w:bookmarkEnd w:id="1224"/>
      <w:r>
        <w:rPr>
          <w:color w:val="000000"/>
          <w:spacing w:val="0"/>
          <w:w w:val="100"/>
          <w:position w:val="0"/>
        </w:rPr>
        <w:t>主营业务(分产品)</w:t>
      </w:r>
      <w:bookmarkEnd w:id="1222"/>
      <w:bookmarkEnd w:id="1223"/>
      <w:bookmarkEnd w:id="122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58"/>
        <w:gridCol w:w="1862"/>
        <w:gridCol w:w="1858"/>
        <w:gridCol w:w="173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157,904,502.81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879,134.77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133,922,140.77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1,002,694.13</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2,086,431.56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2,093,584.97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2,453,846.17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2,230,570.56</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79,857,424.58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3,570,626.28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67,612,143.39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5,204,136.27</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239,848,358.95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6,543,346.02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203,988,130.33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8,437,400.96</w:t>
            </w:r>
          </w:p>
        </w:tc>
      </w:tr>
    </w:tbl>
    <w:p>
      <w:pPr>
        <w:widowControl w:val="0"/>
        <w:spacing w:after="299" w:line="1" w:lineRule="exact"/>
      </w:pPr>
    </w:p>
    <w:p>
      <w:pPr>
        <w:pStyle w:val="Style40"/>
        <w:keepNext/>
        <w:keepLines/>
        <w:widowControl w:val="0"/>
        <w:numPr>
          <w:ilvl w:val="0"/>
          <w:numId w:val="55"/>
        </w:numPr>
        <w:shd w:val="clear" w:color="auto" w:fill="auto"/>
        <w:bidi w:val="0"/>
        <w:spacing w:before="0" w:after="360" w:line="240" w:lineRule="auto"/>
        <w:ind w:left="0" w:right="0" w:firstLine="0"/>
        <w:jc w:val="left"/>
      </w:pPr>
      <w:bookmarkStart w:id="1226" w:name="bookmark1226"/>
      <w:bookmarkStart w:id="1227" w:name="bookmark1227"/>
      <w:bookmarkStart w:id="1228" w:name="bookmark1228"/>
      <w:bookmarkStart w:id="1229" w:name="bookmark1229"/>
      <w:bookmarkEnd w:id="1228"/>
      <w:r>
        <w:rPr>
          <w:color w:val="000000"/>
          <w:spacing w:val="0"/>
          <w:w w:val="100"/>
          <w:position w:val="0"/>
        </w:rPr>
        <w:t>公司来自前五名客户的营业收入情况</w:t>
      </w:r>
      <w:bookmarkEnd w:id="1226"/>
      <w:bookmarkEnd w:id="1227"/>
      <w:bookmarkEnd w:id="122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2923"/>
        <w:gridCol w:w="1872"/>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占公司全部营业收入的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8,906,489.10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7,520,566.04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3.13%</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2.49%</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5,860,000.00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2.44%</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5,780,000.00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34,067,055.14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5</w:t>
      </w:r>
      <w:bookmarkEnd w:id="1232"/>
      <w:r>
        <w:rPr>
          <w:color w:val="000000"/>
          <w:spacing w:val="0"/>
          <w:w w:val="100"/>
          <w:position w:val="0"/>
        </w:rPr>
        <w:t>、投资收益</w:t>
      </w:r>
      <w:bookmarkEnd w:id="1230"/>
      <w:bookmarkEnd w:id="1231"/>
      <w:bookmarkEnd w:id="1233"/>
    </w:p>
    <w:p>
      <w:pPr>
        <w:pStyle w:val="Style40"/>
        <w:keepNext/>
        <w:keepLines/>
        <w:widowControl w:val="0"/>
        <w:shd w:val="clear" w:color="auto" w:fill="auto"/>
        <w:bidi w:val="0"/>
        <w:spacing w:before="0" w:after="360" w:line="240" w:lineRule="auto"/>
        <w:ind w:left="0" w:right="0" w:firstLine="0"/>
        <w:jc w:val="left"/>
      </w:pPr>
      <w:bookmarkStart w:id="1230" w:name="bookmark1230"/>
      <w:bookmarkStart w:id="1231" w:name="bookmark1231"/>
      <w:bookmarkStart w:id="1234" w:name="bookmark12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230"/>
      <w:bookmarkEnd w:id="1231"/>
      <w:bookmarkEnd w:id="123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26"/>
        <w:gridCol w:w="2520"/>
        <w:gridCol w:w="253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15,920,000.00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-1,786,676.19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-2,697,223.67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-683,073.20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持有至到期投资取得的投资收益期间取得的投资收益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1,795,068.49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824,383.56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3,242,535.62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163,730.14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持有至到期投资取得的投资收益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1,229,880.71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3,797,735.43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14,210,890.03</w:t>
            </w:r>
          </w:p>
        </w:tc>
      </w:tr>
    </w:tbl>
    <w:p>
      <w:pPr>
        <w:spacing w:lineRule="exact" w:line="1"/>
        <w:rPr>
          <w:sz w:val="2"/>
          <w:szCs w:val="2"/>
        </w:rPr>
      </w:pPr>
      <w:r>
        <w:br w:type="page"/>
      </w:r>
    </w:p>
    <w:p>
      <w:pPr>
        <w:pStyle w:val="Style40"/>
        <w:keepNext/>
        <w:keepLines/>
        <w:widowControl w:val="0"/>
        <w:shd w:val="clear" w:color="auto" w:fill="auto"/>
        <w:bidi w:val="0"/>
        <w:spacing w:before="0" w:after="360" w:line="240" w:lineRule="auto"/>
        <w:ind w:left="0" w:right="0" w:firstLine="0"/>
        <w:jc w:val="left"/>
      </w:pPr>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235"/>
      <w:bookmarkEnd w:id="1236"/>
      <w:bookmarkEnd w:id="123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1728"/>
        <w:gridCol w:w="1594"/>
        <w:gridCol w:w="293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北京久其政务软件股份有限公司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15,920,000.00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被投资单位分配股利</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15,920,000.00</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w:t>
      </w:r>
      <w:bookmarkEnd w:id="1240"/>
      <w:r>
        <w:rPr>
          <w:rFonts w:ascii="Times New Roman" w:eastAsia="Times New Roman" w:hAnsi="Times New Roman" w:cs="Times New Roman"/>
          <w:color w:val="000000"/>
          <w:spacing w:val="0"/>
          <w:w w:val="100"/>
          <w:position w:val="0"/>
        </w:rPr>
        <w:t>3</w:t>
      </w:r>
      <w:r>
        <w:rPr>
          <w:color w:val="000000"/>
          <w:spacing w:val="0"/>
          <w:w w:val="100"/>
          <w:position w:val="0"/>
        </w:rPr>
        <w:t>）按权益法核算的长期股权投资收益</w:t>
      </w:r>
      <w:bookmarkEnd w:id="1238"/>
      <w:bookmarkEnd w:id="1239"/>
      <w:bookmarkEnd w:id="124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1728"/>
        <w:gridCol w:w="1594"/>
        <w:gridCol w:w="293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深圳市拜特科技股份有限公司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-1,728,667.21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-1,492,298.19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被投资单位净利润变动</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广东同望科技股份有限公司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-58,008.98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-1,204,925.48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被投资单位净利润变动</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-1,786,676.19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-2,697,223.67</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投资收益的说明</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深圳市拜特科技股份有限公司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年度实现净利润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,519,809.08</w:t>
      </w:r>
      <w:r>
        <w:rPr>
          <w:color w:val="000000"/>
          <w:spacing w:val="0"/>
          <w:w w:val="100"/>
          <w:position w:val="0"/>
        </w:rPr>
        <w:t>元，根据深圳市义达会计师事务所有限责任公司对深圳 市拜特科技股份有限公司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年度财务报表年初数的会计差错更正调整，调减年初留存收益</w:t>
      </w:r>
      <w:r>
        <w:rPr>
          <w:rFonts w:ascii="Times New Roman" w:eastAsia="Times New Roman" w:hAnsi="Times New Roman" w:cs="Times New Roman"/>
          <w:color w:val="000000"/>
          <w:spacing w:val="0"/>
          <w:w w:val="100"/>
          <w:position w:val="0"/>
        </w:rPr>
        <w:t>10,689,970.94</w:t>
      </w:r>
      <w:r>
        <w:rPr>
          <w:color w:val="000000"/>
          <w:spacing w:val="0"/>
          <w:w w:val="100"/>
          <w:position w:val="0"/>
        </w:rPr>
        <w:t>元，公司当年投资 收益</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1,519,809.08-10,689,970.94</w:t>
      </w:r>
      <w:r>
        <w:rPr>
          <w:color w:val="000000"/>
          <w:spacing w:val="0"/>
          <w:w w:val="100"/>
          <w:position w:val="0"/>
        </w:rPr>
        <w:t>）</w:t>
      </w:r>
      <w:r>
        <w:rPr>
          <w:rFonts w:ascii="Times New Roman" w:eastAsia="Times New Roman" w:hAnsi="Times New Roman" w:cs="Times New Roman"/>
          <w:color w:val="000000"/>
          <w:spacing w:val="0"/>
          <w:w w:val="100"/>
          <w:position w:val="0"/>
        </w:rPr>
        <w:t xml:space="preserve">*18.851%=-1,728,667.21 </w:t>
      </w:r>
      <w:r>
        <w:rPr>
          <w:color w:val="000000"/>
          <w:spacing w:val="0"/>
          <w:w w:val="100"/>
          <w:position w:val="0"/>
        </w:rPr>
        <w:t>元。</w:t>
      </w:r>
    </w:p>
    <w:p>
      <w:pPr>
        <w:pStyle w:val="Style35"/>
        <w:keepNext w:val="0"/>
        <w:keepLines w:val="0"/>
        <w:widowControl w:val="0"/>
        <w:shd w:val="clear" w:color="auto" w:fill="auto"/>
        <w:bidi w:val="0"/>
        <w:spacing w:before="0" w:after="360" w:line="311" w:lineRule="exact"/>
        <w:ind w:left="0" w:right="0"/>
        <w:jc w:val="both"/>
      </w:pPr>
      <w:r>
        <w:rPr>
          <w:color w:val="000000"/>
          <w:spacing w:val="0"/>
          <w:w w:val="100"/>
          <w:position w:val="0"/>
        </w:rPr>
        <w:t>广东同望科技股份有限公司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年度实现净利润</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,573,919.66</w:t>
      </w:r>
      <w:r>
        <w:rPr>
          <w:color w:val="000000"/>
          <w:spacing w:val="0"/>
          <w:w w:val="100"/>
          <w:position w:val="0"/>
        </w:rPr>
        <w:t>元，根据大华会计师事务所（特殊普通合伙）对广东同望 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年度财务报表年初数的会计差错更正调整，调减年初未分配利润</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,858,976.07</w:t>
      </w:r>
      <w:r>
        <w:rPr>
          <w:color w:val="000000"/>
          <w:spacing w:val="0"/>
          <w:w w:val="100"/>
          <w:position w:val="0"/>
        </w:rPr>
        <w:t>元，公司当年投资收益</w:t>
      </w:r>
      <w:r>
        <w:rPr>
          <w:rFonts w:ascii="Times New Roman" w:eastAsia="Times New Roman" w:hAnsi="Times New Roman" w:cs="Times New Roman"/>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rPr>
        <w:t>2,573,919.66-2,858,976.07</w:t>
      </w:r>
      <w:r>
        <w:rPr>
          <w:color w:val="000000"/>
          <w:spacing w:val="0"/>
          <w:w w:val="100"/>
          <w:position w:val="0"/>
        </w:rPr>
        <w:t>）</w:t>
      </w:r>
      <w:r>
        <w:rPr>
          <w:rFonts w:ascii="Times New Roman" w:eastAsia="Times New Roman" w:hAnsi="Times New Roman" w:cs="Times New Roman"/>
          <w:color w:val="000000"/>
          <w:spacing w:val="0"/>
          <w:w w:val="100"/>
          <w:position w:val="0"/>
        </w:rPr>
        <w:t>*20.35%=-58,008.98</w:t>
      </w:r>
      <w:r>
        <w:rPr>
          <w:color w:val="000000"/>
          <w:spacing w:val="0"/>
          <w:w w:val="100"/>
          <w:position w:val="0"/>
        </w:rPr>
        <w:t>元。</w:t>
      </w:r>
    </w:p>
    <w:p>
      <w:pPr>
        <w:pStyle w:val="Style40"/>
        <w:keepNext/>
        <w:keepLines/>
        <w:widowControl w:val="0"/>
        <w:shd w:val="clear" w:color="auto" w:fill="auto"/>
        <w:bidi w:val="0"/>
        <w:spacing w:before="0" w:after="36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6</w:t>
      </w:r>
      <w:bookmarkEnd w:id="1244"/>
      <w:r>
        <w:rPr>
          <w:color w:val="000000"/>
          <w:spacing w:val="0"/>
          <w:w w:val="100"/>
          <w:position w:val="0"/>
        </w:rPr>
        <w:t>、现金流量表补充资料</w:t>
      </w:r>
      <w:bookmarkEnd w:id="1242"/>
      <w:bookmarkEnd w:id="1243"/>
      <w:bookmarkEnd w:id="124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4"/>
        <w:gridCol w:w="2256"/>
        <w:gridCol w:w="227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59,706,368.94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25,032,654.09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1,054,725.84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1,011,638.96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8,112,097.25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7,859,463.89</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5,168,013.38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3,929,511.13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1,583,678.04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1,583,678.04</w:t>
            </w:r>
          </w:p>
        </w:tc>
      </w:tr>
      <w:tr>
        <w:trPr>
          <w:trHeight w:val="71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771,788.84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69,924.84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-102,583.41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-685,791.77</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-3,797,735.43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-14,210,890.03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39,886.30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-271,163.90</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10,258.34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68,579.18</w:t>
            </w:r>
          </w:p>
        </w:tc>
      </w:tr>
    </w:tbl>
    <w:p>
      <w:pPr>
        <w:widowControl w:val="0"/>
        <w:spacing w:line="1" w:lineRule="exact"/>
      </w:pPr>
      <w:r>
        <w:br w:type="page"/>
      </w:r>
    </w:p>
    <w:tbl>
      <w:tblPr>
        <w:tblOverlap w:val="never"/>
        <w:jc w:val="center"/>
        <w:tblLayout w:type="fixed"/>
      </w:tblPr>
      <w:tblGrid>
        <w:gridCol w:w="5054"/>
        <w:gridCol w:w="2256"/>
        <w:gridCol w:w="2270"/>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-731,142.13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-162,019.53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-12,646,925.50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-11,581,210.71</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6,713,042.29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3,136,766.47</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13,712,325.36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65,881,472.75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29,493,466.02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169,973,046.67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158,092,609.75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158,092,609.75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280,502,677.02</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11,880,436.92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-122,410,067.27</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246" w:name="bookmark1246"/>
      <w:bookmarkStart w:id="1247" w:name="bookmark1247"/>
      <w:bookmarkStart w:id="1248" w:name="bookmark1248"/>
      <w:r>
        <w:rPr>
          <w:color w:val="000000"/>
          <w:spacing w:val="0"/>
          <w:w w:val="100"/>
          <w:position w:val="0"/>
          <w:sz w:val="24"/>
          <w:szCs w:val="24"/>
        </w:rPr>
        <w:t>十三、补充资料</w:t>
      </w:r>
      <w:bookmarkEnd w:id="1246"/>
      <w:bookmarkEnd w:id="1247"/>
      <w:bookmarkEnd w:id="1248"/>
    </w:p>
    <w:p>
      <w:pPr>
        <w:pStyle w:val="Style40"/>
        <w:keepNext/>
        <w:keepLines/>
        <w:widowControl w:val="0"/>
        <w:shd w:val="clear" w:color="auto" w:fill="auto"/>
        <w:bidi w:val="0"/>
        <w:spacing w:before="0" w:after="340" w:line="240" w:lineRule="auto"/>
        <w:ind w:left="0" w:right="0" w:firstLine="0"/>
        <w:jc w:val="left"/>
      </w:pPr>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249"/>
      <w:bookmarkEnd w:id="1250"/>
      <w:bookmarkEnd w:id="125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4"/>
        <w:gridCol w:w="2232"/>
        <w:gridCol w:w="251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-842,430.01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2,303,946.16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3,024,949.20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公司报告期内购买的信托产品 的投资收益及预计收益。</w:t>
            </w:r>
          </w:p>
        </w:tc>
      </w:tr>
      <w:tr>
        <w:trPr>
          <w:trHeight w:val="133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除同公司正常经营业务相关的有效套期保值业务外，持有交易 性金融资产、交易性金融负债产生的公允价值变动损益，以及 处置交易性金融资产、交易性金融负债和可供出售金融资产取 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3,345,119.03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公司报告期内购买的银行理财 产品、资管产品的投资收益及预 计收益。</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-702,174.68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873,431.80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17,623.96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6,238,353.94</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计入当期损益的政府补助为经常性损益项目，应说明逐项披露认定理由。</w:t>
      </w:r>
    </w:p>
    <w:p>
      <w:pPr>
        <w:pStyle w:val="Style3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340" w:line="240" w:lineRule="auto"/>
        <w:ind w:left="0" w:right="0" w:firstLine="0"/>
        <w:jc w:val="left"/>
      </w:pPr>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252"/>
      <w:bookmarkEnd w:id="1253"/>
      <w:bookmarkEnd w:id="125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2"/>
        <w:gridCol w:w="2179"/>
        <w:gridCol w:w="1910"/>
        <w:gridCol w:w="1949"/>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加权平均净资产收益率</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bl>
    <w:p>
      <w:pPr>
        <w:widowControl w:val="0"/>
        <w:spacing w:line="1" w:lineRule="exact"/>
      </w:pPr>
      <w:r>
        <w:br w:type="page"/>
      </w:r>
    </w:p>
    <w:tbl>
      <w:tblPr>
        <w:tblOverlap w:val="never"/>
        <w:jc w:val="center"/>
        <w:tblLayout w:type="fixed"/>
      </w:tblPr>
      <w:tblGrid>
        <w:gridCol w:w="3542"/>
        <w:gridCol w:w="2179"/>
        <w:gridCol w:w="1910"/>
        <w:gridCol w:w="1949"/>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0.3381</w:t>
            </w:r>
          </w:p>
        </w:tc>
      </w:tr>
      <w:tr>
        <w:trPr>
          <w:trHeight w:val="725"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0.3026</w:t>
            </w:r>
          </w:p>
        </w:tc>
      </w:tr>
    </w:tbl>
    <w:p>
      <w:pPr>
        <w:widowControl w:val="0"/>
        <w:spacing w:after="299" w:line="1" w:lineRule="exact"/>
      </w:pPr>
    </w:p>
    <w:p>
      <w:pPr>
        <w:pStyle w:val="Style40"/>
        <w:keepNext/>
        <w:keepLines/>
        <w:widowControl w:val="0"/>
        <w:shd w:val="clear" w:color="auto" w:fill="auto"/>
        <w:bidi w:val="0"/>
        <w:spacing w:before="0" w:after="26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3</w:t>
      </w:r>
      <w:bookmarkEnd w:id="1257"/>
      <w:r>
        <w:rPr>
          <w:color w:val="000000"/>
          <w:spacing w:val="0"/>
          <w:w w:val="100"/>
          <w:position w:val="0"/>
        </w:rPr>
        <w:t>、公司主要会计报表项目的异常情况及原因的说明</w:t>
      </w:r>
      <w:bookmarkEnd w:id="1255"/>
      <w:bookmarkEnd w:id="1256"/>
      <w:bookmarkEnd w:id="1258"/>
    </w:p>
    <w:p>
      <w:pPr>
        <w:pStyle w:val="Style35"/>
        <w:keepNext w:val="0"/>
        <w:keepLines w:val="0"/>
        <w:widowControl w:val="0"/>
        <w:shd w:val="clear" w:color="auto" w:fill="auto"/>
        <w:bidi w:val="0"/>
        <w:spacing w:before="0" w:after="400" w:line="326" w:lineRule="exact"/>
        <w:ind w:left="0" w:right="0" w:firstLine="0"/>
        <w:jc w:val="left"/>
      </w:pPr>
      <w:r>
        <w:rPr>
          <w:color w:val="000000"/>
          <w:spacing w:val="0"/>
          <w:w w:val="100"/>
          <w:position w:val="0"/>
        </w:rPr>
        <w:t>财务报表数据变动幅度达</w:t>
      </w:r>
      <w:r>
        <w:rPr>
          <w:rFonts w:ascii="Times New Roman" w:eastAsia="Times New Roman" w:hAnsi="Times New Roman" w:cs="Times New Roman"/>
          <w:color w:val="000000"/>
          <w:spacing w:val="0"/>
          <w:w w:val="100"/>
          <w:position w:val="0"/>
        </w:rPr>
        <w:t xml:space="preserve">30% </w:t>
      </w:r>
      <w:r>
        <w:rPr>
          <w:color w:val="000000"/>
          <w:spacing w:val="0"/>
          <w:w w:val="100"/>
          <w:position w:val="0"/>
        </w:rPr>
        <w:t>（含</w:t>
      </w:r>
      <w:r>
        <w:rPr>
          <w:rFonts w:ascii="Times New Roman" w:eastAsia="Times New Roman" w:hAnsi="Times New Roman" w:cs="Times New Roman"/>
          <w:color w:val="000000"/>
          <w:spacing w:val="0"/>
          <w:w w:val="100"/>
          <w:position w:val="0"/>
        </w:rPr>
        <w:t>30%</w:t>
      </w:r>
      <w:r>
        <w:rPr>
          <w:color w:val="000000"/>
          <w:spacing w:val="0"/>
          <w:w w:val="100"/>
          <w:position w:val="0"/>
        </w:rPr>
        <w:t>）以上，或占公司报表日资产总额</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）或报告期利润总额</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（含</w:t>
      </w:r>
      <w:r>
        <w:rPr>
          <w:rFonts w:ascii="Times New Roman" w:eastAsia="Times New Roman" w:hAnsi="Times New Roman" w:cs="Times New Roman"/>
          <w:color w:val="000000"/>
          <w:spacing w:val="0"/>
          <w:w w:val="100"/>
          <w:position w:val="0"/>
        </w:rPr>
        <w:t>10%</w:t>
      </w:r>
      <w:r>
        <w:rPr>
          <w:color w:val="000000"/>
          <w:spacing w:val="0"/>
          <w:w w:val="100"/>
          <w:position w:val="0"/>
        </w:rPr>
        <w:t>）以上 项目分析：</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982"/>
        <w:gridCol w:w="2126"/>
        <w:gridCol w:w="1699"/>
        <w:gridCol w:w="1853"/>
      </w:tblGrid>
      <w:tr>
        <w:trPr>
          <w:trHeight w:val="35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报表项目</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期末余额（或本期金额）</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年初余额（或上期金额）</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变动比率</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3,692,601.45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1,469,727.83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1,210,750.04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519,813.04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71,795,068.49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30,824,383.56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3</w:t>
            </w: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60,257,423.39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39,819,507.79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51.33%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4</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5,604,111.69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21,172,335.16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5</w:t>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2,971,594.34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6</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2,086,691.88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3,861,638.64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7</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2,331,493.98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1,769,636.00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31.75%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8</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32,581,140.45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20,154,165.35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61.66%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9</w:t>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8,744,472.73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5,181,868.11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68.75%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10</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289,545,451.00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247,321,193.27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11</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营业税金及附加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2,075,704.38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3,181,832.55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12</w:t>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-3,226,552.73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-5,870,785.57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45.04%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13</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4,032,610.95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2,696,316.09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49.56%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14</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102,583.41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685,791.77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15</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4,480,808.63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-1,709,109.97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16</w:t>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8,020,193.25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14,647,698.77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17</w:t>
            </w:r>
          </w:p>
        </w:tc>
      </w:tr>
      <w:tr>
        <w:trPr>
          <w:trHeight w:val="35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1,844,579.65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119,748.83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1440.37%</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18</w:t>
            </w:r>
          </w:p>
        </w:tc>
      </w:tr>
    </w:tbl>
    <w:p>
      <w:pPr>
        <w:pStyle w:val="Style35"/>
        <w:keepNext w:val="0"/>
        <w:keepLines w:val="0"/>
        <w:widowControl w:val="0"/>
        <w:shd w:val="clear" w:color="auto" w:fill="auto"/>
        <w:bidi w:val="0"/>
        <w:spacing w:before="0" w:after="0" w:line="319"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、预付账款年末余额较年初余额增加</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,222,873.62</w:t>
      </w:r>
      <w:r>
        <w:rPr>
          <w:color w:val="000000"/>
          <w:spacing w:val="0"/>
          <w:w w:val="100"/>
          <w:position w:val="0"/>
        </w:rPr>
        <w:t>元，增加</w:t>
      </w:r>
      <w:r>
        <w:rPr>
          <w:rFonts w:ascii="Times New Roman" w:eastAsia="Times New Roman" w:hAnsi="Times New Roman" w:cs="Times New Roman"/>
          <w:color w:val="000000"/>
          <w:spacing w:val="0"/>
          <w:w w:val="100"/>
          <w:position w:val="0"/>
        </w:rPr>
        <w:t>151.24%</w:t>
      </w:r>
      <w:r>
        <w:rPr>
          <w:color w:val="000000"/>
          <w:spacing w:val="0"/>
          <w:w w:val="100"/>
          <w:position w:val="0"/>
        </w:rPr>
        <w:t>，主要系公司本期预付的货款和中介费。</w:t>
      </w:r>
    </w:p>
    <w:p>
      <w:pPr>
        <w:pStyle w:val="Style35"/>
        <w:keepNext w:val="0"/>
        <w:keepLines w:val="0"/>
        <w:widowControl w:val="0"/>
        <w:shd w:val="clear" w:color="auto" w:fill="auto"/>
        <w:bidi w:val="0"/>
        <w:spacing w:before="0" w:after="0" w:line="319"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、存货年末余额较年初余额增加</w:t>
      </w:r>
      <w:r>
        <w:rPr>
          <w:rFonts w:ascii="Times New Roman" w:eastAsia="Times New Roman" w:hAnsi="Times New Roman" w:cs="Times New Roman"/>
          <w:color w:val="000000"/>
          <w:spacing w:val="0"/>
          <w:w w:val="100"/>
          <w:position w:val="0"/>
        </w:rPr>
        <w:t>690,937.00</w:t>
      </w:r>
      <w:r>
        <w:rPr>
          <w:color w:val="000000"/>
          <w:spacing w:val="0"/>
          <w:w w:val="100"/>
          <w:position w:val="0"/>
        </w:rPr>
        <w:t>元，增加</w:t>
      </w:r>
      <w:r>
        <w:rPr>
          <w:rFonts w:ascii="Times New Roman" w:eastAsia="Times New Roman" w:hAnsi="Times New Roman" w:cs="Times New Roman"/>
          <w:color w:val="000000"/>
          <w:spacing w:val="0"/>
          <w:w w:val="100"/>
          <w:position w:val="0"/>
        </w:rPr>
        <w:t>132.92%</w:t>
      </w:r>
      <w:r>
        <w:rPr>
          <w:color w:val="000000"/>
          <w:spacing w:val="0"/>
          <w:w w:val="100"/>
          <w:position w:val="0"/>
        </w:rPr>
        <w:t>，主要系公司外购商品。</w:t>
      </w:r>
    </w:p>
    <w:p>
      <w:pPr>
        <w:pStyle w:val="Style35"/>
        <w:keepNext w:val="0"/>
        <w:keepLines w:val="0"/>
        <w:widowControl w:val="0"/>
        <w:shd w:val="clear" w:color="auto" w:fill="auto"/>
        <w:bidi w:val="0"/>
        <w:spacing w:before="0" w:after="0" w:line="319"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、持有至到期投资余额较年初余额增加</w:t>
      </w:r>
      <w:r>
        <w:rPr>
          <w:rFonts w:ascii="Times New Roman" w:eastAsia="Times New Roman" w:hAnsi="Times New Roman" w:cs="Times New Roman"/>
          <w:color w:val="000000"/>
          <w:spacing w:val="0"/>
          <w:w w:val="100"/>
          <w:position w:val="0"/>
        </w:rPr>
        <w:t>40,970,684.93</w:t>
      </w:r>
      <w:r>
        <w:rPr>
          <w:color w:val="000000"/>
          <w:spacing w:val="0"/>
          <w:w w:val="100"/>
          <w:position w:val="0"/>
        </w:rPr>
        <w:t>元，增加</w:t>
      </w:r>
      <w:r>
        <w:rPr>
          <w:rFonts w:ascii="Times New Roman" w:eastAsia="Times New Roman" w:hAnsi="Times New Roman" w:cs="Times New Roman"/>
          <w:color w:val="000000"/>
          <w:spacing w:val="0"/>
          <w:w w:val="100"/>
          <w:position w:val="0"/>
        </w:rPr>
        <w:t>132.92%</w:t>
      </w:r>
      <w:r>
        <w:rPr>
          <w:color w:val="000000"/>
          <w:spacing w:val="0"/>
          <w:w w:val="100"/>
          <w:position w:val="0"/>
        </w:rPr>
        <w:t>,系公司外购中融</w:t>
      </w:r>
      <w:r>
        <w:rPr>
          <w:rFonts w:ascii="Times New Roman" w:eastAsia="Times New Roman" w:hAnsi="Times New Roman" w:cs="Times New Roman"/>
          <w:color w:val="000000"/>
          <w:spacing w:val="0"/>
          <w:w w:val="100"/>
          <w:position w:val="0"/>
        </w:rPr>
        <w:t>-</w:t>
      </w:r>
      <w:r>
        <w:rPr>
          <w:color w:val="000000"/>
          <w:spacing w:val="0"/>
          <w:w w:val="100"/>
          <w:position w:val="0"/>
        </w:rPr>
        <w:t>华夏孔雀城五期集合资金信托。 注</w:t>
      </w:r>
      <w:r>
        <w:rPr>
          <w:rFonts w:ascii="Times New Roman" w:eastAsia="Times New Roman" w:hAnsi="Times New Roman" w:cs="Times New Roman"/>
          <w:color w:val="000000"/>
          <w:spacing w:val="0"/>
          <w:w w:val="100"/>
          <w:position w:val="0"/>
        </w:rPr>
        <w:t>4</w:t>
      </w:r>
      <w:r>
        <w:rPr>
          <w:color w:val="000000"/>
          <w:spacing w:val="0"/>
          <w:w w:val="100"/>
          <w:position w:val="0"/>
        </w:rPr>
        <w:t>、无形资产年末余额较年初余额增加</w:t>
      </w:r>
      <w:r>
        <w:rPr>
          <w:rFonts w:ascii="Times New Roman" w:eastAsia="Times New Roman" w:hAnsi="Times New Roman" w:cs="Times New Roman"/>
          <w:color w:val="000000"/>
          <w:spacing w:val="0"/>
          <w:w w:val="100"/>
          <w:position w:val="0"/>
        </w:rPr>
        <w:t>20,437,915.6</w:t>
      </w:r>
      <w:r>
        <w:rPr>
          <w:rFonts w:ascii="Times New Roman" w:eastAsia="Times New Roman" w:hAnsi="Times New Roman" w:cs="Times New Roman"/>
          <w:color w:val="000000"/>
          <w:spacing w:val="0"/>
          <w:w w:val="100"/>
          <w:position w:val="0"/>
        </w:rPr>
        <w:t>0</w:t>
      </w:r>
      <w:r>
        <w:rPr>
          <w:color w:val="000000"/>
          <w:spacing w:val="0"/>
          <w:w w:val="100"/>
          <w:position w:val="0"/>
        </w:rPr>
        <w:t>元，增加</w:t>
      </w:r>
      <w:r>
        <w:rPr>
          <w:rFonts w:ascii="Times New Roman" w:eastAsia="Times New Roman" w:hAnsi="Times New Roman" w:cs="Times New Roman"/>
          <w:color w:val="000000"/>
          <w:spacing w:val="0"/>
          <w:w w:val="100"/>
          <w:position w:val="0"/>
        </w:rPr>
        <w:t>51.33%</w:t>
      </w:r>
      <w:r>
        <w:rPr>
          <w:color w:val="000000"/>
          <w:spacing w:val="0"/>
          <w:w w:val="100"/>
          <w:position w:val="0"/>
        </w:rPr>
        <w:t>，主要系公司全面预算项目转无形资产和外购无形资 产。</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、开发支出年末余额较年初余额减少</w:t>
      </w:r>
      <w:r>
        <w:rPr>
          <w:rFonts w:ascii="Times New Roman" w:eastAsia="Times New Roman" w:hAnsi="Times New Roman" w:cs="Times New Roman"/>
          <w:color w:val="000000"/>
          <w:spacing w:val="0"/>
          <w:w w:val="100"/>
          <w:position w:val="0"/>
        </w:rPr>
        <w:t>15,568,223.47</w:t>
      </w:r>
      <w:r>
        <w:rPr>
          <w:color w:val="000000"/>
          <w:spacing w:val="0"/>
          <w:w w:val="100"/>
          <w:position w:val="0"/>
        </w:rPr>
        <w:t>元，减少</w:t>
      </w:r>
      <w:r>
        <w:rPr>
          <w:rFonts w:ascii="Times New Roman" w:eastAsia="Times New Roman" w:hAnsi="Times New Roman" w:cs="Times New Roman"/>
          <w:color w:val="000000"/>
          <w:spacing w:val="0"/>
          <w:w w:val="100"/>
          <w:position w:val="0"/>
        </w:rPr>
        <w:t>73.53%</w:t>
      </w:r>
      <w:r>
        <w:rPr>
          <w:color w:val="000000"/>
          <w:spacing w:val="0"/>
          <w:w w:val="100"/>
          <w:position w:val="0"/>
        </w:rPr>
        <w:t>，系公司全面预算项目转无形资产。</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、商誉年末余额较年初余额减少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,971,594.34</w:t>
      </w:r>
      <w:r>
        <w:rPr>
          <w:color w:val="000000"/>
          <w:spacing w:val="0"/>
          <w:w w:val="100"/>
          <w:position w:val="0"/>
        </w:rPr>
        <w:t>元，减少</w:t>
      </w:r>
      <w:r>
        <w:rPr>
          <w:rFonts w:ascii="Times New Roman" w:eastAsia="Times New Roman" w:hAnsi="Times New Roman" w:cs="Times New Roman"/>
          <w:color w:val="000000"/>
          <w:spacing w:val="0"/>
          <w:w w:val="100"/>
          <w:position w:val="0"/>
        </w:rPr>
        <w:t>100.00%</w:t>
      </w:r>
      <w:r>
        <w:rPr>
          <w:color w:val="000000"/>
          <w:spacing w:val="0"/>
          <w:w w:val="100"/>
          <w:position w:val="0"/>
        </w:rPr>
        <w:t xml:space="preserve">，系期末以被投资单位整体作为一个资产组，对不包含商 誉的资产账面价值与预计可回收金额相比较，经测试，预计可收回金额小于资产组账面价值，本期计提商誉减值准备 </w:t>
      </w:r>
      <w:r>
        <w:rPr>
          <w:rFonts w:ascii="Times New Roman" w:eastAsia="Times New Roman" w:hAnsi="Times New Roman" w:cs="Times New Roman"/>
          <w:color w:val="000000"/>
          <w:spacing w:val="0"/>
          <w:w w:val="100"/>
          <w:position w:val="0"/>
        </w:rPr>
        <w:t>2,971,594.34</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、长期待摊费用年末余额较年初余额减少</w:t>
      </w:r>
      <w:r>
        <w:rPr>
          <w:rFonts w:ascii="Times New Roman" w:eastAsia="Times New Roman" w:hAnsi="Times New Roman" w:cs="Times New Roman"/>
          <w:color w:val="000000"/>
          <w:spacing w:val="0"/>
          <w:w w:val="100"/>
          <w:position w:val="0"/>
        </w:rPr>
        <w:t>1,774,946.76</w:t>
      </w:r>
      <w:r>
        <w:rPr>
          <w:color w:val="000000"/>
          <w:spacing w:val="0"/>
          <w:w w:val="100"/>
          <w:position w:val="0"/>
        </w:rPr>
        <w:t>元，减少</w:t>
      </w:r>
      <w:r>
        <w:rPr>
          <w:rFonts w:ascii="Times New Roman" w:eastAsia="Times New Roman" w:hAnsi="Times New Roman" w:cs="Times New Roman"/>
          <w:color w:val="000000"/>
          <w:spacing w:val="0"/>
          <w:w w:val="100"/>
          <w:position w:val="0"/>
        </w:rPr>
        <w:t>45.96%</w:t>
      </w:r>
      <w:r>
        <w:rPr>
          <w:color w:val="000000"/>
          <w:spacing w:val="0"/>
          <w:w w:val="100"/>
          <w:position w:val="0"/>
        </w:rPr>
        <w:t>，系公司本期计提摊销。</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、预收账款年末余额较年初余额增加</w:t>
      </w:r>
      <w:r>
        <w:rPr>
          <w:rFonts w:ascii="Times New Roman" w:eastAsia="Times New Roman" w:hAnsi="Times New Roman" w:cs="Times New Roman"/>
          <w:color w:val="000000"/>
          <w:spacing w:val="0"/>
          <w:w w:val="100"/>
          <w:position w:val="0"/>
        </w:rPr>
        <w:t>561,857.98</w:t>
      </w:r>
      <w:r>
        <w:rPr>
          <w:color w:val="000000"/>
          <w:spacing w:val="0"/>
          <w:w w:val="100"/>
          <w:position w:val="0"/>
        </w:rPr>
        <w:t>元，增加</w:t>
      </w:r>
      <w:r>
        <w:rPr>
          <w:rFonts w:ascii="Times New Roman" w:eastAsia="Times New Roman" w:hAnsi="Times New Roman" w:cs="Times New Roman"/>
          <w:color w:val="000000"/>
          <w:spacing w:val="0"/>
          <w:w w:val="100"/>
          <w:position w:val="0"/>
        </w:rPr>
        <w:t>31.75%</w:t>
      </w:r>
      <w:r>
        <w:rPr>
          <w:color w:val="000000"/>
          <w:spacing w:val="0"/>
          <w:w w:val="100"/>
          <w:position w:val="0"/>
        </w:rPr>
        <w:t>，主要系公司预收项目款。</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、应付职工薪酬年末余额较年初余额增加</w:t>
      </w:r>
      <w:r>
        <w:rPr>
          <w:rFonts w:ascii="Times New Roman" w:eastAsia="Times New Roman" w:hAnsi="Times New Roman" w:cs="Times New Roman"/>
          <w:color w:val="000000"/>
          <w:spacing w:val="0"/>
          <w:w w:val="100"/>
          <w:position w:val="0"/>
        </w:rPr>
        <w:t>12,426,975.10</w:t>
      </w:r>
      <w:r>
        <w:rPr>
          <w:color w:val="000000"/>
          <w:spacing w:val="0"/>
          <w:w w:val="100"/>
          <w:position w:val="0"/>
        </w:rPr>
        <w:t>元，增加</w:t>
      </w:r>
      <w:r>
        <w:rPr>
          <w:rFonts w:ascii="Times New Roman" w:eastAsia="Times New Roman" w:hAnsi="Times New Roman" w:cs="Times New Roman"/>
          <w:color w:val="000000"/>
          <w:spacing w:val="0"/>
          <w:w w:val="100"/>
          <w:position w:val="0"/>
        </w:rPr>
        <w:t>61.66%</w:t>
      </w:r>
      <w:r>
        <w:rPr>
          <w:color w:val="000000"/>
          <w:spacing w:val="0"/>
          <w:w w:val="100"/>
          <w:position w:val="0"/>
        </w:rPr>
        <w:t>，主要系本期年终奖较去年同期上涨。</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10</w:t>
      </w:r>
      <w:r>
        <w:rPr>
          <w:color w:val="000000"/>
          <w:spacing w:val="0"/>
          <w:w w:val="100"/>
          <w:position w:val="0"/>
        </w:rPr>
        <w:t>、应交税费年末余额较年初余额增加</w:t>
      </w:r>
      <w:r>
        <w:rPr>
          <w:rFonts w:ascii="Times New Roman" w:eastAsia="Times New Roman" w:hAnsi="Times New Roman" w:cs="Times New Roman"/>
          <w:color w:val="000000"/>
          <w:spacing w:val="0"/>
          <w:w w:val="100"/>
          <w:position w:val="0"/>
        </w:rPr>
        <w:t>3,562,604.62</w:t>
      </w:r>
      <w:r>
        <w:rPr>
          <w:color w:val="000000"/>
          <w:spacing w:val="0"/>
          <w:w w:val="100"/>
          <w:position w:val="0"/>
        </w:rPr>
        <w:t>元，增加</w:t>
      </w:r>
      <w:r>
        <w:rPr>
          <w:rFonts w:ascii="Times New Roman" w:eastAsia="Times New Roman" w:hAnsi="Times New Roman" w:cs="Times New Roman"/>
          <w:color w:val="000000"/>
          <w:spacing w:val="0"/>
          <w:w w:val="100"/>
          <w:position w:val="0"/>
        </w:rPr>
        <w:t>68.75%</w:t>
      </w:r>
      <w:r>
        <w:rPr>
          <w:color w:val="000000"/>
          <w:spacing w:val="0"/>
          <w:w w:val="100"/>
          <w:position w:val="0"/>
        </w:rPr>
        <w:t xml:space="preserve">，主要系企业利润总额同比增长，导致企业所得税增 </w:t>
      </w:r>
      <w:r>
        <w:rPr>
          <w:color w:val="000000"/>
          <w:spacing w:val="0"/>
          <w:w w:val="100"/>
          <w:position w:val="0"/>
        </w:rPr>
        <w:t>加。</w:t>
      </w:r>
    </w:p>
    <w:p>
      <w:pPr>
        <w:pStyle w:val="Style35"/>
        <w:keepNext w:val="0"/>
        <w:keepLines w:val="0"/>
        <w:widowControl w:val="0"/>
        <w:shd w:val="clear" w:color="auto" w:fill="auto"/>
        <w:bidi w:val="0"/>
        <w:spacing w:before="0" w:after="0" w:line="326"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11</w:t>
      </w:r>
      <w:r>
        <w:rPr>
          <w:color w:val="000000"/>
          <w:spacing w:val="0"/>
          <w:w w:val="100"/>
          <w:position w:val="0"/>
        </w:rPr>
        <w:t>、营业收入本年发生额较上年发生额增加</w:t>
      </w:r>
      <w:r>
        <w:rPr>
          <w:rFonts w:ascii="Times New Roman" w:eastAsia="Times New Roman" w:hAnsi="Times New Roman" w:cs="Times New Roman"/>
          <w:color w:val="000000"/>
          <w:spacing w:val="0"/>
          <w:w w:val="100"/>
          <w:position w:val="0"/>
        </w:rPr>
        <w:t>42,224,257.73</w:t>
      </w:r>
      <w:r>
        <w:rPr>
          <w:color w:val="000000"/>
          <w:spacing w:val="0"/>
          <w:w w:val="100"/>
          <w:position w:val="0"/>
        </w:rPr>
        <w:t>元，增加</w:t>
      </w:r>
      <w:r>
        <w:rPr>
          <w:rFonts w:ascii="Times New Roman" w:eastAsia="Times New Roman" w:hAnsi="Times New Roman" w:cs="Times New Roman"/>
          <w:color w:val="000000"/>
          <w:spacing w:val="0"/>
          <w:w w:val="100"/>
          <w:position w:val="0"/>
        </w:rPr>
        <w:t>17.07%</w:t>
      </w:r>
      <w:r>
        <w:rPr>
          <w:color w:val="000000"/>
          <w:spacing w:val="0"/>
          <w:w w:val="100"/>
          <w:position w:val="0"/>
        </w:rPr>
        <w:t>，主要系公司市场开拓，业务规模扩大。</w:t>
      </w:r>
    </w:p>
    <w:p>
      <w:pPr>
        <w:pStyle w:val="Style35"/>
        <w:keepNext w:val="0"/>
        <w:keepLines w:val="0"/>
        <w:widowControl w:val="0"/>
        <w:shd w:val="clear" w:color="auto" w:fill="auto"/>
        <w:bidi w:val="0"/>
        <w:spacing w:before="0" w:after="0" w:line="326"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12</w:t>
      </w:r>
      <w:r>
        <w:rPr>
          <w:color w:val="000000"/>
          <w:spacing w:val="0"/>
          <w:w w:val="100"/>
          <w:position w:val="0"/>
        </w:rPr>
        <w:t>、营业税金及附加本年发生额较上年发生额减少</w:t>
      </w:r>
      <w:r>
        <w:rPr>
          <w:rFonts w:ascii="Times New Roman" w:eastAsia="Times New Roman" w:hAnsi="Times New Roman" w:cs="Times New Roman"/>
          <w:color w:val="000000"/>
          <w:spacing w:val="0"/>
          <w:w w:val="100"/>
          <w:position w:val="0"/>
        </w:rPr>
        <w:t>1,106,128.17</w:t>
      </w:r>
      <w:r>
        <w:rPr>
          <w:color w:val="000000"/>
          <w:spacing w:val="0"/>
          <w:w w:val="100"/>
          <w:position w:val="0"/>
        </w:rPr>
        <w:t>元，减少</w:t>
      </w:r>
      <w:r>
        <w:rPr>
          <w:rFonts w:ascii="Times New Roman" w:eastAsia="Times New Roman" w:hAnsi="Times New Roman" w:cs="Times New Roman"/>
          <w:color w:val="000000"/>
          <w:spacing w:val="0"/>
          <w:w w:val="100"/>
          <w:position w:val="0"/>
        </w:rPr>
        <w:t>34.76%</w:t>
      </w:r>
      <w:r>
        <w:rPr>
          <w:color w:val="000000"/>
          <w:spacing w:val="0"/>
          <w:w w:val="100"/>
          <w:position w:val="0"/>
        </w:rPr>
        <w:t>，主要系公司技术服务收入适用营改增政 策。</w:t>
      </w:r>
    </w:p>
    <w:p>
      <w:pPr>
        <w:pStyle w:val="Style35"/>
        <w:keepNext w:val="0"/>
        <w:keepLines w:val="0"/>
        <w:widowControl w:val="0"/>
        <w:shd w:val="clear" w:color="auto" w:fill="auto"/>
        <w:bidi w:val="0"/>
        <w:spacing w:before="0" w:after="0" w:line="326"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13</w:t>
      </w:r>
      <w:r>
        <w:rPr>
          <w:color w:val="000000"/>
          <w:spacing w:val="0"/>
          <w:w w:val="100"/>
          <w:position w:val="0"/>
        </w:rPr>
        <w:t>、财务费用本年发生额较上年发生额增加</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,644,232.84</w:t>
      </w:r>
      <w:r>
        <w:rPr>
          <w:color w:val="000000"/>
          <w:spacing w:val="0"/>
          <w:w w:val="100"/>
          <w:position w:val="0"/>
        </w:rPr>
        <w:t>元，增加</w:t>
      </w:r>
      <w:r>
        <w:rPr>
          <w:rFonts w:ascii="Times New Roman" w:eastAsia="Times New Roman" w:hAnsi="Times New Roman" w:cs="Times New Roman"/>
          <w:color w:val="000000"/>
          <w:spacing w:val="0"/>
          <w:w w:val="100"/>
          <w:position w:val="0"/>
        </w:rPr>
        <w:t>45.04%</w:t>
      </w:r>
      <w:r>
        <w:rPr>
          <w:color w:val="000000"/>
          <w:spacing w:val="0"/>
          <w:w w:val="100"/>
          <w:position w:val="0"/>
        </w:rPr>
        <w:t>，主要系公司利息收入减少。</w:t>
      </w:r>
    </w:p>
    <w:p>
      <w:pPr>
        <w:pStyle w:val="Style35"/>
        <w:keepNext w:val="0"/>
        <w:keepLines w:val="0"/>
        <w:widowControl w:val="0"/>
        <w:shd w:val="clear" w:color="auto" w:fill="auto"/>
        <w:bidi w:val="0"/>
        <w:spacing w:before="0" w:after="0" w:line="326"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14</w:t>
      </w:r>
      <w:r>
        <w:rPr>
          <w:color w:val="000000"/>
          <w:spacing w:val="0"/>
          <w:w w:val="100"/>
          <w:position w:val="0"/>
        </w:rPr>
        <w:t>、资产减值损失本年发生额较上年发生额增加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,336,294.86</w:t>
      </w:r>
      <w:r>
        <w:rPr>
          <w:color w:val="000000"/>
          <w:spacing w:val="0"/>
          <w:w w:val="100"/>
          <w:position w:val="0"/>
        </w:rPr>
        <w:t>元，增加</w:t>
      </w:r>
      <w:r>
        <w:rPr>
          <w:rFonts w:ascii="Times New Roman" w:eastAsia="Times New Roman" w:hAnsi="Times New Roman" w:cs="Times New Roman"/>
          <w:color w:val="000000"/>
          <w:spacing w:val="0"/>
          <w:w w:val="100"/>
          <w:position w:val="0"/>
        </w:rPr>
        <w:t>49.56%</w:t>
      </w:r>
      <w:r>
        <w:rPr>
          <w:color w:val="000000"/>
          <w:spacing w:val="0"/>
          <w:w w:val="100"/>
          <w:position w:val="0"/>
        </w:rPr>
        <w:t>，主要系公司本期全额计提商誉减值准备。</w:t>
      </w:r>
    </w:p>
    <w:p>
      <w:pPr>
        <w:pStyle w:val="Style35"/>
        <w:keepNext w:val="0"/>
        <w:keepLines w:val="0"/>
        <w:widowControl w:val="0"/>
        <w:shd w:val="clear" w:color="auto" w:fill="auto"/>
        <w:bidi w:val="0"/>
        <w:spacing w:before="0" w:after="0" w:line="326"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15</w:t>
      </w:r>
      <w:r>
        <w:rPr>
          <w:color w:val="000000"/>
          <w:spacing w:val="0"/>
          <w:w w:val="100"/>
          <w:position w:val="0"/>
        </w:rPr>
        <w:t>、公允价值变动损益本年发生额较上年发生额减少</w:t>
      </w:r>
      <w:r>
        <w:rPr>
          <w:rFonts w:ascii="Times New Roman" w:eastAsia="Times New Roman" w:hAnsi="Times New Roman" w:cs="Times New Roman"/>
          <w:color w:val="000000"/>
          <w:spacing w:val="0"/>
          <w:w w:val="100"/>
          <w:position w:val="0"/>
        </w:rPr>
        <w:t>583,208.36</w:t>
      </w:r>
      <w:r>
        <w:rPr>
          <w:color w:val="000000"/>
          <w:spacing w:val="0"/>
          <w:w w:val="100"/>
          <w:position w:val="0"/>
        </w:rPr>
        <w:t>元，减少</w:t>
      </w:r>
      <w:r>
        <w:rPr>
          <w:rFonts w:ascii="Times New Roman" w:eastAsia="Times New Roman" w:hAnsi="Times New Roman" w:cs="Times New Roman"/>
          <w:color w:val="000000"/>
          <w:spacing w:val="0"/>
          <w:w w:val="100"/>
          <w:position w:val="0"/>
        </w:rPr>
        <w:t>85.04%</w:t>
      </w:r>
      <w:r>
        <w:rPr>
          <w:color w:val="000000"/>
          <w:spacing w:val="0"/>
          <w:w w:val="100"/>
          <w:position w:val="0"/>
        </w:rPr>
        <w:t>，主要系公司上年度购买的部分理财产品 于本报告期到期，公允价值变动损益变为投资收益。</w:t>
      </w:r>
    </w:p>
    <w:p>
      <w:pPr>
        <w:pStyle w:val="Style35"/>
        <w:keepNext w:val="0"/>
        <w:keepLines w:val="0"/>
        <w:widowControl w:val="0"/>
        <w:shd w:val="clear" w:color="auto" w:fill="auto"/>
        <w:bidi w:val="0"/>
        <w:spacing w:before="0" w:after="0" w:line="326"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16</w:t>
      </w:r>
      <w:r>
        <w:rPr>
          <w:color w:val="000000"/>
          <w:spacing w:val="0"/>
          <w:w w:val="100"/>
          <w:position w:val="0"/>
        </w:rPr>
        <w:t>、投资收益本年发生额较上年发生额增加</w:t>
      </w:r>
      <w:r>
        <w:rPr>
          <w:rFonts w:ascii="Times New Roman" w:eastAsia="Times New Roman" w:hAnsi="Times New Roman" w:cs="Times New Roman"/>
          <w:color w:val="000000"/>
          <w:spacing w:val="0"/>
          <w:w w:val="100"/>
          <w:position w:val="0"/>
        </w:rPr>
        <w:t>6,189,918.6</w:t>
      </w:r>
      <w:r>
        <w:rPr>
          <w:rFonts w:ascii="Times New Roman" w:eastAsia="Times New Roman" w:hAnsi="Times New Roman" w:cs="Times New Roman"/>
          <w:color w:val="000000"/>
          <w:spacing w:val="0"/>
          <w:w w:val="100"/>
          <w:position w:val="0"/>
        </w:rPr>
        <w:t>0</w:t>
      </w:r>
      <w:r>
        <w:rPr>
          <w:color w:val="000000"/>
          <w:spacing w:val="0"/>
          <w:w w:val="100"/>
          <w:position w:val="0"/>
        </w:rPr>
        <w:t>元，增加</w:t>
      </w:r>
      <w:r>
        <w:rPr>
          <w:rFonts w:ascii="Times New Roman" w:eastAsia="Times New Roman" w:hAnsi="Times New Roman" w:cs="Times New Roman"/>
          <w:color w:val="000000"/>
          <w:spacing w:val="0"/>
          <w:w w:val="100"/>
          <w:position w:val="0"/>
        </w:rPr>
        <w:t>362.17%</w:t>
      </w:r>
      <w:r>
        <w:rPr>
          <w:color w:val="000000"/>
          <w:spacing w:val="0"/>
          <w:w w:val="100"/>
          <w:position w:val="0"/>
        </w:rPr>
        <w:t>，主要系理财产品和信托产品产生的收益。</w:t>
      </w:r>
    </w:p>
    <w:p>
      <w:pPr>
        <w:pStyle w:val="Style35"/>
        <w:keepNext w:val="0"/>
        <w:keepLines w:val="0"/>
        <w:widowControl w:val="0"/>
        <w:shd w:val="clear" w:color="auto" w:fill="auto"/>
        <w:bidi w:val="0"/>
        <w:spacing w:before="0" w:after="0" w:line="326"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17</w:t>
      </w:r>
      <w:r>
        <w:rPr>
          <w:color w:val="000000"/>
          <w:spacing w:val="0"/>
          <w:w w:val="100"/>
          <w:position w:val="0"/>
        </w:rPr>
        <w:t>、营业外收入本年发生额较上年发生额减少</w:t>
      </w:r>
      <w:r>
        <w:rPr>
          <w:rFonts w:ascii="Times New Roman" w:eastAsia="Times New Roman" w:hAnsi="Times New Roman" w:cs="Times New Roman"/>
          <w:color w:val="000000"/>
          <w:spacing w:val="0"/>
          <w:w w:val="100"/>
          <w:position w:val="0"/>
        </w:rPr>
        <w:t>6,627,505.5</w:t>
      </w:r>
      <w:r>
        <w:rPr>
          <w:rFonts w:ascii="Times New Roman" w:eastAsia="Times New Roman" w:hAnsi="Times New Roman" w:cs="Times New Roman"/>
          <w:color w:val="000000"/>
          <w:spacing w:val="0"/>
          <w:w w:val="100"/>
          <w:position w:val="0"/>
        </w:rPr>
        <w:t>2</w:t>
      </w:r>
      <w:r>
        <w:rPr>
          <w:color w:val="000000"/>
          <w:spacing w:val="0"/>
          <w:w w:val="100"/>
          <w:position w:val="0"/>
        </w:rPr>
        <w:t>元，减少</w:t>
      </w:r>
      <w:r>
        <w:rPr>
          <w:rFonts w:ascii="Times New Roman" w:eastAsia="Times New Roman" w:hAnsi="Times New Roman" w:cs="Times New Roman"/>
          <w:color w:val="000000"/>
          <w:spacing w:val="0"/>
          <w:w w:val="100"/>
          <w:position w:val="0"/>
        </w:rPr>
        <w:t>45.25%</w:t>
      </w:r>
      <w:r>
        <w:rPr>
          <w:color w:val="000000"/>
          <w:spacing w:val="0"/>
          <w:w w:val="100"/>
          <w:position w:val="0"/>
        </w:rPr>
        <w:t>，主要系政府补助减少。</w:t>
      </w:r>
    </w:p>
    <w:p>
      <w:pPr>
        <w:pStyle w:val="Style35"/>
        <w:keepNext w:val="0"/>
        <w:keepLines w:val="0"/>
        <w:widowControl w:val="0"/>
        <w:shd w:val="clear" w:color="auto" w:fill="auto"/>
        <w:bidi w:val="0"/>
        <w:spacing w:before="0" w:after="0" w:line="326" w:lineRule="exact"/>
        <w:ind w:left="0" w:right="0" w:firstLine="0"/>
        <w:jc w:val="both"/>
        <w:sectPr>
          <w:footnotePr>
            <w:pos w:val="pageBottom"/>
            <w:numFmt w:val="decimal"/>
            <w:numRestart w:val="continuous"/>
          </w:footnotePr>
          <w:type w:val="continuous"/>
          <w:pgSz w:w="11900" w:h="16840"/>
          <w:pgMar w:top="1374" w:right="1056" w:bottom="1369" w:left="1067" w:header="0" w:footer="3" w:gutter="0"/>
          <w:cols w:space="720"/>
          <w:noEndnote/>
          <w:rtlGutter w:val="0"/>
          <w:docGrid w:linePitch="360"/>
        </w:sectPr>
      </w:pPr>
      <w:r>
        <w:rPr>
          <w:color w:val="000000"/>
          <w:spacing w:val="0"/>
          <w:w w:val="100"/>
          <w:position w:val="0"/>
        </w:rPr>
        <w:t>注</w:t>
      </w:r>
      <w:r>
        <w:rPr>
          <w:rFonts w:ascii="Times New Roman" w:eastAsia="Times New Roman" w:hAnsi="Times New Roman" w:cs="Times New Roman"/>
          <w:color w:val="000000"/>
          <w:spacing w:val="0"/>
          <w:w w:val="100"/>
          <w:position w:val="0"/>
        </w:rPr>
        <w:t>18</w:t>
      </w:r>
      <w:r>
        <w:rPr>
          <w:color w:val="000000"/>
          <w:spacing w:val="0"/>
          <w:w w:val="100"/>
          <w:position w:val="0"/>
        </w:rPr>
        <w:t>、营业外支出本年发生额较上年发生额增加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,724,830.82</w:t>
      </w:r>
      <w:r>
        <w:rPr>
          <w:color w:val="000000"/>
          <w:spacing w:val="0"/>
          <w:w w:val="100"/>
          <w:position w:val="0"/>
        </w:rPr>
        <w:t>元，增加</w:t>
      </w:r>
      <w:r>
        <w:rPr>
          <w:rFonts w:ascii="Times New Roman" w:eastAsia="Times New Roman" w:hAnsi="Times New Roman" w:cs="Times New Roman"/>
          <w:color w:val="000000"/>
          <w:spacing w:val="0"/>
          <w:w w:val="100"/>
          <w:position w:val="0"/>
        </w:rPr>
        <w:t>1440.37%</w:t>
      </w:r>
      <w:r>
        <w:rPr>
          <w:color w:val="000000"/>
          <w:spacing w:val="0"/>
          <w:w w:val="100"/>
          <w:position w:val="0"/>
        </w:rPr>
        <w:t>,主要系固定资产处置损失增加和公益性捐 赠支出。</w:t>
      </w:r>
    </w:p>
    <w:p>
      <w:pPr>
        <w:pStyle w:val="Style17"/>
        <w:keepNext/>
        <w:keepLines/>
        <w:widowControl w:val="0"/>
        <w:shd w:val="clear" w:color="auto" w:fill="auto"/>
        <w:bidi w:val="0"/>
        <w:spacing w:before="0" w:after="540" w:line="240" w:lineRule="auto"/>
        <w:ind w:left="0" w:right="0" w:firstLine="0"/>
        <w:jc w:val="center"/>
      </w:pPr>
      <w:bookmarkStart w:id="1259" w:name="bookmark1259"/>
      <w:bookmarkStart w:id="1260" w:name="bookmark1260"/>
      <w:bookmarkStart w:id="1261" w:name="bookmark1261"/>
      <w:r>
        <w:rPr>
          <w:color w:val="000000"/>
          <w:spacing w:val="0"/>
          <w:w w:val="100"/>
          <w:position w:val="0"/>
        </w:rPr>
        <w:t>第十一节备查文件目录</w:t>
      </w:r>
      <w:bookmarkEnd w:id="1259"/>
      <w:bookmarkEnd w:id="1260"/>
      <w:bookmarkEnd w:id="1261"/>
    </w:p>
    <w:p>
      <w:pPr>
        <w:pStyle w:val="Style35"/>
        <w:keepNext w:val="0"/>
        <w:keepLines w:val="0"/>
        <w:widowControl w:val="0"/>
        <w:shd w:val="clear" w:color="auto" w:fill="auto"/>
        <w:tabs>
          <w:tab w:pos="330" w:val="left"/>
        </w:tabs>
        <w:bidi w:val="0"/>
        <w:spacing w:before="0" w:after="80" w:line="240" w:lineRule="auto"/>
        <w:ind w:left="0" w:right="0" w:firstLine="0"/>
        <w:jc w:val="left"/>
      </w:pPr>
      <w:bookmarkStart w:id="1262" w:name="bookmark1262"/>
      <w:r>
        <w:rPr>
          <w:rFonts w:ascii="Times New Roman" w:eastAsia="Times New Roman" w:hAnsi="Times New Roman" w:cs="Times New Roman"/>
          <w:color w:val="000000"/>
          <w:spacing w:val="0"/>
          <w:w w:val="100"/>
          <w:position w:val="0"/>
        </w:rPr>
        <w:t>1</w:t>
      </w:r>
      <w:bookmarkEnd w:id="1262"/>
      <w:r>
        <w:rPr>
          <w:color w:val="000000"/>
          <w:spacing w:val="0"/>
          <w:w w:val="100"/>
          <w:position w:val="0"/>
        </w:rPr>
        <w:t>、</w:t>
        <w:tab/>
        <w:t>载有公司法定代表人赵福君、公司财务总监邱安超及会计机构负责人马巧红签名并盖章的会计报表。</w:t>
      </w:r>
    </w:p>
    <w:p>
      <w:pPr>
        <w:pStyle w:val="Style35"/>
        <w:keepNext w:val="0"/>
        <w:keepLines w:val="0"/>
        <w:widowControl w:val="0"/>
        <w:shd w:val="clear" w:color="auto" w:fill="auto"/>
        <w:tabs>
          <w:tab w:pos="349" w:val="left"/>
        </w:tabs>
        <w:bidi w:val="0"/>
        <w:spacing w:before="0" w:after="80" w:line="240" w:lineRule="auto"/>
        <w:ind w:left="0" w:right="0" w:firstLine="0"/>
        <w:jc w:val="left"/>
      </w:pPr>
      <w:bookmarkStart w:id="1263" w:name="bookmark1263"/>
      <w:r>
        <w:rPr>
          <w:rFonts w:ascii="Times New Roman" w:eastAsia="Times New Roman" w:hAnsi="Times New Roman" w:cs="Times New Roman"/>
          <w:color w:val="000000"/>
          <w:spacing w:val="0"/>
          <w:w w:val="100"/>
          <w:position w:val="0"/>
        </w:rPr>
        <w:t>2</w:t>
      </w:r>
      <w:bookmarkEnd w:id="1263"/>
      <w:r>
        <w:rPr>
          <w:color w:val="000000"/>
          <w:spacing w:val="0"/>
          <w:w w:val="100"/>
          <w:position w:val="0"/>
        </w:rPr>
        <w:t>、</w:t>
        <w:tab/>
        <w:t>载有立信会计师事务所（特殊普通合伙）盖章、注册会计师陈勇波、隋振涛签名并盖章的公司</w:t>
      </w:r>
      <w:r>
        <w:rPr>
          <w:rFonts w:ascii="Times New Roman" w:eastAsia="Times New Roman" w:hAnsi="Times New Roman" w:cs="Times New Roman"/>
          <w:color w:val="000000"/>
          <w:spacing w:val="0"/>
          <w:w w:val="100"/>
          <w:position w:val="0"/>
        </w:rPr>
        <w:t>2013</w:t>
      </w:r>
      <w:r>
        <w:rPr>
          <w:color w:val="000000"/>
          <w:spacing w:val="0"/>
          <w:w w:val="100"/>
          <w:position w:val="0"/>
        </w:rPr>
        <w:t>年度审计报告原件。</w:t>
      </w:r>
    </w:p>
    <w:p>
      <w:pPr>
        <w:pStyle w:val="Style35"/>
        <w:keepNext w:val="0"/>
        <w:keepLines w:val="0"/>
        <w:widowControl w:val="0"/>
        <w:shd w:val="clear" w:color="auto" w:fill="auto"/>
        <w:tabs>
          <w:tab w:pos="349" w:val="left"/>
        </w:tabs>
        <w:bidi w:val="0"/>
        <w:spacing w:before="0" w:after="80" w:line="240" w:lineRule="auto"/>
        <w:ind w:left="0" w:right="0" w:firstLine="0"/>
        <w:jc w:val="left"/>
      </w:pPr>
      <w:bookmarkStart w:id="1264" w:name="bookmark1264"/>
      <w:r>
        <w:rPr>
          <w:rFonts w:ascii="Times New Roman" w:eastAsia="Times New Roman" w:hAnsi="Times New Roman" w:cs="Times New Roman"/>
          <w:color w:val="000000"/>
          <w:spacing w:val="0"/>
          <w:w w:val="100"/>
          <w:position w:val="0"/>
        </w:rPr>
        <w:t>3</w:t>
      </w:r>
      <w:bookmarkEnd w:id="1264"/>
      <w:r>
        <w:rPr>
          <w:color w:val="000000"/>
          <w:spacing w:val="0"/>
          <w:w w:val="100"/>
          <w:position w:val="0"/>
        </w:rPr>
        <w:t>、</w:t>
        <w:tab/>
        <w:t>报告期内在中国证监会指定报纸上公开披露过的所有公司文件正本及公告的原稿。</w:t>
      </w:r>
    </w:p>
    <w:p>
      <w:pPr>
        <w:pStyle w:val="Style35"/>
        <w:keepNext w:val="0"/>
        <w:keepLines w:val="0"/>
        <w:widowControl w:val="0"/>
        <w:shd w:val="clear" w:color="auto" w:fill="auto"/>
        <w:tabs>
          <w:tab w:pos="354" w:val="left"/>
        </w:tabs>
        <w:bidi w:val="0"/>
        <w:spacing w:before="0" w:after="2040" w:line="240" w:lineRule="auto"/>
        <w:ind w:left="0" w:right="0" w:firstLine="0"/>
        <w:jc w:val="left"/>
      </w:pPr>
      <w:bookmarkStart w:id="1265" w:name="bookmark1265"/>
      <w:r>
        <w:rPr>
          <w:rFonts w:ascii="Times New Roman" w:eastAsia="Times New Roman" w:hAnsi="Times New Roman" w:cs="Times New Roman"/>
          <w:color w:val="000000"/>
          <w:spacing w:val="0"/>
          <w:w w:val="100"/>
          <w:position w:val="0"/>
        </w:rPr>
        <w:t>4</w:t>
      </w:r>
      <w:bookmarkEnd w:id="1265"/>
      <w:r>
        <w:rPr>
          <w:color w:val="000000"/>
          <w:spacing w:val="0"/>
          <w:w w:val="100"/>
          <w:position w:val="0"/>
        </w:rPr>
        <w:t>、</w:t>
        <w:tab/>
        <w:t>载有公司董事长签名的</w:t>
      </w:r>
      <w:r>
        <w:rPr>
          <w:rFonts w:ascii="Times New Roman" w:eastAsia="Times New Roman" w:hAnsi="Times New Roman" w:cs="Times New Roman"/>
          <w:color w:val="000000"/>
          <w:spacing w:val="0"/>
          <w:w w:val="100"/>
          <w:position w:val="0"/>
        </w:rPr>
        <w:t>2013</w:t>
      </w:r>
      <w:r>
        <w:rPr>
          <w:color w:val="000000"/>
          <w:spacing w:val="0"/>
          <w:w w:val="100"/>
          <w:position w:val="0"/>
        </w:rPr>
        <w:t>年度报告文本原件。</w:t>
      </w:r>
    </w:p>
    <w:p>
      <w:pPr>
        <w:pStyle w:val="Style35"/>
        <w:keepNext w:val="0"/>
        <w:keepLines w:val="0"/>
        <w:widowControl w:val="0"/>
        <w:shd w:val="clear" w:color="auto" w:fill="auto"/>
        <w:bidi w:val="0"/>
        <w:spacing w:before="0" w:after="240" w:line="240" w:lineRule="auto"/>
        <w:ind w:left="6320" w:right="0" w:firstLine="0"/>
        <w:jc w:val="left"/>
      </w:pPr>
      <w:r>
        <w:rPr>
          <w:color w:val="000000"/>
          <w:spacing w:val="0"/>
          <w:w w:val="100"/>
          <w:position w:val="0"/>
        </w:rPr>
        <w:t>北京久其软件股份有限公司</w:t>
      </w:r>
    </w:p>
    <w:p>
      <w:pPr>
        <w:pStyle w:val="Style35"/>
        <w:keepNext w:val="0"/>
        <w:keepLines w:val="0"/>
        <w:widowControl w:val="0"/>
        <w:shd w:val="clear" w:color="auto" w:fill="auto"/>
        <w:bidi w:val="0"/>
        <w:spacing w:before="0" w:after="240" w:line="240" w:lineRule="auto"/>
        <w:ind w:left="6320" w:right="0" w:firstLine="0"/>
        <w:jc w:val="left"/>
      </w:pPr>
      <w:r>
        <w:rPr>
          <w:color w:val="000000"/>
          <w:spacing w:val="0"/>
          <w:w w:val="100"/>
          <w:position w:val="0"/>
        </w:rPr>
        <w:t>法定代表人：赵福君</w:t>
      </w:r>
    </w:p>
    <w:p>
      <w:pPr>
        <w:pStyle w:val="Style35"/>
        <w:keepNext w:val="0"/>
        <w:keepLines w:val="0"/>
        <w:widowControl w:val="0"/>
        <w:shd w:val="clear" w:color="auto" w:fill="auto"/>
        <w:bidi w:val="0"/>
        <w:spacing w:before="0" w:after="240" w:line="240" w:lineRule="auto"/>
        <w:ind w:left="6320" w:right="0" w:firstLine="0"/>
        <w:jc w:val="left"/>
      </w:pPr>
      <w:r>
        <w:rPr>
          <w:color w:val="000000"/>
          <w:spacing w:val="0"/>
          <w:w w:val="100"/>
          <w:position w:val="0"/>
          <w:sz w:val="18"/>
          <w:szCs w:val="18"/>
        </w:rPr>
        <w:t xml:space="preserve">2014 </w:t>
      </w:r>
      <w:r>
        <w:rPr>
          <w:color w:val="000000"/>
          <w:spacing w:val="0"/>
          <w:w w:val="100"/>
          <w:position w:val="0"/>
        </w:rPr>
        <w:t>年</w:t>
      </w:r>
      <w:r>
        <w:rPr>
          <w:color w:val="000000"/>
          <w:spacing w:val="0"/>
          <w:w w:val="100"/>
          <w:position w:val="0"/>
          <w:sz w:val="18"/>
          <w:szCs w:val="18"/>
        </w:rPr>
        <w:t>3</w:t>
      </w:r>
      <w:r>
        <w:rPr>
          <w:color w:val="000000"/>
          <w:spacing w:val="0"/>
          <w:w w:val="100"/>
          <w:position w:val="0"/>
        </w:rPr>
        <w:t xml:space="preserve">月 </w:t>
      </w:r>
      <w:r>
        <w:rPr>
          <w:color w:val="000000"/>
          <w:spacing w:val="0"/>
          <w:w w:val="100"/>
          <w:position w:val="0"/>
          <w:sz w:val="18"/>
          <w:szCs w:val="18"/>
        </w:rPr>
        <w:t>23</w:t>
      </w:r>
      <w:r>
        <w:rPr>
          <w:color w:val="000000"/>
          <w:spacing w:val="0"/>
          <w:w w:val="100"/>
          <w:position w:val="0"/>
        </w:rPr>
        <w:t>日</w:t>
      </w:r>
    </w:p>
    <w:sectPr>
      <w:footnotePr>
        <w:pos w:val="pageBottom"/>
        <w:numFmt w:val="decimal"/>
        <w:numRestart w:val="continuous"/>
      </w:footnotePr>
      <w:pgSz w:w="11900" w:h="16840"/>
      <w:pgMar w:top="1974" w:right="1121" w:bottom="1974" w:left="110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6792595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85000000000002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6751320</wp:posOffset>
              </wp:positionH>
              <wp:positionV relativeFrom="page">
                <wp:posOffset>9975215</wp:posOffset>
              </wp:positionV>
              <wp:extent cx="113030" cy="82550"/>
              <wp:wrapNone/>
              <wp:docPr id="9" name="Shape 9"/>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1.60000000000002pt;margin-top:785.45000000000005pt;width:8.9000000000000004pt;height:6.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4503420</wp:posOffset>
              </wp:positionH>
              <wp:positionV relativeFrom="page">
                <wp:posOffset>478790</wp:posOffset>
              </wp:positionV>
              <wp:extent cx="2328545" cy="106680"/>
              <wp:wrapNone/>
              <wp:docPr id="1" name="Shape 1"/>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北京久其软件股份有限公司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54.60000000000002pt;margin-top:37.700000000000003pt;width:183.3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北京久其软件股份有限公司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621665</wp:posOffset>
              </wp:positionV>
              <wp:extent cx="6120130" cy="0"/>
              <wp:wrapNone/>
              <wp:docPr id="3" name="Shape 3"/>
              <a:graphic xmlns:a="http://schemas.openxmlformats.org/drawingml/2006/main">
                <a:graphicData uri="http://schemas.microsoft.com/office/word/2010/wordprocessingShape">
                  <wps:wsp>
                    <wps:cNvCnPr/>
                    <wps:spPr>
                      <a:xfrm>
                        <a:ext cx="6120130" cy="0"/>
                      </a:xfrm>
                      <a:prstGeom prst="straightConnector1"/>
                      <a:ln w="12700">
                        <a:solidFill/>
                      </a:ln>
                    </wps:spPr>
                    <wps:bodyPr/>
                  </wps:wsp>
                </a:graphicData>
              </a:graphic>
            </wp:anchor>
          </w:drawing>
        </mc:Choice>
        <mc:Fallback>
          <w:pict>
            <v:shape o:spt="32" o:oned="true" path="m,l21600,21600e" style="position:absolute;margin-left:56.550000000000004pt;margin-top:48.950000000000003pt;width:481.90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4532630</wp:posOffset>
              </wp:positionH>
              <wp:positionV relativeFrom="page">
                <wp:posOffset>551180</wp:posOffset>
              </wp:positionV>
              <wp:extent cx="2328545" cy="106680"/>
              <wp:wrapNone/>
              <wp:docPr id="6" name="Shape 6"/>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北京久其软件股份有限公司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2" type="#_x0000_t202" style="position:absolute;margin-left:356.90000000000003pt;margin-top:43.399999999999999pt;width:183.3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北京久其软件股份有限公司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746760</wp:posOffset>
              </wp:positionH>
              <wp:positionV relativeFrom="page">
                <wp:posOffset>706120</wp:posOffset>
              </wp:positionV>
              <wp:extent cx="6120130" cy="0"/>
              <wp:wrapNone/>
              <wp:docPr id="8" name="Shape 8"/>
              <a:graphic xmlns:a="http://schemas.openxmlformats.org/drawingml/2006/main">
                <a:graphicData uri="http://schemas.microsoft.com/office/word/2010/wordprocessingShape">
                  <wps:wsp>
                    <wps:cNvCnPr/>
                    <wps:spPr>
                      <a:xfrm>
                        <a:ext cx="6120130" cy="0"/>
                      </a:xfrm>
                      <a:prstGeom prst="straightConnector1"/>
                      <a:ln w="12700">
                        <a:solidFill/>
                      </a:ln>
                    </wps:spPr>
                    <wps:bodyPr/>
                  </wps:wsp>
                </a:graphicData>
              </a:graphic>
            </wp:anchor>
          </w:drawing>
        </mc:Choice>
        <mc:Fallback>
          <w:pict>
            <v:shape o:spt="32" o:oned="true" path="m,l21600,21600e" style="position:absolute;margin-left:58.800000000000004pt;margin-top:55.600000000000001pt;width:481.90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Arial" w:eastAsia="Arial" w:hAnsi="Arial" w:cs="Arial"/>
      <w:b/>
      <w:bCs/>
      <w:i w:val="0"/>
      <w:iCs w:val="0"/>
      <w:smallCaps w:val="0"/>
      <w:strike w:val="0"/>
      <w:color w:val="822027"/>
      <w:sz w:val="56"/>
      <w:szCs w:val="5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2_"/>
    <w:basedOn w:val="DefaultParagraphFont"/>
    <w:link w:val="Style8"/>
    <w:rPr>
      <w:rFonts w:ascii="SimHei" w:eastAsia="SimHei" w:hAnsi="SimHei" w:cs="SimHei"/>
      <w:b w:val="0"/>
      <w:bCs w:val="0"/>
      <w:i w:val="0"/>
      <w:iCs w:val="0"/>
      <w:smallCaps w:val="0"/>
      <w:strike w:val="0"/>
      <w:color w:val="242021"/>
      <w:sz w:val="48"/>
      <w:szCs w:val="48"/>
      <w:u w:val="none"/>
      <w:shd w:val="clear" w:color="auto" w:fill="auto"/>
    </w:rPr>
  </w:style>
  <w:style w:type="character" w:customStyle="1" w:styleId="CharStyle12">
    <w:name w:val="正文文本 (4)_"/>
    <w:basedOn w:val="DefaultParagraphFont"/>
    <w:link w:val="Style11"/>
    <w:rPr>
      <w:rFonts w:ascii="SimSun" w:eastAsia="SimSun" w:hAnsi="SimSun" w:cs="SimSun"/>
      <w:b/>
      <w:bCs/>
      <w:i w:val="0"/>
      <w:iCs w:val="0"/>
      <w:smallCaps w:val="0"/>
      <w:strike w:val="0"/>
      <w:sz w:val="40"/>
      <w:szCs w:val="40"/>
      <w:u w:val="none"/>
      <w:shd w:val="clear" w:color="auto" w:fill="auto"/>
    </w:rPr>
  </w:style>
  <w:style w:type="character" w:customStyle="1" w:styleId="CharStyle15">
    <w:name w:val="正文文本 (3)_"/>
    <w:basedOn w:val="DefaultParagraphFont"/>
    <w:link w:val="Style14"/>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8">
    <w:name w:val="标题 #3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正文文本 (2)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3">
    <w:name w:val="正文文本 (5)_"/>
    <w:basedOn w:val="DefaultParagraphFont"/>
    <w:link w:val="Style22"/>
    <w:rPr>
      <w:rFonts w:ascii="SimSun" w:eastAsia="SimSun" w:hAnsi="SimSun" w:cs="SimSun"/>
      <w:b/>
      <w:bCs/>
      <w:i w:val="0"/>
      <w:iCs w:val="0"/>
      <w:smallCaps w:val="0"/>
      <w:strike w:val="0"/>
      <w:sz w:val="36"/>
      <w:szCs w:val="36"/>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8">
    <w:name w:val="其他_"/>
    <w:basedOn w:val="DefaultParagraphFont"/>
    <w:link w:val="Style27"/>
    <w:rPr>
      <w:rFonts w:ascii="SimSun" w:eastAsia="SimSun" w:hAnsi="SimSun" w:cs="SimSun"/>
      <w:b w:val="0"/>
      <w:bCs w:val="0"/>
      <w:i w:val="0"/>
      <w:iCs w:val="0"/>
      <w:smallCaps w:val="0"/>
      <w:strike w:val="0"/>
      <w:sz w:val="18"/>
      <w:szCs w:val="18"/>
      <w:u w:val="none"/>
      <w:shd w:val="clear" w:color="auto" w:fill="auto"/>
    </w:rPr>
  </w:style>
  <w:style w:type="character" w:customStyle="1" w:styleId="CharStyle32">
    <w:name w:val="标题 #4_"/>
    <w:basedOn w:val="DefaultParagraphFont"/>
    <w:link w:val="Style31"/>
    <w:rPr>
      <w:rFonts w:ascii="SimSun" w:eastAsia="SimSun" w:hAnsi="SimSun" w:cs="SimSun"/>
      <w:b/>
      <w:bCs/>
      <w:i w:val="0"/>
      <w:iCs w:val="0"/>
      <w:smallCaps w:val="0"/>
      <w:strike w:val="0"/>
      <w:u w:val="none"/>
      <w:shd w:val="clear" w:color="auto" w:fill="auto"/>
    </w:rPr>
  </w:style>
  <w:style w:type="character" w:customStyle="1" w:styleId="CharStyle34">
    <w:name w:val="表格标题_"/>
    <w:basedOn w:val="DefaultParagraphFont"/>
    <w:link w:val="Style33"/>
    <w:rPr>
      <w:rFonts w:ascii="SimSun" w:eastAsia="SimSun" w:hAnsi="SimSun" w:cs="SimSun"/>
      <w:b w:val="0"/>
      <w:bCs w:val="0"/>
      <w:i w:val="0"/>
      <w:iCs w:val="0"/>
      <w:smallCaps w:val="0"/>
      <w:strike w:val="0"/>
      <w:sz w:val="18"/>
      <w:szCs w:val="18"/>
      <w:u w:val="none"/>
      <w:shd w:val="clear" w:color="auto" w:fill="auto"/>
    </w:rPr>
  </w:style>
  <w:style w:type="character" w:customStyle="1" w:styleId="CharStyle36">
    <w:name w:val="正文文本_"/>
    <w:basedOn w:val="DefaultParagraphFont"/>
    <w:link w:val="Style35"/>
    <w:rPr>
      <w:rFonts w:ascii="SimSun" w:eastAsia="SimSun" w:hAnsi="SimSun" w:cs="SimSun"/>
      <w:b w:val="0"/>
      <w:bCs w:val="0"/>
      <w:i w:val="0"/>
      <w:iCs w:val="0"/>
      <w:smallCaps w:val="0"/>
      <w:strike w:val="0"/>
      <w:sz w:val="18"/>
      <w:szCs w:val="18"/>
      <w:u w:val="none"/>
      <w:shd w:val="clear" w:color="auto" w:fill="auto"/>
    </w:rPr>
  </w:style>
  <w:style w:type="character" w:customStyle="1" w:styleId="CharStyle41">
    <w:name w:val="标题 #5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51">
    <w:name w:val="图片标题 (2)_"/>
    <w:basedOn w:val="DefaultParagraphFont"/>
    <w:link w:val="Style50"/>
    <w:rPr>
      <w:rFonts w:ascii="SimHei" w:eastAsia="SimHei" w:hAnsi="SimHei" w:cs="SimHei"/>
      <w:b w:val="0"/>
      <w:bCs w:val="0"/>
      <w:i w:val="0"/>
      <w:iCs w:val="0"/>
      <w:smallCaps w:val="0"/>
      <w:strike w:val="0"/>
      <w:color w:val="808080"/>
      <w:sz w:val="22"/>
      <w:szCs w:val="22"/>
      <w:u w:val="none"/>
      <w:shd w:val="clear" w:color="auto" w:fill="auto"/>
    </w:rPr>
  </w:style>
  <w:style w:type="character" w:customStyle="1" w:styleId="CharStyle56">
    <w:name w:val="图片标题_"/>
    <w:basedOn w:val="DefaultParagraphFont"/>
    <w:link w:val="Style55"/>
    <w:rPr>
      <w:rFonts w:ascii="Times New Roman" w:eastAsia="Times New Roman" w:hAnsi="Times New Roman" w:cs="Times New Roman"/>
      <w:b/>
      <w:bCs/>
      <w:i w:val="0"/>
      <w:iCs w:val="0"/>
      <w:smallCaps w:val="0"/>
      <w:strike w:val="0"/>
      <w:color w:val="242021"/>
      <w:sz w:val="17"/>
      <w:szCs w:val="17"/>
      <w:u w:val="none"/>
      <w:shd w:val="clear" w:color="auto" w:fill="auto"/>
    </w:rPr>
  </w:style>
  <w:style w:type="character" w:customStyle="1" w:styleId="CharStyle67">
    <w:name w:val="正文文本 (8)_"/>
    <w:basedOn w:val="DefaultParagraphFont"/>
    <w:link w:val="Style66"/>
    <w:rPr>
      <w:rFonts w:ascii="SimSun" w:eastAsia="SimSun" w:hAnsi="SimSun" w:cs="SimSun"/>
      <w:b w:val="0"/>
      <w:bCs w:val="0"/>
      <w:i w:val="0"/>
      <w:iCs w:val="0"/>
      <w:smallCaps w:val="0"/>
      <w:strike w:val="0"/>
      <w:sz w:val="20"/>
      <w:szCs w:val="20"/>
      <w:u w:val="none"/>
      <w:shd w:val="clear" w:color="auto" w:fill="auto"/>
    </w:rPr>
  </w:style>
  <w:style w:type="character" w:customStyle="1" w:styleId="CharStyle80">
    <w:name w:val="正文文本 (10)_"/>
    <w:basedOn w:val="DefaultParagraphFont"/>
    <w:link w:val="Style79"/>
    <w:rPr>
      <w:rFonts w:ascii="SimSun" w:eastAsia="SimSun" w:hAnsi="SimSun" w:cs="SimSun"/>
      <w:b w:val="0"/>
      <w:bCs w:val="0"/>
      <w:i w:val="0"/>
      <w:iCs w:val="0"/>
      <w:smallCaps w:val="0"/>
      <w:strike w:val="0"/>
      <w:color w:val="666666"/>
      <w:sz w:val="13"/>
      <w:szCs w:val="13"/>
      <w:u w:val="none"/>
      <w:shd w:val="clear" w:color="auto" w:fill="auto"/>
    </w:rPr>
  </w:style>
  <w:style w:type="character" w:customStyle="1" w:styleId="CharStyle82">
    <w:name w:val="其他 (3)_"/>
    <w:basedOn w:val="DefaultParagraphFont"/>
    <w:link w:val="Style81"/>
    <w:rPr>
      <w:rFonts w:ascii="SimSun" w:eastAsia="SimSun" w:hAnsi="SimSun" w:cs="SimSun"/>
      <w:b w:val="0"/>
      <w:bCs w:val="0"/>
      <w:i w:val="0"/>
      <w:iCs w:val="0"/>
      <w:smallCaps w:val="0"/>
      <w:strike w:val="0"/>
      <w:color w:val="4B4848"/>
      <w:sz w:val="108"/>
      <w:szCs w:val="108"/>
      <w:u w:val="none"/>
      <w:shd w:val="clear" w:color="auto" w:fill="auto"/>
    </w:rPr>
  </w:style>
  <w:style w:type="character" w:customStyle="1" w:styleId="CharStyle87">
    <w:name w:val="正文文本 (9)_"/>
    <w:basedOn w:val="DefaultParagraphFont"/>
    <w:link w:val="Style86"/>
    <w:rPr>
      <w:rFonts w:ascii="SimSun" w:eastAsia="SimSun" w:hAnsi="SimSun" w:cs="SimSun"/>
      <w:b w:val="0"/>
      <w:bCs w:val="0"/>
      <w:i w:val="0"/>
      <w:iCs w:val="0"/>
      <w:smallCaps w:val="0"/>
      <w:strike w:val="0"/>
      <w:color w:val="808080"/>
      <w:sz w:val="10"/>
      <w:szCs w:val="10"/>
      <w:u w:val="none"/>
      <w:shd w:val="clear" w:color="auto" w:fill="auto"/>
    </w:rPr>
  </w:style>
  <w:style w:type="paragraph" w:customStyle="1" w:styleId="Style2">
    <w:name w:val="标题 #1"/>
    <w:basedOn w:val="Normal"/>
    <w:link w:val="CharStyle3"/>
    <w:pPr>
      <w:widowControl w:val="0"/>
      <w:shd w:val="clear" w:color="auto" w:fill="auto"/>
      <w:jc w:val="center"/>
      <w:outlineLvl w:val="0"/>
    </w:pPr>
    <w:rPr>
      <w:rFonts w:ascii="Arial" w:eastAsia="Arial" w:hAnsi="Arial" w:cs="Arial"/>
      <w:b/>
      <w:bCs/>
      <w:i w:val="0"/>
      <w:iCs w:val="0"/>
      <w:smallCaps w:val="0"/>
      <w:strike w:val="0"/>
      <w:color w:val="822027"/>
      <w:sz w:val="56"/>
      <w:szCs w:val="5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2"/>
    <w:basedOn w:val="Normal"/>
    <w:link w:val="CharStyle9"/>
    <w:pPr>
      <w:widowControl w:val="0"/>
      <w:shd w:val="clear" w:color="auto" w:fill="auto"/>
      <w:spacing w:after="620"/>
      <w:jc w:val="center"/>
      <w:outlineLvl w:val="1"/>
    </w:pPr>
    <w:rPr>
      <w:rFonts w:ascii="SimHei" w:eastAsia="SimHei" w:hAnsi="SimHei" w:cs="SimHei"/>
      <w:b w:val="0"/>
      <w:bCs w:val="0"/>
      <w:i w:val="0"/>
      <w:iCs w:val="0"/>
      <w:smallCaps w:val="0"/>
      <w:strike w:val="0"/>
      <w:color w:val="242021"/>
      <w:sz w:val="48"/>
      <w:szCs w:val="48"/>
      <w:u w:val="none"/>
      <w:shd w:val="clear" w:color="auto" w:fill="auto"/>
    </w:rPr>
  </w:style>
  <w:style w:type="paragraph" w:customStyle="1" w:styleId="Style11">
    <w:name w:val="正文文本 (4)"/>
    <w:basedOn w:val="Normal"/>
    <w:link w:val="CharStyle12"/>
    <w:pPr>
      <w:widowControl w:val="0"/>
      <w:shd w:val="clear" w:color="auto" w:fill="auto"/>
      <w:spacing w:after="6000"/>
      <w:jc w:val="center"/>
    </w:pPr>
    <w:rPr>
      <w:rFonts w:ascii="SimSun" w:eastAsia="SimSun" w:hAnsi="SimSun" w:cs="SimSun"/>
      <w:b/>
      <w:bCs/>
      <w:i w:val="0"/>
      <w:iCs w:val="0"/>
      <w:smallCaps w:val="0"/>
      <w:strike w:val="0"/>
      <w:sz w:val="40"/>
      <w:szCs w:val="40"/>
      <w:u w:val="none"/>
      <w:shd w:val="clear" w:color="auto" w:fill="auto"/>
    </w:rPr>
  </w:style>
  <w:style w:type="paragraph" w:customStyle="1" w:styleId="Style14">
    <w:name w:val="正文文本 (3)"/>
    <w:basedOn w:val="Normal"/>
    <w:link w:val="CharStyle15"/>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7">
    <w:name w:val="标题 #3"/>
    <w:basedOn w:val="Normal"/>
    <w:link w:val="CharStyle18"/>
    <w:pPr>
      <w:widowControl w:val="0"/>
      <w:shd w:val="clear" w:color="auto" w:fill="auto"/>
      <w:spacing w:after="53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9">
    <w:name w:val="正文文本 (2)"/>
    <w:basedOn w:val="Normal"/>
    <w:link w:val="CharStyle20"/>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2">
    <w:name w:val="正文文本 (5)"/>
    <w:basedOn w:val="Normal"/>
    <w:link w:val="CharStyle23"/>
    <w:pPr>
      <w:widowControl w:val="0"/>
      <w:shd w:val="clear" w:color="auto" w:fill="auto"/>
      <w:spacing w:before="1400" w:after="1580"/>
      <w:jc w:val="center"/>
    </w:pPr>
    <w:rPr>
      <w:rFonts w:ascii="SimSun" w:eastAsia="SimSun" w:hAnsi="SimSun" w:cs="SimSun"/>
      <w:b/>
      <w:bCs/>
      <w:i w:val="0"/>
      <w:iCs w:val="0"/>
      <w:smallCaps w:val="0"/>
      <w:strike w:val="0"/>
      <w:sz w:val="36"/>
      <w:szCs w:val="36"/>
      <w:u w:val="none"/>
      <w:shd w:val="clear" w:color="auto" w:fill="auto"/>
    </w:rPr>
  </w:style>
  <w:style w:type="paragraph" w:customStyle="1" w:styleId="Style24">
    <w:name w:val="目录"/>
    <w:basedOn w:val="Normal"/>
    <w:link w:val="CharStyle25"/>
    <w:pPr>
      <w:widowControl w:val="0"/>
      <w:shd w:val="clear" w:color="auto" w:fill="auto"/>
      <w:spacing w:after="340"/>
    </w:pPr>
    <w:rPr>
      <w:rFonts w:ascii="SimSun" w:eastAsia="SimSun" w:hAnsi="SimSun" w:cs="SimSun"/>
      <w:b/>
      <w:bCs/>
      <w:i w:val="0"/>
      <w:iCs w:val="0"/>
      <w:smallCaps w:val="0"/>
      <w:strike w:val="0"/>
      <w:u w:val="none"/>
      <w:shd w:val="clear" w:color="auto" w:fill="auto"/>
    </w:rPr>
  </w:style>
  <w:style w:type="paragraph" w:customStyle="1" w:styleId="Style27">
    <w:name w:val="其他"/>
    <w:basedOn w:val="Normal"/>
    <w:link w:val="CharStyle2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1">
    <w:name w:val="标题 #4"/>
    <w:basedOn w:val="Normal"/>
    <w:link w:val="CharStyle32"/>
    <w:pPr>
      <w:widowControl w:val="0"/>
      <w:shd w:val="clear" w:color="auto" w:fill="auto"/>
      <w:spacing w:after="300"/>
      <w:outlineLvl w:val="3"/>
    </w:pPr>
    <w:rPr>
      <w:rFonts w:ascii="SimSun" w:eastAsia="SimSun" w:hAnsi="SimSun" w:cs="SimSun"/>
      <w:b/>
      <w:bCs/>
      <w:i w:val="0"/>
      <w:iCs w:val="0"/>
      <w:smallCaps w:val="0"/>
      <w:strike w:val="0"/>
      <w:u w:val="none"/>
      <w:shd w:val="clear" w:color="auto" w:fill="auto"/>
    </w:rPr>
  </w:style>
  <w:style w:type="paragraph" w:customStyle="1" w:styleId="Style33">
    <w:name w:val="表格标题"/>
    <w:basedOn w:val="Normal"/>
    <w:link w:val="CharStyle34"/>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35">
    <w:name w:val="正文文本"/>
    <w:basedOn w:val="Normal"/>
    <w:link w:val="CharStyle36"/>
    <w:pPr>
      <w:widowControl w:val="0"/>
      <w:shd w:val="clear" w:color="auto" w:fill="auto"/>
      <w:spacing w:after="100"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40">
    <w:name w:val="标题 #5"/>
    <w:basedOn w:val="Normal"/>
    <w:link w:val="CharStyle41"/>
    <w:pPr>
      <w:widowControl w:val="0"/>
      <w:shd w:val="clear" w:color="auto" w:fill="auto"/>
      <w:spacing w:after="35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50">
    <w:name w:val="图片标题 (2)"/>
    <w:basedOn w:val="Normal"/>
    <w:link w:val="CharStyle51"/>
    <w:pPr>
      <w:widowControl w:val="0"/>
      <w:shd w:val="clear" w:color="auto" w:fill="auto"/>
    </w:pPr>
    <w:rPr>
      <w:rFonts w:ascii="SimHei" w:eastAsia="SimHei" w:hAnsi="SimHei" w:cs="SimHei"/>
      <w:b w:val="0"/>
      <w:bCs w:val="0"/>
      <w:i w:val="0"/>
      <w:iCs w:val="0"/>
      <w:smallCaps w:val="0"/>
      <w:strike w:val="0"/>
      <w:color w:val="808080"/>
      <w:sz w:val="22"/>
      <w:szCs w:val="22"/>
      <w:u w:val="none"/>
      <w:shd w:val="clear" w:color="auto" w:fill="auto"/>
    </w:rPr>
  </w:style>
  <w:style w:type="paragraph" w:customStyle="1" w:styleId="Style55">
    <w:name w:val="图片标题"/>
    <w:basedOn w:val="Normal"/>
    <w:link w:val="CharStyle56"/>
    <w:pPr>
      <w:widowControl w:val="0"/>
      <w:shd w:val="clear" w:color="auto" w:fill="auto"/>
    </w:pPr>
    <w:rPr>
      <w:rFonts w:ascii="Times New Roman" w:eastAsia="Times New Roman" w:hAnsi="Times New Roman" w:cs="Times New Roman"/>
      <w:b/>
      <w:bCs/>
      <w:i w:val="0"/>
      <w:iCs w:val="0"/>
      <w:smallCaps w:val="0"/>
      <w:strike w:val="0"/>
      <w:color w:val="242021"/>
      <w:sz w:val="17"/>
      <w:szCs w:val="17"/>
      <w:u w:val="none"/>
      <w:shd w:val="clear" w:color="auto" w:fill="auto"/>
    </w:rPr>
  </w:style>
  <w:style w:type="paragraph" w:customStyle="1" w:styleId="Style66">
    <w:name w:val="正文文本 (8)"/>
    <w:basedOn w:val="Normal"/>
    <w:link w:val="CharStyle67"/>
    <w:pPr>
      <w:widowControl w:val="0"/>
      <w:shd w:val="clear" w:color="auto" w:fill="auto"/>
      <w:spacing w:line="301"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79">
    <w:name w:val="正文文本 (10)"/>
    <w:basedOn w:val="Normal"/>
    <w:link w:val="CharStyle80"/>
    <w:pPr>
      <w:widowControl w:val="0"/>
      <w:shd w:val="clear" w:color="auto" w:fill="auto"/>
      <w:spacing w:line="235" w:lineRule="exact"/>
    </w:pPr>
    <w:rPr>
      <w:rFonts w:ascii="SimSun" w:eastAsia="SimSun" w:hAnsi="SimSun" w:cs="SimSun"/>
      <w:b w:val="0"/>
      <w:bCs w:val="0"/>
      <w:i w:val="0"/>
      <w:iCs w:val="0"/>
      <w:smallCaps w:val="0"/>
      <w:strike w:val="0"/>
      <w:color w:val="666666"/>
      <w:sz w:val="13"/>
      <w:szCs w:val="13"/>
      <w:u w:val="none"/>
      <w:shd w:val="clear" w:color="auto" w:fill="auto"/>
    </w:rPr>
  </w:style>
  <w:style w:type="paragraph" w:customStyle="1" w:styleId="Style81">
    <w:name w:val="其他 (3)"/>
    <w:basedOn w:val="Normal"/>
    <w:link w:val="CharStyle82"/>
    <w:pPr>
      <w:widowControl w:val="0"/>
      <w:shd w:val="clear" w:color="auto" w:fill="auto"/>
    </w:pPr>
    <w:rPr>
      <w:rFonts w:ascii="SimSun" w:eastAsia="SimSun" w:hAnsi="SimSun" w:cs="SimSun"/>
      <w:b w:val="0"/>
      <w:bCs w:val="0"/>
      <w:i w:val="0"/>
      <w:iCs w:val="0"/>
      <w:smallCaps w:val="0"/>
      <w:strike w:val="0"/>
      <w:color w:val="4B4848"/>
      <w:sz w:val="108"/>
      <w:szCs w:val="108"/>
      <w:u w:val="none"/>
      <w:shd w:val="clear" w:color="auto" w:fill="auto"/>
    </w:rPr>
  </w:style>
  <w:style w:type="paragraph" w:customStyle="1" w:styleId="Style86">
    <w:name w:val="正文文本 (9)"/>
    <w:basedOn w:val="Normal"/>
    <w:link w:val="CharStyle87"/>
    <w:pPr>
      <w:widowControl w:val="0"/>
      <w:shd w:val="clear" w:color="auto" w:fill="auto"/>
      <w:spacing w:after="40" w:line="202" w:lineRule="exact"/>
    </w:pPr>
    <w:rPr>
      <w:rFonts w:ascii="SimSun" w:eastAsia="SimSun" w:hAnsi="SimSun" w:cs="SimSun"/>
      <w:b w:val="0"/>
      <w:bCs w:val="0"/>
      <w:i w:val="0"/>
      <w:iCs w:val="0"/>
      <w:smallCaps w:val="0"/>
      <w:strike w:val="0"/>
      <w:color w:val="808080"/>
      <w:sz w:val="10"/>
      <w:szCs w:val="1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png"/><Relationship Id="rId16" Type="http://schemas.openxmlformats.org/officeDocument/2006/relationships/image" Target="media/image4.png" TargetMode="External"/><Relationship Id="rId17" Type="http://schemas.openxmlformats.org/officeDocument/2006/relationships/image" Target="media/image5.png"/><Relationship Id="rId18" Type="http://schemas.openxmlformats.org/officeDocument/2006/relationships/image" Target="media/image5.pn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s>
</file>

<file path=docProps/core.xml><?xml version="1.0" encoding="utf-8"?>
<cp:coreProperties xmlns:cp="http://schemas.openxmlformats.org/package/2006/metadata/core-properties" xmlns:dc="http://purl.org/dc/elements/1.1/">
  <dc:title>&lt;433A5C55736572735C6C756F6775696C616E5C4465736B746F705CC8D5B3A35CD0C2B9C9B9ABB8E65C32303133C4EAB6C8B1A8B8E6C8ABCEC42E646F63&gt;</dc:title>
  <dc:subject/>
  <dc:creator>luoguilan</dc:creator>
  <cp:keywords/>
</cp:coreProperties>
</file>