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spacing w:line="2700" w:lineRule="exact"/>
        <w:ind w:left="6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3"/>
          <w:sz w:val="20"/>
          <w:szCs w:val="20"/>
        </w:rPr>
        <w:drawing>
          <wp:inline distT="0" distB="0" distL="0" distR="0">
            <wp:extent cx="5485764" cy="17145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485764" cy="1714500"/>
                    </a:xfrm>
                    <a:prstGeom prst="rect">
                      <a:avLst/>
                    </a:prstGeom>
                  </pic:spPr>
                </pic:pic>
              </a:graphicData>
            </a:graphic>
          </wp:inline>
        </w:drawing>
      </w:r>
      <w:r>
        <w:rPr>
          <w:rFonts w:ascii="Times New Roman" w:hAnsi="Times New Roman" w:cs="Times New Roman" w:eastAsia="Times New Roman" w:hint="default"/>
          <w:position w:val="-5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6"/>
          <w:szCs w:val="26"/>
        </w:rPr>
      </w:pPr>
    </w:p>
    <w:p>
      <w:pPr>
        <w:spacing w:line="530" w:lineRule="exact" w:before="0"/>
        <w:ind w:left="3267" w:right="4249" w:firstLine="0"/>
        <w:jc w:val="center"/>
        <w:rPr>
          <w:rFonts w:ascii="宋体" w:hAnsi="宋体" w:cs="宋体" w:eastAsia="宋体" w:hint="default"/>
          <w:sz w:val="40"/>
          <w:szCs w:val="40"/>
        </w:rPr>
      </w:pPr>
      <w:r>
        <w:rPr>
          <w:rFonts w:ascii="Times New Roman" w:hAnsi="Times New Roman" w:cs="Times New Roman" w:eastAsia="Times New Roman" w:hint="default"/>
          <w:b/>
          <w:bCs/>
          <w:sz w:val="40"/>
          <w:szCs w:val="40"/>
        </w:rPr>
        <w:t>2014</w:t>
      </w:r>
      <w:r>
        <w:rPr>
          <w:rFonts w:ascii="Times New Roman" w:hAnsi="Times New Roman" w:cs="Times New Roman" w:eastAsia="Times New Roman" w:hint="default"/>
          <w:b/>
          <w:bCs/>
          <w:spacing w:val="-7"/>
          <w:sz w:val="40"/>
          <w:szCs w:val="40"/>
        </w:rPr>
        <w:t> </w:t>
      </w:r>
      <w:r>
        <w:rPr>
          <w:rFonts w:ascii="宋体" w:hAnsi="宋体" w:cs="宋体" w:eastAsia="宋体" w:hint="default"/>
          <w:b/>
          <w:bCs/>
          <w:sz w:val="40"/>
          <w:szCs w:val="40"/>
        </w:rPr>
        <w:t>年年度报告</w:t>
      </w:r>
      <w:r>
        <w:rPr>
          <w:rFonts w:ascii="宋体" w:hAnsi="宋体" w:cs="宋体" w:eastAsia="宋体" w:hint="default"/>
          <w:sz w:val="40"/>
          <w:szCs w:val="40"/>
        </w:rPr>
      </w: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10"/>
        <w:rPr>
          <w:rFonts w:ascii="宋体" w:hAnsi="宋体" w:cs="宋体" w:eastAsia="宋体" w:hint="default"/>
          <w:b/>
          <w:bCs/>
          <w:sz w:val="36"/>
          <w:szCs w:val="36"/>
        </w:rPr>
      </w:pPr>
    </w:p>
    <w:p>
      <w:pPr>
        <w:spacing w:before="0"/>
        <w:ind w:left="3270" w:right="424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公司经本次董事会审议通过的利润分配预案为：以实施本次利润分配预案</w:t>
      </w:r>
      <w:r>
        <w:rPr>
          <w:rFonts w:ascii="宋体" w:hAnsi="宋体" w:cs="宋体" w:eastAsia="宋体" w:hint="default"/>
          <w:spacing w:val="3"/>
          <w:sz w:val="28"/>
          <w:szCs w:val="28"/>
        </w:rPr>
      </w:r>
    </w:p>
    <w:p>
      <w:pPr>
        <w:spacing w:line="386"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之</w:t>
      </w:r>
      <w:r>
        <w:rPr>
          <w:rFonts w:ascii="宋体" w:hAnsi="宋体" w:cs="宋体" w:eastAsia="宋体" w:hint="default"/>
          <w:b/>
          <w:bCs/>
          <w:w w:val="99"/>
          <w:sz w:val="28"/>
          <w:szCs w:val="28"/>
        </w:rPr>
        <w:t>股权</w:t>
      </w:r>
      <w:r>
        <w:rPr>
          <w:rFonts w:ascii="宋体" w:hAnsi="宋体" w:cs="宋体" w:eastAsia="宋体" w:hint="default"/>
          <w:b/>
          <w:bCs/>
          <w:spacing w:val="2"/>
          <w:w w:val="99"/>
          <w:sz w:val="28"/>
          <w:szCs w:val="28"/>
        </w:rPr>
        <w:t>登</w:t>
      </w:r>
      <w:r>
        <w:rPr>
          <w:rFonts w:ascii="宋体" w:hAnsi="宋体" w:cs="宋体" w:eastAsia="宋体" w:hint="default"/>
          <w:b/>
          <w:bCs/>
          <w:w w:val="99"/>
          <w:sz w:val="28"/>
          <w:szCs w:val="28"/>
        </w:rPr>
        <w:t>记日</w:t>
      </w:r>
      <w:r>
        <w:rPr>
          <w:rFonts w:ascii="宋体" w:hAnsi="宋体" w:cs="宋体" w:eastAsia="宋体" w:hint="default"/>
          <w:b/>
          <w:bCs/>
          <w:spacing w:val="3"/>
          <w:w w:val="99"/>
          <w:sz w:val="28"/>
          <w:szCs w:val="28"/>
        </w:rPr>
        <w:t>的</w:t>
      </w:r>
      <w:r>
        <w:rPr>
          <w:rFonts w:ascii="宋体" w:hAnsi="宋体" w:cs="宋体" w:eastAsia="宋体" w:hint="default"/>
          <w:b/>
          <w:bCs/>
          <w:spacing w:val="2"/>
          <w:w w:val="99"/>
          <w:sz w:val="28"/>
          <w:szCs w:val="28"/>
        </w:rPr>
        <w:t>公</w:t>
      </w:r>
      <w:r>
        <w:rPr>
          <w:rFonts w:ascii="宋体" w:hAnsi="宋体" w:cs="宋体" w:eastAsia="宋体" w:hint="default"/>
          <w:b/>
          <w:bCs/>
          <w:spacing w:val="1"/>
          <w:w w:val="99"/>
          <w:sz w:val="28"/>
          <w:szCs w:val="28"/>
        </w:rPr>
        <w:t>司</w:t>
      </w:r>
      <w:r>
        <w:rPr>
          <w:rFonts w:ascii="宋体" w:hAnsi="宋体" w:cs="宋体" w:eastAsia="宋体" w:hint="default"/>
          <w:b/>
          <w:bCs/>
          <w:w w:val="99"/>
          <w:sz w:val="28"/>
          <w:szCs w:val="28"/>
        </w:rPr>
        <w:t>总股</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为基数</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9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100"/>
          <w:sz w:val="28"/>
          <w:szCs w:val="28"/>
        </w:rPr>
        <w:t> </w:t>
      </w:r>
      <w:r>
        <w:rPr>
          <w:rFonts w:ascii="Times New Roman" w:hAnsi="Times New Roman" w:cs="Times New Roman" w:eastAsia="Times New Roman" w:hint="default"/>
          <w:b/>
          <w:bCs/>
          <w:w w:val="99"/>
          <w:sz w:val="28"/>
          <w:szCs w:val="28"/>
        </w:rPr>
        <w:t>1.00</w:t>
      </w:r>
      <w:r>
        <w:rPr>
          <w:rFonts w:ascii="Times New Roman" w:hAnsi="Times New Roman" w:cs="Times New Roman" w:eastAsia="Times New Roman" w:hint="default"/>
          <w:b/>
          <w:bCs/>
          <w:spacing w:val="-31"/>
          <w:sz w:val="28"/>
          <w:szCs w:val="28"/>
        </w:rPr>
        <w:t> </w:t>
      </w:r>
      <w:r>
        <w:rPr>
          <w:rFonts w:ascii="宋体" w:hAnsi="宋体" w:cs="宋体" w:eastAsia="宋体" w:hint="default"/>
          <w:b/>
          <w:bCs/>
          <w:spacing w:val="-14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w w:val="99"/>
          <w:sz w:val="28"/>
          <w:szCs w:val="28"/>
        </w:rPr>
        <w:t> 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，不以</w:t>
      </w:r>
      <w:r>
        <w:rPr>
          <w:rFonts w:ascii="宋体" w:hAnsi="宋体" w:cs="宋体" w:eastAsia="宋体" w:hint="default"/>
          <w:b/>
          <w:bCs/>
          <w:spacing w:val="2"/>
          <w:w w:val="99"/>
          <w:sz w:val="28"/>
          <w:szCs w:val="28"/>
        </w:rPr>
        <w:t>公</w:t>
      </w:r>
      <w:r>
        <w:rPr>
          <w:rFonts w:ascii="宋体" w:hAnsi="宋体" w:cs="宋体" w:eastAsia="宋体" w:hint="default"/>
          <w:b/>
          <w:bCs/>
          <w:w w:val="99"/>
          <w:sz w:val="28"/>
          <w:szCs w:val="28"/>
        </w:rPr>
        <w:t>积金转</w:t>
      </w:r>
      <w:r>
        <w:rPr>
          <w:rFonts w:ascii="宋体" w:hAnsi="宋体" w:cs="宋体" w:eastAsia="宋体" w:hint="default"/>
          <w:b/>
          <w:bCs/>
          <w:spacing w:val="2"/>
          <w:w w:val="99"/>
          <w:sz w:val="28"/>
          <w:szCs w:val="28"/>
        </w:rPr>
        <w:t>增</w:t>
      </w:r>
      <w:r>
        <w:rPr>
          <w:rFonts w:ascii="宋体" w:hAnsi="宋体" w:cs="宋体" w:eastAsia="宋体" w:hint="default"/>
          <w:b/>
          <w:bCs/>
          <w:w w:val="99"/>
          <w:sz w:val="28"/>
          <w:szCs w:val="28"/>
        </w:rPr>
        <w:t>股本。</w:t>
      </w:r>
      <w:r>
        <w:rPr>
          <w:rFonts w:ascii="宋体" w:hAnsi="宋体" w:cs="宋体" w:eastAsia="宋体" w:hint="default"/>
          <w:sz w:val="28"/>
          <w:szCs w:val="28"/>
        </w:rPr>
      </w:r>
    </w:p>
    <w:p>
      <w:pPr>
        <w:spacing w:line="386" w:lineRule="auto" w:before="145"/>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公司负责人赵福君、主管会计工作负责人邱安超及会计机构负责人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马巧红声明：保证年度报告中财务报告的真实、准确、完整。</w:t>
      </w:r>
      <w:r>
        <w:rPr>
          <w:rFonts w:ascii="宋体" w:hAnsi="宋体" w:cs="宋体" w:eastAsia="宋体" w:hint="default"/>
          <w:sz w:val="28"/>
          <w:szCs w:val="28"/>
        </w:rPr>
      </w:r>
    </w:p>
    <w:p>
      <w:pPr>
        <w:spacing w:line="410" w:lineRule="auto" w:before="147"/>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本报告中涉及的对公司未来年度计划及发展规划等前瞻性陈述，不构成公</w:t>
      </w:r>
      <w:r>
        <w:rPr>
          <w:rFonts w:ascii="宋体" w:hAnsi="宋体" w:cs="宋体" w:eastAsia="宋体" w:hint="default"/>
          <w:b/>
          <w:bCs/>
          <w:w w:val="99"/>
          <w:sz w:val="28"/>
          <w:szCs w:val="28"/>
        </w:rPr>
        <w:t> </w:t>
      </w:r>
      <w:r>
        <w:rPr>
          <w:rFonts w:ascii="宋体" w:hAnsi="宋体" w:cs="宋体" w:eastAsia="宋体" w:hint="default"/>
          <w:b/>
          <w:bCs/>
          <w:sz w:val="28"/>
          <w:szCs w:val="28"/>
        </w:rPr>
        <w:t>司对投资者的实质承诺，请投资者注意投资风险。</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270" w:right="424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董事会报告</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内部控制</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135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3270" w:right="424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公司、久其、久其软件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公司全资子公司，海南久其云计算科技有限公司。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小驿科技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海南久其控股子公司，小驿科技（海南）有限公司。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亿起联科技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公司全资子公司，北京亿起联科技有限公司。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久其智通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公司控股子公司，北京久其智通数据科技有限公司。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久其科技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公司控股股东，北京久其科技投资有限公司。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BI</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Intelligence</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商业智能，是基于数据仓库技术的决策支持系 </w:t>
            </w:r>
            <w:r>
              <w:rPr>
                <w:rFonts w:ascii="宋体" w:hAnsi="宋体" w:cs="宋体" w:eastAsia="宋体" w:hint="default"/>
                <w:spacing w:val="-2"/>
                <w:sz w:val="18"/>
                <w:szCs w:val="18"/>
              </w:rPr>
              <w:t>统，将分散数据整合、转化和提升，并运用可视化技术以快捷直观的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方式展现分析结果，为管理决策层提供量化依据。</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GSI</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Government Statistics Information</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政府统计信息化，是面向政府部门 </w:t>
            </w:r>
            <w:r>
              <w:rPr>
                <w:rFonts w:ascii="宋体" w:hAnsi="宋体" w:cs="宋体" w:eastAsia="宋体" w:hint="default"/>
                <w:spacing w:val="-2"/>
                <w:sz w:val="18"/>
                <w:szCs w:val="18"/>
              </w:rPr>
              <w:t>构建的集政府统计元数据管理、统计体系定义、数据采集填报、数据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审核汇总、数据查询、决策分析、预测分析、动态预警等功能为一体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的统计综合数据管理信息化平台。</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GAMS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Government Assets Management System</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行政事业单位资产管理系统， </w:t>
            </w:r>
            <w:r>
              <w:rPr>
                <w:rFonts w:ascii="宋体" w:hAnsi="宋体" w:cs="宋体" w:eastAsia="宋体" w:hint="default"/>
                <w:spacing w:val="-2"/>
                <w:sz w:val="18"/>
                <w:szCs w:val="18"/>
              </w:rPr>
              <w:t>是以精细化管理、集成应用、动态监管为设计理念，面向行政事业单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位构建的集决策支持、动态预警、流程控制、日常管理为一体的资产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管理信息化平台。</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司机驿站</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2"/>
              <w:jc w:val="both"/>
              <w:rPr>
                <w:rFonts w:ascii="宋体" w:hAnsi="宋体" w:cs="宋体" w:eastAsia="宋体" w:hint="default"/>
                <w:sz w:val="18"/>
                <w:szCs w:val="18"/>
              </w:rPr>
            </w:pPr>
            <w:r>
              <w:rPr>
                <w:rFonts w:ascii="宋体" w:hAnsi="宋体" w:cs="宋体" w:eastAsia="宋体" w:hint="default"/>
                <w:spacing w:val="-2"/>
                <w:sz w:val="18"/>
                <w:szCs w:val="18"/>
              </w:rPr>
              <w:t>一款基于互联网、移动互联网、物联网、车联网等多项技术的移动互</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联网应用，能够为货车司机、物流企业等提供高效、智能化的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P2P</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精 准配合服务和增值服务。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移动广告平台</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连接着应用开发者和广告主的平台或者中介，在此平台上，开发者提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供应用，广告主提供广告。</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270" w:right="424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公司当前暂不存在重大经营风险，但不排除因下述风险事项影响公司的日</w:t>
      </w:r>
      <w:r>
        <w:rPr>
          <w:rFonts w:ascii="宋体" w:hAnsi="宋体" w:cs="宋体" w:eastAsia="宋体" w:hint="default"/>
          <w:b/>
          <w:bCs/>
          <w:w w:val="99"/>
          <w:sz w:val="28"/>
          <w:szCs w:val="28"/>
        </w:rPr>
        <w:t> </w:t>
      </w:r>
      <w:r>
        <w:rPr>
          <w:rFonts w:ascii="宋体" w:hAnsi="宋体" w:cs="宋体" w:eastAsia="宋体" w:hint="default"/>
          <w:b/>
          <w:bCs/>
          <w:sz w:val="28"/>
          <w:szCs w:val="28"/>
        </w:rPr>
        <w:t>常经营成果，敬请广大投资者注意投资风险。</w:t>
      </w:r>
      <w:r>
        <w:rPr>
          <w:rFonts w:ascii="宋体" w:hAnsi="宋体" w:cs="宋体" w:eastAsia="宋体" w:hint="default"/>
          <w:sz w:val="28"/>
          <w:szCs w:val="28"/>
        </w:rPr>
      </w:r>
    </w:p>
    <w:p>
      <w:pPr>
        <w:spacing w:line="472" w:lineRule="auto" w:before="159"/>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b/>
          <w:bCs/>
          <w:spacing w:val="17"/>
          <w:sz w:val="28"/>
          <w:szCs w:val="28"/>
        </w:rPr>
        <w:t> </w:t>
      </w:r>
      <w:r>
        <w:rPr>
          <w:rFonts w:ascii="宋体" w:hAnsi="宋体" w:cs="宋体" w:eastAsia="宋体" w:hint="default"/>
          <w:b/>
          <w:bCs/>
          <w:sz w:val="28"/>
          <w:szCs w:val="28"/>
        </w:rPr>
        <w:t>业绩季节性波动风险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由于公司服务的客户群体主要为政府部门和大型企事业单位等，该类用户</w:t>
      </w:r>
      <w:r>
        <w:rPr>
          <w:rFonts w:ascii="宋体" w:hAnsi="宋体" w:cs="宋体" w:eastAsia="宋体" w:hint="default"/>
          <w:spacing w:val="3"/>
          <w:sz w:val="28"/>
          <w:szCs w:val="28"/>
        </w:rPr>
      </w:r>
    </w:p>
    <w:p>
      <w:pPr>
        <w:spacing w:line="408" w:lineRule="auto" w:before="0"/>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大多执行较为严格的财务预算和支出管理体制，通常在年初确定项目规划及支</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出安排，在下半年完成项目招标或项目验收相关工作，因此，公司实现收入及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盈利的高峰期通常在每年的第三和第四季度，存在一定季节性波动风险。</w:t>
      </w:r>
      <w:r>
        <w:rPr>
          <w:rFonts w:ascii="宋体" w:hAnsi="宋体" w:cs="宋体" w:eastAsia="宋体" w:hint="default"/>
          <w:sz w:val="28"/>
          <w:szCs w:val="28"/>
        </w:rPr>
      </w:r>
    </w:p>
    <w:p>
      <w:pPr>
        <w:spacing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7"/>
          <w:sz w:val="28"/>
          <w:szCs w:val="28"/>
        </w:rPr>
        <w:t> </w:t>
      </w:r>
      <w:r>
        <w:rPr>
          <w:rFonts w:ascii="宋体" w:hAnsi="宋体" w:cs="宋体" w:eastAsia="宋体" w:hint="default"/>
          <w:b/>
          <w:bCs/>
          <w:sz w:val="28"/>
          <w:szCs w:val="28"/>
        </w:rPr>
        <w:t>新业务开拓风险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398" w:lineRule="auto" w:before="0"/>
        <w:ind w:left="153" w:right="1134" w:firstLine="562"/>
        <w:jc w:val="both"/>
        <w:rPr>
          <w:rFonts w:ascii="宋体" w:hAnsi="宋体" w:cs="宋体" w:eastAsia="宋体" w:hint="default"/>
          <w:sz w:val="28"/>
          <w:szCs w:val="28"/>
        </w:rPr>
      </w:pPr>
      <w:r>
        <w:rPr>
          <w:rFonts w:ascii="宋体" w:hAnsi="宋体" w:cs="宋体" w:eastAsia="宋体" w:hint="default"/>
          <w:b/>
          <w:bCs/>
          <w:spacing w:val="-3"/>
          <w:sz w:val="28"/>
          <w:szCs w:val="28"/>
        </w:rPr>
        <w:t>为把握市场机遇，实现业务结构优化升级，公司自</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年以来积极探索市</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场模式、开辟客户资源，寻求移动互联、大数据等新兴产业与传统产业之间的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融合与创新。通过自主研发或投资并购的方式扩充业务范围，完善自身产品及</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解决方案。然而，</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行业瞬息万变，市场竞争日趋白热化，公司能否在较短的</w:t>
      </w:r>
      <w:r>
        <w:rPr>
          <w:rFonts w:ascii="宋体" w:hAnsi="宋体" w:cs="宋体" w:eastAsia="宋体" w:hint="default"/>
          <w:b/>
          <w:bCs/>
          <w:spacing w:val="1"/>
          <w:w w:val="99"/>
          <w:sz w:val="28"/>
          <w:szCs w:val="28"/>
        </w:rPr>
        <w:t> </w:t>
      </w:r>
      <w:r>
        <w:rPr>
          <w:rFonts w:ascii="宋体" w:hAnsi="宋体" w:cs="宋体" w:eastAsia="宋体" w:hint="default"/>
          <w:b/>
          <w:bCs/>
          <w:sz w:val="28"/>
          <w:szCs w:val="28"/>
        </w:rPr>
        <w:t>时间周期内抢占市场资源、树立优势地位仍存在不确定性。</w:t>
      </w:r>
      <w:r>
        <w:rPr>
          <w:rFonts w:ascii="宋体" w:hAnsi="宋体" w:cs="宋体" w:eastAsia="宋体" w:hint="default"/>
          <w:sz w:val="28"/>
          <w:szCs w:val="28"/>
        </w:rPr>
      </w:r>
    </w:p>
    <w:p>
      <w:pPr>
        <w:spacing w:line="472" w:lineRule="auto" w:before="17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b/>
          <w:bCs/>
          <w:spacing w:val="17"/>
          <w:sz w:val="28"/>
          <w:szCs w:val="28"/>
        </w:rPr>
        <w:t> </w:t>
      </w:r>
      <w:r>
        <w:rPr>
          <w:rFonts w:ascii="宋体" w:hAnsi="宋体" w:cs="宋体" w:eastAsia="宋体" w:hint="default"/>
          <w:b/>
          <w:bCs/>
          <w:sz w:val="28"/>
          <w:szCs w:val="28"/>
        </w:rPr>
        <w:t>收购整合风险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并购项目在完成交割后将成为公司全资或控股子公司，并由原管理团队管</w:t>
      </w:r>
      <w:r>
        <w:rPr>
          <w:rFonts w:ascii="宋体" w:hAnsi="宋体" w:cs="宋体" w:eastAsia="宋体" w:hint="default"/>
          <w:spacing w:val="3"/>
          <w:sz w:val="28"/>
          <w:szCs w:val="28"/>
        </w:rPr>
      </w:r>
    </w:p>
    <w:p>
      <w:pPr>
        <w:spacing w:line="408" w:lineRule="auto" w:before="0"/>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理和运营。从发挥整合协同效应的角度，公司和被收购企业仍需在财务管理、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客户管理、资源统筹、业务拓展等方面进一步融合，整合能否顺利实施以及整</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合效果能否达到并购预期仍存在一定的不确定性。同时，被收购企业受行业政</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6"/>
          <w:w w:val="95"/>
          <w:sz w:val="28"/>
          <w:szCs w:val="28"/>
        </w:rPr>
        <w:t>策、市场环境，以及经营管理等内外因素的影响，亦存在其无法实现业绩承诺，</w:t>
      </w:r>
      <w:r>
        <w:rPr>
          <w:rFonts w:ascii="宋体" w:hAnsi="宋体" w:cs="宋体" w:eastAsia="宋体" w:hint="default"/>
          <w:spacing w:val="-6"/>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72" w:lineRule="auto" w:before="13"/>
        <w:ind w:left="715" w:right="6433" w:hanging="562"/>
        <w:jc w:val="left"/>
        <w:rPr>
          <w:rFonts w:ascii="宋体" w:hAnsi="宋体" w:cs="宋体" w:eastAsia="宋体" w:hint="default"/>
          <w:sz w:val="28"/>
          <w:szCs w:val="28"/>
        </w:rPr>
      </w:pPr>
      <w:r>
        <w:rPr>
          <w:rFonts w:ascii="宋体" w:hAnsi="宋体" w:cs="宋体" w:eastAsia="宋体" w:hint="default"/>
          <w:b/>
          <w:bCs/>
          <w:w w:val="95"/>
          <w:sz w:val="28"/>
          <w:szCs w:val="28"/>
        </w:rPr>
        <w:t>进而影响公司整体业绩达成的风险。</w:t>
      </w:r>
      <w:r>
        <w:rPr>
          <w:rFonts w:ascii="宋体" w:hAnsi="宋体" w:cs="宋体" w:eastAsia="宋体" w:hint="default"/>
          <w:b/>
          <w:bCs/>
          <w:spacing w:val="72"/>
          <w:w w:val="95"/>
          <w:sz w:val="28"/>
          <w:szCs w:val="28"/>
        </w:rPr>
        <w:t> </w:t>
      </w:r>
      <w:r>
        <w:rPr>
          <w:rFonts w:ascii="宋体" w:hAnsi="宋体" w:cs="宋体" w:eastAsia="宋体" w:hint="default"/>
          <w:b/>
          <w:bCs/>
          <w:spacing w:val="72"/>
          <w:w w:val="95"/>
          <w:sz w:val="28"/>
          <w:szCs w:val="28"/>
        </w:rPr>
      </w:r>
      <w:r>
        <w:rPr>
          <w:rFonts w:ascii="宋体" w:hAnsi="宋体" w:cs="宋体" w:eastAsia="宋体" w:hint="default"/>
          <w:b/>
          <w:bCs/>
          <w:sz w:val="28"/>
          <w:szCs w:val="28"/>
        </w:rPr>
        <w:t>四、</w:t>
      </w:r>
      <w:r>
        <w:rPr>
          <w:rFonts w:ascii="宋体" w:hAnsi="宋体" w:cs="宋体" w:eastAsia="宋体" w:hint="default"/>
          <w:b/>
          <w:bCs/>
          <w:spacing w:val="5"/>
          <w:sz w:val="28"/>
          <w:szCs w:val="28"/>
        </w:rPr>
        <w:t> </w:t>
      </w:r>
      <w:r>
        <w:rPr>
          <w:rFonts w:ascii="宋体" w:hAnsi="宋体" w:cs="宋体" w:eastAsia="宋体" w:hint="default"/>
          <w:b/>
          <w:bCs/>
          <w:sz w:val="28"/>
          <w:szCs w:val="28"/>
        </w:rPr>
        <w:t>重大资产重组审批风险</w:t>
      </w:r>
      <w:r>
        <w:rPr>
          <w:rFonts w:ascii="宋体" w:hAnsi="宋体" w:cs="宋体" w:eastAsia="宋体" w:hint="default"/>
          <w:sz w:val="28"/>
          <w:szCs w:val="28"/>
        </w:rPr>
      </w:r>
    </w:p>
    <w:p>
      <w:pPr>
        <w:spacing w:line="403" w:lineRule="auto" w:before="86"/>
        <w:ind w:left="153" w:right="1134" w:firstLine="562"/>
        <w:jc w:val="both"/>
        <w:rPr>
          <w:rFonts w:ascii="宋体" w:hAnsi="宋体" w:cs="宋体" w:eastAsia="宋体" w:hint="default"/>
          <w:sz w:val="28"/>
          <w:szCs w:val="28"/>
        </w:rPr>
      </w:pPr>
      <w:r>
        <w:rPr>
          <w:rFonts w:ascii="宋体" w:hAnsi="宋体" w:cs="宋体" w:eastAsia="宋体" w:hint="default"/>
          <w:b/>
          <w:bCs/>
          <w:sz w:val="28"/>
          <w:szCs w:val="28"/>
        </w:rPr>
        <w:t>公司于</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9</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4"/>
          <w:sz w:val="28"/>
          <w:szCs w:val="28"/>
        </w:rPr>
        <w:t>日因筹划重大事项停牌，</w:t>
      </w:r>
      <w:r>
        <w:rPr>
          <w:rFonts w:ascii="Times New Roman" w:hAnsi="Times New Roman" w:cs="Times New Roman" w:eastAsia="Times New Roman" w:hint="default"/>
          <w:b/>
          <w:bCs/>
          <w:spacing w:val="-4"/>
          <w:sz w:val="28"/>
          <w:szCs w:val="28"/>
        </w:rPr>
        <w:t>2015</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月</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6</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0"/>
          <w:sz w:val="28"/>
          <w:szCs w:val="28"/>
        </w:rPr>
        <w:t>日，公司召开</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了第五届董事会第十五次（临时）会议，审议通过了《关于公司筹划重大资产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11"/>
          <w:w w:val="99"/>
          <w:sz w:val="28"/>
          <w:szCs w:val="28"/>
        </w:rPr>
        <w:t>重组事项的议案》。</w:t>
      </w:r>
      <w:r>
        <w:rPr>
          <w:rFonts w:ascii="Times New Roman" w:hAnsi="Times New Roman" w:cs="Times New Roman" w:eastAsia="Times New Roman" w:hint="default"/>
          <w:b/>
          <w:bCs/>
          <w:spacing w:val="-11"/>
          <w:w w:val="99"/>
          <w:sz w:val="28"/>
          <w:szCs w:val="28"/>
        </w:rPr>
        <w:t>2015</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年</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4</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w w:val="99"/>
          <w:sz w:val="28"/>
          <w:szCs w:val="28"/>
        </w:rPr>
        <w:t>月</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13</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w w:val="99"/>
          <w:sz w:val="28"/>
          <w:szCs w:val="28"/>
        </w:rPr>
        <w:t>日，公司披露了《发行股份及支付现金购买 </w:t>
      </w:r>
      <w:r>
        <w:rPr>
          <w:rFonts w:ascii="宋体" w:hAnsi="宋体" w:cs="宋体" w:eastAsia="宋体" w:hint="default"/>
          <w:b/>
          <w:bCs/>
          <w:spacing w:val="-6"/>
          <w:w w:val="99"/>
          <w:sz w:val="28"/>
          <w:szCs w:val="28"/>
        </w:rPr>
        <w:t>资产并募集配套资金暨关联交易预案》，公司股票于同日复牌交易。目前，公司</w:t>
      </w:r>
      <w:r>
        <w:rPr>
          <w:rFonts w:ascii="宋体" w:hAnsi="宋体" w:cs="宋体" w:eastAsia="宋体" w:hint="default"/>
          <w:b/>
          <w:bCs/>
          <w:spacing w:val="-115"/>
          <w:w w:val="99"/>
          <w:sz w:val="28"/>
          <w:szCs w:val="28"/>
        </w:rPr>
        <w:t> </w:t>
      </w:r>
      <w:r>
        <w:rPr>
          <w:rFonts w:ascii="宋体" w:hAnsi="宋体" w:cs="宋体" w:eastAsia="宋体" w:hint="default"/>
          <w:b/>
          <w:bCs/>
          <w:spacing w:val="-115"/>
          <w:w w:val="99"/>
          <w:sz w:val="28"/>
          <w:szCs w:val="28"/>
        </w:rPr>
      </w:r>
      <w:r>
        <w:rPr>
          <w:rFonts w:ascii="宋体" w:hAnsi="宋体" w:cs="宋体" w:eastAsia="宋体" w:hint="default"/>
          <w:b/>
          <w:bCs/>
          <w:spacing w:val="-6"/>
          <w:sz w:val="28"/>
          <w:szCs w:val="28"/>
        </w:rPr>
        <w:t>以及有关各方正在积极推动审计、评估各项工作，以推出本次重组的正式方案。</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但重组交易仍需公司董事会、股东大会，以及中国证监会并购重组委员会工作</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会议的审核，能否获得相关批准或核准，以及何时能够获得相关批准或核准，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均存在不确定性。</w:t>
      </w:r>
      <w:r>
        <w:rPr>
          <w:rFonts w:ascii="宋体" w:hAnsi="宋体" w:cs="宋体" w:eastAsia="宋体" w:hint="default"/>
          <w:sz w:val="28"/>
          <w:szCs w:val="28"/>
        </w:rPr>
      </w:r>
    </w:p>
    <w:p>
      <w:pPr>
        <w:spacing w:after="0" w:line="403"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77814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4248"/>
        <w:jc w:val="center"/>
        <w:rPr>
          <w:b w:val="0"/>
          <w:bCs w:val="0"/>
        </w:rPr>
      </w:pPr>
      <w:bookmarkStart w:name="第二节 公司简介" w:id="2"/>
      <w:bookmarkEnd w:id="2"/>
      <w:r>
        <w:rPr>
          <w:b w:val="0"/>
          <w:bCs w:val="0"/>
        </w:rPr>
      </w:r>
      <w:bookmarkStart w:name="_bookmark0" w:id="3"/>
      <w:bookmarkEnd w:id="3"/>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久其软件</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002279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久其软件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Beijing Join-Cheer Software Co.,</w:t>
            </w:r>
            <w:r>
              <w:rPr>
                <w:rFonts w:ascii="Times New Roman"/>
                <w:spacing w:val="-7"/>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Join-Cheer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赵福君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北京市海淀区大慧寺路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100176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www.jiuqi.com.cn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002279@jiuqi.com.cn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刘文佳</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北京经济技术开发区西环中路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010-88551199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010-58022897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whx@jiuqi.com.cn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liuwenjia@jiuqi.com.cn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1101082079853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110108717724268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71772426-8</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110000000798536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110108717724268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71772426-8</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陈勇波、胡碟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权威、倪佳伟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1"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228"/>
        <w:gridCol w:w="1309"/>
        <w:gridCol w:w="1736"/>
        <w:gridCol w:w="1738"/>
        <w:gridCol w:w="1735"/>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326,678,547.40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289,545,451.00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247,321,193.27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2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72,679,211.46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59,433,902.96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19,533,232.88</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50,101,907.29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53,195,549.02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10,212,494.95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2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83,342,997.19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72,100,949.70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42,588,215.80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0.4134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4"/>
                <w:sz w:val="18"/>
              </w:rPr>
              <w:t>0.1111</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0.4134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4"/>
                <w:sz w:val="18"/>
              </w:rPr>
              <w:t>0.1111</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824,654,371.78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762,322,892.11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705,336,516.06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2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749,786,309.55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708,750,252.99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666,895,880.53</w:t>
            </w:r>
          </w:p>
        </w:tc>
      </w:tr>
    </w:tbl>
    <w:p>
      <w:pPr>
        <w:spacing w:line="319" w:lineRule="auto" w:before="51"/>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0.3667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2"/>
      <w:bookmarkEnd w:id="12"/>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-674,089.13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-842,430.01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-115,149.45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8,206,377.72</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2,303,946.16</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8,918,765.00</w:t>
            </w: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公司报告期内获得政 府补助明细请参看本 报告第十一节七、合 并财务报表项目注释 中的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、营业外收入</w:t>
            </w:r>
          </w:p>
        </w:tc>
      </w:tr>
      <w:tr>
        <w:trPr>
          <w:trHeight w:val="1016"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17"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计入当期损益的对非金融企业收取的资金</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6,841,036.68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3,024,949.20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824,383.56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0"/>
              <w:jc w:val="center"/>
              <w:rPr>
                <w:rFonts w:ascii="宋体" w:hAnsi="宋体" w:cs="宋体" w:eastAsia="宋体" w:hint="default"/>
                <w:sz w:val="18"/>
                <w:szCs w:val="18"/>
              </w:rPr>
            </w:pPr>
            <w:r>
              <w:rPr>
                <w:rFonts w:ascii="宋体" w:hAnsi="宋体" w:cs="宋体" w:eastAsia="宋体" w:hint="default"/>
                <w:sz w:val="18"/>
                <w:szCs w:val="18"/>
              </w:rPr>
              <w:t>公司报告期内购买的</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54"/>
              <w:jc w:val="left"/>
              <w:rPr>
                <w:rFonts w:ascii="宋体" w:hAnsi="宋体" w:cs="宋体" w:eastAsia="宋体" w:hint="default"/>
                <w:sz w:val="18"/>
                <w:szCs w:val="18"/>
              </w:rPr>
            </w:pPr>
            <w:r>
              <w:rPr>
                <w:rFonts w:ascii="宋体" w:hAnsi="宋体" w:cs="宋体" w:eastAsia="宋体" w:hint="default"/>
                <w:sz w:val="18"/>
                <w:szCs w:val="18"/>
              </w:rPr>
              <w:t>信托产品的投资收益 及预计收益</w:t>
            </w: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3,821,057.10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3,345,119.03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849,521.91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both"/>
              <w:rPr>
                <w:rFonts w:ascii="宋体" w:hAnsi="宋体" w:cs="宋体" w:eastAsia="宋体" w:hint="default"/>
                <w:sz w:val="18"/>
                <w:szCs w:val="18"/>
              </w:rPr>
            </w:pPr>
            <w:r>
              <w:rPr>
                <w:rFonts w:ascii="宋体" w:hAnsi="宋体" w:cs="宋体" w:eastAsia="宋体" w:hint="default"/>
                <w:sz w:val="18"/>
                <w:szCs w:val="18"/>
              </w:rPr>
              <w:t>公司报告期内购买的 银行理财产品、资管 产品的投资收益及预 计收益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-120,553.92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-702,174.68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29,599.44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6,699,645.98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公司报告期内处置拜 特科技股权的投资收 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2,204,751.55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873,431.80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1,173,188.49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-8,581.29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17,623.96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13,194.04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22,577,304.17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6,238,353.94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9,320,737.93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3"/>
      <w:bookmarkEnd w:id="13"/>
      <w:r>
        <w:rPr>
          <w:b w:val="0"/>
          <w:bCs w:val="0"/>
        </w:rPr>
      </w:r>
      <w:bookmarkStart w:name="_bookmark2" w:id="14"/>
      <w:bookmarkEnd w:id="1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15"/>
      <w:bookmarkEnd w:id="15"/>
      <w:r>
        <w:rPr>
          <w:b w:val="0"/>
          <w:bCs w:val="0"/>
        </w:rPr>
      </w:r>
      <w:r>
        <w:rPr/>
        <w:t>一、概述</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1130"/>
        <w:jc w:val="both"/>
      </w:pPr>
      <w:r>
        <w:rPr>
          <w:spacing w:val="-1"/>
        </w:rPr>
        <w:t>报告期内，公司紧抓市场发展机会，稳步践行公司发展战略规划。在公司自身产品研发、技术创新、管理</w:t>
      </w:r>
      <w:r>
        <w:rPr>
          <w:spacing w:val="-83"/>
        </w:rPr>
        <w:t> </w:t>
      </w:r>
      <w:r>
        <w:rPr>
          <w:spacing w:val="-83"/>
        </w:rPr>
      </w:r>
      <w:r>
        <w:rPr>
          <w:spacing w:val="-5"/>
        </w:rPr>
        <w:t>效能等不断完善提升的同时，通过外延式发展战略，不断促进公司战略性转型，逐渐形成了涵盖传统业务、</w:t>
      </w:r>
      <w:r>
        <w:rPr>
          <w:spacing w:val="-101"/>
        </w:rPr>
        <w:t> </w:t>
      </w:r>
      <w:r>
        <w:rPr>
          <w:spacing w:val="-101"/>
        </w:rPr>
      </w:r>
      <w:r>
        <w:rPr>
          <w:spacing w:val="-1"/>
        </w:rPr>
        <w:t>大数据以及移动互联网等领域的战略布局，进一步提升了公司市场竞争力。报告期全年，公司共实现营业</w:t>
      </w:r>
      <w:r>
        <w:rPr>
          <w:spacing w:val="-83"/>
        </w:rPr>
        <w:t> </w:t>
      </w:r>
      <w:r>
        <w:rPr>
          <w:spacing w:val="-83"/>
        </w:rPr>
      </w:r>
      <w:r>
        <w:rPr/>
        <w:t>收入</w:t>
      </w:r>
      <w:r>
        <w:rPr>
          <w:rFonts w:ascii="Times New Roman" w:hAnsi="Times New Roman" w:cs="Times New Roman" w:eastAsia="Times New Roman" w:hint="default"/>
        </w:rPr>
        <w:t>32,667.85</w:t>
      </w:r>
      <w:r>
        <w:rPr/>
        <w:t>万元，同比增长</w:t>
      </w:r>
      <w:r>
        <w:rPr>
          <w:rFonts w:ascii="Times New Roman" w:hAnsi="Times New Roman" w:cs="Times New Roman" w:eastAsia="Times New Roman" w:hint="default"/>
        </w:rPr>
        <w:t>12.82%</w:t>
      </w:r>
      <w:r>
        <w:rPr/>
        <w:t>，实现利润总额</w:t>
      </w:r>
      <w:r>
        <w:rPr>
          <w:rFonts w:ascii="Times New Roman" w:hAnsi="Times New Roman" w:cs="Times New Roman" w:eastAsia="Times New Roman" w:hint="default"/>
        </w:rPr>
        <w:t>7,581.79</w:t>
      </w:r>
      <w:r>
        <w:rPr/>
        <w:t>万元，同比增长</w:t>
      </w:r>
      <w:r>
        <w:rPr>
          <w:rFonts w:ascii="Times New Roman" w:hAnsi="Times New Roman" w:cs="Times New Roman" w:eastAsia="Times New Roman" w:hint="default"/>
        </w:rPr>
        <w:t>19.69%</w:t>
      </w:r>
      <w:r>
        <w:rPr/>
        <w:t>，归属于上市公司股 东的净利润</w:t>
      </w:r>
      <w:r>
        <w:rPr>
          <w:rFonts w:ascii="Times New Roman" w:hAnsi="Times New Roman" w:cs="Times New Roman" w:eastAsia="Times New Roman" w:hint="default"/>
        </w:rPr>
        <w:t>7,267.92</w:t>
      </w:r>
      <w:r>
        <w:rPr/>
        <w:t>万元，同比增长</w:t>
      </w:r>
      <w:r>
        <w:rPr>
          <w:rFonts w:ascii="Times New Roman" w:hAnsi="Times New Roman" w:cs="Times New Roman" w:eastAsia="Times New Roman" w:hint="default"/>
        </w:rPr>
        <w:t>22.29%</w:t>
      </w:r>
      <w:r>
        <w:rPr/>
        <w:t>。</w:t>
      </w:r>
    </w:p>
    <w:p>
      <w:pPr>
        <w:spacing w:line="240" w:lineRule="auto" w:before="10"/>
        <w:rPr>
          <w:rFonts w:ascii="宋体" w:hAnsi="宋体" w:cs="宋体" w:eastAsia="宋体" w:hint="default"/>
          <w:sz w:val="20"/>
          <w:szCs w:val="20"/>
        </w:rPr>
      </w:pPr>
    </w:p>
    <w:p>
      <w:pPr>
        <w:pStyle w:val="Heading2"/>
        <w:spacing w:line="240" w:lineRule="auto"/>
        <w:ind w:left="154" w:right="0"/>
        <w:jc w:val="both"/>
        <w:rPr>
          <w:b w:val="0"/>
          <w:bCs w:val="0"/>
        </w:rPr>
      </w:pPr>
      <w:bookmarkStart w:name="二、主营业务分析" w:id="16"/>
      <w:bookmarkEnd w:id="1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概述" w:id="17"/>
      <w:bookmarkEnd w:id="17"/>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0"/>
        <w:jc w:val="left"/>
      </w:pPr>
      <w:r>
        <w:rPr>
          <w:spacing w:val="-1"/>
        </w:rPr>
        <w:t>报告期，公司主营业务继续围绕面向政府客户的电子政务信息化，以及面向企业客户的集团管控信息化两</w:t>
      </w:r>
      <w:r>
        <w:rPr>
          <w:spacing w:val="-81"/>
        </w:rPr>
        <w:t> </w:t>
      </w:r>
      <w:r>
        <w:rPr>
          <w:spacing w:val="-81"/>
        </w:rPr>
      </w:r>
      <w:r>
        <w:rPr>
          <w:spacing w:val="-1"/>
        </w:rPr>
        <w:t>大业务板块展开，与此同时，为顺应产业和市场的发展变革，实现自身业务结构优化升级，报告期，公司</w:t>
      </w:r>
      <w:r>
        <w:rPr>
          <w:spacing w:val="-83"/>
        </w:rPr>
        <w:t> </w:t>
      </w:r>
      <w:r>
        <w:rPr>
          <w:spacing w:val="-83"/>
        </w:rPr>
      </w:r>
      <w:r>
        <w:rPr/>
        <w:t>在移动互联、大数据等新兴行业领域取得了一定的突破和创新。 </w:t>
      </w:r>
      <w:r>
        <w:rPr>
          <w:spacing w:val="-1"/>
        </w:rPr>
        <w:t>报告期，以创新业务及解决方案为先导，公司电子政务业务继续深挖中央政府市场需求，并发力地方政务</w:t>
      </w:r>
      <w:r>
        <w:rPr>
          <w:spacing w:val="-83"/>
        </w:rPr>
        <w:t> </w:t>
      </w:r>
      <w:r>
        <w:rPr>
          <w:spacing w:val="-83"/>
        </w:rPr>
      </w:r>
      <w:r>
        <w:rPr>
          <w:spacing w:val="-2"/>
        </w:rPr>
        <w:t>销售布局，成效显著，报告期内实现电子政务业务收入</w:t>
      </w:r>
      <w:r>
        <w:rPr>
          <w:rFonts w:ascii="Times New Roman" w:hAnsi="Times New Roman" w:cs="Times New Roman" w:eastAsia="Times New Roman" w:hint="default"/>
          <w:spacing w:val="-2"/>
        </w:rPr>
        <w:t>1.84</w:t>
      </w:r>
      <w:r>
        <w:rPr>
          <w:spacing w:val="-2"/>
        </w:rPr>
        <w:t>亿元，较上年增长</w:t>
      </w:r>
      <w:r>
        <w:rPr>
          <w:rFonts w:ascii="Times New Roman" w:hAnsi="Times New Roman" w:cs="Times New Roman" w:eastAsia="Times New Roman" w:hint="default"/>
          <w:spacing w:val="-2"/>
        </w:rPr>
        <w:t>22.00%</w:t>
      </w:r>
      <w:r>
        <w:rPr>
          <w:spacing w:val="-2"/>
        </w:rPr>
        <w:t>。同时本着</w:t>
      </w:r>
      <w:r>
        <w:rPr>
          <w:rFonts w:ascii="Times New Roman" w:hAnsi="Times New Roman" w:cs="Times New Roman" w:eastAsia="Times New Roman" w:hint="default"/>
          <w:spacing w:val="-2"/>
        </w:rPr>
        <w:t>“</w:t>
      </w:r>
      <w:r>
        <w:rPr>
          <w:spacing w:val="-2"/>
        </w:rPr>
        <w:t>引领市场</w:t>
      </w:r>
      <w:r>
        <w:rPr>
          <w:spacing w:val="-87"/>
        </w:rPr>
        <w:t> </w:t>
      </w:r>
      <w:r>
        <w:rPr/>
        <w:t>需求、深耕重点客户、拓展重点项目</w:t>
      </w:r>
      <w:r>
        <w:rPr>
          <w:rFonts w:ascii="Times New Roman" w:hAnsi="Times New Roman" w:cs="Times New Roman" w:eastAsia="Times New Roman" w:hint="default"/>
        </w:rPr>
        <w:t>”</w:t>
      </w:r>
      <w:r>
        <w:rPr/>
        <w:t>的市场策略，继续强化中央企业市场与地方企业市场协同发展，公 司集团管控各项业务在报告期共实现收入</w:t>
      </w:r>
      <w:r>
        <w:rPr>
          <w:rFonts w:ascii="Times New Roman" w:hAnsi="Times New Roman" w:cs="Times New Roman" w:eastAsia="Times New Roman" w:hint="default"/>
        </w:rPr>
        <w:t>1.29</w:t>
      </w:r>
      <w:r>
        <w:rPr/>
        <w:t>亿元，较上年增长</w:t>
      </w:r>
      <w:r>
        <w:rPr>
          <w:rFonts w:ascii="Times New Roman" w:hAnsi="Times New Roman" w:cs="Times New Roman" w:eastAsia="Times New Roman" w:hint="default"/>
        </w:rPr>
        <w:t>1.11%</w:t>
      </w:r>
      <w:r>
        <w:rPr/>
        <w:t>。</w:t>
      </w:r>
    </w:p>
    <w:p>
      <w:pPr>
        <w:spacing w:line="240" w:lineRule="auto" w:before="8"/>
        <w:rPr>
          <w:rFonts w:ascii="宋体" w:hAnsi="宋体" w:cs="宋体" w:eastAsia="宋体" w:hint="default"/>
          <w:sz w:val="28"/>
          <w:szCs w:val="2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sz w:val="18"/>
          <w:szCs w:val="18"/>
        </w:rPr>
      </w:r>
    </w:p>
    <w:p>
      <w:pPr>
        <w:pStyle w:val="BodyText"/>
        <w:spacing w:line="273" w:lineRule="auto" w:before="90"/>
        <w:ind w:left="154" w:right="1131"/>
        <w:jc w:val="both"/>
      </w:pPr>
      <w:r>
        <w:rPr>
          <w:spacing w:val="-1"/>
        </w:rPr>
        <w:t>报告期，公司结合宏观经济环境、政策导向、产业发展动向及市场竞争等因素，对公司发展战略做了进一</w:t>
      </w:r>
      <w:r>
        <w:rPr>
          <w:spacing w:val="-86"/>
        </w:rPr>
        <w:t> </w:t>
      </w:r>
      <w:r>
        <w:rPr>
          <w:spacing w:val="-86"/>
        </w:rPr>
      </w:r>
      <w:r>
        <w:rPr>
          <w:spacing w:val="-1"/>
        </w:rPr>
        <w:t>步明确，将移动互联、大数据提升为公司战略层面新的业务发展方向，并积极坚持内生增长与外延发展并</w:t>
      </w:r>
      <w:r>
        <w:rPr>
          <w:spacing w:val="-83"/>
        </w:rPr>
        <w:t> </w:t>
      </w:r>
      <w:r>
        <w:rPr>
          <w:spacing w:val="-83"/>
        </w:rPr>
      </w:r>
      <w:r>
        <w:rPr/>
        <w:t>重，在较好地实现年度经营业绩目标的同时，获得了业务转型升级的突破。</w:t>
      </w:r>
    </w:p>
    <w:p>
      <w:pPr>
        <w:spacing w:line="240" w:lineRule="auto" w:before="6"/>
        <w:rPr>
          <w:rFonts w:ascii="宋体" w:hAnsi="宋体" w:cs="宋体" w:eastAsia="宋体" w:hint="default"/>
          <w:sz w:val="20"/>
          <w:szCs w:val="20"/>
        </w:rPr>
      </w:pPr>
    </w:p>
    <w:p>
      <w:pPr>
        <w:pStyle w:val="BodyText"/>
        <w:spacing w:line="273" w:lineRule="auto"/>
        <w:ind w:left="154" w:right="1131"/>
        <w:jc w:val="both"/>
      </w:pPr>
      <w:r>
        <w:rPr>
          <w:spacing w:val="-1"/>
        </w:rPr>
        <w:t>内部经营方面，公司继续强化技术创新与产品整合，落实业务规划与市场布局，优化人才结构并完善激励</w:t>
      </w:r>
      <w:r>
        <w:rPr>
          <w:spacing w:val="-83"/>
        </w:rPr>
        <w:t> </w:t>
      </w:r>
      <w:r>
        <w:rPr>
          <w:spacing w:val="-83"/>
        </w:rPr>
      </w:r>
      <w:r>
        <w:rPr>
          <w:spacing w:val="-1"/>
        </w:rPr>
        <w:t>措施；外部投资合作方面，公司通过增资海南久其、投资设立小驿科技、收购亿起联科技、投资设立久其</w:t>
      </w:r>
      <w:r>
        <w:rPr>
          <w:spacing w:val="-83"/>
        </w:rPr>
        <w:t> </w:t>
      </w:r>
      <w:r>
        <w:rPr>
          <w:spacing w:val="-83"/>
        </w:rPr>
      </w:r>
      <w:r>
        <w:rPr/>
        <w:t>智通等，实现了公司向移动互联网和大数据领域的战略延伸。</w:t>
      </w:r>
    </w:p>
    <w:p>
      <w:pPr>
        <w:spacing w:line="240" w:lineRule="auto" w:before="5"/>
        <w:rPr>
          <w:rFonts w:ascii="宋体" w:hAnsi="宋体" w:cs="宋体" w:eastAsia="宋体" w:hint="default"/>
          <w:sz w:val="20"/>
          <w:szCs w:val="20"/>
        </w:rPr>
      </w:pPr>
    </w:p>
    <w:p>
      <w:pPr>
        <w:pStyle w:val="BodyText"/>
        <w:spacing w:line="240" w:lineRule="auto"/>
        <w:ind w:left="154" w:right="0"/>
        <w:jc w:val="both"/>
      </w:pPr>
      <w:r>
        <w:rPr/>
        <w:t>（</w:t>
      </w:r>
      <w:r>
        <w:rPr>
          <w:rFonts w:ascii="Times New Roman" w:hAnsi="Times New Roman" w:cs="Times New Roman" w:eastAsia="Times New Roman" w:hint="default"/>
        </w:rPr>
        <w:t>1</w:t>
      </w:r>
      <w:r>
        <w:rPr/>
        <w:t>）电子政务业务稳中求进</w:t>
      </w:r>
    </w:p>
    <w:p>
      <w:pPr>
        <w:spacing w:line="240" w:lineRule="auto" w:before="7"/>
        <w:rPr>
          <w:rFonts w:ascii="宋体" w:hAnsi="宋体" w:cs="宋体" w:eastAsia="宋体" w:hint="default"/>
          <w:sz w:val="21"/>
          <w:szCs w:val="21"/>
        </w:rPr>
      </w:pPr>
    </w:p>
    <w:p>
      <w:pPr>
        <w:pStyle w:val="BodyText"/>
        <w:spacing w:line="266" w:lineRule="auto"/>
        <w:ind w:right="0"/>
        <w:jc w:val="left"/>
      </w:pPr>
      <w:r>
        <w:rPr/>
        <w:t>报告期内，通过强化地方政务市场战略布局，落实中央与地方市场的高效协调发展，公司电子政务业务继 </w:t>
      </w:r>
      <w:r>
        <w:rPr>
          <w:spacing w:val="-5"/>
        </w:rPr>
        <w:t>续稳步推进。中央政务市场方面，以用户需求为导向，深化业务拓展力度，稳中求新、稳中求变。报告期，</w:t>
      </w:r>
      <w:r>
        <w:rPr/>
        <w:t> 公司成功与多家老客户建立新的业务合作，并积极探索老客户的新需求，报告期成功开拓民政部养老服务 信息系统，以及彩票公益金等新业务，并打开了</w:t>
      </w:r>
      <w:r>
        <w:rPr>
          <w:rFonts w:ascii="Times New Roman" w:hAnsi="Times New Roman" w:cs="Times New Roman" w:eastAsia="Times New Roman" w:hint="default"/>
        </w:rPr>
        <w:t>GSI</w:t>
      </w:r>
      <w:r>
        <w:rPr/>
        <w:t>政府统计业务在新闻出版行业的应用。 同时，公司继续发力地方政务市场布局，其中，</w:t>
      </w:r>
      <w:r>
        <w:rPr>
          <w:rFonts w:ascii="Times New Roman" w:hAnsi="Times New Roman" w:cs="Times New Roman" w:eastAsia="Times New Roman" w:hint="default"/>
        </w:rPr>
        <w:t>GAMS</w:t>
      </w:r>
      <w:r>
        <w:rPr/>
        <w:t>资产管理升级业务在公司统一有效的销售推广策略 下，共完成全国</w:t>
      </w:r>
      <w:r>
        <w:rPr>
          <w:rFonts w:ascii="Times New Roman" w:hAnsi="Times New Roman" w:cs="Times New Roman" w:eastAsia="Times New Roman" w:hint="default"/>
        </w:rPr>
        <w:t>24</w:t>
      </w:r>
      <w:r>
        <w:rPr/>
        <w:t>个省市的签约部署；国资监管平台业务继上年取得突破后，报告期又成功签约两个省；</w:t>
      </w:r>
      <w:r>
        <w:rPr>
          <w:spacing w:val="-30"/>
        </w:rPr>
        <w:t> </w:t>
      </w:r>
      <w:r>
        <w:rPr>
          <w:spacing w:val="-30"/>
        </w:rPr>
      </w:r>
      <w:r>
        <w:rPr/>
        <w:t>部门决算网络版系统新拓展四个省份，签约率覆盖全国半数省份；交通运输统计信息化方面，截至报告期</w:t>
      </w:r>
      <w:r>
        <w:rPr/>
        <w:t> 末，公司已与黑龙江、四川、湖南、甘肃、江苏、北京、内蒙古、江西、云南等近十个省份建立了合作关 系，取得了较好的市场占有率。</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w:t>
      </w:r>
      <w:r>
        <w:rPr>
          <w:rFonts w:ascii="Times New Roman" w:hAnsi="Times New Roman" w:cs="Times New Roman" w:eastAsia="Times New Roman" w:hint="default"/>
        </w:rPr>
        <w:t>2</w:t>
      </w:r>
      <w:r>
        <w:rPr/>
        <w:t>）集团管控业务广泛拓展</w:t>
      </w:r>
    </w:p>
    <w:p>
      <w:pPr>
        <w:spacing w:line="240" w:lineRule="auto" w:before="7"/>
        <w:rPr>
          <w:rFonts w:ascii="宋体" w:hAnsi="宋体" w:cs="宋体" w:eastAsia="宋体" w:hint="default"/>
          <w:sz w:val="21"/>
          <w:szCs w:val="21"/>
        </w:rPr>
      </w:pPr>
    </w:p>
    <w:p>
      <w:pPr>
        <w:pStyle w:val="BodyText"/>
        <w:spacing w:line="271" w:lineRule="auto"/>
        <w:ind w:right="1117"/>
        <w:jc w:val="left"/>
      </w:pPr>
      <w:r>
        <w:rPr>
          <w:spacing w:val="-1"/>
        </w:rPr>
        <w:t>报告期，以聚焦企业核心价值为依托，公司继续强化集团管控所涉核心业务产品和解决方案在各行业领域</w:t>
      </w:r>
      <w:r>
        <w:rPr>
          <w:spacing w:val="-81"/>
        </w:rPr>
        <w:t> </w:t>
      </w:r>
      <w:r>
        <w:rPr>
          <w:spacing w:val="-81"/>
        </w:rPr>
      </w:r>
      <w:r>
        <w:rPr>
          <w:spacing w:val="-5"/>
        </w:rPr>
        <w:t>的拓展力度，随着产品和解决方案的日臻成熟完善，财务共享服务中心、全面预算、财务管理、费用控制、</w:t>
      </w:r>
      <w:r>
        <w:rPr/>
        <w:t> </w:t>
      </w:r>
      <w:r>
        <w:rPr>
          <w:spacing w:val="-1"/>
        </w:rPr>
        <w:t>集中核算、财务分析等集团管控核心子业务已在建筑行业、制造行业、石油石化行业、旅游商贸行业、矿</w:t>
      </w:r>
      <w:r>
        <w:rPr>
          <w:spacing w:val="-83"/>
        </w:rPr>
        <w:t> </w:t>
      </w:r>
      <w:r>
        <w:rPr>
          <w:spacing w:val="-83"/>
        </w:rPr>
      </w:r>
      <w:r>
        <w:rPr/>
        <w:t>业行业中得到较好的应用。 此外，以</w:t>
      </w:r>
      <w:r>
        <w:rPr>
          <w:rFonts w:ascii="Times New Roman" w:hAnsi="Times New Roman" w:cs="Times New Roman" w:eastAsia="Times New Roman" w:hint="default"/>
        </w:rPr>
        <w:t>“</w:t>
      </w:r>
      <w:r>
        <w:rPr/>
        <w:t>树立标杆</w:t>
      </w:r>
      <w:r>
        <w:rPr>
          <w:rFonts w:ascii="Times New Roman" w:hAnsi="Times New Roman" w:cs="Times New Roman" w:eastAsia="Times New Roman" w:hint="default"/>
        </w:rPr>
        <w:t>”</w:t>
      </w:r>
      <w:r>
        <w:rPr/>
        <w:t>为策略，财务管理、财务共享服务中心、财务分析等子业务在大型央企的十余个二级 </w:t>
      </w:r>
      <w:r>
        <w:rPr>
          <w:spacing w:val="-1"/>
        </w:rPr>
        <w:t>单位得到了复制推广，成效显著。本年度，公司又成功开发东方电气集团、中海油集团、广东旅游控股集</w:t>
      </w:r>
      <w:r>
        <w:rPr>
          <w:spacing w:val="-83"/>
        </w:rPr>
        <w:t> </w:t>
      </w:r>
      <w:r>
        <w:rPr>
          <w:spacing w:val="-83"/>
        </w:rPr>
      </w:r>
      <w:r>
        <w:rPr>
          <w:spacing w:val="-1"/>
        </w:rPr>
        <w:t>团、内蒙古矿业集团、河南圣光集团、山西潞安集团、济宁矿业集团等企业集团，其中，与东方电气集团</w:t>
      </w:r>
      <w:r>
        <w:rPr>
          <w:spacing w:val="-83"/>
        </w:rPr>
        <w:t> </w:t>
      </w:r>
      <w:r>
        <w:rPr>
          <w:spacing w:val="-83"/>
        </w:rPr>
      </w:r>
      <w:r>
        <w:rPr>
          <w:spacing w:val="-1"/>
        </w:rPr>
        <w:t>合作的财务信息化深化应用项目，采用了久其具有国内领先优势的财务业务一体化解决方案，充分展现了</w:t>
      </w:r>
      <w:r>
        <w:rPr>
          <w:spacing w:val="-81"/>
        </w:rPr>
        <w:t> </w:t>
      </w:r>
      <w:r>
        <w:rPr>
          <w:spacing w:val="-81"/>
        </w:rPr>
      </w:r>
      <w:r>
        <w:rPr/>
        <w:t>公司的技术与业务实力。</w:t>
      </w:r>
    </w:p>
    <w:p>
      <w:pPr>
        <w:spacing w:line="240" w:lineRule="auto" w:before="9"/>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3</w:t>
      </w:r>
      <w:r>
        <w:rPr/>
        <w:t>）移动互联网业务取得突破</w:t>
      </w:r>
    </w:p>
    <w:p>
      <w:pPr>
        <w:spacing w:line="240" w:lineRule="auto" w:before="6"/>
        <w:rPr>
          <w:rFonts w:ascii="宋体" w:hAnsi="宋体" w:cs="宋体" w:eastAsia="宋体" w:hint="default"/>
          <w:sz w:val="21"/>
          <w:szCs w:val="21"/>
        </w:rPr>
      </w:pPr>
    </w:p>
    <w:p>
      <w:pPr>
        <w:pStyle w:val="BodyText"/>
        <w:spacing w:line="268" w:lineRule="auto"/>
        <w:ind w:right="0"/>
        <w:jc w:val="left"/>
      </w:pPr>
      <w:r>
        <w:rPr>
          <w:rFonts w:ascii="Times New Roman" w:hAnsi="Times New Roman" w:cs="Times New Roman" w:eastAsia="Times New Roman" w:hint="default"/>
        </w:rPr>
        <w:t>2012</w:t>
      </w:r>
      <w:r>
        <w:rPr/>
        <w:t>年设立海南久其云基地伊始，公司便开始探索移动互联网领域，并自</w:t>
      </w:r>
      <w:r>
        <w:rPr>
          <w:rFonts w:ascii="Times New Roman" w:hAnsi="Times New Roman" w:cs="Times New Roman" w:eastAsia="Times New Roman" w:hint="default"/>
        </w:rPr>
        <w:t>2013</w:t>
      </w:r>
      <w:r>
        <w:rPr/>
        <w:t>年着手自主研发移动互联网 应用产品。报告期内，围绕新兴领域战略定位，公司继续探究移动互联网领域的业务及市场模式，积极寻 求移动互联网产业与公司主营业务之间的融合与创新。 公司自主研发的基于</w:t>
      </w:r>
      <w:r>
        <w:rPr>
          <w:rFonts w:ascii="宋体" w:hAnsi="宋体" w:cs="宋体" w:eastAsia="宋体" w:hint="default"/>
        </w:rPr>
        <w:t>LBS</w:t>
      </w:r>
      <w:r>
        <w:rPr/>
        <w:t>应用为货车司机、物流企业等提供高效智能化</w:t>
      </w:r>
      <w:r>
        <w:rPr>
          <w:rFonts w:ascii="宋体" w:hAnsi="宋体" w:cs="宋体" w:eastAsia="宋体" w:hint="default"/>
        </w:rPr>
        <w:t>P2P</w:t>
      </w:r>
      <w:r>
        <w:rPr/>
        <w:t>精准配货及增值服务的“司机驿 站”</w:t>
      </w:r>
      <w:r>
        <w:rPr>
          <w:rFonts w:ascii="宋体" w:hAnsi="宋体" w:cs="宋体" w:eastAsia="宋体" w:hint="default"/>
        </w:rPr>
        <w:t>App</w:t>
      </w:r>
      <w:r>
        <w:rPr/>
        <w:t>，经过近一年多预研及开发，于报告期</w:t>
      </w:r>
      <w:r>
        <w:rPr>
          <w:rFonts w:ascii="宋体" w:hAnsi="宋体" w:cs="宋体" w:eastAsia="宋体" w:hint="default"/>
        </w:rPr>
        <w:t>7</w:t>
      </w:r>
      <w:r>
        <w:rPr/>
        <w:t>月正式启动全国范围市场推广，截止本报告披露日，该产 品已在全国</w:t>
      </w:r>
      <w:r>
        <w:rPr>
          <w:rFonts w:ascii="宋体" w:hAnsi="宋体" w:cs="宋体" w:eastAsia="宋体" w:hint="default"/>
        </w:rPr>
        <w:t>200</w:t>
      </w:r>
      <w:r>
        <w:rPr/>
        <w:t>余个地市推广了近十万名货车司机、万余家物流企业用户。另外，司机驿站产品在报告期</w:t>
      </w:r>
      <w:r>
        <w:rPr>
          <w:spacing w:val="-35"/>
        </w:rPr>
        <w:t> </w:t>
      </w:r>
      <w:r>
        <w:rPr>
          <w:spacing w:val="-35"/>
        </w:rPr>
      </w:r>
      <w:r>
        <w:rPr/>
        <w:t>获评“全国十佳交通创新应用中国软件最佳创新</w:t>
      </w:r>
      <w:r>
        <w:rPr>
          <w:rFonts w:ascii="宋体" w:hAnsi="宋体" w:cs="宋体" w:eastAsia="宋体" w:hint="default"/>
        </w:rPr>
        <w:t>APP</w:t>
      </w:r>
      <w:r>
        <w:rPr/>
        <w:t>”。 报告期，为尽早树立公司在移动互联网领域的优势地位，公司根据对移动互联网领域的产业分析及调研，</w:t>
      </w:r>
      <w:r>
        <w:rPr>
          <w:spacing w:val="-35"/>
        </w:rPr>
        <w:t> </w:t>
      </w:r>
      <w:r>
        <w:rPr>
          <w:spacing w:val="-35"/>
        </w:rPr>
      </w:r>
      <w:r>
        <w:rPr>
          <w:spacing w:val="-2"/>
        </w:rPr>
        <w:t>敏锐洞察到移动广告行业在当下移动互联浪潮中呈现出的巨大的商机和发展潜力，以</w:t>
      </w:r>
      <w:r>
        <w:rPr>
          <w:rFonts w:ascii="Times New Roman" w:hAnsi="Times New Roman" w:cs="Times New Roman" w:eastAsia="Times New Roman" w:hint="default"/>
          <w:spacing w:val="-2"/>
        </w:rPr>
        <w:t>4.8</w:t>
      </w:r>
      <w:r>
        <w:rPr>
          <w:spacing w:val="-2"/>
        </w:rPr>
        <w:t>亿全资收购国内领</w:t>
      </w:r>
      <w:r>
        <w:rPr>
          <w:spacing w:val="-85"/>
        </w:rPr>
        <w:t> </w:t>
      </w:r>
      <w:r>
        <w:rPr>
          <w:spacing w:val="-85"/>
        </w:rPr>
      </w:r>
      <w:r>
        <w:rPr/>
        <w:t>先的移动广告平台运营厂商</w:t>
      </w:r>
      <w:r>
        <w:rPr>
          <w:rFonts w:ascii="Times New Roman" w:hAnsi="Times New Roman" w:cs="Times New Roman" w:eastAsia="Times New Roman" w:hint="default"/>
        </w:rPr>
        <w:t>“</w:t>
      </w:r>
      <w:r>
        <w:rPr/>
        <w:t>亿起联科技</w:t>
      </w:r>
      <w:r>
        <w:rPr>
          <w:rFonts w:ascii="Times New Roman" w:hAnsi="Times New Roman" w:cs="Times New Roman" w:eastAsia="Times New Roman" w:hint="default"/>
        </w:rPr>
        <w:t>”</w:t>
      </w:r>
      <w:r>
        <w:rPr/>
        <w:t>，有效提升了公司在移动互联网领域的核心竞争力。</w:t>
      </w:r>
    </w:p>
    <w:p>
      <w:pPr>
        <w:spacing w:line="240" w:lineRule="auto" w:before="5"/>
        <w:rPr>
          <w:rFonts w:ascii="宋体" w:hAnsi="宋体" w:cs="宋体" w:eastAsia="宋体" w:hint="default"/>
          <w:sz w:val="19"/>
          <w:szCs w:val="19"/>
        </w:rPr>
      </w:pPr>
    </w:p>
    <w:p>
      <w:pPr>
        <w:pStyle w:val="BodyText"/>
        <w:spacing w:line="240" w:lineRule="auto"/>
        <w:ind w:right="0"/>
        <w:jc w:val="both"/>
      </w:pPr>
      <w:r>
        <w:rPr/>
        <w:t>（</w:t>
      </w:r>
      <w:r>
        <w:rPr>
          <w:rFonts w:ascii="Times New Roman" w:hAnsi="Times New Roman" w:cs="Times New Roman" w:eastAsia="Times New Roman" w:hint="default"/>
        </w:rPr>
        <w:t>4</w:t>
      </w:r>
      <w:r>
        <w:rPr/>
        <w:t>）大数据战略布局雏形初现</w:t>
      </w:r>
    </w:p>
    <w:p>
      <w:pPr>
        <w:spacing w:line="240" w:lineRule="auto" w:before="6"/>
        <w:rPr>
          <w:rFonts w:ascii="宋体" w:hAnsi="宋体" w:cs="宋体" w:eastAsia="宋体" w:hint="default"/>
          <w:sz w:val="21"/>
          <w:szCs w:val="21"/>
        </w:rPr>
      </w:pPr>
    </w:p>
    <w:p>
      <w:pPr>
        <w:pStyle w:val="BodyText"/>
        <w:spacing w:line="266" w:lineRule="auto"/>
        <w:ind w:right="1130"/>
        <w:jc w:val="both"/>
      </w:pPr>
      <w:r>
        <w:rPr>
          <w:spacing w:val="-1"/>
        </w:rPr>
        <w:t>为顺应新兴技术带动的行业转型与变革，并满足公司战略发展需要，报告期初，公司基于传统报表和</w:t>
      </w:r>
      <w:r>
        <w:rPr>
          <w:rFonts w:ascii="Times New Roman" w:hAnsi="Times New Roman" w:cs="Times New Roman" w:eastAsia="Times New Roman" w:hint="default"/>
          <w:spacing w:val="-1"/>
        </w:rPr>
        <w:t>BI</w:t>
      </w:r>
      <w:r>
        <w:rPr>
          <w:spacing w:val="-1"/>
        </w:rPr>
        <w:t>商</w:t>
      </w:r>
      <w:r>
        <w:rPr>
          <w:spacing w:val="-83"/>
        </w:rPr>
        <w:t> </w:t>
      </w:r>
      <w:r>
        <w:rPr>
          <w:spacing w:val="-1"/>
        </w:rPr>
        <w:t>业智能两条产品线组建了新的大数据事业部，并制定了公司产品线与大数据技术融合的规划蓝图和演进路</w:t>
      </w:r>
      <w:r>
        <w:rPr>
          <w:spacing w:val="-81"/>
        </w:rPr>
        <w:t> </w:t>
      </w:r>
      <w:r>
        <w:rPr>
          <w:spacing w:val="-81"/>
        </w:rPr>
      </w:r>
      <w:r>
        <w:rPr>
          <w:spacing w:val="-1"/>
        </w:rPr>
        <w:t>线。另外，报告期内通过投资新设久其智通控股子公司，进一步完善了公司在大数据应用分析领域，尤其</w:t>
      </w:r>
      <w:r>
        <w:rPr>
          <w:spacing w:val="-85"/>
        </w:rPr>
        <w:t> </w:t>
      </w:r>
      <w:r>
        <w:rPr>
          <w:spacing w:val="-85"/>
        </w:rPr>
      </w:r>
      <w:r>
        <w:rPr/>
        <w:t>是互联网大数据的技术经验及实力，逐步完善并丰富公司自有大数据业务体系。</w:t>
      </w:r>
    </w:p>
    <w:p>
      <w:pPr>
        <w:spacing w:line="240" w:lineRule="auto" w:before="13"/>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5</w:t>
      </w:r>
      <w:r>
        <w:rPr/>
        <w:t>）夯实运营监管保障项目成效</w:t>
      </w:r>
    </w:p>
    <w:p>
      <w:pPr>
        <w:spacing w:line="240" w:lineRule="auto" w:before="7"/>
        <w:rPr>
          <w:rFonts w:ascii="宋体" w:hAnsi="宋体" w:cs="宋体" w:eastAsia="宋体" w:hint="default"/>
          <w:sz w:val="21"/>
          <w:szCs w:val="21"/>
        </w:rPr>
      </w:pPr>
    </w:p>
    <w:p>
      <w:pPr>
        <w:pStyle w:val="BodyText"/>
        <w:spacing w:line="273" w:lineRule="auto"/>
        <w:ind w:right="1131"/>
        <w:jc w:val="both"/>
      </w:pPr>
      <w:r>
        <w:rPr>
          <w:spacing w:val="-1"/>
        </w:rPr>
        <w:t>报告期，公司通过继续完善并落实上年推行的研发及实施项目一体化激励机制，使前后台之间的业务联动</w:t>
      </w:r>
      <w:r>
        <w:rPr>
          <w:spacing w:val="-81"/>
        </w:rPr>
        <w:t> </w:t>
      </w:r>
      <w:r>
        <w:rPr>
          <w:spacing w:val="-81"/>
        </w:rPr>
      </w:r>
      <w:r>
        <w:rPr>
          <w:spacing w:val="-1"/>
        </w:rPr>
        <w:t>性得到进一步提升，有效缩短小型项目的实施周期。通过进一步强化对重点项目、大型项目的支撑及配合</w:t>
      </w:r>
      <w:r>
        <w:rPr>
          <w:spacing w:val="-83"/>
        </w:rPr>
        <w:t> </w:t>
      </w:r>
      <w:r>
        <w:rPr>
          <w:spacing w:val="-83"/>
        </w:rPr>
      </w:r>
      <w:r>
        <w:rPr>
          <w:spacing w:val="-1"/>
        </w:rPr>
        <w:t>力度，继续加强公司层面对项目疑难问题的指导及投入力度，要求所有实施项目提前规划问题，排查并执</w:t>
      </w:r>
      <w:r>
        <w:rPr>
          <w:spacing w:val="-83"/>
        </w:rPr>
        <w:t> </w:t>
      </w:r>
      <w:r>
        <w:rPr>
          <w:spacing w:val="-83"/>
        </w:rPr>
      </w:r>
      <w:r>
        <w:rPr/>
        <w:t>行项目专项性能测试，使一些项目取得突破性进展，有效促进年度经营目标的达成。</w:t>
      </w:r>
    </w:p>
    <w:p>
      <w:pPr>
        <w:spacing w:line="240" w:lineRule="auto" w:before="6"/>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6</w:t>
      </w:r>
      <w:r>
        <w:rPr/>
        <w:t>）强化产品整合与研发投入</w:t>
      </w:r>
    </w:p>
    <w:p>
      <w:pPr>
        <w:spacing w:line="240" w:lineRule="auto" w:before="6"/>
        <w:rPr>
          <w:rFonts w:ascii="宋体" w:hAnsi="宋体" w:cs="宋体" w:eastAsia="宋体" w:hint="default"/>
          <w:sz w:val="21"/>
          <w:szCs w:val="21"/>
        </w:rPr>
      </w:pPr>
    </w:p>
    <w:p>
      <w:pPr>
        <w:pStyle w:val="BodyText"/>
        <w:spacing w:line="273" w:lineRule="auto"/>
        <w:ind w:right="1131"/>
        <w:jc w:val="both"/>
      </w:pPr>
      <w:r>
        <w:rPr>
          <w:spacing w:val="-1"/>
        </w:rPr>
        <w:t>报告期，公司继续加强产品整合和研发投入力度，提高研发资源利用率，保障项目和解决方案的交付。同</w:t>
      </w:r>
      <w:r>
        <w:rPr>
          <w:spacing w:val="-85"/>
        </w:rPr>
        <w:t> </w:t>
      </w:r>
      <w:r>
        <w:rPr>
          <w:spacing w:val="-85"/>
        </w:rPr>
      </w:r>
      <w:r>
        <w:rPr>
          <w:spacing w:val="-1"/>
        </w:rPr>
        <w:t>时，公司加大了对性能测试和自动化测试的投入，通过搭建内部管理平台及自动化测试平台，实现各产品</w:t>
      </w:r>
      <w:r>
        <w:rPr>
          <w:spacing w:val="-83"/>
        </w:rPr>
        <w:t> </w:t>
      </w:r>
      <w:r>
        <w:rPr>
          <w:spacing w:val="-83"/>
        </w:rPr>
      </w:r>
      <w:r>
        <w:rPr/>
        <w:t>自动化测试的每日自动运行与报告生成，并且能有效监控测试资源的分配情况以及测试工作量的投入。</w:t>
      </w:r>
    </w:p>
    <w:p>
      <w:pPr>
        <w:spacing w:line="240" w:lineRule="auto" w:before="6"/>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7</w:t>
      </w:r>
      <w:r>
        <w:rPr/>
        <w:t>）人员优化与联动激励并行</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通过近年来人力资源战略的有效执行，公司人均产出逐年提升。报告期，结合业务发展及经营管理需要，</w:t>
      </w:r>
      <w:r>
        <w:rPr>
          <w:spacing w:val="-31"/>
        </w:rPr>
        <w:t> </w:t>
      </w:r>
      <w:r>
        <w:rPr>
          <w:spacing w:val="-31"/>
        </w:rPr>
      </w:r>
      <w:r>
        <w:rPr/>
        <w:t>公司继续执行人员优化政策，通过调整优化人员结构、下放人事管理权限、提升人员复用性、积极引进高</w:t>
      </w:r>
      <w:r>
        <w:rPr/>
        <w:t> 级人才、落实后备人才管理、加强培训体系建设等举措，促进全员素质能力的提升。 </w:t>
      </w:r>
      <w:r>
        <w:rPr>
          <w:spacing w:val="-5"/>
        </w:rPr>
        <w:t>激励政策方面，在强调事业部自主激励的基础上，根据前后台行动计划及业务的关联性，扩大其激励范围。</w:t>
      </w:r>
      <w:r>
        <w:rPr>
          <w:spacing w:val="-101"/>
        </w:rPr>
        <w:t> </w:t>
      </w:r>
      <w:r>
        <w:rPr>
          <w:spacing w:val="-101"/>
        </w:rPr>
      </w:r>
      <w:r>
        <w:rPr/>
        <w:t>同时，建立研究课题激励制度和测试团队激励制度，鼓励研发创新，有效提升后台研发测试部门与前台业</w:t>
      </w:r>
      <w:r>
        <w:rPr/>
        <w:t> 务部门的联动工作成效。</w:t>
      </w:r>
    </w:p>
    <w:p>
      <w:pPr>
        <w:spacing w:line="240" w:lineRule="auto" w:before="6"/>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8</w:t>
      </w:r>
      <w:r>
        <w:rPr/>
        <w:t>）资质实力与科研实力持续提升</w:t>
      </w:r>
    </w:p>
    <w:p>
      <w:pPr>
        <w:spacing w:line="240" w:lineRule="auto" w:before="6"/>
        <w:rPr>
          <w:rFonts w:ascii="宋体" w:hAnsi="宋体" w:cs="宋体" w:eastAsia="宋体" w:hint="default"/>
          <w:sz w:val="21"/>
          <w:szCs w:val="21"/>
        </w:rPr>
      </w:pPr>
    </w:p>
    <w:p>
      <w:pPr>
        <w:pStyle w:val="BodyText"/>
        <w:spacing w:line="264" w:lineRule="auto"/>
        <w:ind w:right="0"/>
        <w:jc w:val="left"/>
      </w:pPr>
      <w:r>
        <w:rPr>
          <w:rFonts w:ascii="Times New Roman" w:hAnsi="Times New Roman" w:cs="Times New Roman" w:eastAsia="Times New Roman" w:hint="default"/>
          <w:spacing w:val="-2"/>
        </w:rPr>
        <w:t>2014</w:t>
      </w:r>
      <w:r>
        <w:rPr>
          <w:spacing w:val="-2"/>
        </w:rPr>
        <w:t>年，公司取得了</w:t>
      </w:r>
      <w:r>
        <w:rPr>
          <w:rFonts w:ascii="Times New Roman" w:hAnsi="Times New Roman" w:cs="Times New Roman" w:eastAsia="Times New Roman" w:hint="default"/>
          <w:spacing w:val="-2"/>
        </w:rPr>
        <w:t>CMMI</w:t>
      </w:r>
      <w:r>
        <w:rPr>
          <w:rFonts w:ascii="Times New Roman" w:hAnsi="Times New Roman" w:cs="Times New Roman" w:eastAsia="Times New Roman" w:hint="default"/>
        </w:rPr>
        <w:t> </w:t>
      </w:r>
      <w:r>
        <w:rPr>
          <w:rFonts w:ascii="Times New Roman" w:hAnsi="Times New Roman" w:cs="Times New Roman" w:eastAsia="Times New Roman" w:hint="default"/>
          <w:spacing w:val="-2"/>
        </w:rPr>
        <w:t>L5</w:t>
      </w:r>
      <w:r>
        <w:rPr>
          <w:spacing w:val="-2"/>
        </w:rPr>
        <w:t>、</w:t>
      </w:r>
      <w:r>
        <w:rPr>
          <w:rFonts w:ascii="Times New Roman" w:hAnsi="Times New Roman" w:cs="Times New Roman" w:eastAsia="Times New Roman" w:hint="default"/>
          <w:spacing w:val="-2"/>
        </w:rPr>
        <w:t>ISO20000</w:t>
      </w:r>
      <w:r>
        <w:rPr>
          <w:spacing w:val="-2"/>
        </w:rPr>
        <w:t>等资质，并获得</w:t>
      </w:r>
      <w:r>
        <w:rPr>
          <w:rFonts w:ascii="Times New Roman" w:hAnsi="Times New Roman" w:cs="Times New Roman" w:eastAsia="Times New Roman" w:hint="default"/>
          <w:spacing w:val="-2"/>
        </w:rPr>
        <w:t>IT</w:t>
      </w:r>
      <w:r>
        <w:rPr>
          <w:spacing w:val="-2"/>
        </w:rPr>
        <w:t>服务运维、信息安全管理、</w:t>
      </w:r>
      <w:r>
        <w:rPr>
          <w:rFonts w:ascii="Times New Roman" w:hAnsi="Times New Roman" w:cs="Times New Roman" w:eastAsia="Times New Roman" w:hint="default"/>
          <w:spacing w:val="-2"/>
        </w:rPr>
        <w:t>ISO27001</w:t>
      </w:r>
      <w:r>
        <w:rPr>
          <w:spacing w:val="-2"/>
        </w:rPr>
        <w:t>信息安全</w:t>
      </w:r>
      <w:r>
        <w:rPr>
          <w:spacing w:val="-82"/>
        </w:rPr>
        <w:t> </w:t>
      </w:r>
      <w:r>
        <w:rPr>
          <w:spacing w:val="-82"/>
        </w:rPr>
      </w:r>
      <w:r>
        <w:rPr>
          <w:spacing w:val="-2"/>
        </w:rPr>
        <w:t>管理、</w:t>
      </w:r>
      <w:r>
        <w:rPr>
          <w:rFonts w:ascii="Times New Roman" w:hAnsi="Times New Roman" w:cs="Times New Roman" w:eastAsia="Times New Roman" w:hint="default"/>
          <w:spacing w:val="-2"/>
        </w:rPr>
        <w:t>XBRL</w:t>
      </w:r>
      <w:r>
        <w:rPr>
          <w:spacing w:val="-2"/>
        </w:rPr>
        <w:t>软件认证。报告期，公司共获得发明专利授权</w:t>
      </w:r>
      <w:r>
        <w:rPr>
          <w:rFonts w:ascii="Times New Roman" w:hAnsi="Times New Roman" w:cs="Times New Roman" w:eastAsia="Times New Roman" w:hint="default"/>
          <w:spacing w:val="-2"/>
        </w:rPr>
        <w:t>3</w:t>
      </w:r>
      <w:r>
        <w:rPr>
          <w:spacing w:val="-2"/>
        </w:rPr>
        <w:t>项、软件著作权</w:t>
      </w:r>
      <w:r>
        <w:rPr>
          <w:rFonts w:ascii="Times New Roman" w:hAnsi="Times New Roman" w:cs="Times New Roman" w:eastAsia="Times New Roman" w:hint="default"/>
          <w:spacing w:val="-2"/>
        </w:rPr>
        <w:t>39</w:t>
      </w:r>
      <w:r>
        <w:rPr>
          <w:spacing w:val="-2"/>
        </w:rPr>
        <w:t>项，同时，获得国家扶持补</w:t>
      </w:r>
      <w:r>
        <w:rPr>
          <w:spacing w:val="-68"/>
        </w:rPr>
        <w:t> </w:t>
      </w:r>
      <w:r>
        <w:rPr>
          <w:spacing w:val="-68"/>
        </w:rPr>
      </w:r>
      <w:r>
        <w:rPr/>
        <w:t>贴资金</w:t>
      </w:r>
      <w:r>
        <w:rPr>
          <w:rFonts w:ascii="Times New Roman" w:hAnsi="Times New Roman" w:cs="Times New Roman" w:eastAsia="Times New Roman" w:hint="default"/>
        </w:rPr>
        <w:t>800</w:t>
      </w:r>
      <w:r>
        <w:rPr/>
        <w:t>余万元，提升了公司的资质水平，促进了新技术新业务的研究，提升了公司的综合竞争力。 </w:t>
      </w:r>
      <w:r>
        <w:rPr>
          <w:spacing w:val="-1"/>
        </w:rPr>
        <w:t>同时，承担建设基于大数据技术的预测预警北京市发改委工程实验室，将进一步推动公司大数据及业务分</w:t>
      </w:r>
      <w:r>
        <w:rPr>
          <w:spacing w:val="-81"/>
        </w:rPr>
        <w:t> </w:t>
      </w:r>
      <w:r>
        <w:rPr>
          <w:spacing w:val="-81"/>
        </w:rPr>
      </w:r>
      <w:r>
        <w:rPr>
          <w:spacing w:val="-1"/>
        </w:rPr>
        <w:t>析平台关键技术、预测预警模型等方面的技术创新，结合公司在多个行业的业务优势，实现大数据技术在</w:t>
      </w:r>
      <w:r>
        <w:rPr>
          <w:spacing w:val="-83"/>
        </w:rPr>
        <w:t> </w:t>
      </w:r>
      <w:r>
        <w:rPr>
          <w:spacing w:val="-83"/>
        </w:rPr>
      </w:r>
      <w:r>
        <w:rPr/>
        <w:t>行业的落地应用，真正做到公司的业务发展和产业发展相互融合，相互促动。</w:t>
      </w:r>
    </w:p>
    <w:p>
      <w:pPr>
        <w:spacing w:before="8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收入" w:id="18"/>
      <w:bookmarkEnd w:id="18"/>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56" w:lineRule="auto" w:before="89"/>
        <w:ind w:right="1130"/>
        <w:jc w:val="both"/>
      </w:pPr>
      <w:r>
        <w:rPr>
          <w:spacing w:val="-1"/>
        </w:rPr>
        <w:t>本报告期，公司主营业务拓展稳步推进，全年实现营业收入</w:t>
      </w:r>
      <w:r>
        <w:rPr>
          <w:rFonts w:ascii="Times New Roman" w:hAnsi="Times New Roman" w:cs="Times New Roman" w:eastAsia="Times New Roman" w:hint="default"/>
          <w:spacing w:val="-1"/>
        </w:rPr>
        <w:t>32,667.85</w:t>
      </w:r>
      <w:r>
        <w:rPr>
          <w:spacing w:val="-1"/>
        </w:rPr>
        <w:t>万元，其中主营业务收入</w:t>
      </w:r>
      <w:r>
        <w:rPr>
          <w:rFonts w:ascii="Times New Roman" w:hAnsi="Times New Roman" w:cs="Times New Roman" w:eastAsia="Times New Roman" w:hint="default"/>
          <w:spacing w:val="-1"/>
        </w:rPr>
        <w:t>32,591.93</w:t>
      </w:r>
      <w:r>
        <w:rPr>
          <w:spacing w:val="-1"/>
        </w:rPr>
        <w:t>万</w:t>
      </w:r>
      <w:r>
        <w:rPr>
          <w:spacing w:val="-75"/>
        </w:rPr>
        <w:t> </w:t>
      </w:r>
      <w:r>
        <w:rPr>
          <w:spacing w:val="-2"/>
        </w:rPr>
        <w:t>元，较上年增长</w:t>
      </w:r>
      <w:r>
        <w:rPr>
          <w:rFonts w:ascii="Times New Roman" w:hAnsi="Times New Roman" w:cs="Times New Roman" w:eastAsia="Times New Roman" w:hint="default"/>
          <w:spacing w:val="-2"/>
        </w:rPr>
        <w:t>12.86%</w:t>
      </w:r>
      <w:r>
        <w:rPr>
          <w:spacing w:val="-2"/>
        </w:rPr>
        <w:t>。分行业看，其中电子政务业务收入</w:t>
      </w:r>
      <w:r>
        <w:rPr>
          <w:rFonts w:ascii="Times New Roman" w:hAnsi="Times New Roman" w:cs="Times New Roman" w:eastAsia="Times New Roman" w:hint="default"/>
          <w:spacing w:val="-2"/>
        </w:rPr>
        <w:t>18,443.30</w:t>
      </w:r>
      <w:r>
        <w:rPr>
          <w:spacing w:val="-2"/>
        </w:rPr>
        <w:t>万元，同比增长</w:t>
      </w:r>
      <w:r>
        <w:rPr>
          <w:rFonts w:ascii="Times New Roman" w:hAnsi="Times New Roman" w:cs="Times New Roman" w:eastAsia="Times New Roman" w:hint="default"/>
          <w:spacing w:val="-2"/>
        </w:rPr>
        <w:t>22.00%</w:t>
      </w:r>
      <w:r>
        <w:rPr>
          <w:spacing w:val="-2"/>
        </w:rPr>
        <w:t>；集团管控业</w:t>
      </w:r>
      <w:r>
        <w:rPr>
          <w:spacing w:val="-55"/>
        </w:rPr>
        <w:t> </w:t>
      </w:r>
      <w:r>
        <w:rPr>
          <w:spacing w:val="-55"/>
        </w:rPr>
      </w:r>
      <w:r>
        <w:rPr>
          <w:spacing w:val="-2"/>
        </w:rPr>
        <w:t>务收入</w:t>
      </w:r>
      <w:r>
        <w:rPr>
          <w:rFonts w:ascii="Times New Roman" w:hAnsi="Times New Roman" w:cs="Times New Roman" w:eastAsia="Times New Roman" w:hint="default"/>
          <w:spacing w:val="-2"/>
        </w:rPr>
        <w:t>12,937.42</w:t>
      </w:r>
      <w:r>
        <w:rPr>
          <w:spacing w:val="-2"/>
        </w:rPr>
        <w:t>万元，同比增长</w:t>
      </w:r>
      <w:r>
        <w:rPr>
          <w:rFonts w:ascii="Times New Roman" w:hAnsi="Times New Roman" w:cs="Times New Roman" w:eastAsia="Times New Roman" w:hint="default"/>
          <w:spacing w:val="-2"/>
        </w:rPr>
        <w:t>1.11%</w:t>
      </w:r>
      <w:r>
        <w:rPr>
          <w:spacing w:val="-2"/>
        </w:rPr>
        <w:t>；中小企业业务收入</w:t>
      </w:r>
      <w:r>
        <w:rPr>
          <w:rFonts w:ascii="Times New Roman" w:hAnsi="Times New Roman" w:cs="Times New Roman" w:eastAsia="Times New Roman" w:hint="default"/>
          <w:spacing w:val="-2"/>
        </w:rPr>
        <w:t>1,211.21</w:t>
      </w:r>
      <w:r>
        <w:rPr>
          <w:spacing w:val="-2"/>
        </w:rPr>
        <w:t>万元，同比增长</w:t>
      </w:r>
      <w:r>
        <w:rPr>
          <w:rFonts w:ascii="Times New Roman" w:hAnsi="Times New Roman" w:cs="Times New Roman" w:eastAsia="Times New Roman" w:hint="default"/>
          <w:spacing w:val="-2"/>
        </w:rPr>
        <w:t>25.64%</w:t>
      </w:r>
      <w:r>
        <w:rPr>
          <w:spacing w:val="-2"/>
        </w:rPr>
        <w:t>。分产品看，其</w:t>
      </w:r>
      <w:r>
        <w:rPr>
          <w:spacing w:val="-50"/>
        </w:rPr>
        <w:t> </w:t>
      </w:r>
      <w:r>
        <w:rPr>
          <w:spacing w:val="-50"/>
        </w:rPr>
      </w:r>
      <w:r>
        <w:rPr>
          <w:spacing w:val="-1"/>
        </w:rPr>
        <w:t>中软件销售收入</w:t>
      </w:r>
      <w:r>
        <w:rPr>
          <w:rFonts w:ascii="Times New Roman" w:hAnsi="Times New Roman" w:cs="Times New Roman" w:eastAsia="Times New Roman" w:hint="default"/>
          <w:spacing w:val="-1"/>
        </w:rPr>
        <w:t>14,130.50</w:t>
      </w:r>
      <w:r>
        <w:rPr>
          <w:spacing w:val="-1"/>
        </w:rPr>
        <w:t>万元，同比减少</w:t>
      </w:r>
      <w:r>
        <w:rPr>
          <w:rFonts w:ascii="Times New Roman" w:hAnsi="Times New Roman" w:cs="Times New Roman" w:eastAsia="Times New Roman" w:hint="default"/>
          <w:spacing w:val="-1"/>
        </w:rPr>
        <w:t>16.16%</w:t>
      </w:r>
      <w:r>
        <w:rPr>
          <w:spacing w:val="-1"/>
        </w:rPr>
        <w:t>；技术服务收入</w:t>
      </w:r>
      <w:r>
        <w:rPr>
          <w:rFonts w:ascii="Times New Roman" w:hAnsi="Times New Roman" w:cs="Times New Roman" w:eastAsia="Times New Roman" w:hint="default"/>
          <w:spacing w:val="-1"/>
        </w:rPr>
        <w:t>18,195.53</w:t>
      </w:r>
      <w:r>
        <w:rPr>
          <w:spacing w:val="-1"/>
        </w:rPr>
        <w:t>万元，同比增长</w:t>
      </w:r>
      <w:r>
        <w:rPr>
          <w:rFonts w:ascii="Times New Roman" w:hAnsi="Times New Roman" w:cs="Times New Roman" w:eastAsia="Times New Roman" w:hint="default"/>
          <w:spacing w:val="-1"/>
        </w:rPr>
        <w:t>54.24%</w:t>
      </w:r>
      <w:r>
        <w:rPr>
          <w:spacing w:val="-1"/>
        </w:rPr>
        <w:t>；硬件销</w:t>
      </w:r>
      <w:r>
        <w:rPr/>
        <w:t> 售收入</w:t>
      </w:r>
      <w:r>
        <w:rPr>
          <w:rFonts w:ascii="Times New Roman" w:hAnsi="Times New Roman" w:cs="Times New Roman" w:eastAsia="Times New Roman" w:hint="default"/>
        </w:rPr>
        <w:t>265.91</w:t>
      </w:r>
      <w:r>
        <w:rPr/>
        <w:t>万元，同比增长</w:t>
      </w:r>
      <w:r>
        <w:rPr>
          <w:rFonts w:ascii="Times New Roman" w:hAnsi="Times New Roman" w:cs="Times New Roman" w:eastAsia="Times New Roman" w:hint="default"/>
        </w:rPr>
        <w:t>17.16%</w:t>
      </w:r>
      <w:r>
        <w:rPr/>
        <w:t>。</w:t>
      </w:r>
    </w:p>
    <w:p>
      <w:pPr>
        <w:spacing w:line="240" w:lineRule="auto" w:before="4"/>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38" w:lineRule="auto" w:before="43"/>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42"/>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22,444,717.69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4,860,699.17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4,522,738.21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4,273,504.26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4,157,776.05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22,444,717.69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成本" w:id="19"/>
      <w:bookmarkEnd w:id="19"/>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9,522,205.79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3,737,821.88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6,679,540.48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3,234,015.90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177,711.59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863,035.91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16,379,457.86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7,834,873.69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2,036,178.13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1,377,426.93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2,277,178.94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2,151,657.67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12,066,100.79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4,305,789.09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180.23%</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16,379,457.86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7,834,873.69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109.06%</w:t>
            </w:r>
          </w:p>
        </w:tc>
      </w:tr>
    </w:tbl>
    <w:p>
      <w:pPr>
        <w:spacing w:line="338" w:lineRule="auto" w:before="51"/>
        <w:ind w:left="154" w:right="1118" w:firstLine="0"/>
        <w:jc w:val="left"/>
        <w:rPr>
          <w:rFonts w:ascii="宋体" w:hAnsi="宋体" w:cs="宋体" w:eastAsia="宋体" w:hint="default"/>
          <w:sz w:val="18"/>
          <w:szCs w:val="18"/>
        </w:rPr>
      </w:pPr>
      <w:r>
        <w:rPr>
          <w:rFonts w:ascii="宋体" w:hAnsi="宋体" w:cs="宋体" w:eastAsia="宋体" w:hint="default"/>
          <w:sz w:val="18"/>
          <w:szCs w:val="18"/>
        </w:rPr>
        <w:t>说明 </w:t>
      </w:r>
      <w:r>
        <w:rPr>
          <w:rFonts w:ascii="宋体" w:hAnsi="宋体" w:cs="宋体" w:eastAsia="宋体" w:hint="default"/>
          <w:spacing w:val="-2"/>
          <w:sz w:val="18"/>
          <w:szCs w:val="18"/>
        </w:rPr>
        <w:t>软件企业的人工工资主要体现在管理费用和销售费用中，营业成本主要由光盘、印刷品等原材料、硬件商品及服务外包费用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构成。</w:t>
      </w:r>
    </w:p>
    <w:p>
      <w:pPr>
        <w:spacing w:line="340" w:lineRule="auto" w:before="2"/>
        <w:ind w:left="154" w:right="4347" w:firstLine="0"/>
        <w:jc w:val="left"/>
        <w:rPr>
          <w:rFonts w:ascii="宋体" w:hAnsi="宋体" w:cs="宋体" w:eastAsia="宋体" w:hint="default"/>
          <w:sz w:val="18"/>
          <w:szCs w:val="18"/>
        </w:rPr>
      </w:pPr>
      <w:r>
        <w:rPr>
          <w:rFonts w:ascii="宋体" w:hAnsi="宋体" w:cs="宋体" w:eastAsia="宋体" w:hint="default"/>
          <w:sz w:val="18"/>
          <w:szCs w:val="18"/>
        </w:rPr>
        <w:t>报告期内营业成本较上年同期增长</w:t>
      </w:r>
      <w:r>
        <w:rPr>
          <w:rFonts w:ascii="Times New Roman" w:hAnsi="Times New Roman" w:cs="Times New Roman" w:eastAsia="Times New Roman" w:hint="default"/>
          <w:sz w:val="18"/>
          <w:szCs w:val="18"/>
        </w:rPr>
        <w:t>109.06%</w:t>
      </w:r>
      <w:r>
        <w:rPr>
          <w:rFonts w:ascii="宋体" w:hAnsi="宋体" w:cs="宋体" w:eastAsia="宋体" w:hint="default"/>
          <w:sz w:val="18"/>
          <w:szCs w:val="18"/>
        </w:rPr>
        <w:t>，主要原因为报告期内服务采购增加。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4,278,412.18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1,718,034.57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1,368,000.00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606,839.61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295,738.00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289,800.00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4,278,412.18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0"/>
      <w:bookmarkEnd w:id="20"/>
      <w:r>
        <w:rPr>
          <w:b w:val="0"/>
          <w:bCs w:val="0"/>
        </w:rPr>
      </w: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1527"/>
        <w:gridCol w:w="1876"/>
        <w:gridCol w:w="1702"/>
        <w:gridCol w:w="1560"/>
        <w:gridCol w:w="2976"/>
      </w:tblGrid>
      <w:tr>
        <w:trPr>
          <w:trHeight w:val="329" w:hRule="exact"/>
        </w:trPr>
        <w:tc>
          <w:tcPr>
            <w:tcW w:w="15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15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增减幅度超过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的原因说明</w:t>
            </w:r>
          </w:p>
        </w:tc>
      </w:tr>
      <w:tr>
        <w:trPr>
          <w:trHeight w:val="433" w:hRule="exact"/>
        </w:trPr>
        <w:tc>
          <w:tcPr>
            <w:tcW w:w="15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876"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23,979,631.66</w:t>
            </w:r>
          </w:p>
        </w:tc>
        <w:tc>
          <w:tcPr>
            <w:tcW w:w="17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22,057,660.82</w:t>
            </w:r>
          </w:p>
        </w:tc>
        <w:tc>
          <w:tcPr>
            <w:tcW w:w="15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8.71%</w:t>
            </w:r>
          </w:p>
        </w:tc>
        <w:tc>
          <w:tcPr>
            <w:tcW w:w="29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5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87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237,804,919.02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204,184,074.84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16.47%</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15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87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-3,067,595.72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-3,226,552.73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-4.93%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5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87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4,171,273.89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4,231,965.37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5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7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262,888,228.85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227,247,148.30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15.68%</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5、研发支出" w:id="21"/>
      <w:bookmarkEnd w:id="21"/>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公司高度重视自主研发能力的持续提升，报告期内公司加大了移动互联、大数据等新业务的研发投入力度，在传统技术</w:t>
      </w:r>
      <w:r>
        <w:rPr>
          <w:rFonts w:ascii="宋体" w:hAnsi="宋体" w:cs="宋体" w:eastAsia="宋体" w:hint="default"/>
          <w:sz w:val="18"/>
          <w:szCs w:val="18"/>
        </w:rPr>
        <w:t> 和产品上亦不断实现新的突破，进一步丰富完善了公司产品线，提升了公司产品竞争力。</w:t>
      </w:r>
    </w:p>
    <w:p>
      <w:pPr>
        <w:spacing w:before="5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370"/>
        <w:gridCol w:w="2018"/>
        <w:gridCol w:w="1559"/>
        <w:gridCol w:w="2553"/>
      </w:tblGrid>
      <w:tr>
        <w:trPr>
          <w:trHeight w:val="336"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5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654"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3"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 w:right="0"/>
              <w:jc w:val="left"/>
              <w:rPr>
                <w:rFonts w:ascii="宋体" w:hAnsi="宋体" w:cs="宋体" w:eastAsia="宋体" w:hint="default"/>
                <w:sz w:val="18"/>
                <w:szCs w:val="18"/>
              </w:rPr>
            </w:pPr>
            <w:r>
              <w:rPr>
                <w:rFonts w:ascii="宋体" w:hAnsi="宋体" w:cs="宋体" w:eastAsia="宋体" w:hint="default"/>
                <w:sz w:val="18"/>
                <w:szCs w:val="18"/>
              </w:rPr>
              <w:t>研发支出总额（元）</w:t>
            </w:r>
          </w:p>
        </w:tc>
        <w:tc>
          <w:tcPr>
            <w:tcW w:w="20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133,822,920.07</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116,267,716.95</w:t>
            </w:r>
          </w:p>
        </w:tc>
        <w:tc>
          <w:tcPr>
            <w:tcW w:w="25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其中：资本化的研发支出（元）</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12,041,213.47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10,922,501.32</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10.24%</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费用化的研发支出（元）</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121,781,706.60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105,345,215.63</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15.60%</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研发支出总额占净资产比例（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17.63%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16.38%</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1.25%</w:t>
            </w:r>
          </w:p>
        </w:tc>
      </w:tr>
      <w:tr>
        <w:trPr>
          <w:trHeight w:val="427" w:hRule="exact"/>
        </w:trPr>
        <w:tc>
          <w:tcPr>
            <w:tcW w:w="33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研发支出总额占营业收入比例（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40.96%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40.16%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6、现金流" w:id="22"/>
      <w:bookmarkEnd w:id="22"/>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361,240,124.97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306,443,741.79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277,897,127.78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234,342,792.09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83,342,997.19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72,100,949.70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368,543,439.59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352,594,217.15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364,022,021.32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409,769,718.98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4,521,418.27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-57,175,501.83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37,764,664.33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17,659,530.50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113.85%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-35,764,664.33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-17,659,530.50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52,099,751.13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-2,734,082.63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153" w:right="36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筹资活动现金流入本次增加</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万元，主要原因是小驿科技少数股东在报告期出资所致； 筹资活动现金流出较上年同期增长</w:t>
      </w:r>
      <w:r>
        <w:rPr>
          <w:rFonts w:ascii="Times New Roman" w:hAnsi="Times New Roman" w:cs="Times New Roman" w:eastAsia="Times New Roman" w:hint="default"/>
          <w:sz w:val="18"/>
          <w:szCs w:val="18"/>
        </w:rPr>
        <w:t>113.85%</w:t>
      </w:r>
      <w:r>
        <w:rPr>
          <w:rFonts w:ascii="宋体" w:hAnsi="宋体" w:cs="宋体" w:eastAsia="宋体" w:hint="default"/>
          <w:sz w:val="18"/>
          <w:szCs w:val="18"/>
        </w:rPr>
        <w:t>，主要原因是报告期较上年度分红款增加所致。</w:t>
      </w:r>
    </w:p>
    <w:p>
      <w:pPr>
        <w:spacing w:before="38"/>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3"/>
      <w:bookmarkEnd w:id="23"/>
      <w:r>
        <w:rPr>
          <w:b w:val="0"/>
          <w:bCs w:val="0"/>
        </w:rPr>
      </w:r>
      <w:r>
        <w:rPr/>
        <w:t>三、主营业务构成情况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184,433,037.54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9,522,205.79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集团管控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129,374,219.37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6,679,540.48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12,112,065.49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177,711.59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7.48%</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325,919,322.40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16,379,457.86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141,304,954.84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2,036,178.13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2,659,107.71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2,277,178.94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181,955,259.85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12,066,100.79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325,919,322.40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16,379,457.86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资产、负债状况分析" w:id="24"/>
      <w:bookmarkEnd w:id="24"/>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5"/>
      <w:bookmarkEnd w:id="25"/>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901"/>
        <w:gridCol w:w="1367"/>
        <w:gridCol w:w="892"/>
        <w:gridCol w:w="930"/>
        <w:gridCol w:w="2786"/>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287,187,584.43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234,712,889.08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30.79%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65,227,158.98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67,084,987.90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71,665.90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1,210,750.04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53,208,911.08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71,305,706.12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143,059,452.33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146,655,804.41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1,871,701.00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26"/>
      <w:bookmarkEnd w:id="26"/>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6"/>
        <w:gridCol w:w="1212"/>
        <w:gridCol w:w="1190"/>
        <w:gridCol w:w="1194"/>
        <w:gridCol w:w="1192"/>
        <w:gridCol w:w="1203"/>
        <w:gridCol w:w="1194"/>
        <w:gridCol w:w="1195"/>
      </w:tblGrid>
      <w:tr>
        <w:trPr>
          <w:trHeight w:val="161" w:hRule="exact"/>
        </w:trPr>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1"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6"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7"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4"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04" w:right="46"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3"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6" w:type="dxa"/>
            <w:vMerge w:val="restart"/>
            <w:tcBorders>
              <w:top w:val="nil" w:sz="6" w:space="0" w:color="auto"/>
              <w:left w:val="single" w:sz="4" w:space="0" w:color="000000"/>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203" w:type="dxa"/>
            <w:vMerge w:val="restart"/>
            <w:tcBorders>
              <w:top w:val="nil" w:sz="6" w:space="0" w:color="auto"/>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76"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的金融资（不 含衍生金融资 产）</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80,788,375.18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11,530.41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799,905.59</w:t>
            </w: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211,001,920.00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241,001,920.00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50,799,905.59</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80,788,375.18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11,530.41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799,905.59</w:t>
            </w: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211,001,920.00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241,001,920.00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50,799,905.59</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80,788,375.18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11,530.41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799,905.59</w:t>
            </w: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211,001,920.00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241,001,920.00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50,799,905.59</w:t>
            </w:r>
          </w:p>
        </w:tc>
      </w:tr>
      <w:tr>
        <w:trPr>
          <w:trHeight w:val="402"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五、核心竞争力分析" w:id="27"/>
      <w:bookmarkEnd w:id="27"/>
      <w:r>
        <w:rPr>
          <w:b w:val="0"/>
          <w:bCs w:val="0"/>
        </w:rPr>
      </w:r>
      <w:r>
        <w:rPr/>
        <w:t>五、核心竞争力分析</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032"/>
        <w:jc w:val="both"/>
      </w:pPr>
      <w:r>
        <w:rPr/>
        <w:t>报告期内，公司未发生因设备、专利及非专利技术升级换代、盈利模式变化、特许经营权丧失等导致公司 核心竞争能力受到严重影响的情况。并且，随着发展战略的升级与转变，公司在不断探究传统业务与新兴 领域的创新与融合。依托公司十余年来积累的市场资源、业务经验及用户口碑，积极通过与移动互联网、</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大数据等新兴领域业务理念与商业模式的融合，促动产业及行业的发展变革，以及客户价值的提升，并实</w:t>
      </w:r>
      <w:r>
        <w:rPr>
          <w:spacing w:val="-83"/>
        </w:rPr>
        <w:t> </w:t>
      </w:r>
      <w:r>
        <w:rPr>
          <w:spacing w:val="-83"/>
        </w:rPr>
      </w:r>
      <w:r>
        <w:rPr/>
        <w:t>现企业自身的发展与突破，进而提升公司市场竞争力。</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六、投资状况分析" w:id="28"/>
      <w:bookmarkEnd w:id="28"/>
      <w:r>
        <w:rPr>
          <w:b w:val="0"/>
          <w:bCs w:val="0"/>
        </w:rPr>
      </w: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29"/>
      <w:bookmarkEnd w:id="29"/>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0"/>
      <w:bookmarkEnd w:id="30"/>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616"/>
        <w:gridCol w:w="2765"/>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云计算、移动互联网等领域的产品研发和服务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小驿科技（海南）有限公司</w:t>
            </w:r>
          </w:p>
        </w:tc>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移动互联产品的研发和服务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久其智通数据科技有限公司</w:t>
            </w:r>
          </w:p>
        </w:tc>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大数据分析应用领域的研究开发、技术服务及</w:t>
            </w:r>
            <w:r>
              <w:rPr>
                <w:rFonts w:ascii="宋体" w:hAnsi="宋体" w:cs="宋体" w:eastAsia="宋体" w:hint="default"/>
                <w:sz w:val="18"/>
                <w:szCs w:val="18"/>
              </w:rPr>
              <w:t> 管理咨询</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持有金融企业股权情况" w:id="31"/>
      <w:bookmarkEnd w:id="31"/>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证券投资情况" w:id="32"/>
      <w:bookmarkEnd w:id="32"/>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持有其他上市公司股权情况的说明" w:id="33"/>
      <w:bookmarkEnd w:id="33"/>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公司报告期未持有其他上市公司股权。</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委托理财、衍生品投资和委托贷款情况" w:id="34"/>
      <w:bookmarkEnd w:id="34"/>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35"/>
      <w:bookmarkEnd w:id="3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中融信托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588.58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410.86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38.11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国债逆回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兴业银行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中信建投 基金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基金产品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中航信托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长江财富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139.44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四川信托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248.09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80.28</w:t>
            </w:r>
          </w:p>
        </w:tc>
      </w:tr>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中航信托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19.11</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中航信托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中航信托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中信证券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资管产品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民生银行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浮动利率</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49,100.19</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34,100.19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1,996.31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1,066.23</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209" w:type="dxa"/>
            <w:gridSpan w:val="4"/>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3"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FFFFFF"/>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000000"/>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注：该两款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日产品收益较小，未列示在上表中。</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衍生品投资情况" w:id="36"/>
      <w:bookmarkEnd w:id="36"/>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13"/>
        <w:rPr>
          <w:rFonts w:ascii="宋体" w:hAnsi="宋体" w:cs="宋体" w:eastAsia="宋体" w:hint="default"/>
          <w:sz w:val="20"/>
          <w:szCs w:val="20"/>
        </w:rPr>
      </w:pPr>
    </w:p>
    <w:p>
      <w:pPr>
        <w:pStyle w:val="Heading3"/>
        <w:spacing w:line="240" w:lineRule="auto"/>
        <w:ind w:left="153" w:right="0"/>
        <w:jc w:val="left"/>
        <w:rPr>
          <w:b w:val="0"/>
          <w:bCs w:val="0"/>
        </w:rPr>
      </w:pPr>
      <w:bookmarkStart w:name="（3）委托贷款情况" w:id="37"/>
      <w:bookmarkEnd w:id="37"/>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募集资金使用情况" w:id="38"/>
      <w:bookmarkEnd w:id="38"/>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39"/>
      <w:bookmarkEnd w:id="3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38,712.68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1,557.4</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39,506.94</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1,557.4</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1,557.4</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公司五个募集资金投资项目已于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月底全部投入完成并结项，结余部分募集资金已经公司第四届董事会第十次会</w:t>
            </w:r>
          </w:p>
          <w:p>
            <w:pPr>
              <w:pStyle w:val="TableParagraph"/>
              <w:spacing w:line="312" w:lineRule="auto" w:before="61"/>
              <w:ind w:left="11" w:right="21"/>
              <w:jc w:val="left"/>
              <w:rPr>
                <w:rFonts w:ascii="宋体" w:hAnsi="宋体" w:cs="宋体" w:eastAsia="宋体" w:hint="default"/>
                <w:sz w:val="18"/>
                <w:szCs w:val="18"/>
              </w:rPr>
            </w:pPr>
            <w:r>
              <w:rPr>
                <w:rFonts w:ascii="宋体" w:hAnsi="宋体" w:cs="宋体" w:eastAsia="宋体" w:hint="default"/>
                <w:sz w:val="18"/>
                <w:szCs w:val="18"/>
              </w:rPr>
              <w:t>议审批通过后永久补充公司流动资金。报告期内，经公司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年第三次临时股东大会审议，同意变更部分超额募集资金 </w:t>
            </w:r>
            <w:r>
              <w:rPr>
                <w:rFonts w:ascii="宋体" w:hAnsi="宋体" w:cs="宋体" w:eastAsia="宋体" w:hint="default"/>
                <w:spacing w:val="-1"/>
                <w:sz w:val="18"/>
                <w:szCs w:val="18"/>
              </w:rPr>
              <w:t>的实施主体和投资用途，将购买分支机构办公场所尚未使用的超募资金余额及其至资金划拨之日的全部利息收入用于公司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控股子公司北京久其政务软件股份有限公司购置办公用地。截至报告期末，募集资金已全部使用完毕，募集资金专户已于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日办理注销手续。</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40"/>
      <w:bookmarkEnd w:id="4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936"/>
        <w:gridCol w:w="851"/>
        <w:gridCol w:w="613"/>
        <w:gridCol w:w="732"/>
      </w:tblGrid>
      <w:tr>
        <w:trPr>
          <w:trHeight w:val="165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9"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1" w:right="3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行政事业单位资产 管理系统项目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7,970.9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7,970.9</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7,445.11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3,848.98</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久其 </w:t>
            </w:r>
            <w:r>
              <w:rPr>
                <w:rFonts w:ascii="Times New Roman" w:hAnsi="Times New Roman" w:cs="Times New Roman" w:eastAsia="Times New Roman" w:hint="default"/>
                <w:sz w:val="18"/>
                <w:szCs w:val="18"/>
              </w:rPr>
              <w:t>D&amp;A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研发与 业务生成平台</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5,915.9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5,915.9</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5,504.02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93.04%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11,795.95</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9" w:space="0" w:color="FFFFFF"/>
            </w:tcBorders>
          </w:tcPr>
          <w:p>
            <w:pPr>
              <w:pStyle w:val="TableParagraph"/>
              <w:spacing w:line="302"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政府直补一卡（折） 通管理信息系统</w:t>
            </w:r>
          </w:p>
        </w:tc>
        <w:tc>
          <w:tcPr>
            <w:tcW w:w="7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4,008</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3,444.63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215.24</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决算报表大厅</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2,552.3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2,552.3</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2,421.73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2,048.56</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久其商业智能套件</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1,401</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2,116.98</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1.4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194"/>
                    <w:gridCol w:w="582"/>
                    <w:gridCol w:w="776"/>
                    <w:gridCol w:w="776"/>
                    <w:gridCol w:w="781"/>
                    <w:gridCol w:w="782"/>
                    <w:gridCol w:w="781"/>
                    <w:gridCol w:w="936"/>
                    <w:gridCol w:w="851"/>
                    <w:gridCol w:w="613"/>
                    <w:gridCol w:w="732"/>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（久其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套件）</w:t>
                        </w:r>
                      </w:p>
                    </w:tc>
                    <w:tc>
                      <w:tcPr>
                        <w:tcW w:w="775" w:type="dxa"/>
                        <w:gridSpan w:val="2"/>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补充流动资金</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2,206.73</w:t>
                        </w:r>
                      </w:p>
                    </w:tc>
                    <w:tc>
                      <w:tcPr>
                        <w:tcW w:w="78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21,848.1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21,848.1</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22,246.67</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20,025.71</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对深圳市拜特科技股 份有限公司投资</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689.35</w:t>
                        </w:r>
                      </w:p>
                    </w:tc>
                    <w:tc>
                      <w:tcPr>
                        <w:tcW w:w="61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对广东同望科技股份 有限公司投资</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125.97</w:t>
                        </w:r>
                      </w:p>
                    </w:tc>
                    <w:tc>
                      <w:tcPr>
                        <w:tcW w:w="61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总部购买办公场所</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1,957.07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1,957.07</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1,957.07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分支购置办公场所</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1,650.8</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久其政务购置办公场 所</w:t>
                        </w:r>
                      </w:p>
                    </w:tc>
                    <w:tc>
                      <w:tcPr>
                        <w:tcW w:w="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1,557.4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82"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100.00%</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17,052.07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17,260.27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1,557.4</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17,260.27</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815.32</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38,900.17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39,108.37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1,557.4</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39,506.94</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20,841.03</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 w:right="31"/>
                          <w:jc w:val="left"/>
                          <w:rPr>
                            <w:rFonts w:ascii="宋体" w:hAnsi="宋体" w:cs="宋体" w:eastAsia="宋体" w:hint="default"/>
                            <w:sz w:val="18"/>
                            <w:szCs w:val="18"/>
                          </w:rPr>
                        </w:pPr>
                        <w:r>
                          <w:rPr>
                            <w:rFonts w:ascii="宋体" w:hAnsi="宋体" w:cs="宋体" w:eastAsia="宋体" w:hint="default"/>
                            <w:sz w:val="18"/>
                            <w:szCs w:val="18"/>
                          </w:rPr>
                          <w:t>政府直补一卡（折）通管理信息系统未达到预计收益主要原因为受市场环境和需求变化影响，该产 品的业务拓展不佳，收益未达预期。</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51"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公司使用超额募集资金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万元归还公司银行借款，并按照有关规定履行了审批程序和信息披</w:t>
                        </w:r>
                      </w:p>
                      <w:p>
                        <w:pPr>
                          <w:pStyle w:val="TableParagraph"/>
                          <w:spacing w:line="240" w:lineRule="auto" w:before="61"/>
                          <w:ind w:left="16" w:right="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露义务；公司使用超额募集资金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2,100.00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万元，对深圳市拜特科技股份有限公司进行投资，已于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2,625.00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万元价格对外处置，并按照有关规定履行了审批程序和信息披露义务；公司使用</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超额募集资金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1,957.07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万元购置位于北京市西城区西直门内南小街国英一号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室作为办公场所</w:t>
                        </w:r>
                      </w:p>
                      <w:p>
                        <w:pPr>
                          <w:pStyle w:val="TableParagraph"/>
                          <w:spacing w:line="309" w:lineRule="auto" w:before="63"/>
                          <w:ind w:left="16" w:right="29"/>
                          <w:jc w:val="both"/>
                          <w:rPr>
                            <w:rFonts w:ascii="宋体" w:hAnsi="宋体" w:cs="宋体" w:eastAsia="宋体" w:hint="default"/>
                            <w:sz w:val="18"/>
                            <w:szCs w:val="18"/>
                          </w:rPr>
                        </w:pPr>
                        <w:r>
                          <w:rPr>
                            <w:rFonts w:ascii="宋体" w:hAnsi="宋体" w:cs="宋体" w:eastAsia="宋体" w:hint="default"/>
                            <w:sz w:val="18"/>
                            <w:szCs w:val="18"/>
                          </w:rPr>
                          <w:t>并按照有关规定了履行审批程序和信息披露义务；公司使用超额募集资金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4,995.00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万元，对广东同 望科技股份有限公司投资，并按照有关规定履行了审批程序和信息披露义务；公司拟使用超募资金 合计不超过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万元购置分支机构办公场所，公司已在深圳、贵阳、济南、拉萨、海南、呼和浩 特购置办公场所；后经公司股东大会审议通过，将拟购置分支机构办公场所的尚未使用超募资金及 其利息合计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1,557.40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万元，变更用途和实施主体，用于久其政务购置办公场所。截止报告期末，超</w:t>
                        </w:r>
                      </w:p>
                      <w:p>
                        <w:pPr>
                          <w:pStyle w:val="TableParagraph"/>
                          <w:spacing w:line="240" w:lineRule="auto" w:before="6"/>
                          <w:ind w:left="16" w:right="0"/>
                          <w:jc w:val="both"/>
                          <w:rPr>
                            <w:rFonts w:ascii="宋体" w:hAnsi="宋体" w:cs="宋体" w:eastAsia="宋体" w:hint="default"/>
                            <w:sz w:val="18"/>
                            <w:szCs w:val="18"/>
                          </w:rPr>
                        </w:pPr>
                        <w:r>
                          <w:rPr>
                            <w:rFonts w:ascii="宋体" w:hAnsi="宋体" w:cs="宋体" w:eastAsia="宋体" w:hint="default"/>
                            <w:sz w:val="18"/>
                            <w:szCs w:val="18"/>
                          </w:rPr>
                          <w:t>募资金已全部使用完毕，公司于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日办理完成募集资金专户注销手续。</w:t>
                        </w:r>
                      </w:p>
                    </w:tc>
                  </w:tr>
                  <w:tr>
                    <w:trPr>
                      <w:trHeight w:val="704"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1"/>
                        <w:vMerge/>
                        <w:tcBorders>
                          <w:left w:val="single" w:sz="9" w:space="0" w:color="D2D2D2"/>
                          <w:right w:val="single" w:sz="4" w:space="0" w:color="000000"/>
                        </w:tcBorders>
                      </w:tcPr>
                      <w:p>
                        <w:pPr/>
                      </w:p>
                    </w:tc>
                  </w:tr>
                  <w:tr>
                    <w:trPr>
                      <w:trHeight w:val="1454"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25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1"/>
                        <w:vMerge/>
                        <w:tcBorders>
                          <w:left w:val="single" w:sz="9" w:space="0" w:color="D2D2D2"/>
                          <w:bottom w:val="single" w:sz="4" w:space="0" w:color="000000"/>
                          <w:right w:val="single" w:sz="4" w:space="0" w:color="000000"/>
                        </w:tcBorders>
                      </w:tcPr>
                      <w:p>
                        <w:pP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gridSpan w:val="11"/>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0" w:right="115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公司置换预先已投入募集资金投资项目的自筹资金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4,092.36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万元，已经大信会计师事务所有限公司</w:t>
            </w:r>
          </w:p>
          <w:p>
            <w:pPr>
              <w:pStyle w:val="TableParagraph"/>
              <w:spacing w:line="302" w:lineRule="auto" w:before="63"/>
              <w:ind w:left="22" w:right="3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日出具的大信核字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号专项审核报告审核，并按照有关规定履行了 审批程序和信息披露义务。</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行政事业单位资产管理系统项目结余募集资金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525.79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万元，久其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D&amp;A</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研发与业务生成平台项目结 余募集资金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411.88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万元，政府直补一卡（折）通管理信息系统项目结余募集资金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563.37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万元，决算</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报表大厅项目结余募集资金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130.57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久其商业智能套</w:t>
            </w:r>
            <w:r>
              <w:rPr>
                <w:rFonts w:ascii="宋体" w:hAnsi="宋体" w:cs="宋体" w:eastAsia="宋体" w:hint="default"/>
                <w:spacing w:val="-90"/>
                <w:sz w:val="18"/>
                <w:szCs w:val="18"/>
              </w:rPr>
              <w:t>件</w:t>
            </w:r>
            <w:r>
              <w:rPr>
                <w:rFonts w:ascii="宋体" w:hAnsi="宋体" w:cs="宋体" w:eastAsia="宋体" w:hint="default"/>
                <w:sz w:val="18"/>
                <w:szCs w:val="18"/>
              </w:rPr>
              <w:t>（久其</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z w:val="18"/>
                <w:szCs w:val="18"/>
              </w:rPr>
              <w:t>I  </w:t>
            </w:r>
            <w:r>
              <w:rPr>
                <w:rFonts w:ascii="宋体" w:hAnsi="宋体" w:cs="宋体" w:eastAsia="宋体" w:hint="default"/>
                <w:sz w:val="18"/>
                <w:szCs w:val="18"/>
              </w:rPr>
              <w:t>套件</w:t>
            </w:r>
            <w:r>
              <w:rPr>
                <w:rFonts w:ascii="宋体" w:hAnsi="宋体" w:cs="宋体" w:eastAsia="宋体" w:hint="default"/>
                <w:spacing w:val="-90"/>
                <w:sz w:val="18"/>
                <w:szCs w:val="18"/>
              </w:rPr>
              <w:t>）</w:t>
            </w:r>
            <w:r>
              <w:rPr>
                <w:rFonts w:ascii="宋体" w:hAnsi="宋体" w:cs="宋体" w:eastAsia="宋体" w:hint="default"/>
                <w:sz w:val="18"/>
                <w:szCs w:val="18"/>
              </w:rPr>
              <w:t>项目结余募集资金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176.55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万元，均为项目实施过程中实施了严格的成本控制。</w:t>
            </w:r>
          </w:p>
        </w:tc>
      </w:tr>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公司第四届董事会第十次会议、第四届监事会第九次会议审议通过了《关于将节余募集资金永久补 </w:t>
            </w:r>
            <w:r>
              <w:rPr>
                <w:rFonts w:ascii="宋体" w:hAnsi="宋体" w:cs="宋体" w:eastAsia="宋体" w:hint="default"/>
                <w:spacing w:val="-4"/>
                <w:sz w:val="18"/>
                <w:szCs w:val="18"/>
              </w:rPr>
              <w:t>充流动资金的议案》。同意将五个募集资金投资项目的节余资金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2,206.73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0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日，含利息收入</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398.57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万元）永久补充公司流动资金，公司保荐机构申银万国证券股份有限公司 对此发表了同意实施的核查意见。</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41"/>
      <w:bookmarkEnd w:id="4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851"/>
        <w:gridCol w:w="956"/>
        <w:gridCol w:w="955"/>
        <w:gridCol w:w="956"/>
        <w:gridCol w:w="957"/>
        <w:gridCol w:w="955"/>
        <w:gridCol w:w="962"/>
      </w:tblGrid>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59"/>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公司控股子公 司北京久其政 务软件股份有 限公司购置办 公用地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96"/>
              <w:jc w:val="both"/>
              <w:rPr>
                <w:rFonts w:ascii="宋体" w:hAnsi="宋体" w:cs="宋体" w:eastAsia="宋体" w:hint="default"/>
                <w:sz w:val="18"/>
                <w:szCs w:val="18"/>
              </w:rPr>
            </w:pPr>
            <w:r>
              <w:rPr>
                <w:rFonts w:ascii="宋体" w:hAnsi="宋体" w:cs="宋体" w:eastAsia="宋体" w:hint="default"/>
                <w:sz w:val="18"/>
                <w:szCs w:val="18"/>
              </w:rPr>
              <w:t>购置分支 机构办公 场所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1,557.4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1,557.4</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297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594" w:type="dxa"/>
            <w:gridSpan w:val="7"/>
            <w:vMerge w:val="restart"/>
            <w:tcBorders>
              <w:top w:val="single" w:sz="4" w:space="0" w:color="000000"/>
              <w:left w:val="single" w:sz="10" w:space="0" w:color="D2D2D2"/>
              <w:right w:val="single" w:sz="4" w:space="0" w:color="000000"/>
            </w:tcBorders>
          </w:tcPr>
          <w:p>
            <w:pPr>
              <w:pStyle w:val="TableParagraph"/>
              <w:spacing w:line="314" w:lineRule="auto" w:before="51"/>
              <w:ind w:left="15" w:right="21"/>
              <w:jc w:val="both"/>
              <w:rPr>
                <w:rFonts w:ascii="宋体" w:hAnsi="宋体" w:cs="宋体" w:eastAsia="宋体" w:hint="default"/>
                <w:sz w:val="18"/>
                <w:szCs w:val="18"/>
              </w:rPr>
            </w:pPr>
            <w:r>
              <w:rPr>
                <w:rFonts w:ascii="宋体" w:hAnsi="宋体" w:cs="宋体" w:eastAsia="宋体" w:hint="default"/>
                <w:sz w:val="18"/>
                <w:szCs w:val="18"/>
              </w:rPr>
              <w:t>因各地房地产价格的波动以及公司对各地分支机构的发展规划及管理方式的调整， 公司暂停原购置分支机构办公场所的计划，为满足公司业务拓展和战略发展需要， 经公司第五届董事会第十次会议及</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年第三次临时股东大会审议通过，将原购置 分支机构办公场所的尚未使用的超募资金及利息收入用于控股子公司北京久其政务 </w:t>
            </w:r>
            <w:r>
              <w:rPr>
                <w:rFonts w:ascii="宋体" w:hAnsi="宋体" w:cs="宋体" w:eastAsia="宋体" w:hint="default"/>
                <w:spacing w:val="-4"/>
                <w:sz w:val="18"/>
                <w:szCs w:val="18"/>
              </w:rPr>
              <w:t>软件股份有限公司购置办公用地。公司《第五届董事会第十次会议决议公告》（公告</w:t>
            </w:r>
          </w:p>
        </w:tc>
      </w:tr>
      <w:tr>
        <w:trPr>
          <w:trHeight w:val="703" w:hRule="exact"/>
        </w:trPr>
        <w:tc>
          <w:tcPr>
            <w:tcW w:w="297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94" w:type="dxa"/>
            <w:gridSpan w:val="7"/>
            <w:vMerge/>
            <w:tcBorders>
              <w:left w:val="single" w:sz="10" w:space="0" w:color="D2D2D2"/>
              <w:right w:val="single" w:sz="4" w:space="0" w:color="000000"/>
            </w:tcBorders>
          </w:tcPr>
          <w:p>
            <w:pPr/>
          </w:p>
        </w:tc>
      </w:tr>
      <w:tr>
        <w:trPr>
          <w:trHeight w:val="454" w:hRule="exact"/>
        </w:trPr>
        <w:tc>
          <w:tcPr>
            <w:tcW w:w="297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594" w:type="dxa"/>
            <w:gridSpan w:val="7"/>
            <w:vMerge/>
            <w:tcBorders>
              <w:left w:val="single" w:sz="10"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6594"/>
      </w:tblGrid>
      <w:tr>
        <w:trPr>
          <w:trHeight w:val="986"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2014-069</w:t>
            </w:r>
            <w:r>
              <w:rPr>
                <w:rFonts w:ascii="宋体" w:hAnsi="宋体" w:cs="宋体" w:eastAsia="宋体" w:hint="default"/>
                <w:spacing w:val="-90"/>
                <w:sz w:val="18"/>
                <w:szCs w:val="18"/>
              </w:rPr>
              <w:t>）</w:t>
            </w:r>
            <w:r>
              <w:rPr>
                <w:rFonts w:ascii="宋体" w:hAnsi="宋体" w:cs="宋体" w:eastAsia="宋体" w:hint="default"/>
                <w:spacing w:val="-114"/>
                <w:sz w:val="18"/>
                <w:szCs w:val="18"/>
              </w:rPr>
              <w:t>、</w:t>
            </w:r>
            <w:r>
              <w:rPr>
                <w:rFonts w:ascii="宋体" w:hAnsi="宋体" w:cs="宋体" w:eastAsia="宋体" w:hint="default"/>
                <w:sz w:val="18"/>
                <w:szCs w:val="18"/>
              </w:rPr>
              <w:t>《关于变更部分超额募集资金实施主体及投资用途的公告</w:t>
            </w:r>
            <w:r>
              <w:rPr>
                <w:rFonts w:ascii="宋体" w:hAnsi="宋体" w:cs="宋体" w:eastAsia="宋体" w:hint="default"/>
                <w:spacing w:val="-114"/>
                <w:sz w:val="18"/>
                <w:szCs w:val="18"/>
              </w:rPr>
              <w:t>》</w:t>
            </w:r>
            <w:r>
              <w:rPr>
                <w:rFonts w:ascii="宋体" w:hAnsi="宋体" w:cs="宋体" w:eastAsia="宋体" w:hint="default"/>
                <w:sz w:val="18"/>
                <w:szCs w:val="18"/>
              </w:rPr>
              <w:t>（公告编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2014-071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2014-079</w:t>
            </w:r>
            <w:r>
              <w:rPr>
                <w:rFonts w:ascii="宋体" w:hAnsi="宋体" w:cs="宋体" w:eastAsia="宋体" w:hint="default"/>
                <w:sz w:val="18"/>
                <w:szCs w:val="18"/>
              </w:rPr>
              <w:t>）均已 披露在《中国证券报</w:t>
            </w:r>
            <w:r>
              <w:rPr>
                <w:rFonts w:ascii="宋体" w:hAnsi="宋体" w:cs="宋体" w:eastAsia="宋体" w:hint="default"/>
                <w:spacing w:val="-90"/>
                <w:sz w:val="18"/>
                <w:szCs w:val="18"/>
              </w:rPr>
              <w:t>》、</w:t>
            </w:r>
            <w:r>
              <w:rPr>
                <w:rFonts w:ascii="宋体" w:hAnsi="宋体" w:cs="宋体" w:eastAsia="宋体" w:hint="default"/>
                <w:sz w:val="18"/>
                <w:szCs w:val="18"/>
              </w:rPr>
              <w:t>《证券时报》及巨潮资讯网（</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 情况说明</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主要子公司、参股公司分析" w:id="42"/>
      <w:bookmarkEnd w:id="42"/>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5" w:space="66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60"/>
        <w:gridCol w:w="742"/>
        <w:gridCol w:w="992"/>
        <w:gridCol w:w="1137"/>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4" w:right="95"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2" w:right="22" w:hanging="450"/>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北京久其政 务软件股份 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电子政务领域 信息化系统开 发与服务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87,420,728.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62,738,953.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50,860,771.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13,483,835.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13,965,069.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西安久其软 件有限公司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软件开发与技 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4,139,197.5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3,164,896.1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6,359,930.3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471,866.53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351,572.78</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上海久其软 件有限公司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软件开发与技 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5,706,159.5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5,113,890.2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3,346,074.3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-1,145,118.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-1,069,517.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21</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成都久其软 件有限公司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软件开发与技 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3,335,230.4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2,830,942.0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2,498,393.6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100,226.56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108,560.17</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广东久其软 件有限公司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软件开发与技 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4,925,304.2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4,762,623.0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3,545,155.0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-15,434.52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29,049.25</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新疆久其科 技有限公司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软件开发与技 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2,473,591.4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2,083,211.2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3,993,594.3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170,394.39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133,779.91</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重庆久其软 件有限公司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软件开发与技 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9,846,171.1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9,449,731.7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4,286,155.9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1,255,709.4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1,256,186.6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北京北邮中 望信息科技 有限责任公 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通信领域管理 信息化系统开 发与服务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69,495.08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-3,542,525.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1,259,497.1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825,382.88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758,407.83</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海南久其云 计算科技有 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云计算产品研 发与服务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11,071,715.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8,683,893.2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3,675,472.7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-6,698,268.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-3,888,638.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北京久其智 通数据科技 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大数据分析产 品研发与服务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13,711,590.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13,683,647.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-1,216,352.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-1,216,352.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742"/>
        <w:gridCol w:w="992"/>
        <w:gridCol w:w="1137"/>
        <w:gridCol w:w="956"/>
        <w:gridCol w:w="956"/>
        <w:gridCol w:w="956"/>
        <w:gridCol w:w="957"/>
        <w:gridCol w:w="958"/>
        <w:gridCol w:w="956"/>
      </w:tblGrid>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广东同望科 技股份有限 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项目管理、协 同办公、系统 集成三大领域 相关业务的管 理研究和信息 化技术开发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55,290,000.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148,589,598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113,756,862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80,220,054.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-668,615.28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6,190,393.6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北京久其智通数据科技有限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布局大数据业务领域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合资设立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尚处于投入期</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非募集资金投资的重大项目情况" w:id="43"/>
      <w:bookmarkEnd w:id="43"/>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建设久其政务 研发中心项目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1,737.59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1,737.59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7.88%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2014-070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1,737.59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1,737.59</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七、公司未来发展的展望" w:id="44"/>
      <w:bookmarkEnd w:id="44"/>
      <w:r>
        <w:rPr>
          <w:b w:val="0"/>
          <w:bCs w:val="0"/>
        </w:rPr>
      </w:r>
      <w:r>
        <w:rPr/>
        <w:t>七、公司未来发展的展望</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（一）行业发展趋势</w:t>
      </w:r>
    </w:p>
    <w:p>
      <w:pPr>
        <w:spacing w:line="240" w:lineRule="auto" w:before="10"/>
        <w:rPr>
          <w:rFonts w:ascii="宋体" w:hAnsi="宋体" w:cs="宋体" w:eastAsia="宋体" w:hint="default"/>
          <w:sz w:val="22"/>
          <w:szCs w:val="22"/>
        </w:rPr>
      </w:pPr>
    </w:p>
    <w:p>
      <w:pPr>
        <w:pStyle w:val="BodyText"/>
        <w:spacing w:line="264" w:lineRule="auto"/>
        <w:ind w:right="1131"/>
        <w:jc w:val="both"/>
      </w:pPr>
      <w:r>
        <w:rPr/>
        <w:t>在国家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发展规划的指导下，国内软件和信息技术服务业继续保持平稳、较快的发展。国民经济信 </w:t>
      </w:r>
      <w:r>
        <w:rPr>
          <w:spacing w:val="-1"/>
        </w:rPr>
        <w:t>息化建设的持续推进，为软件和信息服务业带来了良好的发展机遇，并且基于信息安全在国计民生中的战</w:t>
      </w:r>
      <w:r>
        <w:rPr>
          <w:spacing w:val="-81"/>
        </w:rPr>
        <w:t> </w:t>
      </w:r>
      <w:r>
        <w:rPr>
          <w:spacing w:val="-81"/>
        </w:rPr>
      </w:r>
      <w:r>
        <w:rPr>
          <w:spacing w:val="-1"/>
        </w:rPr>
        <w:t>略性地位，政府采购项目对信息安全的要求会持续提升，这也意味着国内</w:t>
      </w:r>
      <w:r>
        <w:rPr>
          <w:rFonts w:ascii="Times New Roman" w:hAnsi="Times New Roman" w:cs="Times New Roman" w:eastAsia="Times New Roman" w:hint="default"/>
          <w:spacing w:val="-1"/>
        </w:rPr>
        <w:t>IT</w:t>
      </w:r>
      <w:r>
        <w:rPr>
          <w:spacing w:val="-1"/>
        </w:rPr>
        <w:t>厂商将直接受益并获得更多先</w:t>
      </w:r>
      <w:r>
        <w:rPr>
          <w:spacing w:val="-69"/>
        </w:rPr>
        <w:t> </w:t>
      </w:r>
      <w:r>
        <w:rPr>
          <w:spacing w:val="-1"/>
        </w:rPr>
        <w:t>机。与此同时，在以云计算、物联网、移动互联网、大数据等新技术、新业态的驱动下，不仅为全社会的</w:t>
      </w:r>
      <w:r>
        <w:rPr>
          <w:spacing w:val="-85"/>
        </w:rPr>
        <w:t> </w:t>
      </w:r>
      <w:r>
        <w:rPr>
          <w:spacing w:val="-85"/>
        </w:rPr>
      </w:r>
      <w:r>
        <w:rPr>
          <w:spacing w:val="-1"/>
        </w:rPr>
        <w:t>经济发展创造了新的活力，更是带动了整个信息技术产业的革命。在</w:t>
      </w:r>
      <w:r>
        <w:rPr>
          <w:rFonts w:ascii="Times New Roman" w:hAnsi="Times New Roman" w:cs="Times New Roman" w:eastAsia="Times New Roman" w:hint="default"/>
          <w:spacing w:val="-1"/>
        </w:rPr>
        <w:t>2015</w:t>
      </w:r>
      <w:r>
        <w:rPr>
          <w:spacing w:val="-1"/>
        </w:rPr>
        <w:t>年两会期间，李克强总理在政府</w:t>
      </w:r>
      <w:r>
        <w:rPr>
          <w:spacing w:val="-83"/>
        </w:rPr>
        <w:t> </w:t>
      </w:r>
      <w:r>
        <w:rPr>
          <w:spacing w:val="-83"/>
        </w:rPr>
      </w:r>
      <w:r>
        <w:rPr/>
        <w:t>工作报告中提出制定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行动计划，首次将推动互联网发展纳入国家经济的顶层设计，互联网与传</w:t>
      </w:r>
      <w:r>
        <w:rPr>
          <w:spacing w:val="-20"/>
        </w:rPr>
        <w:t> </w:t>
      </w:r>
      <w:r>
        <w:rPr>
          <w:spacing w:val="-20"/>
        </w:rPr>
      </w:r>
      <w:r>
        <w:rPr>
          <w:spacing w:val="-1"/>
        </w:rPr>
        <w:t>统行业的融合将越来越紧密，传统行业在新环境下升级换代的同时，软件和信息服务业将迎来新的发展契</w:t>
      </w:r>
      <w:r>
        <w:rPr>
          <w:spacing w:val="-81"/>
        </w:rPr>
        <w:t> </w:t>
      </w:r>
      <w:r>
        <w:rPr>
          <w:spacing w:val="-81"/>
        </w:rPr>
      </w:r>
      <w:r>
        <w:rPr/>
        <w:t>机。</w:t>
      </w:r>
    </w:p>
    <w:p>
      <w:pPr>
        <w:spacing w:line="240" w:lineRule="auto" w:before="2"/>
        <w:rPr>
          <w:rFonts w:ascii="宋体" w:hAnsi="宋体" w:cs="宋体" w:eastAsia="宋体" w:hint="default"/>
          <w:sz w:val="21"/>
          <w:szCs w:val="21"/>
        </w:rPr>
      </w:pPr>
    </w:p>
    <w:p>
      <w:pPr>
        <w:pStyle w:val="BodyText"/>
        <w:spacing w:line="240" w:lineRule="auto"/>
        <w:ind w:left="154" w:right="0"/>
        <w:jc w:val="both"/>
      </w:pPr>
      <w:r>
        <w:rPr/>
        <w:t>（二）发展规划</w:t>
      </w:r>
    </w:p>
    <w:p>
      <w:pPr>
        <w:spacing w:line="240" w:lineRule="auto" w:before="9"/>
        <w:rPr>
          <w:rFonts w:ascii="宋体" w:hAnsi="宋体" w:cs="宋体" w:eastAsia="宋体" w:hint="default"/>
          <w:sz w:val="22"/>
          <w:szCs w:val="22"/>
        </w:rPr>
      </w:pPr>
    </w:p>
    <w:p>
      <w:pPr>
        <w:pStyle w:val="BodyText"/>
        <w:spacing w:line="273" w:lineRule="auto"/>
        <w:ind w:left="154" w:right="1035"/>
        <w:jc w:val="both"/>
      </w:pPr>
      <w:r>
        <w:rPr/>
        <w:t>公司未来将持续围绕电子政务、集团管控、大数据以及移动互联网等领域开展经营，紧抓行业发展机遇，</w:t>
      </w:r>
      <w:r>
        <w:rPr>
          <w:spacing w:val="-35"/>
        </w:rPr>
        <w:t> </w:t>
      </w:r>
      <w:r>
        <w:rPr>
          <w:spacing w:val="-35"/>
        </w:rPr>
      </w:r>
      <w:r>
        <w:rPr>
          <w:spacing w:val="-2"/>
        </w:rPr>
        <w:t>重点布局规划互联网</w:t>
      </w:r>
      <w:r>
        <w:rPr>
          <w:rFonts w:ascii="Times New Roman" w:hAnsi="Times New Roman" w:cs="Times New Roman" w:eastAsia="Times New Roman" w:hint="default"/>
          <w:spacing w:val="-2"/>
        </w:rPr>
        <w:t>+</w:t>
      </w:r>
      <w:r>
        <w:rPr>
          <w:spacing w:val="-2"/>
        </w:rPr>
        <w:t>政府、互联网</w:t>
      </w:r>
      <w:r>
        <w:rPr>
          <w:rFonts w:ascii="Times New Roman" w:hAnsi="Times New Roman" w:cs="Times New Roman" w:eastAsia="Times New Roman" w:hint="default"/>
          <w:spacing w:val="-2"/>
        </w:rPr>
        <w:t>+</w:t>
      </w:r>
      <w:r>
        <w:rPr>
          <w:spacing w:val="-2"/>
        </w:rPr>
        <w:t>金融、互联网</w:t>
      </w:r>
      <w:r>
        <w:rPr>
          <w:rFonts w:ascii="Times New Roman" w:hAnsi="Times New Roman" w:cs="Times New Roman" w:eastAsia="Times New Roman" w:hint="default"/>
          <w:spacing w:val="-2"/>
        </w:rPr>
        <w:t>+</w:t>
      </w:r>
      <w:r>
        <w:rPr>
          <w:spacing w:val="-2"/>
        </w:rPr>
        <w:t>物流、互联网</w:t>
      </w:r>
      <w:r>
        <w:rPr>
          <w:rFonts w:ascii="Times New Roman" w:hAnsi="Times New Roman" w:cs="Times New Roman" w:eastAsia="Times New Roman" w:hint="default"/>
          <w:spacing w:val="-2"/>
        </w:rPr>
        <w:t>+</w:t>
      </w:r>
      <w:r>
        <w:rPr>
          <w:spacing w:val="-2"/>
        </w:rPr>
        <w:t>广告传媒等领域。同时，公司将进一步</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8" w:lineRule="auto" w:before="35"/>
        <w:ind w:right="0"/>
        <w:jc w:val="left"/>
      </w:pPr>
      <w:r>
        <w:rPr/>
        <w:t>促进现有产品和技术平台的产业化和互联网化，互联网技术和思维的成熟、运营经验的提升将反过来促进 传统业务的发展，从而实现互联网</w:t>
      </w:r>
      <w:r>
        <w:rPr>
          <w:rFonts w:ascii="Times New Roman" w:hAnsi="Times New Roman" w:cs="Times New Roman" w:eastAsia="Times New Roman" w:hint="default"/>
        </w:rPr>
        <w:t>+</w:t>
      </w:r>
      <w:r>
        <w:rPr/>
        <w:t>渗透到公司每一个业务领域，变革传统商业模式，加速互联网与传统</w:t>
      </w:r>
      <w:r>
        <w:rPr>
          <w:spacing w:val="-40"/>
        </w:rPr>
        <w:t> </w:t>
      </w:r>
      <w:r>
        <w:rPr>
          <w:spacing w:val="-40"/>
        </w:rPr>
      </w:r>
      <w:r>
        <w:rPr/>
        <w:t>业务领域的创新和融合。</w:t>
      </w:r>
      <w:r>
        <w:rPr/>
        <w:t> 除业务类型和模式升级考虑外，公司将重点规划久其生态圈的建设：一方面现有传统业务与移动互联网、</w:t>
      </w:r>
      <w:r>
        <w:rPr>
          <w:spacing w:val="-35"/>
        </w:rPr>
        <w:t> </w:t>
      </w:r>
      <w:r>
        <w:rPr>
          <w:spacing w:val="-35"/>
        </w:rPr>
      </w:r>
      <w:r>
        <w:rPr>
          <w:spacing w:val="-5"/>
        </w:rPr>
        <w:t>云计算、大数据深度融合，协同发展；另一方面通过战略投资和收购方式，弥补短板，进一步完善生态圈，</w:t>
      </w:r>
      <w:r>
        <w:rPr/>
        <w:t> 形成良性发展循环，巩固和提升公司的核心竞争力。</w:t>
      </w:r>
    </w:p>
    <w:p>
      <w:pPr>
        <w:spacing w:line="240" w:lineRule="auto" w:before="11"/>
        <w:rPr>
          <w:rFonts w:ascii="宋体" w:hAnsi="宋体" w:cs="宋体" w:eastAsia="宋体" w:hint="default"/>
          <w:sz w:val="20"/>
          <w:szCs w:val="20"/>
        </w:rPr>
      </w:pPr>
    </w:p>
    <w:p>
      <w:pPr>
        <w:pStyle w:val="BodyText"/>
        <w:spacing w:line="240" w:lineRule="auto"/>
        <w:ind w:right="0"/>
        <w:jc w:val="left"/>
      </w:pPr>
      <w:r>
        <w:rPr/>
        <w:t>（三）经营计划</w:t>
      </w:r>
    </w:p>
    <w:p>
      <w:pPr>
        <w:spacing w:line="240" w:lineRule="auto" w:before="9"/>
        <w:rPr>
          <w:rFonts w:ascii="宋体" w:hAnsi="宋体" w:cs="宋体" w:eastAsia="宋体" w:hint="default"/>
          <w:sz w:val="22"/>
          <w:szCs w:val="22"/>
        </w:rPr>
      </w:pPr>
    </w:p>
    <w:p>
      <w:pPr>
        <w:pStyle w:val="BodyText"/>
        <w:spacing w:line="264" w:lineRule="auto"/>
        <w:ind w:right="1128"/>
        <w:jc w:val="left"/>
      </w:pPr>
      <w:r>
        <w:rPr>
          <w:spacing w:val="-5"/>
        </w:rPr>
        <w:t>以公司</w:t>
      </w:r>
      <w:r>
        <w:rPr>
          <w:rFonts w:ascii="Times New Roman" w:hAnsi="Times New Roman" w:cs="Times New Roman" w:eastAsia="Times New Roman" w:hint="default"/>
          <w:spacing w:val="-5"/>
        </w:rPr>
        <w:t>2015</w:t>
      </w:r>
      <w:r>
        <w:rPr>
          <w:spacing w:val="-5"/>
        </w:rPr>
        <w:t>年度经营计划目标为导向，公司将继续落实深耕地方市场、强化重大项目交付、孵化咨询业务，</w:t>
      </w:r>
      <w:r>
        <w:rPr>
          <w:spacing w:val="-91"/>
        </w:rPr>
        <w:t> </w:t>
      </w:r>
      <w:r>
        <w:rPr>
          <w:spacing w:val="-91"/>
        </w:rPr>
      </w:r>
      <w:r>
        <w:rPr/>
        <w:t>以及实施外延发展战略等方面的工作，以促进发展战略的落实、保障经营业绩的持续增长。 </w:t>
      </w:r>
      <w:r>
        <w:rPr>
          <w:rFonts w:ascii="Times New Roman" w:hAnsi="Times New Roman" w:cs="Times New Roman" w:eastAsia="Times New Roman" w:hint="default"/>
        </w:rPr>
        <w:t>1</w:t>
      </w:r>
      <w:r>
        <w:rPr/>
        <w:t>、继续优化电子政务、集团管控、大数据等业务的解决方案，深化行业纵深市场的挖掘，提升市场拓展</w:t>
      </w:r>
      <w:r>
        <w:rPr>
          <w:spacing w:val="-28"/>
        </w:rPr>
        <w:t> </w:t>
      </w:r>
      <w:r>
        <w:rPr>
          <w:spacing w:val="-28"/>
        </w:rPr>
      </w:r>
      <w:r>
        <w:rPr/>
        <w:t>能力，做强主业。 </w:t>
      </w:r>
      <w:r>
        <w:rPr>
          <w:rFonts w:ascii="Times New Roman" w:hAnsi="Times New Roman" w:cs="Times New Roman" w:eastAsia="Times New Roman" w:hint="default"/>
        </w:rPr>
        <w:t>2</w:t>
      </w:r>
      <w:r>
        <w:rPr/>
        <w:t>、加大对“互联网</w:t>
      </w:r>
      <w:r>
        <w:rPr>
          <w:rFonts w:ascii="Times New Roman" w:hAnsi="Times New Roman" w:cs="Times New Roman" w:eastAsia="Times New Roman" w:hint="default"/>
        </w:rPr>
        <w:t>+</w:t>
      </w:r>
      <w:r>
        <w:rPr>
          <w:rFonts w:ascii="Times New Roman" w:hAnsi="Times New Roman" w:cs="Times New Roman" w:eastAsia="Times New Roman" w:hint="default"/>
        </w:rPr>
        <w:t>”</w:t>
      </w:r>
      <w:r>
        <w:rPr/>
        <w:t>的研究及投入，继续培育司机驿站项目，并积极落实互联网金融相关业务的开展。</w:t>
      </w:r>
    </w:p>
    <w:p>
      <w:pPr>
        <w:pStyle w:val="BodyText"/>
        <w:spacing w:line="266" w:lineRule="auto"/>
        <w:ind w:right="1033"/>
        <w:jc w:val="left"/>
      </w:pPr>
      <w:r>
        <w:rPr>
          <w:rFonts w:ascii="Times New Roman" w:hAnsi="Times New Roman" w:cs="Times New Roman" w:eastAsia="Times New Roman" w:hint="default"/>
        </w:rPr>
        <w:t>3</w:t>
      </w:r>
      <w:r>
        <w:rPr/>
        <w:t>、为深入拓展地方市场，公司</w:t>
      </w:r>
      <w:r>
        <w:rPr>
          <w:rFonts w:ascii="Times New Roman" w:hAnsi="Times New Roman" w:cs="Times New Roman" w:eastAsia="Times New Roman" w:hint="default"/>
        </w:rPr>
        <w:t>2015</w:t>
      </w:r>
      <w:r>
        <w:rPr/>
        <w:t>年初通过组织机构调整化小事业部核算单元，并以属地化原则突出事</w:t>
      </w:r>
      <w:r>
        <w:rPr>
          <w:spacing w:val="-32"/>
        </w:rPr>
        <w:t> </w:t>
      </w:r>
      <w:r>
        <w:rPr>
          <w:spacing w:val="-32"/>
        </w:rPr>
      </w:r>
      <w:r>
        <w:rPr/>
        <w:t>业部区域效应，依托公司资源统筹及配置效应，以及全盘联动的管理经验和优势，为深耕地方市场夯实基</w:t>
      </w:r>
      <w:r>
        <w:rPr/>
        <w:t> 础。 </w:t>
      </w:r>
      <w:r>
        <w:rPr>
          <w:rFonts w:ascii="Times New Roman" w:hAnsi="Times New Roman" w:cs="Times New Roman" w:eastAsia="Times New Roman" w:hint="default"/>
        </w:rPr>
        <w:t>4</w:t>
      </w:r>
      <w:r>
        <w:rPr/>
        <w:t>、大项目交付能力是公司竞争实力的集中体现，也是公司一直以来关注的重点，为立足全局，促进大项</w:t>
      </w:r>
      <w:r>
        <w:rPr>
          <w:spacing w:val="-34"/>
        </w:rPr>
        <w:t> </w:t>
      </w:r>
      <w:r>
        <w:rPr>
          <w:spacing w:val="-34"/>
        </w:rPr>
      </w:r>
      <w:r>
        <w:rPr/>
        <w:t>目交付效率的提高，公司于</w:t>
      </w:r>
      <w:r>
        <w:rPr>
          <w:rFonts w:ascii="Times New Roman" w:hAnsi="Times New Roman" w:cs="Times New Roman" w:eastAsia="Times New Roman" w:hint="default"/>
        </w:rPr>
        <w:t>2015</w:t>
      </w:r>
      <w:r>
        <w:rPr/>
        <w:t>年初设立了重大项目工程部，构建业务能力、技术能力和大项目管理经验 突出的团队，专项推进重大项目的交付工作，树立标杆项目，提升客户满意度。 </w:t>
      </w:r>
      <w:r>
        <w:rPr>
          <w:rFonts w:ascii="Times New Roman" w:hAnsi="Times New Roman" w:cs="Times New Roman" w:eastAsia="Times New Roman" w:hint="default"/>
        </w:rPr>
        <w:t>5</w:t>
      </w:r>
      <w:r>
        <w:rPr/>
        <w:t>、咨询能力是公司引领市场需求、树立行业地位的前提，开展咨询业务也是公司第二个十年规划中一项</w:t>
      </w:r>
      <w:r>
        <w:rPr>
          <w:spacing w:val="-34"/>
        </w:rPr>
        <w:t> </w:t>
      </w:r>
      <w:r>
        <w:rPr>
          <w:spacing w:val="-34"/>
        </w:rPr>
      </w:r>
      <w:r>
        <w:rPr/>
        <w:t>重要的目标。随着近年来公司业务的日臻完善，产品线的逐渐丰富，以及重点项目经验的不断积累，公司</w:t>
      </w:r>
      <w:r>
        <w:rPr/>
        <w:t> 已拥有一批在经验和专业上都日趋成熟的业务骨干，加之资深专家的融入，公司将依托咨询业务的开展，</w:t>
      </w:r>
      <w:r>
        <w:rPr>
          <w:spacing w:val="-35"/>
        </w:rPr>
        <w:t> </w:t>
      </w:r>
      <w:r>
        <w:rPr>
          <w:spacing w:val="-35"/>
        </w:rPr>
      </w:r>
      <w:r>
        <w:rPr/>
        <w:t>进一步将深耕行业领域，紧抓市场机遇。 </w:t>
      </w:r>
      <w:r>
        <w:rPr>
          <w:rFonts w:ascii="Times New Roman" w:hAnsi="Times New Roman" w:cs="Times New Roman" w:eastAsia="Times New Roman" w:hint="default"/>
        </w:rPr>
        <w:t>6</w:t>
      </w:r>
      <w:r>
        <w:rPr/>
        <w:t>、身处企业转型关键时期，外延发展仍将是公司未来一段时期内经营发展的主题，为加速企业转型升级</w:t>
      </w:r>
      <w:r>
        <w:rPr>
          <w:spacing w:val="-27"/>
        </w:rPr>
        <w:t> </w:t>
      </w:r>
      <w:r>
        <w:rPr>
          <w:spacing w:val="-27"/>
        </w:rPr>
      </w:r>
      <w:r>
        <w:rPr/>
        <w:t>带来新的机遇和动力。然而，外延发展也对公司的管控能力和整合能力提出了挑战，公司在执行投资合作</w:t>
      </w:r>
      <w:r>
        <w:rPr/>
        <w:t> 时，将充分考虑双方在产业生态、行业领域、核心团队以及文化认知方面的融合度与可行性，为强化整合 效应打下坚实的基础。</w:t>
      </w:r>
    </w:p>
    <w:p>
      <w:pPr>
        <w:spacing w:line="240" w:lineRule="auto" w:before="13"/>
        <w:rPr>
          <w:rFonts w:ascii="宋体" w:hAnsi="宋体" w:cs="宋体" w:eastAsia="宋体" w:hint="default"/>
          <w:sz w:val="20"/>
          <w:szCs w:val="20"/>
        </w:rPr>
      </w:pPr>
    </w:p>
    <w:p>
      <w:pPr>
        <w:pStyle w:val="BodyText"/>
        <w:spacing w:line="240" w:lineRule="auto"/>
        <w:ind w:right="0"/>
        <w:jc w:val="left"/>
      </w:pPr>
      <w:r>
        <w:rPr/>
        <w:t>（四）资金需求</w:t>
      </w:r>
    </w:p>
    <w:p>
      <w:pPr>
        <w:spacing w:line="240" w:lineRule="auto" w:before="10"/>
        <w:rPr>
          <w:rFonts w:ascii="宋体" w:hAnsi="宋体" w:cs="宋体" w:eastAsia="宋体" w:hint="default"/>
          <w:sz w:val="22"/>
          <w:szCs w:val="22"/>
        </w:rPr>
      </w:pPr>
    </w:p>
    <w:p>
      <w:pPr>
        <w:pStyle w:val="BodyText"/>
        <w:spacing w:line="273" w:lineRule="auto"/>
        <w:ind w:right="1025"/>
        <w:jc w:val="both"/>
      </w:pPr>
      <w:r>
        <w:rPr/>
        <w:t>公司素来重视现金净流量情况，良好的现金流情况基本能够满足公司日常生产经营需求，然而随着对外投 资合作事项的增多，公司对大额资金的需求有所提升，因此公司将在积极发展主营业务、合理分配资金用 途的同时，选择性采取债务等融资方式来改善公司的资产负债结构，提高资产盈利能力，规避资金风险。</w:t>
      </w:r>
    </w:p>
    <w:p>
      <w:pPr>
        <w:spacing w:line="240" w:lineRule="auto" w:before="11"/>
        <w:rPr>
          <w:rFonts w:ascii="宋体" w:hAnsi="宋体" w:cs="宋体" w:eastAsia="宋体" w:hint="default"/>
          <w:sz w:val="21"/>
          <w:szCs w:val="21"/>
        </w:rPr>
      </w:pPr>
    </w:p>
    <w:p>
      <w:pPr>
        <w:pStyle w:val="Heading2"/>
        <w:spacing w:line="240" w:lineRule="auto"/>
        <w:ind w:left="154" w:right="0"/>
        <w:jc w:val="left"/>
        <w:rPr>
          <w:b w:val="0"/>
          <w:bCs w:val="0"/>
        </w:rPr>
      </w:pPr>
      <w:bookmarkStart w:name="八、董事会、监事会对会计师事务所本报告期“非标准审计报告”的说明" w:id="45"/>
      <w:bookmarkEnd w:id="45"/>
      <w:r>
        <w:rPr>
          <w:b w:val="0"/>
          <w:bCs w:val="0"/>
        </w:rPr>
      </w:r>
      <w:r>
        <w:rPr/>
        <w:t>八、董事会、监事会对会计师事务所本报告期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与上年度财务报告相比，会计政策、会计估计和核算方法发生变化的情况说明" w:id="46"/>
      <w:bookmarkEnd w:id="46"/>
      <w:r>
        <w:rPr>
          <w:b w:val="0"/>
          <w:bCs w:val="0"/>
        </w:rPr>
      </w:r>
      <w:r>
        <w:rPr/>
        <w:t>九、与上年度财务报告相比，会计政策、会计估计和核算方法发生变化的情况说明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与上年度财务报告相比，本报告期会计政策变更如下：</w:t>
      </w:r>
    </w:p>
    <w:p>
      <w:pPr>
        <w:spacing w:before="2"/>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）执行财政部于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年修订及新颁布的准则</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职工薪酬》（修订）</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1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）根据修订后的《企业会计准则第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财务报表列报》及其应用指南的规定，对报表列报科目作以下重分类：原列 报于合并资产负债表及资产负债表的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其他非流动负债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科目的递延收益项目，改为列报于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科目。</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十、报告期内发生重大会计差错更正需追溯重述的情况说明" w:id="47"/>
      <w:bookmarkEnd w:id="47"/>
      <w:r>
        <w:rPr>
          <w:b w:val="0"/>
          <w:bCs w:val="0"/>
        </w:rPr>
      </w:r>
      <w:r>
        <w:rPr/>
        <w:t>十、报告期内发生重大会计差错更正需追溯重述的情况说明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十一、与上年度财务报告相比，合并报表范围发生变化的情况说明" w:id="48"/>
      <w:bookmarkEnd w:id="48"/>
      <w:r>
        <w:rPr>
          <w:b w:val="0"/>
          <w:bCs w:val="0"/>
        </w:rPr>
      </w:r>
      <w:r>
        <w:rPr/>
        <w:t>十一、与上年度财务报告相比，合并报表范围发生变化的情况说明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7"/>
        <w:ind w:right="112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月，公司与北京智通胜创科技有限公司签署《投资合作协议书》，共同出资设立北京久其智通数</w:t>
      </w:r>
      <w:r>
        <w:rPr>
          <w:spacing w:val="-35"/>
        </w:rPr>
        <w:t> </w:t>
      </w:r>
      <w:r>
        <w:rPr>
          <w:spacing w:val="-35"/>
        </w:rPr>
      </w:r>
      <w:r>
        <w:rPr/>
        <w:t>据科技有限公司，其中，公司以货币出资</w:t>
      </w:r>
      <w:r>
        <w:rPr>
          <w:rFonts w:ascii="Times New Roman" w:hAnsi="Times New Roman" w:cs="Times New Roman" w:eastAsia="Times New Roman" w:hint="default"/>
        </w:rPr>
        <w:t>1000</w:t>
      </w:r>
      <w:r>
        <w:rPr/>
        <w:t>万元，占</w:t>
      </w:r>
      <w:r>
        <w:rPr>
          <w:rFonts w:ascii="Times New Roman" w:hAnsi="Times New Roman" w:cs="Times New Roman" w:eastAsia="Times New Roman" w:hint="default"/>
        </w:rPr>
        <w:t>51%</w:t>
      </w:r>
      <w:r>
        <w:rPr/>
        <w:t>股权；北京智通胜创科技有限公司以无形资产</w:t>
      </w:r>
      <w:r>
        <w:rPr>
          <w:spacing w:val="-99"/>
        </w:rPr>
        <w:t> </w:t>
      </w:r>
      <w:r>
        <w:rPr>
          <w:spacing w:val="-99"/>
        </w:rPr>
      </w:r>
      <w:r>
        <w:rPr/>
        <w:t>出资</w:t>
      </w:r>
      <w:r>
        <w:rPr>
          <w:rFonts w:ascii="Times New Roman" w:hAnsi="Times New Roman" w:cs="Times New Roman" w:eastAsia="Times New Roman" w:hint="default"/>
        </w:rPr>
        <w:t>490</w:t>
      </w:r>
      <w:r>
        <w:rPr/>
        <w:t>万元，占</w:t>
      </w:r>
      <w:r>
        <w:rPr>
          <w:rFonts w:ascii="Times New Roman" w:hAnsi="Times New Roman" w:cs="Times New Roman" w:eastAsia="Times New Roman" w:hint="default"/>
        </w:rPr>
        <w:t>49%</w:t>
      </w:r>
      <w:r>
        <w:rPr/>
        <w:t>股权，该无形资产已经北京海峡资产评估有限公司出具的海峡评字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018</w:t>
      </w:r>
      <w:r>
        <w:rPr/>
        <w:t>号资</w:t>
      </w:r>
      <w:r>
        <w:rPr>
          <w:spacing w:val="-25"/>
        </w:rPr>
        <w:t> </w:t>
      </w:r>
      <w:r>
        <w:rPr/>
        <w:t>产评估报告予以评估。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left"/>
        <w:rPr>
          <w:b w:val="0"/>
          <w:bCs w:val="0"/>
        </w:rPr>
      </w:pPr>
      <w:bookmarkStart w:name="十二、公司利润分配及分红派息情况" w:id="49"/>
      <w:bookmarkEnd w:id="49"/>
      <w:r>
        <w:rPr>
          <w:b w:val="0"/>
          <w:bCs w:val="0"/>
        </w:rPr>
      </w:r>
      <w:r>
        <w:rPr/>
        <w:t>十二、公司利润分配及分红派息情况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line="338" w:lineRule="auto"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报告期内，根据《上市公司证券发行管理办法》、《关于修改上市公司现金分红若干规定的决定》（证监会令第</w:t>
      </w:r>
      <w:r>
        <w:rPr>
          <w:rFonts w:ascii="Times New Roman" w:hAnsi="Times New Roman" w:cs="Times New Roman" w:eastAsia="Times New Roman" w:hint="default"/>
          <w:spacing w:val="-2"/>
          <w:sz w:val="18"/>
          <w:szCs w:val="18"/>
        </w:rPr>
        <w:t>57</w:t>
      </w:r>
      <w:r>
        <w:rPr>
          <w:rFonts w:ascii="宋体" w:hAnsi="宋体" w:cs="宋体" w:eastAsia="宋体" w:hint="default"/>
          <w:spacing w:val="-2"/>
          <w:sz w:val="18"/>
          <w:szCs w:val="18"/>
        </w:rPr>
        <w:t>号）以及</w:t>
      </w:r>
    </w:p>
    <w:p>
      <w:pPr>
        <w:spacing w:line="230"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《公司章程》的规定，公司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年度股东大会审议通过了《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年度利润分配方案》，即以截至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日公司总股本</w:t>
      </w:r>
    </w:p>
    <w:p>
      <w:pPr>
        <w:spacing w:line="300" w:lineRule="auto" w:before="63"/>
        <w:ind w:left="153" w:right="1033"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175,795,305</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股派发现金股利</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元（含税），共计派发现金股利</w:t>
      </w:r>
      <w:r>
        <w:rPr>
          <w:rFonts w:ascii="Times New Roman" w:hAnsi="Times New Roman" w:cs="Times New Roman" w:eastAsia="Times New Roman" w:hint="default"/>
          <w:spacing w:val="-2"/>
          <w:sz w:val="18"/>
          <w:szCs w:val="18"/>
        </w:rPr>
        <w:t>31,643,154.90</w:t>
      </w:r>
      <w:r>
        <w:rPr>
          <w:rFonts w:ascii="宋体" w:hAnsi="宋体" w:cs="宋体" w:eastAsia="宋体" w:hint="default"/>
          <w:spacing w:val="-2"/>
          <w:sz w:val="18"/>
          <w:szCs w:val="18"/>
        </w:rPr>
        <w:t>元。公司独立董事对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年度利润分配方案发表了独立意见，认为公司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年度利润分配方案符合有关法律、行政法规和部门规章的要求，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符合公司客观实际并不影响公司正常生产经营。该方案已于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日实施完毕。</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spacing w:line="300" w:lineRule="auto" w:before="10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年度利润分配方案：以截至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日公司总股本</w:t>
      </w:r>
      <w:r>
        <w:rPr>
          <w:rFonts w:ascii="Times New Roman" w:hAnsi="Times New Roman" w:cs="Times New Roman" w:eastAsia="Times New Roman" w:hint="default"/>
          <w:spacing w:val="-2"/>
          <w:sz w:val="18"/>
          <w:szCs w:val="18"/>
        </w:rPr>
        <w:t>175,795,305</w:t>
      </w:r>
      <w:r>
        <w:rPr>
          <w:rFonts w:ascii="宋体" w:hAnsi="宋体" w:cs="宋体" w:eastAsia="宋体" w:hint="default"/>
          <w:spacing w:val="-2"/>
          <w:sz w:val="18"/>
          <w:szCs w:val="18"/>
        </w:rPr>
        <w:t>股为基数，拟向全体股东每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元人民币现</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金（含税），共计派发现金股利</w:t>
      </w:r>
      <w:r>
        <w:rPr>
          <w:rFonts w:ascii="Times New Roman" w:hAnsi="Times New Roman" w:cs="Times New Roman" w:eastAsia="Times New Roman" w:hint="default"/>
          <w:sz w:val="18"/>
          <w:szCs w:val="18"/>
        </w:rPr>
        <w:t>17,579,530.50</w:t>
      </w:r>
      <w:r>
        <w:rPr>
          <w:rFonts w:ascii="宋体" w:hAnsi="宋体" w:cs="宋体" w:eastAsia="宋体" w:hint="default"/>
          <w:sz w:val="18"/>
          <w:szCs w:val="18"/>
        </w:rPr>
        <w:t>元。</w:t>
      </w:r>
    </w:p>
    <w:p>
      <w:pPr>
        <w:spacing w:line="300" w:lineRule="auto" w:before="11"/>
        <w:ind w:left="153"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年度利润分配预案：以截至</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日公司总股本</w:t>
      </w:r>
      <w:r>
        <w:rPr>
          <w:rFonts w:ascii="Times New Roman" w:hAnsi="Times New Roman" w:cs="Times New Roman" w:eastAsia="Times New Roman" w:hint="default"/>
          <w:spacing w:val="-1"/>
          <w:sz w:val="18"/>
          <w:szCs w:val="18"/>
        </w:rPr>
        <w:t>175,795,305</w:t>
      </w:r>
      <w:r>
        <w:rPr>
          <w:rFonts w:ascii="宋体" w:hAnsi="宋体" w:cs="宋体" w:eastAsia="宋体" w:hint="default"/>
          <w:spacing w:val="-1"/>
          <w:sz w:val="18"/>
          <w:szCs w:val="18"/>
        </w:rPr>
        <w:t>股为基数，拟向全体股东每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元人民币</w:t>
      </w:r>
      <w:r>
        <w:rPr>
          <w:rFonts w:ascii="宋体" w:hAnsi="宋体" w:cs="宋体" w:eastAsia="宋体" w:hint="default"/>
          <w:spacing w:val="-64"/>
          <w:sz w:val="18"/>
          <w:szCs w:val="18"/>
        </w:rPr>
        <w:t> </w:t>
      </w:r>
      <w:r>
        <w:rPr>
          <w:rFonts w:ascii="宋体" w:hAnsi="宋体" w:cs="宋体" w:eastAsia="宋体" w:hint="default"/>
          <w:sz w:val="18"/>
          <w:szCs w:val="18"/>
        </w:rPr>
        <w:t>现金（含税），共计派发现金股利</w:t>
      </w:r>
      <w:r>
        <w:rPr>
          <w:rFonts w:ascii="Times New Roman" w:hAnsi="Times New Roman" w:cs="Times New Roman" w:eastAsia="Times New Roman" w:hint="default"/>
          <w:sz w:val="18"/>
          <w:szCs w:val="18"/>
        </w:rPr>
        <w:t>31,643,154.90</w:t>
      </w:r>
      <w:r>
        <w:rPr>
          <w:rFonts w:ascii="宋体" w:hAnsi="宋体" w:cs="宋体" w:eastAsia="宋体" w:hint="default"/>
          <w:sz w:val="18"/>
          <w:szCs w:val="18"/>
        </w:rPr>
        <w:t>元。</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年度利润分配预案：以截止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198,198,737</w:t>
      </w:r>
      <w:r>
        <w:rPr>
          <w:rFonts w:ascii="宋体" w:hAnsi="宋体" w:cs="宋体" w:eastAsia="宋体" w:hint="default"/>
          <w:sz w:val="18"/>
          <w:szCs w:val="18"/>
        </w:rPr>
        <w:t>股为基数，拟向全体股东每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1</w:t>
      </w:r>
      <w:r>
        <w:rPr>
          <w:rFonts w:ascii="宋体" w:hAnsi="宋体" w:cs="宋体" w:eastAsia="宋体" w:hint="default"/>
          <w:sz w:val="18"/>
          <w:szCs w:val="18"/>
        </w:rPr>
        <w:t>元人民币现</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0" w:firstLine="0"/>
        <w:jc w:val="left"/>
        <w:rPr>
          <w:rFonts w:ascii="宋体" w:hAnsi="宋体" w:cs="宋体" w:eastAsia="宋体" w:hint="default"/>
          <w:sz w:val="18"/>
          <w:szCs w:val="18"/>
        </w:rPr>
      </w:pPr>
      <w:r>
        <w:rPr>
          <w:rFonts w:ascii="宋体" w:hAnsi="宋体" w:cs="宋体" w:eastAsia="宋体" w:hint="default"/>
          <w:spacing w:val="-1"/>
          <w:sz w:val="18"/>
          <w:szCs w:val="18"/>
        </w:rPr>
        <w:t>金（含税），预计派发现金股利</w:t>
      </w:r>
      <w:r>
        <w:rPr>
          <w:rFonts w:ascii="Times New Roman" w:hAnsi="Times New Roman" w:cs="Times New Roman" w:eastAsia="Times New Roman" w:hint="default"/>
          <w:spacing w:val="-1"/>
          <w:sz w:val="18"/>
          <w:szCs w:val="18"/>
        </w:rPr>
        <w:t>19,819,873.70</w:t>
      </w:r>
      <w:r>
        <w:rPr>
          <w:rFonts w:ascii="宋体" w:hAnsi="宋体" w:cs="宋体" w:eastAsia="宋体" w:hint="default"/>
          <w:spacing w:val="-1"/>
          <w:sz w:val="18"/>
          <w:szCs w:val="18"/>
        </w:rPr>
        <w:t>元。若本次利润分配预案自公布之日至实施期间，公司总股本发生变化，则以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实施本次利润分配预案之股权登记日的公司总股本为基数。</w:t>
      </w: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19,819,873.70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72,679,211.46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31,643,154.90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59,433,902.96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19,533,232.88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本报告期利润分配及资本公积金转增股本预案" w:id="50"/>
      <w:bookmarkEnd w:id="50"/>
      <w:r>
        <w:rPr>
          <w:b w:val="0"/>
          <w:bCs w:val="0"/>
        </w:rPr>
      </w:r>
      <w:r>
        <w:rPr/>
        <w:t>十三、本报告期利润分配及资本公积金转增股本预案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05"/>
        <w:gridCol w:w="5864"/>
      </w:tblGrid>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198,198,737</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19,819,873.70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215,745,488.77</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经立信会计师事务所（特殊普通合伙）审计确认，截至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日，公司实现净利润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61,218,547.23</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元。公司以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61,218,547.23 </w:t>
            </w:r>
            <w:r>
              <w:rPr>
                <w:rFonts w:ascii="宋体" w:hAnsi="宋体" w:cs="宋体" w:eastAsia="宋体" w:hint="default"/>
                <w:spacing w:val="-4"/>
                <w:sz w:val="18"/>
                <w:szCs w:val="18"/>
              </w:rPr>
              <w:t>元为基数，提取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6,121,854.72 </w:t>
            </w:r>
            <w:r>
              <w:rPr>
                <w:rFonts w:ascii="宋体" w:hAnsi="宋体" w:cs="宋体" w:eastAsia="宋体" w:hint="default"/>
                <w:spacing w:val="-8"/>
                <w:sz w:val="18"/>
                <w:szCs w:val="18"/>
              </w:rPr>
              <w:t>元，加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192,291,951.16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元，减去已分配的现金股利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31,643,154.90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元，本次实际可供分配的利润为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215,745,488.77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元；公司以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198,198,7</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 </w:t>
            </w:r>
            <w:r>
              <w:rPr>
                <w:rFonts w:ascii="宋体" w:hAnsi="宋体" w:cs="宋体" w:eastAsia="宋体" w:hint="default"/>
                <w:sz w:val="18"/>
                <w:szCs w:val="18"/>
              </w:rPr>
              <w:t>股为基数</w:t>
            </w:r>
            <w:r>
              <w:rPr>
                <w:rFonts w:ascii="宋体" w:hAnsi="宋体" w:cs="宋体" w:eastAsia="宋体" w:hint="default"/>
                <w:spacing w:val="-18"/>
                <w:sz w:val="18"/>
                <w:szCs w:val="18"/>
              </w:rPr>
              <w:t>，</w:t>
            </w:r>
            <w:r>
              <w:rPr>
                <w:rFonts w:ascii="宋体" w:hAnsi="宋体" w:cs="宋体" w:eastAsia="宋体" w:hint="default"/>
                <w:sz w:val="18"/>
                <w:szCs w:val="18"/>
              </w:rPr>
              <w:t>拟向全体股东每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共计派发现金股利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19,819,873.70 </w:t>
            </w:r>
            <w:r>
              <w:rPr>
                <w:rFonts w:ascii="宋体" w:hAnsi="宋体" w:cs="宋体" w:eastAsia="宋体" w:hint="default"/>
                <w:sz w:val="18"/>
                <w:szCs w:val="18"/>
              </w:rPr>
              <w:t>元</w:t>
            </w:r>
            <w:r>
              <w:rPr>
                <w:rFonts w:ascii="宋体" w:hAnsi="宋体" w:cs="宋体" w:eastAsia="宋体" w:hint="default"/>
                <w:spacing w:val="-18"/>
                <w:sz w:val="18"/>
                <w:szCs w:val="18"/>
              </w:rPr>
              <w:t>，</w:t>
            </w:r>
            <w:r>
              <w:rPr>
                <w:rFonts w:ascii="宋体" w:hAnsi="宋体" w:cs="宋体" w:eastAsia="宋体" w:hint="default"/>
                <w:sz w:val="18"/>
                <w:szCs w:val="18"/>
              </w:rPr>
              <w:t>派</w:t>
            </w:r>
          </w:p>
          <w:p>
            <w:pPr>
              <w:pStyle w:val="TableParagraph"/>
              <w:spacing w:line="302"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发现金股利后，公司未分配利润余额为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195,925,615.07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元，此外公司不送红股，不以资本公积金转增股本。若本次利润分 配预案自公布之日至实施期间，公司总股本发生变化，则以实施本次利润分配预案之股权登记日的公司总股本为基数。</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四、报告期内接待调研、沟通、采访等活动登记表" w:id="51"/>
      <w:bookmarkEnd w:id="51"/>
      <w:r>
        <w:rPr>
          <w:b w:val="0"/>
          <w:bCs w:val="0"/>
        </w:rPr>
      </w:r>
      <w:r>
        <w:rPr/>
        <w:t>十四、报告期内接待调研、沟通、采访等活动登记表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1100"/>
        <w:gridCol w:w="850"/>
        <w:gridCol w:w="852"/>
        <w:gridCol w:w="4143"/>
        <w:gridCol w:w="1619"/>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1"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4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9" w:right="77" w:hanging="270"/>
              <w:jc w:val="left"/>
              <w:rPr>
                <w:rFonts w:ascii="宋体" w:hAnsi="宋体" w:cs="宋体" w:eastAsia="宋体" w:hint="default"/>
                <w:sz w:val="18"/>
                <w:szCs w:val="18"/>
              </w:rPr>
            </w:pPr>
            <w:r>
              <w:rPr>
                <w:rFonts w:ascii="宋体" w:hAnsi="宋体" w:cs="宋体" w:eastAsia="宋体" w:hint="default"/>
                <w:sz w:val="18"/>
                <w:szCs w:val="18"/>
              </w:rPr>
              <w:t>谈论的主要内容及 提供的资料</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67"/>
              <w:jc w:val="right"/>
              <w:rPr>
                <w:rFonts w:ascii="宋体" w:hAnsi="宋体" w:cs="宋体" w:eastAsia="宋体" w:hint="default"/>
                <w:sz w:val="18"/>
                <w:szCs w:val="18"/>
              </w:rPr>
            </w:pPr>
            <w:r>
              <w:rPr>
                <w:rFonts w:ascii="宋体" w:hAnsi="宋体" w:cs="宋体" w:eastAsia="宋体" w:hint="default"/>
                <w:sz w:val="18"/>
                <w:szCs w:val="18"/>
              </w:rPr>
              <w:t>公司亦庄办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光大证券股份有限公司、中邮创业基金管理有限公</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3.899994pt;margin-top:305.239990pt;width:81.1pt;height:117.05pt;mso-position-horizontal-relative:page;mso-position-vertical-relative:page;z-index:-778072" coordorigin="9078,6105" coordsize="1622,2341">
            <v:shape style="position:absolute;left:9078;top:6105;width:1622;height:2341" coordorigin="9078,6105" coordsize="1622,2341" path="m9078,8445l10699,8445,10699,6105,9078,6105,9078,844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1100"/>
        <w:gridCol w:w="850"/>
        <w:gridCol w:w="852"/>
        <w:gridCol w:w="4143"/>
        <w:gridCol w:w="1631"/>
      </w:tblGrid>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公区高管会 议室</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司、北京时间投资管理有限公司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业务及移动互联新 </w:t>
            </w:r>
            <w:r>
              <w:rPr>
                <w:rFonts w:ascii="宋体" w:hAnsi="宋体" w:cs="宋体" w:eastAsia="宋体" w:hint="default"/>
                <w:spacing w:val="-6"/>
                <w:sz w:val="18"/>
                <w:szCs w:val="18"/>
              </w:rPr>
              <w:t>业务进展情况（未提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供资料）</w:t>
            </w:r>
          </w:p>
        </w:tc>
      </w:tr>
      <w:tr>
        <w:trPr>
          <w:trHeight w:val="601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公司亦庄办 公区多功能 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信达证券股份有限公司、中信建投证券股份有限公 </w:t>
            </w:r>
            <w:r>
              <w:rPr>
                <w:rFonts w:ascii="宋体" w:hAnsi="宋体" w:cs="宋体" w:eastAsia="宋体" w:hint="default"/>
                <w:spacing w:val="-3"/>
                <w:sz w:val="18"/>
                <w:szCs w:val="18"/>
              </w:rPr>
              <w:t>司、海富通基金管理有限公司、泰康资产管理有限责</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任公司、北京鼎萨投资有限公司、北京腾业资本管理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有限公司、民生证券股份有限公司、万家基金管理有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限公司、招商证券股份有限公司、嘉实基金管理有限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公司、华商基金管理有限公司、平安资产管理有限责</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任公司、华夏基金管理有限公司、国海证券股份有限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公司、上投摩根基金管理有限公司、华宝兴业基金管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理有限公司、上海尚雅投资管理有限公司、华创证券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有限责任公司、长城人寿保险股份有限公司、远策投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资管理有限公司、泰达宏利基金管理有限公司、北京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万和赢佳投资管理有限公司、润晖投资、长江证券股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份有限公司、浙商证券资产管理有限公司、广发基金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管理有限公司、中欧基金管理有限公司、长盛基金管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理有限公司、国信证券股份有限公司、上海申银万国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证券研究所有限公司、中国民族证券有限责任公司、 天安财产保险股份有限公司、广发证券股份有限公 </w:t>
            </w:r>
            <w:r>
              <w:rPr>
                <w:rFonts w:ascii="宋体" w:hAnsi="宋体" w:cs="宋体" w:eastAsia="宋体" w:hint="default"/>
                <w:spacing w:val="-3"/>
                <w:sz w:val="18"/>
                <w:szCs w:val="18"/>
              </w:rPr>
              <w:t>司、国联安基金管理有限公司、民生加银基金管理有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限公司、华安基金管理有限公司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21"/>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业务及移动互联新 </w:t>
            </w:r>
            <w:r>
              <w:rPr>
                <w:rFonts w:ascii="宋体" w:hAnsi="宋体" w:cs="宋体" w:eastAsia="宋体" w:hint="default"/>
                <w:spacing w:val="-6"/>
                <w:sz w:val="18"/>
                <w:szCs w:val="18"/>
              </w:rPr>
              <w:t>业务进展情况（未提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供资料）</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20"/>
              <w:jc w:val="left"/>
              <w:rPr>
                <w:rFonts w:ascii="宋体" w:hAnsi="宋体" w:cs="宋体" w:eastAsia="宋体" w:hint="default"/>
                <w:sz w:val="18"/>
                <w:szCs w:val="18"/>
              </w:rPr>
            </w:pPr>
            <w:r>
              <w:rPr>
                <w:rFonts w:ascii="宋体" w:hAnsi="宋体" w:cs="宋体" w:eastAsia="宋体" w:hint="default"/>
                <w:sz w:val="18"/>
                <w:szCs w:val="18"/>
              </w:rPr>
              <w:t>公司亦庄办 公区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会议 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海通证券股份有限公司、东方基金管理有限责任公 </w:t>
            </w:r>
            <w:r>
              <w:rPr>
                <w:rFonts w:ascii="宋体" w:hAnsi="宋体" w:cs="宋体" w:eastAsia="宋体" w:hint="default"/>
                <w:spacing w:val="-7"/>
                <w:sz w:val="18"/>
                <w:szCs w:val="18"/>
              </w:rPr>
              <w:t>司、中信证券股份有限公司、南京证券股份有限公司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上海铭深资产管理有限公司、安邦资产管理有限责任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公司、合众资产管理股份有限公司、北京嘉承金信投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资有限公司、华宝兴业基金管理有限公司</w:t>
            </w:r>
          </w:p>
        </w:tc>
        <w:tc>
          <w:tcPr>
            <w:tcW w:w="163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5" w:lineRule="exact"/>
              <w:ind w:left="16" w:right="0"/>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p>
          <w:p>
            <w:pPr>
              <w:pStyle w:val="TableParagraph"/>
              <w:spacing w:line="15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业务及移动互联新</w:t>
            </w:r>
          </w:p>
          <w:p>
            <w:pPr>
              <w:pStyle w:val="TableParagraph"/>
              <w:spacing w:line="319" w:lineRule="auto" w:before="76"/>
              <w:ind w:left="16" w:right="22"/>
              <w:jc w:val="left"/>
              <w:rPr>
                <w:rFonts w:ascii="宋体" w:hAnsi="宋体" w:cs="宋体" w:eastAsia="宋体" w:hint="default"/>
                <w:sz w:val="18"/>
                <w:szCs w:val="18"/>
              </w:rPr>
            </w:pPr>
            <w:r>
              <w:rPr>
                <w:rFonts w:ascii="宋体" w:hAnsi="宋体" w:cs="宋体" w:eastAsia="宋体" w:hint="default"/>
                <w:spacing w:val="-6"/>
                <w:sz w:val="18"/>
                <w:szCs w:val="18"/>
              </w:rPr>
              <w:t>业务进展情况（未提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供资料）</w:t>
            </w: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663"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78.8pt;height:33.2pt;mso-position-horizontal-relative:char;mso-position-vertical-relative:line" coordorigin="0,0" coordsize="1576,664">
                  <v:group style="position:absolute;left:0;top:0;width:1576;height:352" coordorigin="0,0" coordsize="1576,352">
                    <v:shape style="position:absolute;left:0;top:0;width:1576;height:352" coordorigin="0,0" coordsize="1576,352" path="m0,352l1576,352,1576,0,0,0,0,352xe" filled="true" fillcolor="#ffffff" stroked="false">
                      <v:path arrowok="t"/>
                      <v:fill type="solid"/>
                    </v:shape>
                  </v:group>
                  <v:group style="position:absolute;left:0;top:352;width:1576;height:312" coordorigin="0,352" coordsize="1576,312">
                    <v:shape style="position:absolute;left:0;top:352;width:1576;height:312" coordorigin="0,352" coordsize="1576,312" path="m0,664l1576,664,1576,352,0,352,0,664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公司亦庄办 公区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会议 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pacing w:val="-3"/>
                <w:sz w:val="18"/>
                <w:szCs w:val="18"/>
              </w:rPr>
              <w:t>东方证券股份有限公司、宏源证券股份有限公司、天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安财产保险股份有限公司、英大泰和财产保险股份有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业务及移动互联新 </w:t>
            </w:r>
            <w:r>
              <w:rPr>
                <w:rFonts w:ascii="宋体" w:hAnsi="宋体" w:cs="宋体" w:eastAsia="宋体" w:hint="default"/>
                <w:spacing w:val="-6"/>
                <w:sz w:val="18"/>
                <w:szCs w:val="18"/>
              </w:rPr>
              <w:t>业务进展情况（未提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供资料）</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公司亦庄办 公区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会议 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7"/>
              <w:jc w:val="both"/>
              <w:rPr>
                <w:rFonts w:ascii="宋体" w:hAnsi="宋体" w:cs="宋体" w:eastAsia="宋体" w:hint="default"/>
                <w:sz w:val="18"/>
                <w:szCs w:val="18"/>
              </w:rPr>
            </w:pPr>
            <w:r>
              <w:rPr>
                <w:rFonts w:ascii="宋体" w:hAnsi="宋体" w:cs="宋体" w:eastAsia="宋体" w:hint="default"/>
                <w:spacing w:val="-3"/>
                <w:sz w:val="18"/>
                <w:szCs w:val="18"/>
              </w:rPr>
              <w:t>华泰证券股份有限公司、中原证券股份有限公司、华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融证券股份有限公司、莫尼塔（上海）投资发展有限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公司、中邮创业基金管理有限公司、宁锐达（北京） 投资管理有限公司</w:t>
            </w:r>
          </w:p>
        </w:tc>
        <w:tc>
          <w:tcPr>
            <w:tcW w:w="1631"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业务及移动互联新 </w:t>
            </w:r>
            <w:r>
              <w:rPr>
                <w:rFonts w:ascii="宋体" w:hAnsi="宋体" w:cs="宋体" w:eastAsia="宋体" w:hint="default"/>
                <w:spacing w:val="-6"/>
                <w:sz w:val="18"/>
                <w:szCs w:val="18"/>
              </w:rPr>
              <w:t>业务进展情况（未提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供资料）</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公司亦庄办 公区高管会 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3"/>
                <w:sz w:val="18"/>
                <w:szCs w:val="18"/>
              </w:rPr>
              <w:t>国海证券股份有限公司、华商基金管理有限公司、天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势投资基金管理（北京）有限公司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业务及移动互联新 </w:t>
            </w:r>
            <w:r>
              <w:rPr>
                <w:rFonts w:ascii="宋体" w:hAnsi="宋体" w:cs="宋体" w:eastAsia="宋体" w:hint="default"/>
                <w:spacing w:val="-6"/>
                <w:sz w:val="18"/>
                <w:szCs w:val="18"/>
              </w:rPr>
              <w:t>业务进展情况（未提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供资料）</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公司亦庄办 公区高管会 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3"/>
                <w:sz w:val="18"/>
                <w:szCs w:val="18"/>
              </w:rPr>
              <w:t>平安证券有限责任公司、中再资产管理股份有限公司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业务及移动互联新 </w:t>
            </w:r>
            <w:r>
              <w:rPr>
                <w:rFonts w:ascii="宋体" w:hAnsi="宋体" w:cs="宋体" w:eastAsia="宋体" w:hint="default"/>
                <w:spacing w:val="-6"/>
                <w:sz w:val="18"/>
                <w:szCs w:val="18"/>
              </w:rPr>
              <w:t>业务进展情况（未提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1100"/>
        <w:gridCol w:w="850"/>
        <w:gridCol w:w="852"/>
        <w:gridCol w:w="4143"/>
        <w:gridCol w:w="1631"/>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143"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供资料）</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公司亦庄办 公区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会议 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pacing w:val="-3"/>
                <w:sz w:val="18"/>
                <w:szCs w:val="18"/>
              </w:rPr>
              <w:t>华创证券有限责任公司、第一创业证券股份有限公司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业务及移动互联新 </w:t>
            </w:r>
            <w:r>
              <w:rPr>
                <w:rFonts w:ascii="宋体" w:hAnsi="宋体" w:cs="宋体" w:eastAsia="宋体" w:hint="default"/>
                <w:spacing w:val="-6"/>
                <w:sz w:val="18"/>
                <w:szCs w:val="18"/>
              </w:rPr>
              <w:t>业务进展情况（未提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供资料）</w:t>
            </w: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20"/>
              <w:jc w:val="left"/>
              <w:rPr>
                <w:rFonts w:ascii="宋体" w:hAnsi="宋体" w:cs="宋体" w:eastAsia="宋体" w:hint="default"/>
                <w:sz w:val="18"/>
                <w:szCs w:val="18"/>
              </w:rPr>
            </w:pPr>
            <w:r>
              <w:rPr>
                <w:rFonts w:ascii="宋体" w:hAnsi="宋体" w:cs="宋体" w:eastAsia="宋体" w:hint="default"/>
                <w:sz w:val="18"/>
                <w:szCs w:val="18"/>
              </w:rPr>
              <w:t>公司亦庄办 公区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504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会议 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海通证券股份有限公司、长城证券有限责任公司、兴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业证券股份有限公司、银河基金管理有限公司、新华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基金管理有限公司、万家基金管理有限公司、英大基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金管理有限公司、信达澳银基金管理有限公司、上海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鑫富越资产管理有限公司、拾贝投资管理（北京）有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6"/>
                <w:sz w:val="18"/>
                <w:szCs w:val="18"/>
              </w:rPr>
              <w:t>公司基本情况、主营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业务、大数据及移动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互联新业务进展情 况（未提供资料）</w:t>
            </w:r>
          </w:p>
        </w:tc>
      </w:tr>
      <w:tr>
        <w:trPr>
          <w:trHeight w:val="25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2" w:right="128"/>
              <w:jc w:val="both"/>
              <w:rPr>
                <w:rFonts w:ascii="宋体" w:hAnsi="宋体" w:cs="宋体" w:eastAsia="宋体" w:hint="default"/>
                <w:sz w:val="18"/>
                <w:szCs w:val="18"/>
              </w:rPr>
            </w:pPr>
            <w:r>
              <w:rPr>
                <w:rFonts w:ascii="宋体" w:hAnsi="宋体" w:cs="宋体" w:eastAsia="宋体" w:hint="default"/>
                <w:sz w:val="18"/>
                <w:szCs w:val="18"/>
              </w:rPr>
              <w:t>公司西直门 办公区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1101 </w:t>
            </w:r>
            <w:r>
              <w:rPr>
                <w:rFonts w:ascii="宋体" w:hAnsi="宋体" w:cs="宋体" w:eastAsia="宋体" w:hint="default"/>
                <w:sz w:val="18"/>
                <w:szCs w:val="18"/>
              </w:rPr>
              <w:t>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上投摩根基金管理有限公司、国海证券有限责任公 </w:t>
            </w:r>
            <w:r>
              <w:rPr>
                <w:rFonts w:ascii="宋体" w:hAnsi="宋体" w:cs="宋体" w:eastAsia="宋体" w:hint="default"/>
                <w:spacing w:val="-7"/>
                <w:sz w:val="18"/>
                <w:szCs w:val="18"/>
              </w:rPr>
              <w:t>司、宏源证券股份有限公司、海通证券股份有限公司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广发资产管理（广东）有限公司、君合泰达投资管理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有限公司、中信建投证券股份有限公司、北京源乐晟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资产管理有限公司、益民基金管理有限公司、工银瑞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信基金管理有限公司、民生证券股份有限公司、万家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基金管理有限公司、信达证券股份有限公司、宏源证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券北京资产管理分公司、长城证券有限责任公司</w:t>
            </w:r>
          </w:p>
        </w:tc>
        <w:tc>
          <w:tcPr>
            <w:tcW w:w="163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5"/>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6"/>
                <w:sz w:val="18"/>
                <w:szCs w:val="18"/>
              </w:rPr>
              <w:t>公司传统业务、大数</w:t>
            </w:r>
          </w:p>
          <w:p>
            <w:pPr>
              <w:pStyle w:val="TableParagraph"/>
              <w:spacing w:line="319" w:lineRule="auto" w:before="75"/>
              <w:ind w:left="16" w:right="20"/>
              <w:jc w:val="left"/>
              <w:rPr>
                <w:rFonts w:ascii="宋体" w:hAnsi="宋体" w:cs="宋体" w:eastAsia="宋体" w:hint="default"/>
                <w:sz w:val="18"/>
                <w:szCs w:val="18"/>
              </w:rPr>
            </w:pPr>
            <w:r>
              <w:rPr>
                <w:rFonts w:ascii="宋体" w:hAnsi="宋体" w:cs="宋体" w:eastAsia="宋体" w:hint="default"/>
                <w:spacing w:val="-6"/>
                <w:sz w:val="18"/>
                <w:szCs w:val="18"/>
              </w:rPr>
              <w:t>据、移动互联新业务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进展情况以及亿起 </w:t>
            </w:r>
            <w:r>
              <w:rPr>
                <w:rFonts w:ascii="宋体" w:hAnsi="宋体" w:cs="宋体" w:eastAsia="宋体" w:hint="default"/>
                <w:spacing w:val="-5"/>
                <w:sz w:val="18"/>
                <w:szCs w:val="18"/>
              </w:rPr>
              <w:t>联公司基本情况（未</w:t>
            </w:r>
            <w:r>
              <w:rPr>
                <w:rFonts w:ascii="宋体" w:hAnsi="宋体" w:cs="宋体" w:eastAsia="宋体" w:hint="default"/>
                <w:sz w:val="18"/>
                <w:szCs w:val="18"/>
              </w:rPr>
              <w:t> 提供资料）</w:t>
            </w:r>
          </w:p>
          <w:p>
            <w:pPr>
              <w:pStyle w:val="TableParagraph"/>
              <w:spacing w:line="819"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81.1pt;height:41pt;mso-position-horizontal-relative:char;mso-position-vertical-relative:line" coordorigin="0,0" coordsize="1622,820">
                  <v:group style="position:absolute;left:0;top:0;width:1622;height:468" coordorigin="0,0" coordsize="1622,468">
                    <v:shape style="position:absolute;left:0;top:0;width:1622;height:468" coordorigin="0,0" coordsize="1622,468" path="m0,468l1621,468,1621,0,0,0,0,468xe" filled="true" fillcolor="#ffffff" stroked="false">
                      <v:path arrowok="t"/>
                      <v:fill type="solid"/>
                    </v:shape>
                  </v:group>
                  <v:group style="position:absolute;left:23;top:468;width:1576;height:352" coordorigin="23,468" coordsize="1576,352">
                    <v:shape style="position:absolute;left:23;top:468;width:1576;height:352" coordorigin="23,468" coordsize="1576,352" path="m23,820l1598,820,1598,468,23,468,23,82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22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128"/>
              <w:jc w:val="both"/>
              <w:rPr>
                <w:rFonts w:ascii="宋体" w:hAnsi="宋体" w:cs="宋体" w:eastAsia="宋体" w:hint="default"/>
                <w:sz w:val="18"/>
                <w:szCs w:val="18"/>
              </w:rPr>
            </w:pPr>
            <w:r>
              <w:rPr>
                <w:rFonts w:ascii="宋体" w:hAnsi="宋体" w:cs="宋体" w:eastAsia="宋体" w:hint="default"/>
                <w:sz w:val="18"/>
                <w:szCs w:val="18"/>
              </w:rPr>
              <w:t>公司西直门 办公区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1101 </w:t>
            </w:r>
            <w:r>
              <w:rPr>
                <w:rFonts w:ascii="宋体" w:hAnsi="宋体" w:cs="宋体" w:eastAsia="宋体" w:hint="default"/>
                <w:sz w:val="18"/>
                <w:szCs w:val="18"/>
              </w:rPr>
              <w:t>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日信证券有限责任公司、招商基金、中信建投证券股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份有限公司、中信建投基金管理有限公司、国海证券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股份有限公司、太平洋证券股份有限公司、工银瑞信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基金管理有限公司、新华资产管理股份有限公司、北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京工道投资有限公司、光大证券股份有限公司、银华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基金管理有限公司、国都证券有限责任公司、招商证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券股份有限公司、诺安基金管理有限公司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0"/>
              <w:jc w:val="left"/>
              <w:rPr>
                <w:rFonts w:ascii="宋体" w:hAnsi="宋体" w:cs="宋体" w:eastAsia="宋体" w:hint="default"/>
                <w:sz w:val="18"/>
                <w:szCs w:val="18"/>
              </w:rPr>
            </w:pPr>
            <w:r>
              <w:rPr>
                <w:rFonts w:ascii="宋体" w:hAnsi="宋体" w:cs="宋体" w:eastAsia="宋体" w:hint="default"/>
                <w:spacing w:val="-6"/>
                <w:sz w:val="18"/>
                <w:szCs w:val="18"/>
              </w:rPr>
              <w:t>公司传统业务、大数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据、移动互联新业务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进展情况以及亿起 </w:t>
            </w:r>
            <w:r>
              <w:rPr>
                <w:rFonts w:ascii="宋体" w:hAnsi="宋体" w:cs="宋体" w:eastAsia="宋体" w:hint="default"/>
                <w:spacing w:val="-5"/>
                <w:sz w:val="18"/>
                <w:szCs w:val="18"/>
              </w:rPr>
              <w:t>联公司基本情况（未</w:t>
            </w:r>
            <w:r>
              <w:rPr>
                <w:rFonts w:ascii="宋体" w:hAnsi="宋体" w:cs="宋体" w:eastAsia="宋体" w:hint="default"/>
                <w:sz w:val="18"/>
                <w:szCs w:val="18"/>
              </w:rPr>
              <w:t> 提供资料）</w:t>
            </w:r>
          </w:p>
        </w:tc>
      </w:tr>
      <w:tr>
        <w:trPr>
          <w:trHeight w:val="22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121"/>
              <w:jc w:val="both"/>
              <w:rPr>
                <w:rFonts w:ascii="宋体" w:hAnsi="宋体" w:cs="宋体" w:eastAsia="宋体" w:hint="default"/>
                <w:sz w:val="18"/>
                <w:szCs w:val="18"/>
              </w:rPr>
            </w:pPr>
            <w:r>
              <w:rPr>
                <w:rFonts w:ascii="宋体" w:hAnsi="宋体" w:cs="宋体" w:eastAsia="宋体" w:hint="default"/>
                <w:sz w:val="18"/>
                <w:szCs w:val="18"/>
              </w:rPr>
              <w:t>公司西直门 办公区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1302 </w:t>
            </w:r>
            <w:r>
              <w:rPr>
                <w:rFonts w:ascii="宋体" w:hAnsi="宋体" w:cs="宋体" w:eastAsia="宋体" w:hint="default"/>
                <w:sz w:val="18"/>
                <w:szCs w:val="18"/>
              </w:rPr>
              <w:t>会议室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14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中邮创业基金管理有限公司、中金基金管理有限公 </w:t>
            </w:r>
            <w:r>
              <w:rPr>
                <w:rFonts w:ascii="宋体" w:hAnsi="宋体" w:cs="宋体" w:eastAsia="宋体" w:hint="default"/>
                <w:spacing w:val="-3"/>
                <w:sz w:val="18"/>
                <w:szCs w:val="18"/>
              </w:rPr>
              <w:t>司、英大保险资产管理有限公司、华泰柏瑞基金管理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有限公司、齐鲁证券、光大证券资产管理有限公司、 诺安基金管理有限公司、上投摩根基金管理有限公 </w:t>
            </w:r>
            <w:r>
              <w:rPr>
                <w:rFonts w:ascii="宋体" w:hAnsi="宋体" w:cs="宋体" w:eastAsia="宋体" w:hint="default"/>
                <w:spacing w:val="-3"/>
                <w:sz w:val="18"/>
                <w:szCs w:val="18"/>
              </w:rPr>
              <w:t>司、平安证券有限责任公司、泰康资产管理有限责任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公司、东方证券股份有限公司、银华基金管理有限公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司、中和合众投资有限公司</w:t>
            </w:r>
          </w:p>
        </w:tc>
        <w:tc>
          <w:tcPr>
            <w:tcW w:w="163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6" w:right="20"/>
              <w:jc w:val="left"/>
              <w:rPr>
                <w:rFonts w:ascii="宋体" w:hAnsi="宋体" w:cs="宋体" w:eastAsia="宋体" w:hint="default"/>
                <w:sz w:val="18"/>
                <w:szCs w:val="18"/>
              </w:rPr>
            </w:pPr>
            <w:r>
              <w:rPr>
                <w:rFonts w:ascii="宋体" w:hAnsi="宋体" w:cs="宋体" w:eastAsia="宋体" w:hint="default"/>
                <w:spacing w:val="-6"/>
                <w:sz w:val="18"/>
                <w:szCs w:val="18"/>
              </w:rPr>
              <w:t>公司传统业务、大数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据、移动互联新业务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进展情况以及亿起 </w:t>
            </w:r>
            <w:r>
              <w:rPr>
                <w:rFonts w:ascii="宋体" w:hAnsi="宋体" w:cs="宋体" w:eastAsia="宋体" w:hint="default"/>
                <w:spacing w:val="-5"/>
                <w:sz w:val="18"/>
                <w:szCs w:val="18"/>
              </w:rPr>
              <w:t>联公司基本情况（未</w:t>
            </w:r>
            <w:r>
              <w:rPr>
                <w:rFonts w:ascii="宋体" w:hAnsi="宋体" w:cs="宋体" w:eastAsia="宋体" w:hint="default"/>
                <w:sz w:val="18"/>
                <w:szCs w:val="18"/>
              </w:rPr>
              <w:t> 提供资料）</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74.179993pt;margin-top:737.519958pt;width:43pt;height:25.4pt;mso-position-horizontal-relative:page;mso-position-vertical-relative:page;z-index:-777976" coordorigin="5484,14750" coordsize="860,508">
            <v:group style="position:absolute;left:5484;top:15102;width:860;height:156" coordorigin="5484,15102" coordsize="860,156">
              <v:shape style="position:absolute;left:5484;top:15102;width:860;height:156" coordorigin="5484,15102" coordsize="860,156" path="m5484,15258l6343,15258,6343,15102,5484,15102,5484,15258xe" filled="true" fillcolor="#ffffff" stroked="false">
                <v:path arrowok="t"/>
                <v:fill type="solid"/>
              </v:shape>
            </v:group>
            <v:group style="position:absolute;left:5506;top:14750;width:814;height:352" coordorigin="5506,14750" coordsize="814,352">
              <v:shape style="position:absolute;left:5506;top:14750;width:814;height:352" coordorigin="5506,14750" coordsize="814,352" path="m5506,15102l6320,15102,6320,14750,5506,14750,5506,15102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4248"/>
        <w:jc w:val="center"/>
        <w:rPr>
          <w:b w:val="0"/>
          <w:bCs w:val="0"/>
        </w:rPr>
      </w:pPr>
      <w:bookmarkStart w:name="第五节 重要事项" w:id="52"/>
      <w:bookmarkEnd w:id="52"/>
      <w:r>
        <w:rPr>
          <w:b w:val="0"/>
          <w:bCs w:val="0"/>
        </w:rPr>
      </w:r>
      <w:bookmarkStart w:name="_bookmark3" w:id="53"/>
      <w:bookmarkEnd w:id="53"/>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4"/>
      <w:bookmarkEnd w:id="54"/>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55"/>
      <w:bookmarkEnd w:id="55"/>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56"/>
      <w:bookmarkEnd w:id="5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57"/>
      <w:bookmarkEnd w:id="57"/>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58"/>
      <w:bookmarkEnd w:id="58"/>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59"/>
      <w:bookmarkEnd w:id="59"/>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275.320007pt;margin-top:100.031731pt;width:93pt;height:62.4pt;mso-position-horizontal-relative:page;mso-position-vertical-relative:paragraph;z-index:-778000"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报告期内，</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1025"/>
        <w:gridCol w:w="715"/>
        <w:gridCol w:w="870"/>
        <w:gridCol w:w="870"/>
        <w:gridCol w:w="870"/>
      </w:tblGrid>
      <w:tr>
        <w:trPr>
          <w:trHeight w:val="164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 w:right="56"/>
              <w:jc w:val="center"/>
              <w:rPr>
                <w:rFonts w:ascii="宋体" w:hAnsi="宋体" w:cs="宋体" w:eastAsia="宋体" w:hint="default"/>
                <w:sz w:val="18"/>
                <w:szCs w:val="18"/>
              </w:rPr>
            </w:pPr>
            <w:r>
              <w:rPr>
                <w:rFonts w:ascii="宋体" w:hAnsi="宋体" w:cs="宋体" w:eastAsia="宋体" w:hint="default"/>
                <w:sz w:val="18"/>
                <w:szCs w:val="18"/>
              </w:rPr>
              <w:t>该资产为上 市公司贡献 的净利润占 净利润总额 的比率</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0"/>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60" w:lineRule="auto"/>
              <w:ind w:left="22" w:right="291"/>
              <w:jc w:val="left"/>
              <w:rPr>
                <w:rFonts w:ascii="宋体" w:hAnsi="宋体" w:cs="宋体" w:eastAsia="宋体" w:hint="default"/>
                <w:sz w:val="18"/>
                <w:szCs w:val="18"/>
              </w:rPr>
            </w:pPr>
            <w:r>
              <w:rPr>
                <w:rFonts w:ascii="宋体" w:hAnsi="宋体" w:cs="宋体" w:eastAsia="宋体" w:hint="default"/>
                <w:sz w:val="18"/>
                <w:szCs w:val="18"/>
              </w:rPr>
              <w:t>王新、 李勇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55"/>
              <w:jc w:val="left"/>
              <w:rPr>
                <w:rFonts w:ascii="宋体" w:hAnsi="宋体" w:cs="宋体" w:eastAsia="宋体" w:hint="default"/>
                <w:sz w:val="18"/>
                <w:szCs w:val="18"/>
              </w:rPr>
            </w:pPr>
            <w:r>
              <w:rPr>
                <w:rFonts w:ascii="宋体" w:hAnsi="宋体" w:cs="宋体" w:eastAsia="宋体" w:hint="default"/>
                <w:sz w:val="18"/>
                <w:szCs w:val="18"/>
              </w:rPr>
              <w:t>北京亿起 联科技有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48,000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已过户完 成</w:t>
            </w:r>
          </w:p>
        </w:tc>
        <w:tc>
          <w:tcPr>
            <w:tcW w:w="87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收购资产 有助于提 升公司盈 </w:t>
            </w:r>
            <w:r>
              <w:rPr>
                <w:rFonts w:ascii="宋体" w:hAnsi="宋体" w:cs="宋体" w:eastAsia="宋体" w:hint="default"/>
                <w:spacing w:val="-18"/>
                <w:sz w:val="18"/>
                <w:szCs w:val="18"/>
              </w:rPr>
              <w:t>利能力，对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公司原有 业务连续 性及管理 层稳定性 没有影响</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 w:right="20"/>
              <w:jc w:val="left"/>
              <w:rPr>
                <w:rFonts w:ascii="宋体" w:hAnsi="宋体" w:cs="宋体" w:eastAsia="宋体" w:hint="default"/>
                <w:sz w:val="18"/>
                <w:szCs w:val="18"/>
              </w:rPr>
            </w:pPr>
            <w:r>
              <w:rPr>
                <w:rFonts w:ascii="宋体" w:hAnsi="宋体" w:cs="宋体" w:eastAsia="宋体" w:hint="default"/>
                <w:sz w:val="18"/>
                <w:szCs w:val="18"/>
              </w:rPr>
              <w:t>由于交割 事宜尚未 </w:t>
            </w:r>
            <w:r>
              <w:rPr>
                <w:rFonts w:ascii="宋体" w:hAnsi="宋体" w:cs="宋体" w:eastAsia="宋体" w:hint="default"/>
                <w:spacing w:val="-18"/>
                <w:sz w:val="18"/>
                <w:szCs w:val="18"/>
              </w:rPr>
              <w:t>完成，收购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资产的财 务状况未 计入合并</w:t>
            </w:r>
          </w:p>
          <w:p>
            <w:pPr>
              <w:pStyle w:val="TableParagraph"/>
              <w:spacing w:line="196" w:lineRule="exact" w:before="20"/>
              <w:ind w:left="11" w:right="0"/>
              <w:jc w:val="left"/>
              <w:rPr>
                <w:rFonts w:ascii="宋体" w:hAnsi="宋体" w:cs="宋体" w:eastAsia="宋体" w:hint="default"/>
                <w:sz w:val="18"/>
                <w:szCs w:val="18"/>
              </w:rPr>
            </w:pPr>
            <w:r>
              <w:rPr>
                <w:rFonts w:ascii="宋体" w:hAnsi="宋体" w:cs="宋体" w:eastAsia="宋体" w:hint="default"/>
                <w:sz w:val="18"/>
                <w:szCs w:val="18"/>
              </w:rPr>
              <w:t>报表。</w:t>
            </w:r>
          </w:p>
          <w:p>
            <w:pPr>
              <w:pStyle w:val="TableParagraph"/>
              <w:spacing w:line="196" w:lineRule="exact"/>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49"/>
              <w:jc w:val="left"/>
              <w:rPr>
                <w:rFonts w:ascii="宋体" w:hAnsi="宋体" w:cs="宋体" w:eastAsia="宋体" w:hint="default"/>
                <w:sz w:val="20"/>
                <w:szCs w:val="20"/>
              </w:rPr>
            </w:pPr>
            <w:r>
              <w:rPr>
                <w:rFonts w:ascii="宋体" w:hAnsi="宋体" w:cs="宋体" w:eastAsia="宋体" w:hint="default"/>
                <w:position w:val="-24"/>
                <w:sz w:val="20"/>
                <w:szCs w:val="20"/>
              </w:rPr>
              <w:pict>
                <v:group style="width:50.7pt;height:62.4pt;mso-position-horizontal-relative:char;mso-position-vertical-relative:line" coordorigin="0,0" coordsize="1014,1248">
                  <v:group style="position:absolute;left:0;top:0;width:1014;height:1248" coordorigin="0,0" coordsize="1014,1248">
                    <v:shape style="position:absolute;left:0;top:0;width:1014;height:1248" coordorigin="0,0" coordsize="1014,1248" path="m0,1248l1014,1248,1014,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2014-057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shape style="position:absolute;margin-left:58.080002pt;margin-top:441.279968pt;width:66.9pt;height:62.4pt;mso-position-horizontal-relative:page;mso-position-vertical-relative:page;z-index:-7779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胡德芳、</w:t>
                  </w:r>
                </w:p>
              </w:txbxContent>
            </v:textbox>
            <w10:wrap type="none"/>
          </v:shape>
        </w:pict>
      </w:r>
    </w:p>
    <w:p>
      <w:pPr>
        <w:pStyle w:val="Heading3"/>
        <w:spacing w:line="240" w:lineRule="auto" w:before="35"/>
        <w:ind w:left="153" w:right="0"/>
        <w:jc w:val="left"/>
        <w:rPr>
          <w:b w:val="0"/>
          <w:bCs w:val="0"/>
        </w:rPr>
      </w:pPr>
      <w:bookmarkStart w:name="2、出售资产情况" w:id="60"/>
      <w:bookmarkEnd w:id="60"/>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802"/>
        <w:gridCol w:w="709"/>
        <w:gridCol w:w="850"/>
        <w:gridCol w:w="372"/>
        <w:gridCol w:w="683"/>
        <w:gridCol w:w="683"/>
        <w:gridCol w:w="683"/>
        <w:gridCol w:w="684"/>
        <w:gridCol w:w="680"/>
      </w:tblGrid>
      <w:tr>
        <w:trPr>
          <w:trHeight w:val="2898"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7" w:right="6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4" w:right="35"/>
              <w:jc w:val="left"/>
              <w:rPr>
                <w:rFonts w:ascii="宋体" w:hAnsi="宋体" w:cs="宋体" w:eastAsia="宋体" w:hint="default"/>
                <w:sz w:val="18"/>
                <w:szCs w:val="18"/>
              </w:rPr>
            </w:pPr>
            <w:r>
              <w:rPr>
                <w:rFonts w:ascii="宋体" w:hAnsi="宋体" w:cs="宋体" w:eastAsia="宋体" w:hint="default"/>
                <w:sz w:val="18"/>
                <w:szCs w:val="18"/>
              </w:rPr>
              <w:t>出售对公 司的影响</w:t>
            </w:r>
          </w:p>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资产出售 定价原则</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0" w:right="90"/>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5"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77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both"/>
              <w:rPr>
                <w:rFonts w:ascii="宋体" w:hAnsi="宋体" w:cs="宋体" w:eastAsia="宋体" w:hint="default"/>
                <w:sz w:val="18"/>
                <w:szCs w:val="18"/>
              </w:rPr>
            </w:pPr>
            <w:r>
              <w:rPr>
                <w:rFonts w:ascii="宋体" w:hAnsi="宋体" w:cs="宋体" w:eastAsia="宋体" w:hint="default"/>
                <w:sz w:val="18"/>
                <w:szCs w:val="18"/>
              </w:rPr>
              <w:t>深圳前 海厚润 德贰号 财富投 资中心</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深圳富 存壹号 投资管 理中心</w:t>
            </w:r>
          </w:p>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甘少煊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94"/>
              <w:jc w:val="both"/>
              <w:rPr>
                <w:rFonts w:ascii="宋体" w:hAnsi="宋体" w:cs="宋体" w:eastAsia="宋体" w:hint="default"/>
                <w:sz w:val="18"/>
                <w:szCs w:val="18"/>
              </w:rPr>
            </w:pPr>
            <w:r>
              <w:rPr>
                <w:rFonts w:ascii="宋体" w:hAnsi="宋体" w:cs="宋体" w:eastAsia="宋体" w:hint="default"/>
                <w:sz w:val="18"/>
                <w:szCs w:val="18"/>
              </w:rPr>
              <w:t>深圳市 拜特科 技股份 有限公 司</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18.85%</w:t>
            </w:r>
          </w:p>
          <w:p>
            <w:pPr>
              <w:pStyle w:val="TableParagraph"/>
              <w:spacing w:line="240" w:lineRule="auto" w:before="67"/>
              <w:ind w:left="22" w:right="0"/>
              <w:jc w:val="both"/>
              <w:rPr>
                <w:rFonts w:ascii="宋体" w:hAnsi="宋体" w:cs="宋体" w:eastAsia="宋体" w:hint="default"/>
                <w:sz w:val="18"/>
                <w:szCs w:val="18"/>
              </w:rPr>
            </w:pPr>
            <w:r>
              <w:rPr>
                <w:rFonts w:ascii="宋体" w:hAnsi="宋体" w:cs="宋体" w:eastAsia="宋体" w:hint="default"/>
                <w:sz w:val="18"/>
                <w:szCs w:val="18"/>
              </w:rPr>
              <w:t>股权</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1248" w:lineRule="exact"/>
              <w:ind w:right="-50"/>
              <w:jc w:val="left"/>
              <w:rPr>
                <w:rFonts w:ascii="宋体" w:hAnsi="宋体" w:cs="宋体" w:eastAsia="宋体" w:hint="default"/>
                <w:sz w:val="20"/>
                <w:szCs w:val="20"/>
              </w:rPr>
            </w:pPr>
            <w:r>
              <w:rPr>
                <w:rFonts w:ascii="宋体" w:hAnsi="宋体" w:cs="宋体" w:eastAsia="宋体" w:hint="default"/>
                <w:position w:val="-24"/>
                <w:sz w:val="20"/>
                <w:szCs w:val="20"/>
              </w:rPr>
              <w:pict>
                <v:group style="width:33.7pt;height:62.4pt;mso-position-horizontal-relative:char;mso-position-vertical-relative:line" coordorigin="0,0" coordsize="674,1248">
                  <v:group style="position:absolute;left:0;top:0;width:674;height:1248" coordorigin="0,0" coordsize="674,1248">
                    <v:shape style="position:absolute;left:0;top:0;width:674;height:1248" coordorigin="0,0" coordsize="674,1248" path="m0,1248l673,1248,673,0,0,0,0,1248xe" filled="true" fillcolor="#ffffff" stroked="false">
                      <v:path arrowok="t"/>
                      <v:fill type="solid"/>
                    </v:shape>
                  </v:group>
                </v:group>
              </w:pict>
            </w:r>
            <w:r>
              <w:rPr>
                <w:rFonts w:ascii="宋体" w:hAnsi="宋体" w:cs="宋体" w:eastAsia="宋体" w:hint="default"/>
                <w:position w:val="-24"/>
                <w:sz w:val="20"/>
                <w:szCs w:val="20"/>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2,625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689.35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本次出售 资产符合 公司发展 战略及对 外投资管 理需要， 有利于公 司部署对 外投资策 略，提高 资金使用 效率。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11" w:right="0"/>
              <w:jc w:val="left"/>
              <w:rPr>
                <w:rFonts w:ascii="Times New Roman" w:hAnsi="Times New Roman" w:cs="Times New Roman" w:eastAsia="Times New Roman" w:hint="default"/>
                <w:sz w:val="18"/>
                <w:szCs w:val="18"/>
              </w:rPr>
            </w:pPr>
            <w:r>
              <w:rPr>
                <w:rFonts w:ascii="Times New Roman"/>
                <w:sz w:val="18"/>
              </w:rPr>
              <w:t>9.48%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根据标的 公司资产 情况，协 商确定价 格</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07"/>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2014-08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3523"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李瀚林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94"/>
              <w:jc w:val="both"/>
              <w:rPr>
                <w:rFonts w:ascii="宋体" w:hAnsi="宋体" w:cs="宋体" w:eastAsia="宋体" w:hint="default"/>
                <w:sz w:val="18"/>
                <w:szCs w:val="18"/>
              </w:rPr>
            </w:pPr>
            <w:r>
              <w:rPr>
                <w:rFonts w:ascii="宋体" w:hAnsi="宋体" w:cs="宋体" w:eastAsia="宋体" w:hint="default"/>
                <w:sz w:val="18"/>
                <w:szCs w:val="18"/>
              </w:rPr>
              <w:t>北京北 邮中望 信息科 技有限 责任公 司</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83.24%</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63.13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本次出售 资产没有 对公司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 的财务状 况和经营 成果构成 重大影 响。</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根据北京 海峡资产 评估有限 公司出具 的海峡评 报字 </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p>
          <w:p>
            <w:pPr>
              <w:pStyle w:val="TableParagraph"/>
              <w:spacing w:line="31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024</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号《资</w:t>
            </w:r>
            <w:r>
              <w:rPr>
                <w:rFonts w:ascii="宋体" w:hAnsi="宋体" w:cs="宋体" w:eastAsia="宋体" w:hint="default"/>
                <w:sz w:val="18"/>
                <w:szCs w:val="18"/>
              </w:rPr>
              <w:t> 产评估报 告》确定 价格</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2014-08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企业合并情况" w:id="61"/>
      <w:bookmarkEnd w:id="61"/>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公司股权激励的实施情况及其影响" w:id="62"/>
      <w:bookmarkEnd w:id="62"/>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重大关联交易" w:id="63"/>
      <w:bookmarkEnd w:id="63"/>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64"/>
      <w:bookmarkEnd w:id="6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资产收购、出售发生的关联交易" w:id="65"/>
      <w:bookmarkEnd w:id="65"/>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4"/>
        <w:gridCol w:w="425"/>
        <w:gridCol w:w="851"/>
        <w:gridCol w:w="1396"/>
        <w:gridCol w:w="738"/>
        <w:gridCol w:w="734"/>
        <w:gridCol w:w="736"/>
        <w:gridCol w:w="734"/>
        <w:gridCol w:w="736"/>
        <w:gridCol w:w="735"/>
        <w:gridCol w:w="738"/>
        <w:gridCol w:w="738"/>
        <w:gridCol w:w="722"/>
      </w:tblGrid>
      <w:tr>
        <w:trPr>
          <w:trHeight w:val="1337" w:hRule="exact"/>
        </w:trPr>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6" w:right="47"/>
              <w:jc w:val="both"/>
              <w:rPr>
                <w:rFonts w:ascii="宋体" w:hAnsi="宋体" w:cs="宋体" w:eastAsia="宋体" w:hint="default"/>
                <w:sz w:val="18"/>
                <w:szCs w:val="18"/>
              </w:rPr>
            </w:pPr>
            <w:r>
              <w:rPr>
                <w:rFonts w:ascii="宋体" w:hAnsi="宋体" w:cs="宋体" w:eastAsia="宋体" w:hint="default"/>
                <w:sz w:val="18"/>
                <w:szCs w:val="18"/>
              </w:rPr>
              <w:t>关 联 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19"/>
              <w:jc w:val="left"/>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5" w:right="8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458" w:hRule="exact"/>
        </w:trPr>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1"/>
              <w:jc w:val="both"/>
              <w:rPr>
                <w:rFonts w:ascii="宋体" w:hAnsi="宋体" w:cs="宋体" w:eastAsia="宋体" w:hint="default"/>
                <w:sz w:val="18"/>
                <w:szCs w:val="18"/>
              </w:rPr>
            </w:pPr>
            <w:r>
              <w:rPr>
                <w:rFonts w:ascii="宋体" w:hAnsi="宋体" w:cs="宋体" w:eastAsia="宋体" w:hint="default"/>
                <w:sz w:val="18"/>
                <w:szCs w:val="18"/>
              </w:rPr>
              <w:t>北 京 久 其 科 技 投 资 有 限 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非公开发 行股份募 集重大资 产重组配 套资金</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公司在收购亿起 联科技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权的同时，向久 其科技以非公开 发行的方式定向 发行股份 </w:t>
            </w:r>
            <w:r>
              <w:rPr>
                <w:rFonts w:ascii="Times New Roman" w:hAnsi="Times New Roman" w:cs="Times New Roman" w:eastAsia="Times New Roman" w:hint="default"/>
                <w:sz w:val="18"/>
                <w:szCs w:val="18"/>
              </w:rPr>
              <w:t>592.2746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万股募</w:t>
            </w:r>
          </w:p>
          <w:p>
            <w:pPr>
              <w:pStyle w:val="TableParagraph"/>
              <w:spacing w:line="314" w:lineRule="auto" w:before="1"/>
              <w:ind w:left="22" w:right="101"/>
              <w:jc w:val="left"/>
              <w:rPr>
                <w:rFonts w:ascii="宋体" w:hAnsi="宋体" w:cs="宋体" w:eastAsia="宋体" w:hint="default"/>
                <w:sz w:val="18"/>
                <w:szCs w:val="18"/>
              </w:rPr>
            </w:pPr>
            <w:r>
              <w:rPr>
                <w:rFonts w:ascii="宋体" w:hAnsi="宋体" w:cs="宋体" w:eastAsia="宋体" w:hint="default"/>
                <w:sz w:val="18"/>
                <w:szCs w:val="18"/>
              </w:rPr>
              <w:t>集配套资金 </w:t>
            </w:r>
            <w:r>
              <w:rPr>
                <w:rFonts w:ascii="Times New Roman" w:hAnsi="Times New Roman" w:cs="Times New Roman" w:eastAsia="Times New Roman" w:hint="default"/>
                <w:sz w:val="18"/>
                <w:szCs w:val="18"/>
              </w:rPr>
              <w:t>13,800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 要用于支付本次 收购的现金对 价、中介机构费 用和亿起联科技 项目营运资金。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73"/>
              <w:jc w:val="left"/>
              <w:rPr>
                <w:rFonts w:ascii="宋体" w:hAnsi="宋体" w:cs="宋体" w:eastAsia="宋体" w:hint="default"/>
                <w:sz w:val="18"/>
                <w:szCs w:val="18"/>
              </w:rPr>
            </w:pPr>
            <w:r>
              <w:rPr>
                <w:rFonts w:ascii="宋体" w:hAnsi="宋体" w:cs="宋体" w:eastAsia="宋体" w:hint="default"/>
                <w:sz w:val="18"/>
                <w:szCs w:val="18"/>
              </w:rPr>
              <w:t>公司审 议本次 非公开 发行事 项董事 会决议 公告日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 公司股 票交易 均价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13,800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13,800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13,800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支付现 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2014-05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6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6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共同对外投资的关联交易" w:id="66"/>
      <w:bookmarkEnd w:id="6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关联债权债务往来" w:id="67"/>
      <w:bookmarkEnd w:id="6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5、其他关联交易" w:id="68"/>
      <w:bookmarkEnd w:id="68"/>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重大合同及其履行情况" w:id="69"/>
      <w:bookmarkEnd w:id="69"/>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70"/>
      <w:bookmarkEnd w:id="7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71"/>
      <w:bookmarkEnd w:id="7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承包情况" w:id="72"/>
      <w:bookmarkEnd w:id="7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租赁情况" w:id="73"/>
      <w:bookmarkEnd w:id="7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担保情况" w:id="74"/>
      <w:bookmarkEnd w:id="74"/>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其他重大合同" w:id="75"/>
      <w:bookmarkEnd w:id="75"/>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4、其他重大交易" w:id="76"/>
      <w:bookmarkEnd w:id="76"/>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承诺事项履行情况" w:id="77"/>
      <w:bookmarkEnd w:id="77"/>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78"/>
      <w:bookmarkEnd w:id="78"/>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74"/>
        <w:gridCol w:w="851"/>
        <w:gridCol w:w="4110"/>
        <w:gridCol w:w="993"/>
        <w:gridCol w:w="568"/>
        <w:gridCol w:w="1062"/>
      </w:tblGrid>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1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568"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1" w:type="dxa"/>
            <w:tcBorders>
              <w:top w:val="single" w:sz="4" w:space="0" w:color="000000"/>
              <w:left w:val="single" w:sz="9" w:space="0" w:color="D2D2D2"/>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851" w:type="dxa"/>
            <w:tcBorders>
              <w:top w:val="single" w:sz="4" w:space="0" w:color="000000"/>
              <w:left w:val="single" w:sz="9" w:space="0" w:color="D2D2D2"/>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1" w:type="dxa"/>
            <w:tcBorders>
              <w:top w:val="single" w:sz="4" w:space="0" w:color="000000"/>
              <w:left w:val="single" w:sz="9" w:space="0" w:color="D2D2D2"/>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97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6"/>
              <w:jc w:val="both"/>
              <w:rPr>
                <w:rFonts w:ascii="宋体" w:hAnsi="宋体" w:cs="宋体" w:eastAsia="宋体" w:hint="default"/>
                <w:sz w:val="18"/>
                <w:szCs w:val="18"/>
              </w:rPr>
            </w:pPr>
            <w:r>
              <w:rPr>
                <w:rFonts w:ascii="宋体" w:hAnsi="宋体" w:cs="宋体" w:eastAsia="宋体" w:hint="default"/>
                <w:sz w:val="18"/>
                <w:szCs w:val="18"/>
              </w:rPr>
              <w:t>北京久其 科技投资 有限公司</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 </w:t>
            </w:r>
            <w:r>
              <w:rPr>
                <w:rFonts w:ascii="宋体" w:hAnsi="宋体" w:cs="宋体" w:eastAsia="宋体" w:hint="default"/>
                <w:spacing w:val="-4"/>
                <w:sz w:val="18"/>
                <w:szCs w:val="18"/>
              </w:rPr>
              <w:t>与任何与发行人相同、相似或在商业上构成任何竞争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的业务及活动，或拥有与发行人存在竞争关系的任何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经济实体、机构、经济组织的权益，或以其他任何形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式取得该经济实体、机构、经济组织的控制权。</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诺人严格履 行该承诺。</w:t>
            </w:r>
          </w:p>
        </w:tc>
      </w:tr>
      <w:tr>
        <w:trPr>
          <w:trHeight w:val="1142"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 w:right="96"/>
              <w:jc w:val="left"/>
              <w:rPr>
                <w:rFonts w:ascii="宋体" w:hAnsi="宋体" w:cs="宋体" w:eastAsia="宋体" w:hint="default"/>
                <w:sz w:val="18"/>
                <w:szCs w:val="18"/>
              </w:rPr>
            </w:pPr>
            <w:r>
              <w:rPr>
                <w:rFonts w:ascii="宋体" w:hAnsi="宋体" w:cs="宋体" w:eastAsia="宋体" w:hint="default"/>
                <w:sz w:val="18"/>
                <w:szCs w:val="18"/>
              </w:rPr>
              <w:t>董泰湘、 赵福君</w:t>
            </w:r>
          </w:p>
        </w:tc>
        <w:tc>
          <w:tcPr>
            <w:tcW w:w="4110"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将不在中国境内外以任何方式直接或间接从事或参 </w:t>
            </w:r>
            <w:r>
              <w:rPr>
                <w:rFonts w:ascii="宋体" w:hAnsi="宋体" w:cs="宋体" w:eastAsia="宋体" w:hint="default"/>
                <w:spacing w:val="-4"/>
                <w:sz w:val="18"/>
                <w:szCs w:val="18"/>
              </w:rPr>
              <w:t>与任何与发行人相同、相似或在商业上构成任何竞争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的业务及活动，或拥有与发行人存在竞争关系的任何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经济实体、机构、经济组织的权益，或以其他任何形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式取得该经济实体、机构、经济组织的控制权，或在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该经济实体、机构、经济组织中担任高级管理人员或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核心技术人员。</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诺人严格履 行该承诺。</w:t>
            </w:r>
          </w:p>
        </w:tc>
      </w:tr>
      <w:tr>
        <w:trPr>
          <w:trHeight w:val="705"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851" w:type="dxa"/>
            <w:vMerge/>
            <w:tcBorders>
              <w:left w:val="single" w:sz="9" w:space="0" w:color="D2D2D2"/>
              <w:right w:val="single" w:sz="4" w:space="0" w:color="000000"/>
            </w:tcBorders>
          </w:tcPr>
          <w:p>
            <w:pPr/>
          </w:p>
        </w:tc>
        <w:tc>
          <w:tcPr>
            <w:tcW w:w="4110"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427" w:hRule="exact"/>
        </w:trPr>
        <w:tc>
          <w:tcPr>
            <w:tcW w:w="1974"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338" w:hRule="exact"/>
        </w:trPr>
        <w:tc>
          <w:tcPr>
            <w:tcW w:w="197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
              <w:jc w:val="both"/>
              <w:rPr>
                <w:rFonts w:ascii="宋体" w:hAnsi="宋体" w:cs="宋体" w:eastAsia="宋体" w:hint="default"/>
                <w:sz w:val="18"/>
                <w:szCs w:val="18"/>
              </w:rPr>
            </w:pPr>
            <w:r>
              <w:rPr>
                <w:rFonts w:ascii="宋体" w:hAnsi="宋体" w:cs="宋体" w:eastAsia="宋体" w:hint="default"/>
                <w:spacing w:val="-4"/>
                <w:sz w:val="18"/>
                <w:szCs w:val="18"/>
              </w:rPr>
              <w:t>在锁定股份承诺基础上，还承诺三十六个月的承诺期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限届满后，在职期间每年转让的股份不超过其所持有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的该公司股份总数的百分之二十五；离职后，其所持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公司股份在法律、法规规定的限售期内不转让。</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诺人严格履 行该承诺。</w:t>
            </w:r>
          </w:p>
        </w:tc>
      </w:tr>
      <w:tr>
        <w:trPr>
          <w:trHeight w:val="1026" w:hRule="exact"/>
        </w:trPr>
        <w:tc>
          <w:tcPr>
            <w:tcW w:w="197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4"/>
                <w:sz w:val="18"/>
                <w:szCs w:val="18"/>
              </w:rPr>
              <w:t>本人及近亲属在本人任职期间及离职后半年内，不从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事自营或为他人经营与发行人同类的业务，也不从事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与发行人利益发生冲突的对外投资。</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诺人严格履 行该承诺。</w:t>
            </w:r>
          </w:p>
        </w:tc>
      </w:tr>
      <w:tr>
        <w:trPr>
          <w:trHeight w:val="162"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96"/>
              <w:jc w:val="both"/>
              <w:rPr>
                <w:rFonts w:ascii="宋体" w:hAnsi="宋体" w:cs="宋体" w:eastAsia="宋体" w:hint="default"/>
                <w:sz w:val="18"/>
                <w:szCs w:val="18"/>
              </w:rPr>
            </w:pPr>
            <w:r>
              <w:rPr>
                <w:rFonts w:ascii="宋体" w:hAnsi="宋体" w:cs="宋体" w:eastAsia="宋体" w:hint="default"/>
                <w:sz w:val="18"/>
                <w:szCs w:val="18"/>
              </w:rPr>
              <w:t>北京久其 软件股份 有限公司</w:t>
            </w:r>
          </w:p>
        </w:tc>
        <w:tc>
          <w:tcPr>
            <w:tcW w:w="41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公司承诺在终止筹划重大资产重组事项暨股票复牌 之日起六个月内不再筹划重大资产重组事项。</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六个 月</w:t>
            </w:r>
          </w:p>
        </w:tc>
        <w:tc>
          <w:tcPr>
            <w:tcW w:w="1062"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诺人严格履 行该承诺。</w:t>
            </w:r>
          </w:p>
        </w:tc>
      </w:tr>
      <w:tr>
        <w:trPr>
          <w:trHeight w:val="703"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50"/>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851" w:type="dxa"/>
            <w:vMerge/>
            <w:tcBorders>
              <w:left w:val="single" w:sz="9" w:space="0" w:color="D2D2D2"/>
              <w:right w:val="single" w:sz="4" w:space="0" w:color="000000"/>
            </w:tcBorders>
          </w:tcPr>
          <w:p>
            <w:pPr/>
          </w:p>
        </w:tc>
        <w:tc>
          <w:tcPr>
            <w:tcW w:w="4110"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584"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0"/>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及下一步计划（如有）</w:t>
            </w:r>
          </w:p>
        </w:tc>
        <w:tc>
          <w:tcPr>
            <w:tcW w:w="7584"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79"/>
      <w:bookmarkEnd w:id="7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7"/>
        <w:gridCol w:w="1196"/>
        <w:gridCol w:w="1394"/>
        <w:gridCol w:w="1001"/>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1" w:right="52"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未达预测的原因</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（如适用）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5" w:right="43"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北京亿起联科 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3,678.45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3,310.78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由于苹果公司对 </w:t>
            </w:r>
            <w:r>
              <w:rPr>
                <w:rFonts w:ascii="Times New Roman" w:hAnsi="Times New Roman" w:cs="Times New Roman" w:eastAsia="Times New Roman" w:hint="default"/>
                <w:sz w:val="18"/>
                <w:szCs w:val="18"/>
              </w:rPr>
              <w:t>App Store </w:t>
            </w:r>
            <w:r>
              <w:rPr>
                <w:rFonts w:ascii="宋体" w:hAnsi="宋体" w:cs="宋体" w:eastAsia="宋体" w:hint="default"/>
                <w:sz w:val="18"/>
                <w:szCs w:val="18"/>
              </w:rPr>
              <w:t>的排名 规则及算法进行 了调整，使得积 分墙广告的推广 效果有所降低， 广告主对积分墙 广告的投放意愿 也同时降低，从 而导致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广告</w:t>
            </w:r>
            <w:r>
              <w:rPr>
                <w:rFonts w:ascii="宋体" w:hAnsi="宋体" w:cs="宋体" w:eastAsia="宋体" w:hint="default"/>
                <w:spacing w:val="1"/>
                <w:sz w:val="18"/>
                <w:szCs w:val="18"/>
              </w:rPr>
              <w:t> </w:t>
            </w:r>
            <w:r>
              <w:rPr>
                <w:rFonts w:ascii="宋体" w:hAnsi="宋体" w:cs="宋体" w:eastAsia="宋体" w:hint="default"/>
                <w:sz w:val="18"/>
                <w:szCs w:val="18"/>
              </w:rPr>
              <w:t>业务收入减少。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7"/>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com.cn</w:t>
            </w:r>
            <w:r>
              <w:rPr>
                <w:rFonts w:ascii="宋体" w:hAnsi="宋体" w:cs="宋体" w:eastAsia="宋体" w:hint="default"/>
                <w:sz w:val="18"/>
                <w:szCs w:val="18"/>
              </w:rPr>
              <w:t>）披露 的《北京亿起 联科技有限公 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09" w:lineRule="auto" w:before="5"/>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年度盈</w:t>
            </w:r>
            <w:r>
              <w:rPr>
                <w:rFonts w:ascii="宋体" w:hAnsi="宋体" w:cs="宋体" w:eastAsia="宋体" w:hint="default"/>
                <w:w w:val="99"/>
                <w:sz w:val="18"/>
                <w:szCs w:val="18"/>
              </w:rPr>
              <w:t> </w:t>
            </w:r>
            <w:r>
              <w:rPr>
                <w:rFonts w:ascii="宋体" w:hAnsi="宋体" w:cs="宋体" w:eastAsia="宋体" w:hint="default"/>
                <w:sz w:val="18"/>
                <w:szCs w:val="18"/>
              </w:rPr>
              <w:t>利预测审核报</w:t>
            </w:r>
            <w:r>
              <w:rPr>
                <w:rFonts w:ascii="宋体" w:hAnsi="宋体" w:cs="宋体" w:eastAsia="宋体" w:hint="default"/>
                <w:w w:val="99"/>
                <w:sz w:val="18"/>
                <w:szCs w:val="18"/>
              </w:rPr>
              <w:t> </w:t>
            </w:r>
            <w:r>
              <w:rPr>
                <w:rFonts w:ascii="宋体" w:hAnsi="宋体" w:cs="宋体" w:eastAsia="宋体" w:hint="default"/>
                <w:sz w:val="18"/>
                <w:szCs w:val="18"/>
              </w:rPr>
              <w:t>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注：亿起联科技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年度实现的扣除非经常性损益净利润为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聘任、解聘会计师事务所情况" w:id="80"/>
      <w:bookmarkEnd w:id="80"/>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陈勇波、胡碟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监事会、独立董事（如适用）对会计师事务所本报告期“非标准审计报告”的说明" w:id="81"/>
      <w:bookmarkEnd w:id="81"/>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82"/>
      <w:bookmarkEnd w:id="82"/>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83"/>
      <w:bookmarkEnd w:id="83"/>
      <w:r>
        <w:rPr>
          <w:b w:val="0"/>
          <w:bCs w:val="0"/>
        </w:rPr>
      </w:r>
      <w:r>
        <w:rPr/>
        <w:t>十三、年度报告披露后面临暂停上市和终止上市情况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其他重大事项的说明" w:id="84"/>
      <w:bookmarkEnd w:id="84"/>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19" w:lineRule="auto" w:before="0"/>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公司参股公司广东同望科技股份有限公司于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日收到全国中小企业股份转让系统文件《关于同意广东同望科技股 份有限公司股票在全国中小企业股份转让系统挂牌的函》（股转系统函</w:t>
      </w:r>
      <w:r>
        <w:rPr>
          <w:rFonts w:ascii="Times New Roman" w:hAnsi="Times New Roman" w:cs="Times New Roman" w:eastAsia="Times New Roman" w:hint="default"/>
          <w:sz w:val="18"/>
          <w:szCs w:val="18"/>
        </w:rPr>
        <w:t>[2014]294</w:t>
      </w:r>
      <w:r>
        <w:rPr>
          <w:rFonts w:ascii="宋体" w:hAnsi="宋体" w:cs="宋体" w:eastAsia="宋体" w:hint="default"/>
          <w:sz w:val="18"/>
          <w:szCs w:val="18"/>
        </w:rPr>
        <w:t>号），同望科技股票获准在全国中小企业</w:t>
      </w:r>
    </w:p>
    <w:p>
      <w:pPr>
        <w:spacing w:line="233"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股份转让系统挂牌。</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五、公司子公司重要事项" w:id="85"/>
      <w:bookmarkEnd w:id="85"/>
      <w:r>
        <w:rPr>
          <w:b w:val="0"/>
          <w:bCs w:val="0"/>
        </w:rPr>
      </w:r>
      <w:r>
        <w:rPr/>
        <w:t>十五、公司子公司重要事项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北京北邮中望信息科技有限责任公司诉讼仲裁事项说明：</w:t>
      </w:r>
    </w:p>
    <w:p>
      <w:pPr>
        <w:spacing w:before="39"/>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）北京北邮中望信息科技有限责任公司于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日收到北京市海淀区人民法院出具的（</w:t>
      </w:r>
      <w:r>
        <w:rPr>
          <w:rFonts w:ascii="Times New Roman" w:hAnsi="Times New Roman" w:cs="Times New Roman" w:eastAsia="Times New Roman" w:hint="default"/>
          <w:sz w:val="18"/>
          <w:szCs w:val="18"/>
        </w:rPr>
        <w:t>2013</w:t>
      </w:r>
      <w:r>
        <w:rPr>
          <w:rFonts w:ascii="宋体" w:hAnsi="宋体" w:cs="宋体" w:eastAsia="宋体" w:hint="default"/>
          <w:sz w:val="18"/>
          <w:szCs w:val="18"/>
        </w:rPr>
        <w:t>）海民初字第</w:t>
      </w:r>
      <w:r>
        <w:rPr>
          <w:rFonts w:ascii="Times New Roman" w:hAnsi="Times New Roman" w:cs="Times New Roman" w:eastAsia="Times New Roman" w:hint="default"/>
          <w:sz w:val="18"/>
          <w:szCs w:val="18"/>
        </w:rPr>
        <w:t>20210</w:t>
      </w:r>
      <w:r>
        <w:rPr>
          <w:rFonts w:ascii="宋体" w:hAnsi="宋体" w:cs="宋体" w:eastAsia="宋体" w:hint="default"/>
          <w:sz w:val="18"/>
          <w:szCs w:val="18"/>
        </w:rPr>
        <w:t>号</w:t>
      </w:r>
    </w:p>
    <w:p>
      <w:pPr>
        <w:spacing w:line="307" w:lineRule="auto"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《传票》、《应诉通知书》、《民事起诉状》及相关诉讼材料，北京市海淀区人民法院受理了广东新华南方软件外包有限公 司诉北京北邮中望信息科技有限责任公司的借款纠纷案，最终经北京市第一中级人民法院开庭审理及调解，双方于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日当庭达成和解，北京北邮中望信息科技有限责任公司将分期偿还广东新华南方软件外包有限公司借款本金</w:t>
      </w:r>
      <w:r>
        <w:rPr>
          <w:rFonts w:ascii="Times New Roman" w:hAnsi="Times New Roman" w:cs="Times New Roman" w:eastAsia="Times New Roman" w:hint="default"/>
          <w:spacing w:val="-1"/>
          <w:sz w:val="18"/>
          <w:szCs w:val="18"/>
        </w:rPr>
        <w:t>136.35</w:t>
      </w:r>
      <w:r>
        <w:rPr>
          <w:rFonts w:ascii="宋体" w:hAnsi="宋体" w:cs="宋体" w:eastAsia="宋体" w:hint="default"/>
          <w:spacing w:val="-1"/>
          <w:sz w:val="18"/>
          <w:szCs w:val="18"/>
        </w:rPr>
        <w:t>万元，</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月底，北京北邮中望信息科技有限责任公司完成第一期还款</w:t>
      </w:r>
      <w:r>
        <w:rPr>
          <w:rFonts w:ascii="Times New Roman" w:hAnsi="Times New Roman" w:cs="Times New Roman" w:eastAsia="Times New Roman" w:hint="default"/>
          <w:sz w:val="18"/>
          <w:szCs w:val="18"/>
        </w:rPr>
        <w:t>13.635</w:t>
      </w:r>
      <w:r>
        <w:rPr>
          <w:rFonts w:ascii="宋体" w:hAnsi="宋体" w:cs="宋体" w:eastAsia="宋体" w:hint="default"/>
          <w:sz w:val="18"/>
          <w:szCs w:val="18"/>
        </w:rPr>
        <w:t>万元。</w:t>
      </w:r>
    </w:p>
    <w:p>
      <w:pPr>
        <w:spacing w:line="304" w:lineRule="auto" w:before="45"/>
        <w:ind w:left="153" w:right="11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）北京北邮中望信息科技有限责任公司于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日收到中国国际贸易仲裁委员会出具的（</w:t>
      </w:r>
      <w:r>
        <w:rPr>
          <w:rFonts w:ascii="Times New Roman" w:hAnsi="Times New Roman" w:cs="Times New Roman" w:eastAsia="Times New Roman" w:hint="default"/>
          <w:sz w:val="18"/>
          <w:szCs w:val="18"/>
        </w:rPr>
        <w:t>2013</w:t>
      </w:r>
      <w:r>
        <w:rPr>
          <w:rFonts w:ascii="宋体" w:hAnsi="宋体" w:cs="宋体" w:eastAsia="宋体" w:hint="default"/>
          <w:sz w:val="18"/>
          <w:szCs w:val="18"/>
        </w:rPr>
        <w:t>）中国贸仲京字第 </w:t>
      </w:r>
      <w:r>
        <w:rPr>
          <w:rFonts w:ascii="Times New Roman" w:hAnsi="Times New Roman" w:cs="Times New Roman" w:eastAsia="Times New Roman" w:hint="default"/>
          <w:sz w:val="18"/>
          <w:szCs w:val="18"/>
        </w:rPr>
        <w:t>017014</w:t>
      </w:r>
      <w:r>
        <w:rPr>
          <w:rFonts w:ascii="宋体" w:hAnsi="宋体" w:cs="宋体" w:eastAsia="宋体" w:hint="default"/>
          <w:sz w:val="18"/>
          <w:szCs w:val="18"/>
        </w:rPr>
        <w:t>号《</w:t>
      </w:r>
      <w:r>
        <w:rPr>
          <w:rFonts w:ascii="Times New Roman" w:hAnsi="Times New Roman" w:cs="Times New Roman" w:eastAsia="Times New Roman" w:hint="default"/>
          <w:sz w:val="18"/>
          <w:szCs w:val="18"/>
        </w:rPr>
        <w:t>DX20130567</w:t>
      </w:r>
      <w:r>
        <w:rPr>
          <w:rFonts w:ascii="宋体" w:hAnsi="宋体" w:cs="宋体" w:eastAsia="宋体" w:hint="default"/>
          <w:sz w:val="18"/>
          <w:szCs w:val="18"/>
        </w:rPr>
        <w:t>号软件开发服务协议争议案仲裁通知》、《仲裁申请书》及相关材料，中国国际贸易仲裁委员会受 </w:t>
      </w:r>
      <w:r>
        <w:rPr>
          <w:rFonts w:ascii="宋体" w:hAnsi="宋体" w:cs="宋体" w:eastAsia="宋体" w:hint="default"/>
          <w:spacing w:val="-2"/>
          <w:sz w:val="18"/>
          <w:szCs w:val="18"/>
        </w:rPr>
        <w:t>理了广东新华南方软件外包有限公司提出的仲裁申请，经中国国际贸易仲裁委员会开庭审理，最终裁决北京北邮中望信息科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技有限责任公司向广东新华南方软件外包有限公司支付服务费</w:t>
      </w:r>
      <w:r>
        <w:rPr>
          <w:rFonts w:ascii="Times New Roman" w:hAnsi="Times New Roman" w:cs="Times New Roman" w:eastAsia="Times New Roman" w:hint="default"/>
          <w:sz w:val="18"/>
          <w:szCs w:val="18"/>
        </w:rPr>
        <w:t>910,822.50</w:t>
      </w:r>
      <w:r>
        <w:rPr>
          <w:rFonts w:ascii="宋体" w:hAnsi="宋体" w:cs="宋体" w:eastAsia="宋体" w:hint="default"/>
          <w:sz w:val="18"/>
          <w:szCs w:val="18"/>
        </w:rPr>
        <w:t>元，支付滞纳金</w:t>
      </w:r>
      <w:r>
        <w:rPr>
          <w:rFonts w:ascii="Times New Roman" w:hAnsi="Times New Roman" w:cs="Times New Roman" w:eastAsia="Times New Roman" w:hint="default"/>
          <w:sz w:val="18"/>
          <w:szCs w:val="18"/>
        </w:rPr>
        <w:t>45,541.13</w:t>
      </w:r>
      <w:r>
        <w:rPr>
          <w:rFonts w:ascii="宋体" w:hAnsi="宋体" w:cs="宋体" w:eastAsia="宋体" w:hint="default"/>
          <w:sz w:val="18"/>
          <w:szCs w:val="18"/>
        </w:rPr>
        <w:t>元，由于无力支付欠款， 北京市第一中级人民法院在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日出具了（</w:t>
      </w:r>
      <w:r>
        <w:rPr>
          <w:rFonts w:ascii="Times New Roman" w:hAnsi="Times New Roman" w:cs="Times New Roman" w:eastAsia="Times New Roman" w:hint="default"/>
          <w:sz w:val="18"/>
          <w:szCs w:val="18"/>
        </w:rPr>
        <w:t>2014</w:t>
      </w:r>
      <w:r>
        <w:rPr>
          <w:rFonts w:ascii="宋体" w:hAnsi="宋体" w:cs="宋体" w:eastAsia="宋体" w:hint="default"/>
          <w:sz w:val="18"/>
          <w:szCs w:val="18"/>
        </w:rPr>
        <w:t>）一中执字第</w:t>
      </w:r>
      <w:r>
        <w:rPr>
          <w:rFonts w:ascii="Times New Roman" w:hAnsi="Times New Roman" w:cs="Times New Roman" w:eastAsia="Times New Roman" w:hint="default"/>
          <w:sz w:val="18"/>
          <w:szCs w:val="18"/>
        </w:rPr>
        <w:t>401-1</w:t>
      </w:r>
      <w:r>
        <w:rPr>
          <w:rFonts w:ascii="宋体" w:hAnsi="宋体" w:cs="宋体" w:eastAsia="宋体" w:hint="default"/>
          <w:sz w:val="18"/>
          <w:szCs w:val="18"/>
        </w:rPr>
        <w:t>号《执行裁定书》，对北京北邮中望信息科技有 限责任公司的银行账户执行冻结。</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月底，北京北邮中望信息科技有限责任公司完成还款，该案终结。</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304" w:lineRule="auto" w:before="0"/>
        <w:ind w:left="153" w:right="1117" w:firstLine="0"/>
        <w:jc w:val="left"/>
        <w:rPr>
          <w:rFonts w:ascii="宋体" w:hAnsi="宋体" w:cs="宋体" w:eastAsia="宋体" w:hint="default"/>
          <w:sz w:val="18"/>
          <w:szCs w:val="18"/>
        </w:rPr>
      </w:pPr>
      <w:r>
        <w:rPr>
          <w:rFonts w:ascii="宋体" w:hAnsi="宋体" w:cs="宋体" w:eastAsia="宋体" w:hint="default"/>
          <w:spacing w:val="-2"/>
          <w:sz w:val="18"/>
          <w:szCs w:val="18"/>
        </w:rPr>
        <w:t>北京北邮中望信息科技有限责任公司近年来经营情况不佳、盈利能力不稳定，业务规模和人员规模大幅萎缩，资不抵债的经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营困局难以扭转。因此，根据公司战略发展和投资管理的需要，减少亏损业务对公司经营的拖累、及时止损，经公司</w:t>
      </w:r>
      <w:r>
        <w:rPr>
          <w:rFonts w:ascii="Times New Roman" w:hAnsi="Times New Roman" w:cs="Times New Roman" w:eastAsia="Times New Roman" w:hint="default"/>
          <w:sz w:val="18"/>
          <w:szCs w:val="18"/>
        </w:rPr>
        <w:t>2014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日召开的第五届董事会第十三次（临时）会议审议通过，以北京海峡资产评估有限公司出具海峡评报字</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第</w:t>
      </w:r>
      <w:r>
        <w:rPr>
          <w:rFonts w:ascii="Times New Roman" w:hAnsi="Times New Roman" w:cs="Times New Roman" w:eastAsia="Times New Roman" w:hint="default"/>
          <w:spacing w:val="-2"/>
          <w:sz w:val="18"/>
          <w:szCs w:val="18"/>
        </w:rPr>
        <w:t>024</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号《资产评估报告》的评估价值为作价依据，公司将所持北京北邮中望信息科技有限责任公司</w:t>
      </w:r>
      <w:r>
        <w:rPr>
          <w:rFonts w:ascii="Times New Roman" w:hAnsi="Times New Roman" w:cs="Times New Roman" w:eastAsia="Times New Roman" w:hint="default"/>
          <w:spacing w:val="-3"/>
          <w:sz w:val="18"/>
          <w:szCs w:val="18"/>
        </w:rPr>
        <w:t>83.24%</w:t>
      </w:r>
      <w:r>
        <w:rPr>
          <w:rFonts w:ascii="宋体" w:hAnsi="宋体" w:cs="宋体" w:eastAsia="宋体" w:hint="default"/>
          <w:spacing w:val="-3"/>
          <w:sz w:val="18"/>
          <w:szCs w:val="18"/>
        </w:rPr>
        <w:t>股权以</w:t>
      </w:r>
      <w:r>
        <w:rPr>
          <w:rFonts w:ascii="Times New Roman" w:hAnsi="Times New Roman" w:cs="Times New Roman" w:eastAsia="Times New Roman" w:hint="default"/>
          <w:spacing w:val="-3"/>
          <w:sz w:val="18"/>
          <w:szCs w:val="18"/>
        </w:rPr>
        <w:t>256,068.10</w:t>
      </w:r>
      <w:r>
        <w:rPr>
          <w:rFonts w:ascii="宋体" w:hAnsi="宋体" w:cs="宋体" w:eastAsia="宋体" w:hint="default"/>
          <w:spacing w:val="-3"/>
          <w:sz w:val="18"/>
          <w:szCs w:val="18"/>
        </w:rPr>
        <w:t>元（含</w:t>
      </w:r>
      <w:r>
        <w:rPr>
          <w:rFonts w:ascii="宋体" w:hAnsi="宋体" w:cs="宋体" w:eastAsia="宋体" w:hint="default"/>
          <w:sz w:val="18"/>
          <w:szCs w:val="18"/>
        </w:rPr>
        <w:t> 税）作价转让给自然人李瀚林。截至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月末，本次股权交割已全部完成。</w:t>
      </w:r>
    </w:p>
    <w:p>
      <w:pPr>
        <w:spacing w:after="0" w:line="30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六节 股份变动及股东情况" w:id="86"/>
      <w:bookmarkEnd w:id="86"/>
      <w:r>
        <w:rPr>
          <w:b w:val="0"/>
          <w:bCs w:val="0"/>
        </w:rPr>
      </w:r>
      <w:bookmarkStart w:name="_bookmark4" w:id="87"/>
      <w:bookmarkEnd w:id="8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88"/>
      <w:bookmarkEnd w:id="88"/>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004"/>
        <w:gridCol w:w="740"/>
        <w:gridCol w:w="842"/>
        <w:gridCol w:w="844"/>
        <w:gridCol w:w="694"/>
        <w:gridCol w:w="850"/>
        <w:gridCol w:w="852"/>
        <w:gridCol w:w="991"/>
        <w:gridCol w:w="776"/>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1" w:right="71"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9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6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25,926,370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center"/>
              <w:rPr>
                <w:rFonts w:ascii="Times New Roman" w:hAnsi="Times New Roman" w:cs="Times New Roman" w:eastAsia="Times New Roman" w:hint="default"/>
                <w:sz w:val="18"/>
                <w:szCs w:val="18"/>
              </w:rPr>
            </w:pPr>
            <w:r>
              <w:rPr>
                <w:rFonts w:ascii="Times New Roman"/>
                <w:sz w:val="18"/>
              </w:rPr>
              <w:t>14.75%</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-1,203,077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-1,203,077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24,723,293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14.06%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25,926,370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center"/>
              <w:rPr>
                <w:rFonts w:ascii="Times New Roman" w:hAnsi="Times New Roman" w:cs="Times New Roman" w:eastAsia="Times New Roman" w:hint="default"/>
                <w:sz w:val="18"/>
                <w:szCs w:val="18"/>
              </w:rPr>
            </w:pPr>
            <w:r>
              <w:rPr>
                <w:rFonts w:ascii="Times New Roman"/>
                <w:sz w:val="18"/>
              </w:rPr>
              <w:t>14.75%</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-1,203,077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-1,203,077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24,723,293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14.06%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25,926,370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center"/>
              <w:rPr>
                <w:rFonts w:ascii="Times New Roman" w:hAnsi="Times New Roman" w:cs="Times New Roman" w:eastAsia="Times New Roman" w:hint="default"/>
                <w:sz w:val="18"/>
                <w:szCs w:val="18"/>
              </w:rPr>
            </w:pPr>
            <w:r>
              <w:rPr>
                <w:rFonts w:ascii="Times New Roman"/>
                <w:sz w:val="18"/>
              </w:rPr>
              <w:t>14.75%</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-1,203,077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-1,203,077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24,723,293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14.06%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149,868,935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center"/>
              <w:rPr>
                <w:rFonts w:ascii="Times New Roman" w:hAnsi="Times New Roman" w:cs="Times New Roman" w:eastAsia="Times New Roman" w:hint="default"/>
                <w:sz w:val="18"/>
                <w:szCs w:val="18"/>
              </w:rPr>
            </w:pPr>
            <w:r>
              <w:rPr>
                <w:rFonts w:ascii="Times New Roman"/>
                <w:sz w:val="18"/>
              </w:rPr>
              <w:t>85.25%</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1,203,077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1,203,077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151,072,012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85.94%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149,868,935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center"/>
              <w:rPr>
                <w:rFonts w:ascii="Times New Roman" w:hAnsi="Times New Roman" w:cs="Times New Roman" w:eastAsia="Times New Roman" w:hint="default"/>
                <w:sz w:val="18"/>
                <w:szCs w:val="18"/>
              </w:rPr>
            </w:pPr>
            <w:r>
              <w:rPr>
                <w:rFonts w:ascii="Times New Roman"/>
                <w:sz w:val="18"/>
              </w:rPr>
              <w:t>85.25%</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1,203,077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1,203,077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151,072,012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center"/>
              <w:rPr>
                <w:rFonts w:ascii="Times New Roman" w:hAnsi="Times New Roman" w:cs="Times New Roman" w:eastAsia="Times New Roman" w:hint="default"/>
                <w:sz w:val="18"/>
                <w:szCs w:val="18"/>
              </w:rPr>
            </w:pPr>
            <w:r>
              <w:rPr>
                <w:rFonts w:ascii="Times New Roman"/>
                <w:sz w:val="18"/>
              </w:rPr>
              <w:t>85.94%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175,795,305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175,795,305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、公司部分董监高于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年进行了股份减持，从而导致报告期有限售条件股份（高管锁定股）减少。</w:t>
      </w:r>
    </w:p>
    <w:p>
      <w:pPr>
        <w:spacing w:line="340" w:lineRule="auto" w:before="63"/>
        <w:ind w:left="153" w:right="1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、报告期内，公司原董事李坤奇离职已满六个月，其所持有股份的</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部分由有限售条件股份变更为无限售条件股份。 股份变动的批准情况</w:t>
      </w:r>
    </w:p>
    <w:p>
      <w:pPr>
        <w:spacing w:line="338" w:lineRule="auto" w:before="41"/>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38" w:lineRule="auto" w:before="43"/>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2"/>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股东和实际控制人情况" w:id="89"/>
      <w:bookmarkEnd w:id="89"/>
      <w:r>
        <w:rPr>
          <w:b w:val="0"/>
          <w:bCs w:val="0"/>
        </w:rPr>
      </w:r>
      <w:r>
        <w:rPr/>
        <w:t>二、股东和实际控制人情况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90"/>
      <w:bookmarkEnd w:id="9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607"/>
        <w:gridCol w:w="1571"/>
        <w:gridCol w:w="1618"/>
        <w:gridCol w:w="1572"/>
        <w:gridCol w:w="1607"/>
      </w:tblGrid>
      <w:tr>
        <w:trPr>
          <w:trHeight w:val="162" w:hRule="exact"/>
        </w:trPr>
        <w:tc>
          <w:tcPr>
            <w:tcW w:w="1595" w:type="dxa"/>
            <w:vMerge w:val="restart"/>
            <w:tcBorders>
              <w:top w:val="single" w:sz="4" w:space="0" w:color="000000"/>
              <w:left w:val="single" w:sz="4" w:space="0" w:color="000000"/>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13,417</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8"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10,056</w:t>
            </w: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vMerge/>
            <w:tcBorders>
              <w:left w:val="single" w:sz="4" w:space="0" w:color="000000"/>
              <w:bottom w:val="nil" w:sz="6" w:space="0" w:color="auto"/>
              <w:right w:val="single" w:sz="4" w:space="0" w:color="000000"/>
            </w:tcBorders>
            <w:shd w:val="clear" w:color="auto" w:fill="D2D2D2"/>
          </w:tcPr>
          <w:p>
            <w:pPr/>
          </w:p>
        </w:tc>
        <w:tc>
          <w:tcPr>
            <w:tcW w:w="1607" w:type="dxa"/>
            <w:vMerge/>
            <w:tcBorders>
              <w:left w:val="single" w:sz="9" w:space="0" w:color="D2D2D2"/>
              <w:right w:val="single" w:sz="9" w:space="0" w:color="D2D2D2"/>
            </w:tcBorders>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8" w:type="dxa"/>
            <w:vMerge/>
            <w:tcBorders>
              <w:left w:val="single" w:sz="9" w:space="0" w:color="D2D2D2"/>
              <w:right w:val="single" w:sz="13" w:space="0" w:color="D2D2D2"/>
            </w:tcBorders>
          </w:tcPr>
          <w:p>
            <w:pPr/>
          </w:p>
        </w:tc>
        <w:tc>
          <w:tcPr>
            <w:tcW w:w="1572" w:type="dxa"/>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704" w:hRule="exact"/>
        </w:trPr>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vMerge/>
            <w:tcBorders>
              <w:left w:val="single" w:sz="9" w:space="0" w:color="D2D2D2"/>
              <w:right w:val="single" w:sz="9" w:space="0" w:color="D2D2D2"/>
            </w:tcBorders>
          </w:tcPr>
          <w:p>
            <w:pPr/>
          </w:p>
        </w:tc>
        <w:tc>
          <w:tcPr>
            <w:tcW w:w="1571" w:type="dxa"/>
            <w:vMerge/>
            <w:tcBorders>
              <w:left w:val="single" w:sz="4" w:space="0" w:color="000000"/>
              <w:right w:val="single" w:sz="4" w:space="0" w:color="000000"/>
            </w:tcBorders>
            <w:shd w:val="clear" w:color="auto" w:fill="D2D2D2"/>
          </w:tcPr>
          <w:p>
            <w:pPr/>
          </w:p>
        </w:tc>
        <w:tc>
          <w:tcPr>
            <w:tcW w:w="1618" w:type="dxa"/>
            <w:vMerge/>
            <w:tcBorders>
              <w:left w:val="single" w:sz="9" w:space="0" w:color="D2D2D2"/>
              <w:right w:val="single" w:sz="13" w:space="0" w:color="D2D2D2"/>
            </w:tcBorders>
          </w:tcPr>
          <w:p>
            <w:pPr/>
          </w:p>
        </w:tc>
        <w:tc>
          <w:tcPr>
            <w:tcW w:w="1572" w:type="dxa"/>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156" w:hRule="exact"/>
        </w:trPr>
        <w:tc>
          <w:tcPr>
            <w:tcW w:w="1595" w:type="dxa"/>
            <w:vMerge w:val="restart"/>
            <w:tcBorders>
              <w:top w:val="nil" w:sz="6" w:space="0" w:color="auto"/>
              <w:left w:val="single" w:sz="4" w:space="0" w:color="000000"/>
              <w:right w:val="single" w:sz="4" w:space="0" w:color="000000"/>
            </w:tcBorders>
            <w:shd w:val="clear" w:color="auto" w:fill="D2D2D2"/>
          </w:tcPr>
          <w:p>
            <w:pPr/>
          </w:p>
        </w:tc>
        <w:tc>
          <w:tcPr>
            <w:tcW w:w="1607" w:type="dxa"/>
            <w:vMerge/>
            <w:tcBorders>
              <w:left w:val="single" w:sz="9" w:space="0" w:color="D2D2D2"/>
              <w:right w:val="single" w:sz="9" w:space="0" w:color="D2D2D2"/>
            </w:tcBorders>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1618" w:type="dxa"/>
            <w:vMerge/>
            <w:tcBorders>
              <w:left w:val="single" w:sz="9" w:space="0" w:color="D2D2D2"/>
              <w:right w:val="single" w:sz="13" w:space="0" w:color="D2D2D2"/>
            </w:tcBorders>
          </w:tcPr>
          <w:p>
            <w:pPr/>
          </w:p>
        </w:tc>
        <w:tc>
          <w:tcPr>
            <w:tcW w:w="1572" w:type="dxa"/>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16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9" w:space="0" w:color="D2D2D2"/>
            </w:tcBorders>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8" w:type="dxa"/>
            <w:vMerge/>
            <w:tcBorders>
              <w:left w:val="single" w:sz="9" w:space="0" w:color="D2D2D2"/>
              <w:bottom w:val="single" w:sz="4" w:space="0" w:color="000000"/>
              <w:right w:val="single" w:sz="13" w:space="0" w:color="D2D2D2"/>
            </w:tcBorders>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1607" w:type="dxa"/>
            <w:vMerge/>
            <w:tcBorders>
              <w:left w:val="single" w:sz="13" w:space="0" w:color="D2D2D2"/>
              <w:bottom w:val="single" w:sz="4" w:space="0" w:color="000000"/>
              <w:right w:val="single" w:sz="4" w:space="0" w:color="000000"/>
            </w:tcBorders>
          </w:tcPr>
          <w:p>
            <w:pPr/>
          </w:p>
        </w:tc>
      </w:tr>
      <w:tr>
        <w:trPr>
          <w:trHeight w:val="397" w:hRule="exact"/>
        </w:trPr>
        <w:tc>
          <w:tcPr>
            <w:tcW w:w="95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662"/>
        <w:gridCol w:w="283"/>
        <w:gridCol w:w="851"/>
        <w:gridCol w:w="992"/>
        <w:gridCol w:w="710"/>
        <w:gridCol w:w="425"/>
        <w:gridCol w:w="1134"/>
        <w:gridCol w:w="92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7" w:right="10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c>
          <w:tcPr>
            <w:tcW w:w="945"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北京久其科技投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25.70%</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45,182,172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45,182,172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18.83%</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33,110,798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33,110,798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23,617,123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17,712,842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5,904,281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17,000,000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华夏成长证券投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7,937,268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7,937,268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7,937,268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6,740,885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5,430,664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1,310,221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易方达价值成长 混合型证券投资 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1.29%</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2" w:right="0"/>
              <w:jc w:val="left"/>
              <w:rPr>
                <w:rFonts w:ascii="Times New Roman" w:hAnsi="Times New Roman" w:cs="Times New Roman" w:eastAsia="Times New Roman" w:hint="default"/>
                <w:sz w:val="18"/>
                <w:szCs w:val="18"/>
              </w:rPr>
            </w:pPr>
            <w:r>
              <w:rPr>
                <w:rFonts w:ascii="Times New Roman"/>
                <w:sz w:val="18"/>
              </w:rPr>
              <w:t>2,270,476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2,270,476</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80" w:right="0"/>
              <w:jc w:val="left"/>
              <w:rPr>
                <w:rFonts w:ascii="Times New Roman" w:hAnsi="Times New Roman" w:cs="Times New Roman" w:eastAsia="Times New Roman" w:hint="default"/>
                <w:sz w:val="18"/>
                <w:szCs w:val="18"/>
              </w:rPr>
            </w:pPr>
            <w:r>
              <w:rPr>
                <w:rFonts w:ascii="Times New Roman"/>
                <w:sz w:val="18"/>
              </w:rPr>
              <w:t>2,270,476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广发聚丰股票型 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2,150,089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2,150,089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2,150,089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中国银行－华夏 回报证券投资基 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1,559,899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1,559,899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1,559,899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全国社保基金四 一一组合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0.85%</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1,499,788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1,499,788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1,499,788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中国建设银行股 份有限公司－兴 全社会责任股票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0.73%</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2" w:right="0"/>
              <w:jc w:val="left"/>
              <w:rPr>
                <w:rFonts w:ascii="Times New Roman" w:hAnsi="Times New Roman" w:cs="Times New Roman" w:eastAsia="Times New Roman" w:hint="default"/>
                <w:sz w:val="18"/>
                <w:szCs w:val="18"/>
              </w:rPr>
            </w:pPr>
            <w:r>
              <w:rPr>
                <w:rFonts w:ascii="Times New Roman"/>
                <w:sz w:val="18"/>
              </w:rPr>
              <w:t>1,277,122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1,277,122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80" w:right="0"/>
              <w:jc w:val="left"/>
              <w:rPr>
                <w:rFonts w:ascii="Times New Roman" w:hAnsi="Times New Roman" w:cs="Times New Roman" w:eastAsia="Times New Roman" w:hint="default"/>
                <w:sz w:val="18"/>
                <w:szCs w:val="18"/>
              </w:rPr>
            </w:pPr>
            <w:r>
              <w:rPr>
                <w:rFonts w:ascii="Times New Roman"/>
                <w:sz w:val="18"/>
              </w:rPr>
              <w:t>1,277,122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2" w:type="dxa"/>
            <w:gridSpan w:val="9"/>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147"/>
              <w:jc w:val="left"/>
              <w:rPr>
                <w:rFonts w:ascii="宋体" w:hAnsi="宋体" w:cs="宋体" w:eastAsia="宋体" w:hint="default"/>
                <w:sz w:val="18"/>
                <w:szCs w:val="18"/>
              </w:rPr>
            </w:pPr>
            <w:r>
              <w:rPr>
                <w:rFonts w:ascii="宋体" w:hAnsi="宋体" w:cs="宋体" w:eastAsia="宋体" w:hint="default"/>
                <w:sz w:val="18"/>
                <w:szCs w:val="18"/>
              </w:rPr>
              <w:t>董泰湘与赵福君系夫妻关系，且二人与股东欧阳曜均为北京久其科技投资有限公司股 东，三人分别持有北京久其科技投资有限公司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425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83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4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4254"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4254" w:type="dxa"/>
            <w:gridSpan w:val="4"/>
            <w:vMerge/>
            <w:tcBorders>
              <w:left w:val="single" w:sz="4" w:space="0" w:color="000000"/>
              <w:bottom w:val="nil" w:sz="6" w:space="0" w:color="auto"/>
              <w:right w:val="single" w:sz="4" w:space="0" w:color="000000"/>
            </w:tcBorders>
            <w:shd w:val="clear" w:color="auto" w:fill="D2D2D2"/>
          </w:tcPr>
          <w:p>
            <w:pPr/>
          </w:p>
        </w:tc>
        <w:tc>
          <w:tcPr>
            <w:tcW w:w="2836" w:type="dxa"/>
            <w:gridSpan w:val="4"/>
            <w:vMerge/>
            <w:tcBorders>
              <w:left w:val="single" w:sz="4" w:space="0" w:color="000000"/>
              <w:bottom w:val="nil" w:sz="6" w:space="0" w:color="auto"/>
              <w:right w:val="single" w:sz="4" w:space="0" w:color="000000"/>
            </w:tcBorders>
            <w:shd w:val="clear" w:color="auto" w:fill="D2D2D2"/>
          </w:tcPr>
          <w:p>
            <w:pP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25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83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45,182,172</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45,182,172</w:t>
            </w:r>
          </w:p>
        </w:tc>
      </w:tr>
      <w:tr>
        <w:trPr>
          <w:trHeight w:val="402"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33,110,798</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33,110,798</w:t>
            </w:r>
          </w:p>
        </w:tc>
      </w:tr>
      <w:tr>
        <w:trPr>
          <w:trHeight w:val="402"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7,937,268</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7,937,268</w:t>
            </w:r>
          </w:p>
        </w:tc>
      </w:tr>
      <w:tr>
        <w:trPr>
          <w:trHeight w:val="402"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5,904,281</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5,904,281</w:t>
            </w:r>
          </w:p>
        </w:tc>
      </w:tr>
      <w:tr>
        <w:trPr>
          <w:trHeight w:val="402"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中国工商银行－易方达价值成长混合型证券投资基金</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2,270,476</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2,270,476</w:t>
            </w:r>
          </w:p>
        </w:tc>
      </w:tr>
      <w:tr>
        <w:trPr>
          <w:trHeight w:val="402"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中国工商银行－广发聚丰股票型证券投资基金</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2,150,089</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2,150,089</w:t>
            </w:r>
          </w:p>
        </w:tc>
      </w:tr>
      <w:tr>
        <w:trPr>
          <w:trHeight w:val="402" w:hRule="exact"/>
        </w:trPr>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中国银行－华夏回报证券投资基金</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1,559,899</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center"/>
              <w:rPr>
                <w:rFonts w:ascii="Times New Roman" w:hAnsi="Times New Roman" w:cs="Times New Roman" w:eastAsia="Times New Roman" w:hint="default"/>
                <w:sz w:val="18"/>
                <w:szCs w:val="18"/>
              </w:rPr>
            </w:pPr>
            <w:r>
              <w:rPr>
                <w:rFonts w:ascii="Times New Roman"/>
                <w:sz w:val="18"/>
              </w:rPr>
              <w:t>1,559,899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5"/>
        <w:gridCol w:w="1418"/>
        <w:gridCol w:w="2836"/>
        <w:gridCol w:w="1559"/>
        <w:gridCol w:w="923"/>
      </w:tblGrid>
      <w:tr>
        <w:trPr>
          <w:trHeight w:val="402" w:hRule="exact"/>
        </w:trPr>
        <w:tc>
          <w:tcPr>
            <w:tcW w:w="4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全国社保基金四一一组合</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1,499,788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1,499,788</w:t>
            </w:r>
          </w:p>
        </w:tc>
      </w:tr>
      <w:tr>
        <w:trPr>
          <w:trHeight w:val="402" w:hRule="exact"/>
        </w:trPr>
        <w:tc>
          <w:tcPr>
            <w:tcW w:w="4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1,310,221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1,310,221</w:t>
            </w:r>
          </w:p>
        </w:tc>
      </w:tr>
      <w:tr>
        <w:trPr>
          <w:trHeight w:val="714" w:hRule="exact"/>
        </w:trPr>
        <w:tc>
          <w:tcPr>
            <w:tcW w:w="4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中国建设银行股份有限公司－兴全社会责任股票型证 券投资基金</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1,277,122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1,277,122</w:t>
            </w:r>
          </w:p>
        </w:tc>
      </w:tr>
      <w:tr>
        <w:trPr>
          <w:trHeight w:val="169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1"/>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736"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名股东中，董泰湘与赵福君系夫妻关系，且二人与股东欧阳曜均为北京 久其科技投资有限公司股东，三人分别持有北京久其科技投资有限公司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w:t>
            </w:r>
          </w:p>
          <w:p>
            <w:pPr>
              <w:pStyle w:val="TableParagraph"/>
              <w:spacing w:line="302" w:lineRule="auto" w:before="51"/>
              <w:ind w:left="23" w:right="22"/>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名股东及前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名无限售条件股东中的其他股东，未知他们之间是否存在 关联关系，也未知他们是否属于《上市公司收购管理办法》中规定的一致行动人。</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名普通股股东参与融资融券业</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务股东情况说</w:t>
            </w:r>
            <w:r>
              <w:rPr>
                <w:rFonts w:ascii="宋体" w:hAnsi="宋体" w:cs="宋体" w:eastAsia="宋体" w:hint="default"/>
                <w:spacing w:val="-28"/>
                <w:sz w:val="18"/>
                <w:szCs w:val="18"/>
              </w:rPr>
              <w:t>明</w:t>
            </w:r>
            <w:r>
              <w:rPr>
                <w:rFonts w:ascii="宋体" w:hAnsi="宋体" w:cs="宋体" w:eastAsia="宋体" w:hint="default"/>
                <w:sz w:val="18"/>
                <w:szCs w:val="18"/>
              </w:rPr>
              <w:t>（如有</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参</w:t>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2836" w:type="dxa"/>
            <w:tcBorders>
              <w:top w:val="single" w:sz="4" w:space="0" w:color="000000"/>
              <w:left w:val="nil" w:sz="6" w:space="0" w:color="auto"/>
              <w:bottom w:val="single" w:sz="4" w:space="0" w:color="000000"/>
              <w:right w:val="nil" w:sz="6" w:space="0" w:color="auto"/>
            </w:tcBorders>
          </w:tcPr>
          <w:p>
            <w:pPr/>
          </w:p>
        </w:tc>
        <w:tc>
          <w:tcPr>
            <w:tcW w:w="1559" w:type="dxa"/>
            <w:tcBorders>
              <w:top w:val="single" w:sz="4" w:space="0" w:color="000000"/>
              <w:left w:val="nil" w:sz="6" w:space="0" w:color="auto"/>
              <w:bottom w:val="single" w:sz="4" w:space="0" w:color="000000"/>
              <w:right w:val="nil" w:sz="6" w:space="0" w:color="auto"/>
            </w:tcBorders>
          </w:tcPr>
          <w:p>
            <w:pPr/>
          </w:p>
        </w:tc>
        <w:tc>
          <w:tcPr>
            <w:tcW w:w="923" w:type="dxa"/>
            <w:tcBorders>
              <w:top w:val="single" w:sz="4" w:space="0" w:color="000000"/>
              <w:left w:val="nil" w:sz="6" w:space="0" w:color="auto"/>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pict>
          <v:group style="position:absolute;margin-left:198.740005pt;margin-top:-28.48827pt;width:336.3pt;height:27.95pt;mso-position-horizontal-relative:page;mso-position-vertical-relative:paragraph;z-index:-777904" coordorigin="3975,-570" coordsize="6726,559">
            <v:group style="position:absolute;left:3986;top:-558;width:2;height:392" coordorigin="3986,-558" coordsize="2,392">
              <v:shape style="position:absolute;left:3986;top:-558;width:2;height:392" coordorigin="3986,-558" coordsize="0,392" path="m3986,-558l3986,-167e" filled="false" stroked="true" strokeweight="1.140pt" strokecolor="#ffffff">
                <v:path arrowok="t"/>
              </v:shape>
            </v:group>
            <v:group style="position:absolute;left:3975;top:-167;width:6726;height:156" coordorigin="3975,-167" coordsize="6726,156">
              <v:shape style="position:absolute;left:3975;top:-167;width:6726;height:156" coordorigin="3975,-167" coordsize="6726,156" path="m3975,-11l10700,-11,10700,-167,3975,-167,3975,-11xe" filled="true" fillcolor="#ffffff" stroked="false">
                <v:path arrowok="t"/>
                <v:fill type="solid"/>
              </v:shape>
            </v:group>
            <v:group style="position:absolute;left:3998;top:-558;width:6680;height:392" coordorigin="3998,-558" coordsize="6680,392">
              <v:shape style="position:absolute;left:3998;top:-558;width:6680;height:392" coordorigin="3998,-558" coordsize="6680,392" path="m3998,-167l10678,-167,10678,-558,3998,-558,3998,-167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91"/>
      <w:bookmarkEnd w:id="9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1276"/>
        <w:gridCol w:w="1134"/>
        <w:gridCol w:w="1134"/>
        <w:gridCol w:w="3047"/>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72" w:right="66"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北京久其科技投资有 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63361327-X</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left"/>
              <w:rPr>
                <w:rFonts w:ascii="宋体" w:hAnsi="宋体" w:cs="宋体" w:eastAsia="宋体" w:hint="default"/>
                <w:sz w:val="18"/>
                <w:szCs w:val="18"/>
              </w:rPr>
            </w:pPr>
            <w:r>
              <w:rPr>
                <w:rFonts w:ascii="宋体" w:hAnsi="宋体" w:cs="宋体" w:eastAsia="宋体" w:hint="default"/>
                <w:spacing w:val="-5"/>
                <w:sz w:val="18"/>
                <w:szCs w:val="18"/>
              </w:rPr>
              <w:t>许可经营项目：无。一般经营项目：投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资管理。法律、行政法规、国务院决定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禁止的，不得经营；法律、行政法规、 </w:t>
            </w:r>
            <w:r>
              <w:rPr>
                <w:rFonts w:ascii="宋体" w:hAnsi="宋体" w:cs="宋体" w:eastAsia="宋体" w:hint="default"/>
                <w:spacing w:val="-5"/>
                <w:sz w:val="18"/>
                <w:szCs w:val="18"/>
              </w:rPr>
              <w:t>国务院决定规定应经许可的，经审批机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关批准并经工商行政管理机关登记注 </w:t>
            </w:r>
            <w:r>
              <w:rPr>
                <w:rFonts w:ascii="宋体" w:hAnsi="宋体" w:cs="宋体" w:eastAsia="宋体" w:hint="default"/>
                <w:spacing w:val="-5"/>
                <w:sz w:val="18"/>
                <w:szCs w:val="18"/>
              </w:rPr>
              <w:t>册后方可经营；法律、行政法规、国务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院决定未规定许可的，自主选择经营项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目开展经营活动。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8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北京科投未来将继续以高科技企业为主展开投资活动。</w:t>
            </w:r>
          </w:p>
        </w:tc>
      </w:tr>
      <w:tr>
        <w:trPr>
          <w:trHeight w:val="714" w:hRule="exact"/>
        </w:trPr>
        <w:tc>
          <w:tcPr>
            <w:tcW w:w="170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pacing w:val="-10"/>
                <w:sz w:val="18"/>
                <w:szCs w:val="18"/>
              </w:rPr>
              <w:t>经营成果、财务状况、</w:t>
            </w:r>
            <w:r>
              <w:rPr>
                <w:rFonts w:ascii="宋体" w:hAnsi="宋体" w:cs="宋体" w:eastAsia="宋体" w:hint="default"/>
                <w:spacing w:val="-34"/>
                <w:sz w:val="18"/>
                <w:szCs w:val="18"/>
              </w:rPr>
              <w:t> </w:t>
            </w:r>
            <w:r>
              <w:rPr>
                <w:rFonts w:ascii="宋体" w:hAnsi="宋体" w:cs="宋体" w:eastAsia="宋体" w:hint="default"/>
                <w:sz w:val="18"/>
                <w:szCs w:val="18"/>
              </w:rPr>
              <w:t>现金流等</w:t>
            </w:r>
          </w:p>
        </w:tc>
        <w:tc>
          <w:tcPr>
            <w:tcW w:w="7867" w:type="dxa"/>
            <w:gridSpan w:val="5"/>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截至报告期末，久其科技资产总额为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6,383.10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万元，净资产为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6,375.86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万元，期末现金及现金等价</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物余额为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631.66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万元；久其科技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1,081.49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8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pict>
          <v:group style="position:absolute;margin-left:143.179993pt;margin-top:-102.618271pt;width:390.6pt;height:17.650pt;mso-position-horizontal-relative:page;mso-position-vertical-relative:paragraph;z-index:-777880" coordorigin="2864,-2052" coordsize="7812,353">
            <v:shape style="position:absolute;left:2864;top:-2052;width:7812;height:353" coordorigin="2864,-2052" coordsize="7812,353" path="m2864,-1700l10675,-1700,10675,-2052,2864,-2052,2864,-1700xe" filled="true" fillcolor="#ffffff" stroked="false">
              <v:path arrowok="t"/>
              <v:fill type="solid"/>
            </v:shape>
            <w10:wrap type="none"/>
          </v:group>
        </w:pict>
      </w: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公司实际控制人情况" w:id="92"/>
      <w:bookmarkEnd w:id="9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3179"/>
        <w:gridCol w:w="4121"/>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7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、董泰湘女士，</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月毕业于哈尔滨船舶工程学院计算机系，获硕 士学位。历任北京船舶工业管理干部学院讲师、太平洋软件（中国）有限公司技术部经理、 北京久其软件股份有限公司董事长。现任北京久其科技投资有限公司和公司控股子公司北京 久其智通数据科技有限公司执行董事。</w:t>
            </w:r>
            <w:r>
              <w:rPr>
                <w:rFonts w:ascii="Times New Roman" w:hAnsi="Times New Roman" w:cs="Times New Roman" w:eastAsia="Times New Roman" w:hint="default"/>
                <w:sz w:val="18"/>
                <w:szCs w:val="18"/>
              </w:rPr>
              <w:t>2</w:t>
            </w:r>
            <w:r>
              <w:rPr>
                <w:rFonts w:ascii="宋体" w:hAnsi="宋体" w:cs="宋体" w:eastAsia="宋体" w:hint="default"/>
                <w:sz w:val="18"/>
                <w:szCs w:val="18"/>
              </w:rPr>
              <w:t>、赵福君先生，</w:t>
            </w: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月毕业 于哈尔滨船舶工程学院计算机系，获硕士学位。历任北京船舶工业管理干部学院计算机系主 任、副教授、北京久其科技投资有限公司经理。现任公司董事长，成都久其软件有限公司、 上海久其软件有限公司、新疆久其科技有限公司、重庆久其软件有限公司、西安久其软件有 限公司、海南久其云计算科技有限公司等公司控股子公司的执行董事，中国软件行业协会第 六届理事会理事，全国会计信息化标准化技术委员会委员。</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年曾控股的境内外上 市公司情况</w:t>
            </w:r>
          </w:p>
        </w:tc>
        <w:tc>
          <w:tcPr>
            <w:tcW w:w="7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除久其软件外，董泰湘及赵福君过去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年未曾控股其他的境内外上市公司。</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2"/>
        <w:rPr>
          <w:rFonts w:ascii="宋体" w:hAnsi="宋体" w:cs="宋体" w:eastAsia="宋体" w:hint="default"/>
          <w:sz w:val="19"/>
          <w:szCs w:val="19"/>
        </w:rPr>
      </w:pPr>
    </w:p>
    <w:p>
      <w:pPr>
        <w:spacing w:line="3272" w:lineRule="exact"/>
        <w:ind w:left="2558"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063313" cy="207797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3063313" cy="2077974"/>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6"/>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93"/>
      <w:bookmarkEnd w:id="9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公司股东及其一致行动人在报告期提出或实施股份增持计划的情况" w:id="94"/>
      <w:bookmarkEnd w:id="94"/>
      <w:r>
        <w:rPr>
          <w:b w:val="0"/>
          <w:bCs w:val="0"/>
        </w:rPr>
      </w:r>
      <w:r>
        <w:rPr/>
        <w:t>三、公司股东及其一致行动人在报告期提出或实施股份增持计划的情况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37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95"/>
      <w:bookmarkEnd w:id="95"/>
      <w:r>
        <w:rPr>
          <w:b w:val="0"/>
          <w:bCs w:val="0"/>
        </w:rPr>
      </w:r>
      <w:bookmarkStart w:name="_bookmark5" w:id="96"/>
      <w:bookmarkEnd w:id="9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97"/>
      <w:bookmarkEnd w:id="97"/>
      <w:r>
        <w:rPr>
          <w:b w:val="0"/>
          <w:bCs w:val="0"/>
        </w:rPr>
      </w:r>
      <w:bookmarkStart w:name="_bookmark6" w:id="98"/>
      <w:bookmarkEnd w:id="9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9"/>
      <w:bookmarkEnd w:id="9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23,617,123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23,617,123</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1,013,979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1,013,979</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7,240,885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6,740,885</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裁、财务总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32,438,187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31,894,587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任职情况" w:id="100"/>
      <w:bookmarkEnd w:id="100"/>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（一）公司董事会成员</w:t>
      </w:r>
    </w:p>
    <w:p>
      <w:pPr>
        <w:spacing w:line="309" w:lineRule="auto" w:before="77"/>
        <w:ind w:left="153"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、赵福君先生，</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月出生，硕士研究生。</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年创办久其公司，现任公司董事长，成都久其软件有限公司、上海</w:t>
      </w:r>
      <w:r>
        <w:rPr>
          <w:rFonts w:ascii="宋体" w:hAnsi="宋体" w:cs="宋体" w:eastAsia="宋体" w:hint="default"/>
          <w:sz w:val="18"/>
          <w:szCs w:val="18"/>
        </w:rPr>
        <w:t> </w:t>
      </w:r>
      <w:r>
        <w:rPr>
          <w:rFonts w:ascii="宋体" w:hAnsi="宋体" w:cs="宋体" w:eastAsia="宋体" w:hint="default"/>
          <w:spacing w:val="-2"/>
          <w:sz w:val="18"/>
          <w:szCs w:val="18"/>
        </w:rPr>
        <w:t>久其软件有限公司、重庆久其软件有限公司、西安久其软件有限公司、新疆久其科技有限公司、海南久其云计算科技有限公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司等公司控股子公司执行董事。</w:t>
      </w:r>
    </w:p>
    <w:p>
      <w:pPr>
        <w:spacing w:line="300" w:lineRule="auto" w:before="24"/>
        <w:ind w:left="154" w:right="1118"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、施瑞丰先生，</w:t>
      </w:r>
      <w:r>
        <w:rPr>
          <w:rFonts w:ascii="Times New Roman" w:hAnsi="Times New Roman" w:cs="Times New Roman" w:eastAsia="Times New Roman" w:hint="default"/>
          <w:spacing w:val="-2"/>
          <w:sz w:val="18"/>
          <w:szCs w:val="18"/>
        </w:rPr>
        <w:t>1972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月出生，本科学历。公司创始人之一，现任公司董事、总裁及北京久其政务软件股份有限公司</w:t>
      </w:r>
      <w:r>
        <w:rPr>
          <w:rFonts w:ascii="宋体" w:hAnsi="宋体" w:cs="宋体" w:eastAsia="宋体" w:hint="default"/>
          <w:sz w:val="18"/>
          <w:szCs w:val="18"/>
        </w:rPr>
        <w:t> 董事长。</w:t>
      </w:r>
    </w:p>
    <w:p>
      <w:pPr>
        <w:spacing w:line="300" w:lineRule="auto" w:before="31"/>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、欧阳曜先生，</w:t>
      </w:r>
      <w:r>
        <w:rPr>
          <w:rFonts w:ascii="Times New Roman" w:hAnsi="Times New Roman" w:cs="Times New Roman" w:eastAsia="Times New Roman" w:hint="default"/>
          <w:spacing w:val="-2"/>
          <w:sz w:val="18"/>
          <w:szCs w:val="18"/>
        </w:rPr>
        <w:t>1976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月出生，硕士学位。公司创始人之一，现任公司董事、副总裁、电子政务事业部总经理及北京</w:t>
      </w:r>
      <w:r>
        <w:rPr>
          <w:rFonts w:ascii="宋体" w:hAnsi="宋体" w:cs="宋体" w:eastAsia="宋体" w:hint="default"/>
          <w:sz w:val="18"/>
          <w:szCs w:val="18"/>
        </w:rPr>
        <w:t> 久其科技投资有限公司监事。</w:t>
      </w:r>
    </w:p>
    <w:p>
      <w:pPr>
        <w:spacing w:line="300" w:lineRule="auto" w:before="31"/>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、邱安超先生，</w:t>
      </w:r>
      <w:r>
        <w:rPr>
          <w:rFonts w:ascii="Times New Roman" w:hAnsi="Times New Roman" w:cs="Times New Roman" w:eastAsia="Times New Roman" w:hint="default"/>
          <w:spacing w:val="-2"/>
          <w:sz w:val="18"/>
          <w:szCs w:val="18"/>
        </w:rPr>
        <w:t>1968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月出生，本科学历，高级经济师，中国注册会计师非执业会员。</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年加入公司，现任公司董</w:t>
      </w:r>
      <w:r>
        <w:rPr>
          <w:rFonts w:ascii="宋体" w:hAnsi="宋体" w:cs="宋体" w:eastAsia="宋体" w:hint="default"/>
          <w:sz w:val="18"/>
          <w:szCs w:val="18"/>
        </w:rPr>
        <w:t> 事、副总裁、财务总监，北京亿起联科技有限公司董事，广东同望科技股份有限公司董事。</w:t>
      </w:r>
    </w:p>
    <w:p>
      <w:pPr>
        <w:spacing w:line="300" w:lineRule="auto" w:before="31"/>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、韩凤岐先生，</w:t>
      </w:r>
      <w:r>
        <w:rPr>
          <w:rFonts w:ascii="Times New Roman" w:hAnsi="Times New Roman" w:cs="Times New Roman" w:eastAsia="Times New Roman" w:hint="default"/>
          <w:spacing w:val="-2"/>
          <w:sz w:val="18"/>
          <w:szCs w:val="18"/>
        </w:rPr>
        <w:t>1949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月出生，本科学历，高级会计师。曾任北京旅游集团公司财务总监、总会计师，北京首都旅游</w:t>
      </w:r>
      <w:r>
        <w:rPr>
          <w:rFonts w:ascii="宋体" w:hAnsi="宋体" w:cs="宋体" w:eastAsia="宋体" w:hint="default"/>
          <w:sz w:val="18"/>
          <w:szCs w:val="18"/>
        </w:rPr>
        <w:t> 股份有限公司董事，中国全聚德（集团）股份有限公司董事。现任公司独立董事。</w:t>
      </w:r>
    </w:p>
    <w:p>
      <w:pPr>
        <w:spacing w:line="312" w:lineRule="auto" w:before="31"/>
        <w:ind w:left="153"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、祝卫先生，</w:t>
      </w:r>
      <w:r>
        <w:rPr>
          <w:rFonts w:ascii="Times New Roman" w:hAnsi="Times New Roman" w:cs="Times New Roman" w:eastAsia="Times New Roman" w:hint="default"/>
          <w:spacing w:val="-2"/>
          <w:sz w:val="18"/>
          <w:szCs w:val="18"/>
        </w:rPr>
        <w:t>1965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月出生，硕士研究生，高级经济师，注册会计师。曾任财政部工业交通司、经贸司副处长，中晟</w:t>
      </w:r>
      <w:r>
        <w:rPr>
          <w:rFonts w:ascii="宋体" w:hAnsi="宋体" w:cs="宋体" w:eastAsia="宋体" w:hint="default"/>
          <w:sz w:val="18"/>
          <w:szCs w:val="18"/>
        </w:rPr>
        <w:t> </w:t>
      </w:r>
      <w:r>
        <w:rPr>
          <w:rFonts w:ascii="宋体" w:hAnsi="宋体" w:cs="宋体" w:eastAsia="宋体" w:hint="default"/>
          <w:spacing w:val="-2"/>
          <w:sz w:val="18"/>
          <w:szCs w:val="18"/>
        </w:rPr>
        <w:t>环保科技开发投资有限公司董事、副总经理，武汉健民药业集团股份有限公司、北京湘鄂情集团股份有限公司独立董事。现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任公司独立董事，中天运会计师事务所（特殊普通合伙）执行合伙人，杭州华东医药股份有限公司独立董事，华夏银行股份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有限公司外部监事。</w:t>
      </w:r>
    </w:p>
    <w:p>
      <w:pPr>
        <w:spacing w:line="240" w:lineRule="auto" w:before="7"/>
        <w:rPr>
          <w:rFonts w:ascii="宋体" w:hAnsi="宋体" w:cs="宋体" w:eastAsia="宋体" w:hint="default"/>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（二）公司监事会成员</w:t>
      </w:r>
    </w:p>
    <w:p>
      <w:pPr>
        <w:spacing w:before="7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、王劲岩女士，</w:t>
      </w:r>
      <w:r>
        <w:rPr>
          <w:rFonts w:ascii="Times New Roman" w:hAnsi="Times New Roman" w:cs="Times New Roman" w:eastAsia="Times New Roman" w:hint="default"/>
          <w:sz w:val="18"/>
          <w:szCs w:val="18"/>
        </w:rPr>
        <w:t>1975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月出生，大学学历。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年加入公司，现任公司监事会主席、工会主席、服务中心经理。</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、曾超先生，</w:t>
      </w:r>
      <w:r>
        <w:rPr>
          <w:rFonts w:ascii="Times New Roman" w:hAnsi="Times New Roman" w:cs="Times New Roman" w:eastAsia="Times New Roman" w:hint="default"/>
          <w:sz w:val="18"/>
          <w:szCs w:val="18"/>
        </w:rPr>
        <w:t>1978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月出生，本科学历。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年加入公司，现任公司监事、集团管控事业部总经理。</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、蒋硕先生，</w:t>
      </w:r>
      <w:r>
        <w:rPr>
          <w:rFonts w:ascii="Times New Roman" w:hAnsi="Times New Roman" w:cs="Times New Roman" w:eastAsia="Times New Roman" w:hint="default"/>
          <w:sz w:val="18"/>
          <w:szCs w:val="18"/>
        </w:rPr>
        <w:t>1971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月出生，大专学历。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年加入公司，现任公司监事。</w:t>
      </w:r>
    </w:p>
    <w:p>
      <w:pPr>
        <w:spacing w:line="240" w:lineRule="auto" w:before="0"/>
        <w:rPr>
          <w:rFonts w:ascii="宋体" w:hAnsi="宋体" w:cs="宋体" w:eastAsia="宋体" w:hint="default"/>
          <w:sz w:val="18"/>
          <w:szCs w:val="18"/>
        </w:rPr>
      </w:pPr>
    </w:p>
    <w:p>
      <w:pPr>
        <w:spacing w:before="139"/>
        <w:ind w:left="153" w:right="0" w:firstLine="0"/>
        <w:jc w:val="left"/>
        <w:rPr>
          <w:rFonts w:ascii="宋体" w:hAnsi="宋体" w:cs="宋体" w:eastAsia="宋体" w:hint="default"/>
          <w:sz w:val="18"/>
          <w:szCs w:val="18"/>
        </w:rPr>
      </w:pPr>
      <w:r>
        <w:rPr>
          <w:rFonts w:ascii="宋体" w:hAnsi="宋体" w:cs="宋体" w:eastAsia="宋体" w:hint="default"/>
          <w:sz w:val="18"/>
          <w:szCs w:val="18"/>
        </w:rPr>
        <w:t>（三）公司高级管理人员</w:t>
      </w:r>
    </w:p>
    <w:p>
      <w:pPr>
        <w:spacing w:before="76"/>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、施瑞丰先生简历见董事简历。</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、欧阳曜先生简历见董事简历。</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、邱安超先生简历见董事简历。</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、刘文圣先生，</w:t>
      </w:r>
      <w:r>
        <w:rPr>
          <w:rFonts w:ascii="Times New Roman" w:hAnsi="Times New Roman" w:cs="Times New Roman" w:eastAsia="Times New Roman" w:hint="default"/>
          <w:sz w:val="18"/>
          <w:szCs w:val="18"/>
        </w:rPr>
        <w:t>1974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月出生，硕士研究生。</w:t>
      </w:r>
      <w:r>
        <w:rPr>
          <w:rFonts w:ascii="Times New Roman" w:hAnsi="Times New Roman" w:cs="Times New Roman" w:eastAsia="Times New Roman" w:hint="default"/>
          <w:sz w:val="18"/>
          <w:szCs w:val="18"/>
        </w:rPr>
        <w:t>2002</w:t>
      </w:r>
      <w:r>
        <w:rPr>
          <w:rFonts w:ascii="宋体" w:hAnsi="宋体" w:cs="宋体" w:eastAsia="宋体" w:hint="default"/>
          <w:sz w:val="18"/>
          <w:szCs w:val="18"/>
        </w:rPr>
        <w:t>年加入公司，现任公司副总裁、大数据事业部总经理。</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、朱晓钧先生，</w:t>
      </w:r>
      <w:r>
        <w:rPr>
          <w:rFonts w:ascii="Times New Roman" w:hAnsi="Times New Roman" w:cs="Times New Roman" w:eastAsia="Times New Roman" w:hint="default"/>
          <w:sz w:val="18"/>
          <w:szCs w:val="18"/>
        </w:rPr>
        <w:t>1976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月出生，硕士学位。</w:t>
      </w:r>
      <w:r>
        <w:rPr>
          <w:rFonts w:ascii="Times New Roman" w:hAnsi="Times New Roman" w:cs="Times New Roman" w:eastAsia="Times New Roman" w:hint="default"/>
          <w:sz w:val="18"/>
          <w:szCs w:val="18"/>
        </w:rPr>
        <w:t>1999</w:t>
      </w:r>
      <w:r>
        <w:rPr>
          <w:rFonts w:ascii="宋体" w:hAnsi="宋体" w:cs="宋体" w:eastAsia="宋体" w:hint="default"/>
          <w:sz w:val="18"/>
          <w:szCs w:val="18"/>
        </w:rPr>
        <w:t>年加入公司，现任公司副总裁、通信行业事业部总经理。</w:t>
      </w:r>
    </w:p>
    <w:p>
      <w:pPr>
        <w:spacing w:line="300" w:lineRule="auto" w:before="63"/>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、王海霞女士，</w:t>
      </w:r>
      <w:r>
        <w:rPr>
          <w:rFonts w:ascii="Times New Roman" w:hAnsi="Times New Roman" w:cs="Times New Roman" w:eastAsia="Times New Roman" w:hint="default"/>
          <w:spacing w:val="-5"/>
          <w:sz w:val="18"/>
          <w:szCs w:val="18"/>
        </w:rPr>
        <w:t>1977</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月出生，本科学历。</w:t>
      </w:r>
      <w:r>
        <w:rPr>
          <w:rFonts w:ascii="Times New Roman" w:hAnsi="Times New Roman" w:cs="Times New Roman" w:eastAsia="Times New Roman" w:hint="default"/>
          <w:spacing w:val="-5"/>
          <w:sz w:val="18"/>
          <w:szCs w:val="18"/>
        </w:rPr>
        <w:t>2001</w:t>
      </w:r>
      <w:r>
        <w:rPr>
          <w:rFonts w:ascii="宋体" w:hAnsi="宋体" w:cs="宋体" w:eastAsia="宋体" w:hint="default"/>
          <w:spacing w:val="-5"/>
          <w:sz w:val="18"/>
          <w:szCs w:val="18"/>
        </w:rPr>
        <w:t>年加入公司，现任公司副总裁、董事会秘书，新疆久其科技有限公司、</w:t>
      </w:r>
      <w:r>
        <w:rPr>
          <w:rFonts w:ascii="宋体" w:hAnsi="宋体" w:cs="宋体" w:eastAsia="宋体" w:hint="default"/>
          <w:sz w:val="18"/>
          <w:szCs w:val="18"/>
        </w:rPr>
        <w:t> 海南久其云计算科技有限公司监事。</w:t>
      </w:r>
    </w:p>
    <w:p>
      <w:pPr>
        <w:spacing w:line="240" w:lineRule="auto" w:before="0"/>
        <w:rPr>
          <w:rFonts w:ascii="宋体" w:hAnsi="宋体" w:cs="宋体" w:eastAsia="宋体" w:hint="default"/>
          <w:sz w:val="18"/>
          <w:szCs w:val="18"/>
        </w:rPr>
      </w:pPr>
    </w:p>
    <w:p>
      <w:pPr>
        <w:spacing w:before="148"/>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2342"/>
        <w:gridCol w:w="1134"/>
        <w:gridCol w:w="1702"/>
        <w:gridCol w:w="1701"/>
        <w:gridCol w:w="14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11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9"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5"/>
              <w:jc w:val="center"/>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3119"/>
        <w:gridCol w:w="1134"/>
        <w:gridCol w:w="1547"/>
        <w:gridCol w:w="1572"/>
        <w:gridCol w:w="1345"/>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中天运会计师事务所（特殊普通合伙）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杭州华东医药股份有限公司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101"/>
      <w:bookmarkEnd w:id="101"/>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309" w:lineRule="auto" w:before="116"/>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、公司董事会薪酬与考核委员会负责研究董事、高级管理人员考核的标准，根据董事、高级管理人员岗位职责制定薪酬方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案，审查公司董事、高级管理人员的履职情况并对其进行年度绩效考评。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、公司独立董事津贴标准按照由股东大会审议通过的《独立董事津贴办法》执行。</w:t>
      </w:r>
    </w:p>
    <w:p>
      <w:pPr>
        <w:spacing w:line="309" w:lineRule="auto" w:before="5"/>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、公司董事、监事按照其在公司的任职情况，根据公司现行薪酬管理制度、绩效管理制度的规定领取薪酬；公司外部董事、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监事经股东大会批准后可以领取津贴。 </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、根据公司《董事、监事和高级管理人员薪酬管理制度》的规定，公司董事长及高级管理人员的年度薪酬总额由基本年薪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和浮动奖金两部分构成，根据个人工作职务及岗位级别确定其基本年薪；根据公司经营业绩及个人年度绩效考核结果确定其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浮动奖金。</w:t>
      </w:r>
    </w:p>
    <w:p>
      <w:pPr>
        <w:spacing w:before="65"/>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638"/>
        <w:gridCol w:w="752"/>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邱安超</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董事、副总裁、财务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总监</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王劲岩</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曾超</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蒋硕</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刘文圣</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638"/>
        <w:gridCol w:w="752"/>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朱晓钧</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王海霞</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副总裁、董事会秘书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102"/>
      <w:bookmarkEnd w:id="102"/>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822"/>
        <w:gridCol w:w="375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03"/>
      <w:bookmarkEnd w:id="103"/>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报告期内，公司未发生核心技术团队或关键技术人员（非董事、监事、高级管理人员）变动情况。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公司员工情况" w:id="104"/>
      <w:bookmarkEnd w:id="104"/>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spacing w:line="300" w:lineRule="auto" w:before="0"/>
        <w:ind w:left="513" w:right="2473"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日，公司员工（含控股子公司）总数为</w:t>
      </w:r>
      <w:r>
        <w:rPr>
          <w:rFonts w:ascii="Times New Roman" w:hAnsi="Times New Roman" w:cs="Times New Roman" w:eastAsia="Times New Roman" w:hint="default"/>
          <w:sz w:val="18"/>
          <w:szCs w:val="18"/>
        </w:rPr>
        <w:t>1389</w:t>
      </w:r>
      <w:r>
        <w:rPr>
          <w:rFonts w:ascii="宋体" w:hAnsi="宋体" w:cs="宋体" w:eastAsia="宋体" w:hint="default"/>
          <w:sz w:val="18"/>
          <w:szCs w:val="18"/>
        </w:rPr>
        <w:t>人，公司没有承担费用的离退休职工。 公司员工专业构成、教育程度、薪酬政策、培训计划等情况如下：</w:t>
      </w:r>
    </w:p>
    <w:p>
      <w:pPr>
        <w:spacing w:before="3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、专业构成</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262"/>
        <w:gridCol w:w="2126"/>
        <w:gridCol w:w="4112"/>
      </w:tblGrid>
      <w:tr>
        <w:trPr>
          <w:trHeight w:val="426" w:hRule="exact"/>
        </w:trPr>
        <w:tc>
          <w:tcPr>
            <w:tcW w:w="3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专业类别</w:t>
            </w:r>
          </w:p>
        </w:tc>
        <w:tc>
          <w:tcPr>
            <w:tcW w:w="2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41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328" w:right="0"/>
              <w:jc w:val="left"/>
              <w:rPr>
                <w:rFonts w:ascii="宋体" w:hAnsi="宋体" w:cs="宋体" w:eastAsia="宋体" w:hint="default"/>
                <w:sz w:val="18"/>
                <w:szCs w:val="18"/>
              </w:rPr>
            </w:pPr>
            <w:r>
              <w:rPr>
                <w:rFonts w:ascii="宋体" w:hAnsi="宋体" w:cs="宋体" w:eastAsia="宋体" w:hint="default"/>
                <w:sz w:val="18"/>
                <w:szCs w:val="18"/>
              </w:rPr>
              <w:t>占公司总人数比例</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销售人员</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65</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4.68%</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技术人员</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z w:val="20"/>
              </w:rPr>
              <w:t>1062</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z w:val="20"/>
              </w:rPr>
              <w:t>76.45%</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管理人员</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129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9.29%</w:t>
            </w:r>
          </w:p>
        </w:tc>
      </w:tr>
      <w:tr>
        <w:trPr>
          <w:trHeight w:val="347"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职能人员</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133</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9.58%</w:t>
            </w:r>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1389</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13"/>
        <w:rPr>
          <w:rFonts w:ascii="宋体" w:hAnsi="宋体" w:cs="宋体" w:eastAsia="宋体" w:hint="default"/>
          <w:sz w:val="9"/>
          <w:szCs w:val="9"/>
        </w:rPr>
      </w:pPr>
    </w:p>
    <w:p>
      <w:pPr>
        <w:spacing w:line="3457" w:lineRule="exact"/>
        <w:ind w:left="154"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849109" cy="2195703"/>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3849109" cy="2195703"/>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5"/>
        <w:rPr>
          <w:rFonts w:ascii="宋体" w:hAnsi="宋体" w:cs="宋体" w:eastAsia="宋体" w:hint="default"/>
          <w:sz w:val="9"/>
          <w:szCs w:val="9"/>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、教育程度</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119"/>
        <w:gridCol w:w="2693"/>
        <w:gridCol w:w="3545"/>
      </w:tblGrid>
      <w:tr>
        <w:trPr>
          <w:trHeight w:val="346" w:hRule="exact"/>
        </w:trPr>
        <w:tc>
          <w:tcPr>
            <w:tcW w:w="31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学历类别</w:t>
            </w:r>
          </w:p>
        </w:tc>
        <w:tc>
          <w:tcPr>
            <w:tcW w:w="26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人数</w:t>
            </w:r>
          </w:p>
        </w:tc>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left="966" w:right="0"/>
              <w:jc w:val="left"/>
              <w:rPr>
                <w:rFonts w:ascii="宋体" w:hAnsi="宋体" w:cs="宋体" w:eastAsia="宋体" w:hint="default"/>
                <w:sz w:val="20"/>
                <w:szCs w:val="20"/>
              </w:rPr>
            </w:pPr>
            <w:r>
              <w:rPr>
                <w:rFonts w:ascii="宋体" w:hAnsi="宋体" w:cs="宋体" w:eastAsia="宋体" w:hint="default"/>
                <w:sz w:val="20"/>
                <w:szCs w:val="20"/>
              </w:rPr>
              <w:t>占公司总人数比例</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研究生及以上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92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6.62%</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19"/>
        <w:gridCol w:w="2693"/>
        <w:gridCol w:w="3545"/>
      </w:tblGrid>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本科</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1048</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75.46%</w:t>
            </w:r>
          </w:p>
        </w:tc>
      </w:tr>
      <w:tr>
        <w:trPr>
          <w:trHeight w:val="427"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大专</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217</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15.62%</w:t>
            </w:r>
          </w:p>
        </w:tc>
      </w:tr>
      <w:tr>
        <w:trPr>
          <w:trHeight w:val="426"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大专以下</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32</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z w:val="20"/>
              </w:rPr>
              <w:t>2.30%</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1389</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4"/>
        <w:rPr>
          <w:rFonts w:ascii="宋体" w:hAnsi="宋体" w:cs="宋体" w:eastAsia="宋体" w:hint="default"/>
          <w:sz w:val="7"/>
          <w:szCs w:val="7"/>
        </w:rPr>
      </w:pPr>
    </w:p>
    <w:p>
      <w:pPr>
        <w:spacing w:line="3525" w:lineRule="exact"/>
        <w:ind w:left="154"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195225" cy="223875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6" cstate="print"/>
                    <a:stretch>
                      <a:fillRect/>
                    </a:stretch>
                  </pic:blipFill>
                  <pic:spPr>
                    <a:xfrm>
                      <a:off x="0" y="0"/>
                      <a:ext cx="4195225" cy="223875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、薪酬政策</w:t>
      </w:r>
    </w:p>
    <w:p>
      <w:pPr>
        <w:spacing w:line="312" w:lineRule="auto" w:before="63"/>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为了使公司薪酬政策起到吸引人才、激励员工、促进业绩目标完成的作用，公司根据行业薪酬状况以及公司薪酬在市场</w:t>
      </w:r>
      <w:r>
        <w:rPr>
          <w:rFonts w:ascii="宋体" w:hAnsi="宋体" w:cs="宋体" w:eastAsia="宋体" w:hint="default"/>
          <w:sz w:val="18"/>
          <w:szCs w:val="18"/>
        </w:rPr>
        <w:t> </w:t>
      </w:r>
      <w:r>
        <w:rPr>
          <w:rFonts w:ascii="宋体" w:hAnsi="宋体" w:cs="宋体" w:eastAsia="宋体" w:hint="default"/>
          <w:spacing w:val="-2"/>
          <w:sz w:val="18"/>
          <w:szCs w:val="18"/>
        </w:rPr>
        <w:t>中的定位，制定了公司《薪酬管理制度》、《人事管理制度》、《招聘管理制度》及《任职资格管理制度》等。公司薪酬政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策以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外部均衡性、内部均衡性和个体均衡性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为原则，保证了员工薪酬的公平性和激励作用，促进了公司员工与公司共同成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长与发展。</w:t>
      </w:r>
    </w:p>
    <w:p>
      <w:pPr>
        <w:spacing w:line="300" w:lineRule="auto" w:before="22"/>
        <w:ind w:left="444" w:right="1118"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、培训计划 </w:t>
      </w:r>
      <w:r>
        <w:rPr>
          <w:rFonts w:ascii="宋体" w:hAnsi="宋体" w:cs="宋体" w:eastAsia="宋体" w:hint="default"/>
          <w:spacing w:val="-1"/>
          <w:sz w:val="18"/>
          <w:szCs w:val="18"/>
        </w:rPr>
        <w:t>公司高度重视员工培训工作，为员工搭建了全方位、分层次的培训体系，并制定了《培训学习管理制度》。公司针对不</w:t>
      </w:r>
    </w:p>
    <w:p>
      <w:pPr>
        <w:spacing w:line="316" w:lineRule="auto" w:before="31"/>
        <w:ind w:left="154" w:right="1127" w:firstLine="0"/>
        <w:jc w:val="left"/>
        <w:rPr>
          <w:rFonts w:ascii="宋体" w:hAnsi="宋体" w:cs="宋体" w:eastAsia="宋体" w:hint="default"/>
          <w:sz w:val="18"/>
          <w:szCs w:val="18"/>
        </w:rPr>
      </w:pPr>
      <w:r>
        <w:rPr>
          <w:rFonts w:ascii="宋体" w:hAnsi="宋体" w:cs="宋体" w:eastAsia="宋体" w:hint="default"/>
          <w:spacing w:val="-5"/>
          <w:sz w:val="18"/>
          <w:szCs w:val="18"/>
        </w:rPr>
        <w:t>同层级、不同岗位对员工技能的要求，设置不同层次的岗位技能培训课程，如管理人员培训、项目管理人员培训、业务培训、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岗前培训、素质培训等等，从而全面提升公司员工的岗位胜任能力和综合素质能力。</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248"/>
        <w:jc w:val="center"/>
        <w:rPr>
          <w:b w:val="0"/>
          <w:bCs w:val="0"/>
        </w:rPr>
      </w:pPr>
      <w:bookmarkStart w:name="第九节 公司治理" w:id="105"/>
      <w:bookmarkEnd w:id="105"/>
      <w:r>
        <w:rPr>
          <w:b w:val="0"/>
          <w:bCs w:val="0"/>
        </w:rPr>
      </w:r>
      <w:bookmarkStart w:name="_bookmark7" w:id="106"/>
      <w:bookmarkEnd w:id="10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07"/>
      <w:bookmarkEnd w:id="107"/>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报告期内，公司严格按照《公司法》、《证券法》、《上市公司治理准则》、《深圳证券交易所股票上市规则》、《深</w:t>
      </w:r>
      <w:r>
        <w:rPr>
          <w:rFonts w:ascii="宋体" w:hAnsi="宋体" w:cs="宋体" w:eastAsia="宋体" w:hint="default"/>
          <w:sz w:val="18"/>
          <w:szCs w:val="18"/>
        </w:rPr>
        <w:t> </w:t>
      </w:r>
      <w:r>
        <w:rPr>
          <w:rFonts w:ascii="宋体" w:hAnsi="宋体" w:cs="宋体" w:eastAsia="宋体" w:hint="default"/>
          <w:spacing w:val="-2"/>
          <w:sz w:val="18"/>
          <w:szCs w:val="18"/>
        </w:rPr>
        <w:t>圳证券交易所中小企业板上市公司规范运作指引》等相关法律、法规的规定，不断完善公司法人治理结构，健全内部控制体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系。</w:t>
      </w:r>
    </w:p>
    <w:p>
      <w:pPr>
        <w:spacing w:line="316" w:lineRule="auto" w:before="19"/>
        <w:ind w:left="514" w:right="0" w:hanging="360"/>
        <w:jc w:val="left"/>
        <w:rPr>
          <w:rFonts w:ascii="宋体" w:hAnsi="宋体" w:cs="宋体" w:eastAsia="宋体" w:hint="default"/>
          <w:sz w:val="18"/>
          <w:szCs w:val="18"/>
        </w:rPr>
      </w:pPr>
      <w:r>
        <w:rPr>
          <w:rFonts w:ascii="宋体" w:hAnsi="宋体" w:cs="宋体" w:eastAsia="宋体" w:hint="default"/>
          <w:sz w:val="18"/>
          <w:szCs w:val="18"/>
        </w:rPr>
        <w:t>（一）关于股东与股东大会 </w:t>
      </w:r>
      <w:r>
        <w:rPr>
          <w:rFonts w:ascii="宋体" w:hAnsi="宋体" w:cs="宋体" w:eastAsia="宋体" w:hint="default"/>
          <w:spacing w:val="-2"/>
          <w:sz w:val="18"/>
          <w:szCs w:val="18"/>
        </w:rPr>
        <w:t>公司严格按照《公司法》、《公司章程》及《股东大会议事规则》的要求，规范股东大会的召集、召开、提案提交及表</w:t>
      </w:r>
    </w:p>
    <w:p>
      <w:pPr>
        <w:spacing w:before="19"/>
        <w:ind w:left="154" w:right="0" w:firstLine="0"/>
        <w:jc w:val="left"/>
        <w:rPr>
          <w:rFonts w:ascii="宋体" w:hAnsi="宋体" w:cs="宋体" w:eastAsia="宋体" w:hint="default"/>
          <w:sz w:val="18"/>
          <w:szCs w:val="18"/>
        </w:rPr>
      </w:pPr>
      <w:r>
        <w:rPr>
          <w:rFonts w:ascii="宋体" w:hAnsi="宋体" w:cs="宋体" w:eastAsia="宋体" w:hint="default"/>
          <w:spacing w:val="-5"/>
          <w:sz w:val="18"/>
          <w:szCs w:val="18"/>
        </w:rPr>
        <w:t>决等程序，依法规范运作，保障股东的合法权益，确保股东特别是中小股东能够充分行使股东权利，未出现违法违规的情况。</w:t>
      </w:r>
    </w:p>
    <w:p>
      <w:pPr>
        <w:spacing w:line="316" w:lineRule="auto" w:before="76"/>
        <w:ind w:left="514" w:right="0" w:hanging="360"/>
        <w:jc w:val="left"/>
        <w:rPr>
          <w:rFonts w:ascii="宋体" w:hAnsi="宋体" w:cs="宋体" w:eastAsia="宋体" w:hint="default"/>
          <w:sz w:val="18"/>
          <w:szCs w:val="18"/>
        </w:rPr>
      </w:pPr>
      <w:r>
        <w:rPr>
          <w:rFonts w:ascii="宋体" w:hAnsi="宋体" w:cs="宋体" w:eastAsia="宋体" w:hint="default"/>
          <w:sz w:val="18"/>
          <w:szCs w:val="18"/>
        </w:rPr>
        <w:t>（二）关于公司与控股股东 </w:t>
      </w:r>
      <w:r>
        <w:rPr>
          <w:rFonts w:ascii="宋体" w:hAnsi="宋体" w:cs="宋体" w:eastAsia="宋体" w:hint="default"/>
          <w:spacing w:val="-2"/>
          <w:sz w:val="18"/>
          <w:szCs w:val="18"/>
        </w:rPr>
        <w:t>公司拥有独立的业务和经营自主能力，在业务、人员、资产、机构、财务上独立于控股股东，公司董事会、监事会和内</w:t>
      </w:r>
    </w:p>
    <w:p>
      <w:pPr>
        <w:spacing w:line="316" w:lineRule="auto" w:before="19"/>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部机构独立运作。公司控股股东能严格规范自己的行为，没有超越公司股东大会直接或间接干预公司的决策和经营活动的行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为。</w:t>
      </w:r>
    </w:p>
    <w:p>
      <w:pPr>
        <w:spacing w:line="316" w:lineRule="auto" w:before="19"/>
        <w:ind w:left="514" w:right="0" w:hanging="360"/>
        <w:jc w:val="left"/>
        <w:rPr>
          <w:rFonts w:ascii="宋体" w:hAnsi="宋体" w:cs="宋体" w:eastAsia="宋体" w:hint="default"/>
          <w:sz w:val="18"/>
          <w:szCs w:val="18"/>
        </w:rPr>
      </w:pPr>
      <w:r>
        <w:rPr>
          <w:rFonts w:ascii="宋体" w:hAnsi="宋体" w:cs="宋体" w:eastAsia="宋体" w:hint="default"/>
          <w:sz w:val="18"/>
          <w:szCs w:val="18"/>
        </w:rPr>
        <w:t>（三）关于董事和董事会 </w:t>
      </w:r>
      <w:r>
        <w:rPr>
          <w:rFonts w:ascii="宋体" w:hAnsi="宋体" w:cs="宋体" w:eastAsia="宋体" w:hint="default"/>
          <w:spacing w:val="-2"/>
          <w:sz w:val="18"/>
          <w:szCs w:val="18"/>
        </w:rPr>
        <w:t>公司董事会由</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名董事组成，其中独立董事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名。董事会的人数及人员构成符合相关法律、法规的要求。董事会按照《公</w:t>
      </w:r>
    </w:p>
    <w:p>
      <w:pPr>
        <w:spacing w:line="316"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司法》、《董事会议事规则》及《深圳证券交易所中小企业板上市公司规范运作指引》的要求召集组织会议，全体董事能够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依法行使职权，认真履行董事诚实守信、勤勉尽责的义务，认真出席董事会和股东大会。</w:t>
      </w:r>
    </w:p>
    <w:p>
      <w:pPr>
        <w:spacing w:line="319" w:lineRule="auto" w:before="19"/>
        <w:ind w:left="153" w:right="1133" w:firstLine="360"/>
        <w:jc w:val="both"/>
        <w:rPr>
          <w:rFonts w:ascii="宋体" w:hAnsi="宋体" w:cs="宋体" w:eastAsia="宋体" w:hint="default"/>
          <w:sz w:val="18"/>
          <w:szCs w:val="18"/>
        </w:rPr>
      </w:pPr>
      <w:r>
        <w:rPr>
          <w:rFonts w:ascii="宋体" w:hAnsi="宋体" w:cs="宋体" w:eastAsia="宋体" w:hint="default"/>
          <w:spacing w:val="-2"/>
          <w:sz w:val="18"/>
          <w:szCs w:val="18"/>
        </w:rPr>
        <w:t>董事会下设的战略发展委员会、审计委员会、薪酬与考核委员会和提名委员会，能够严格按照有关议事规则的要求召集</w:t>
      </w:r>
      <w:r>
        <w:rPr>
          <w:rFonts w:ascii="宋体" w:hAnsi="宋体" w:cs="宋体" w:eastAsia="宋体" w:hint="default"/>
          <w:sz w:val="18"/>
          <w:szCs w:val="18"/>
        </w:rPr>
        <w:t> </w:t>
      </w:r>
      <w:r>
        <w:rPr>
          <w:rFonts w:ascii="宋体" w:hAnsi="宋体" w:cs="宋体" w:eastAsia="宋体" w:hint="default"/>
          <w:spacing w:val="-5"/>
          <w:sz w:val="18"/>
          <w:szCs w:val="18"/>
        </w:rPr>
        <w:t>并组织会议，在董事会授权范围内，积极发挥专门委员会的专业作用，协助董事会履行职责，有效提升了董事会的履职能力，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进一步完善了公司治理结构。</w:t>
      </w:r>
    </w:p>
    <w:p>
      <w:pPr>
        <w:spacing w:line="316" w:lineRule="auto" w:before="17"/>
        <w:ind w:left="513" w:right="0" w:hanging="360"/>
        <w:jc w:val="left"/>
        <w:rPr>
          <w:rFonts w:ascii="宋体" w:hAnsi="宋体" w:cs="宋体" w:eastAsia="宋体" w:hint="default"/>
          <w:sz w:val="18"/>
          <w:szCs w:val="18"/>
        </w:rPr>
      </w:pPr>
      <w:r>
        <w:rPr>
          <w:rFonts w:ascii="宋体" w:hAnsi="宋体" w:cs="宋体" w:eastAsia="宋体" w:hint="default"/>
          <w:sz w:val="18"/>
          <w:szCs w:val="18"/>
        </w:rPr>
        <w:t>（四）关于监事和监事会 </w:t>
      </w:r>
      <w:r>
        <w:rPr>
          <w:rFonts w:ascii="宋体" w:hAnsi="宋体" w:cs="宋体" w:eastAsia="宋体" w:hint="default"/>
          <w:spacing w:val="-2"/>
          <w:sz w:val="18"/>
          <w:szCs w:val="18"/>
        </w:rPr>
        <w:t>公司监事会设监事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名，其中职工代表监事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名，监事会的人数和构成符合相关法律、法规的要求。监事会严格按照《公</w:t>
      </w:r>
    </w:p>
    <w:p>
      <w:pPr>
        <w:spacing w:line="316"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司章程》和《监事会议事规则》要求，对公司财务状况、董事会专门委员会及董事、独立董事、高级管理人员履职的合法合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规性进行了监督，切实履行了职责。</w:t>
      </w:r>
    </w:p>
    <w:p>
      <w:pPr>
        <w:spacing w:line="316" w:lineRule="auto" w:before="19"/>
        <w:ind w:left="514" w:right="0" w:hanging="360"/>
        <w:jc w:val="left"/>
        <w:rPr>
          <w:rFonts w:ascii="宋体" w:hAnsi="宋体" w:cs="宋体" w:eastAsia="宋体" w:hint="default"/>
          <w:sz w:val="18"/>
          <w:szCs w:val="18"/>
        </w:rPr>
      </w:pPr>
      <w:r>
        <w:rPr>
          <w:rFonts w:ascii="宋体" w:hAnsi="宋体" w:cs="宋体" w:eastAsia="宋体" w:hint="default"/>
          <w:sz w:val="18"/>
          <w:szCs w:val="18"/>
        </w:rPr>
        <w:t>（五）关于内部审计工作 </w:t>
      </w:r>
      <w:r>
        <w:rPr>
          <w:rFonts w:ascii="宋体" w:hAnsi="宋体" w:cs="宋体" w:eastAsia="宋体" w:hint="default"/>
          <w:spacing w:val="-2"/>
          <w:sz w:val="18"/>
          <w:szCs w:val="18"/>
        </w:rPr>
        <w:t>公司按照《公司法》、《审计法》、《审计署关于内部审计工作的规定》、《深圳证券交易所中小企业板上市公司规范</w:t>
      </w:r>
    </w:p>
    <w:p>
      <w:pPr>
        <w:spacing w:line="316" w:lineRule="auto" w:before="19"/>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运作指引》的要求，制定了《内部审计制度》，设立了审计部，并配备了专职的内部审计人员，对公司日常运营进行有效监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控，并对公司内控的完整性、合理性及其实施的有效性进行检查和评估。</w:t>
      </w:r>
    </w:p>
    <w:p>
      <w:pPr>
        <w:spacing w:line="316" w:lineRule="auto" w:before="19"/>
        <w:ind w:left="514" w:right="0" w:hanging="360"/>
        <w:jc w:val="left"/>
        <w:rPr>
          <w:rFonts w:ascii="宋体" w:hAnsi="宋体" w:cs="宋体" w:eastAsia="宋体" w:hint="default"/>
          <w:sz w:val="18"/>
          <w:szCs w:val="18"/>
        </w:rPr>
      </w:pPr>
      <w:r>
        <w:rPr>
          <w:rFonts w:ascii="宋体" w:hAnsi="宋体" w:cs="宋体" w:eastAsia="宋体" w:hint="default"/>
          <w:sz w:val="18"/>
          <w:szCs w:val="18"/>
        </w:rPr>
        <w:t>（六）关于相关利益者 </w:t>
      </w:r>
      <w:r>
        <w:rPr>
          <w:rFonts w:ascii="宋体" w:hAnsi="宋体" w:cs="宋体" w:eastAsia="宋体" w:hint="default"/>
          <w:spacing w:val="-2"/>
          <w:sz w:val="18"/>
          <w:szCs w:val="18"/>
        </w:rPr>
        <w:t>公司充分尊重和维护相关利益者的合法权益，实现社会、股东、公司、员工等各方利益的协调平衡，诚信对待供应商和</w:t>
      </w:r>
    </w:p>
    <w:p>
      <w:pPr>
        <w:spacing w:before="19"/>
        <w:ind w:left="154" w:right="0" w:firstLine="0"/>
        <w:jc w:val="left"/>
        <w:rPr>
          <w:rFonts w:ascii="宋体" w:hAnsi="宋体" w:cs="宋体" w:eastAsia="宋体" w:hint="default"/>
          <w:sz w:val="18"/>
          <w:szCs w:val="18"/>
        </w:rPr>
      </w:pPr>
      <w:r>
        <w:rPr>
          <w:rFonts w:ascii="宋体" w:hAnsi="宋体" w:cs="宋体" w:eastAsia="宋体" w:hint="default"/>
          <w:sz w:val="18"/>
          <w:szCs w:val="18"/>
        </w:rPr>
        <w:t>客户，坚持与相关利益者互利共赢的原则，共同推动公司持续、稳健发展。</w:t>
      </w:r>
    </w:p>
    <w:p>
      <w:pPr>
        <w:spacing w:line="316" w:lineRule="auto" w:before="76"/>
        <w:ind w:left="513" w:right="0" w:hanging="360"/>
        <w:jc w:val="left"/>
        <w:rPr>
          <w:rFonts w:ascii="宋体" w:hAnsi="宋体" w:cs="宋体" w:eastAsia="宋体" w:hint="default"/>
          <w:sz w:val="18"/>
          <w:szCs w:val="18"/>
        </w:rPr>
      </w:pPr>
      <w:r>
        <w:rPr>
          <w:rFonts w:ascii="宋体" w:hAnsi="宋体" w:cs="宋体" w:eastAsia="宋体" w:hint="default"/>
          <w:sz w:val="18"/>
          <w:szCs w:val="18"/>
        </w:rPr>
        <w:t>（七）关于信息披露与投资者关系管理 </w:t>
      </w:r>
      <w:r>
        <w:rPr>
          <w:rFonts w:ascii="宋体" w:hAnsi="宋体" w:cs="宋体" w:eastAsia="宋体" w:hint="default"/>
          <w:spacing w:val="-2"/>
          <w:sz w:val="18"/>
          <w:szCs w:val="18"/>
        </w:rPr>
        <w:t>公司严格按照中国证监会《上市公司信息披露管理办法》、《深圳证券交易所中小企业板上市公司规范运作指引》的规</w:t>
      </w:r>
    </w:p>
    <w:p>
      <w:pPr>
        <w:spacing w:line="314" w:lineRule="auto" w:before="17"/>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定，以及公司《信息披露制度》、《投资者关系管理制度》的要求，履行信息披露义务。公司董事会秘书为信息披露及投资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者关系管理的负责人，通过采用投资者专线电话、电子邮箱、现场接待及深圳证券交易所互动易平台等多种方式，实现与广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大投资者及时、高效的沟通；并及时通过深交所互动易平台向广大股东展示投资者关系活动记录表，着力于提高公司信息披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露的透明度及公平性。《中国证券报》、《证券时报》为公司信息披露的指定报纸，巨潮资讯网</w:t>
      </w:r>
      <w:hyperlink r:id="rId17">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为公司</w:t>
        </w:r>
      </w:hyperlink>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5"/>
          <w:sz w:val="18"/>
          <w:szCs w:val="18"/>
        </w:rPr>
        <w:t>信息披露的指定网站，严格按照有关规定真实、准确、完整、及时地披露有关信息，确保公司所有股东能够平等地获得信息。</w:t>
      </w:r>
    </w:p>
    <w:p>
      <w:pPr>
        <w:spacing w:before="6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347.619995pt;margin-top:685.450012pt;width:47.95pt;height:20.8pt;mso-position-horizontal-relative:page;mso-position-vertical-relative:page;z-index:-777856" coordorigin="6952,13709" coordsize="959,416">
            <v:group style="position:absolute;left:6964;top:13720;width:2;height:393" coordorigin="6964,13720" coordsize="2,393">
              <v:shape style="position:absolute;left:6964;top:13720;width:2;height:393" coordorigin="6964,13720" coordsize="0,393" path="m6964,13720l6964,14113e" filled="false" stroked="true" strokeweight="1.140pt" strokecolor="#ffffff">
                <v:path arrowok="t"/>
              </v:shape>
            </v:group>
            <v:group style="position:absolute;left:6975;top:13720;width:936;height:393" coordorigin="6975,13720" coordsize="936,393">
              <v:shape style="position:absolute;left:6975;top:13720;width:936;height:393" coordorigin="6975,13720" coordsize="936,393" path="m6975,14113l7911,14113,7911,13720,6975,13720,6975,14113xe" filled="true" fillcolor="#ffffff" stroked="false">
                <v:path arrowok="t"/>
                <v:fill type="solid"/>
              </v:shape>
            </v:group>
            <w10:wrap type="none"/>
          </v:group>
        </w:pict>
      </w:r>
    </w:p>
    <w:p>
      <w:pPr>
        <w:spacing w:line="357" w:lineRule="auto" w:before="44"/>
        <w:ind w:left="153" w:right="4453"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公司治理与《公司法》和中国证监会相关规定的要求不存在差异。 公司治理专项活动开展情况以及内幕信息知情人登记管理制度的制定、实施情况</w:t>
      </w:r>
    </w:p>
    <w:p>
      <w:pPr>
        <w:spacing w:before="28"/>
        <w:ind w:left="153" w:right="0"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建立</w:t>
      </w:r>
      <w:r>
        <w:rPr>
          <w:rFonts w:ascii="宋体" w:hAnsi="宋体" w:cs="宋体" w:eastAsia="宋体" w:hint="default"/>
          <w:spacing w:val="-14"/>
          <w:sz w:val="18"/>
          <w:szCs w:val="18"/>
        </w:rPr>
        <w:t>了</w:t>
      </w:r>
      <w:r>
        <w:rPr>
          <w:rFonts w:ascii="宋体" w:hAnsi="宋体" w:cs="宋体" w:eastAsia="宋体" w:hint="default"/>
          <w:sz w:val="18"/>
          <w:szCs w:val="18"/>
        </w:rPr>
        <w:t>《内幕信息知情人管理制度</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报告期内</w:t>
      </w:r>
      <w:r>
        <w:rPr>
          <w:rFonts w:ascii="宋体" w:hAnsi="宋体" w:cs="宋体" w:eastAsia="宋体" w:hint="default"/>
          <w:spacing w:val="-14"/>
          <w:sz w:val="18"/>
          <w:szCs w:val="18"/>
        </w:rPr>
        <w:t>，</w:t>
      </w:r>
      <w:r>
        <w:rPr>
          <w:rFonts w:ascii="宋体" w:hAnsi="宋体" w:cs="宋体" w:eastAsia="宋体" w:hint="default"/>
          <w:sz w:val="18"/>
          <w:szCs w:val="18"/>
        </w:rPr>
        <w:t>公司严格按</w:t>
      </w:r>
      <w:r>
        <w:rPr>
          <w:rFonts w:ascii="宋体" w:hAnsi="宋体" w:cs="宋体" w:eastAsia="宋体" w:hint="default"/>
          <w:spacing w:val="-14"/>
          <w:sz w:val="18"/>
          <w:szCs w:val="18"/>
        </w:rPr>
        <w:t>照</w:t>
      </w:r>
      <w:r>
        <w:rPr>
          <w:rFonts w:ascii="宋体" w:hAnsi="宋体" w:cs="宋体" w:eastAsia="宋体" w:hint="default"/>
          <w:sz w:val="18"/>
          <w:szCs w:val="18"/>
        </w:rPr>
        <w:t>《证券法</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《上市公司信息披露管理办法</w:t>
      </w:r>
      <w:r>
        <w:rPr>
          <w:rFonts w:ascii="宋体" w:hAnsi="宋体" w:cs="宋体" w:eastAsia="宋体" w:hint="default"/>
          <w:spacing w:val="-15"/>
          <w:sz w:val="18"/>
          <w:szCs w:val="18"/>
        </w:rPr>
        <w:t>》</w:t>
      </w:r>
      <w:r>
        <w:rPr>
          <w:rFonts w:ascii="宋体" w:hAnsi="宋体" w:cs="宋体" w:eastAsia="宋体" w:hint="default"/>
          <w:sz w:val="18"/>
          <w:szCs w:val="18"/>
        </w:rPr>
        <w:t>及</w:t>
      </w:r>
    </w:p>
    <w:p>
      <w:pPr>
        <w:spacing w:line="319" w:lineRule="auto" w:before="63"/>
        <w:ind w:left="153" w:right="1033" w:firstLine="0"/>
        <w:jc w:val="left"/>
        <w:rPr>
          <w:rFonts w:ascii="宋体" w:hAnsi="宋体" w:cs="宋体" w:eastAsia="宋体" w:hint="default"/>
          <w:sz w:val="18"/>
          <w:szCs w:val="18"/>
        </w:rPr>
      </w:pPr>
      <w:r>
        <w:rPr>
          <w:rFonts w:ascii="宋体" w:hAnsi="宋体" w:cs="宋体" w:eastAsia="宋体" w:hint="default"/>
          <w:sz w:val="18"/>
          <w:szCs w:val="18"/>
        </w:rPr>
        <w:t>《关于上市公司建立内幕信息知情人登记管理制度的规定》等法律、法规，以及公司《内幕信息知情人管理制度》的规定，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落实并执行了内幕信息知情人窗口期禁止买卖的提示告知，以及定期报告、重大资产重组等事项的内幕信息知情人登记备案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工作，公司能够有效的展开内幕信息管理工作，保护投资者合法权益。</w:t>
      </w:r>
    </w:p>
    <w:p>
      <w:pPr>
        <w:spacing w:line="319" w:lineRule="auto" w:before="5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报告期内，公司未发生内幕信息知情人利用内幕信息买卖公司股票，以及监管部门查处和整改情况；公司董事、监事和高级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管理人员不存在违规买卖公司股票的情况。</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二、报告期内召开的年度股东大会和临时股东大会的有关情况" w:id="108"/>
      <w:bookmarkEnd w:id="108"/>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年度股东大会情况" w:id="109"/>
      <w:bookmarkEnd w:id="109"/>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2198"/>
        <w:gridCol w:w="991"/>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 </w:t>
            </w:r>
            <w:r>
              <w:rPr>
                <w:rFonts w:ascii="宋体" w:hAnsi="宋体" w:cs="宋体" w:eastAsia="宋体" w:hint="default"/>
                <w:spacing w:val="-31"/>
                <w:sz w:val="18"/>
                <w:szCs w:val="18"/>
              </w:rPr>
              <w:t>告》、《</w:t>
            </w:r>
            <w:r>
              <w:rPr>
                <w:rFonts w:ascii="Times New Roman" w:hAnsi="Times New Roman" w:cs="Times New Roman" w:eastAsia="Times New Roman" w:hint="default"/>
                <w:spacing w:val="-31"/>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年度监事会工作 </w:t>
            </w:r>
            <w:r>
              <w:rPr>
                <w:rFonts w:ascii="宋体" w:hAnsi="宋体" w:cs="宋体" w:eastAsia="宋体" w:hint="default"/>
                <w:spacing w:val="-28"/>
                <w:sz w:val="18"/>
                <w:szCs w:val="18"/>
              </w:rPr>
              <w:t>报告》、《</w:t>
            </w:r>
            <w:r>
              <w:rPr>
                <w:rFonts w:ascii="Times New Roman" w:hAnsi="Times New Roman" w:cs="Times New Roman" w:eastAsia="Times New Roman" w:hint="default"/>
                <w:spacing w:val="-28"/>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年度财务决算</w:t>
            </w:r>
            <w:r>
              <w:rPr>
                <w:rFonts w:ascii="宋体" w:hAnsi="宋体" w:cs="宋体" w:eastAsia="宋体" w:hint="default"/>
                <w:spacing w:val="-83"/>
                <w:sz w:val="18"/>
                <w:szCs w:val="18"/>
              </w:rPr>
              <w:t> </w:t>
            </w:r>
            <w:r>
              <w:rPr>
                <w:rFonts w:ascii="宋体" w:hAnsi="宋体" w:cs="宋体" w:eastAsia="宋体" w:hint="default"/>
                <w:spacing w:val="-28"/>
                <w:sz w:val="18"/>
                <w:szCs w:val="18"/>
              </w:rPr>
              <w:t>报告》、《</w:t>
            </w:r>
            <w:r>
              <w:rPr>
                <w:rFonts w:ascii="Times New Roman" w:hAnsi="Times New Roman" w:cs="Times New Roman" w:eastAsia="Times New Roman" w:hint="default"/>
                <w:spacing w:val="-28"/>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年度利润分配</w:t>
            </w:r>
            <w:r>
              <w:rPr>
                <w:rFonts w:ascii="宋体" w:hAnsi="宋体" w:cs="宋体" w:eastAsia="宋体" w:hint="default"/>
                <w:spacing w:val="-83"/>
                <w:sz w:val="18"/>
                <w:szCs w:val="18"/>
              </w:rPr>
              <w:t> </w:t>
            </w:r>
            <w:r>
              <w:rPr>
                <w:rFonts w:ascii="宋体" w:hAnsi="宋体" w:cs="宋体" w:eastAsia="宋体" w:hint="default"/>
                <w:spacing w:val="-24"/>
                <w:sz w:val="18"/>
                <w:szCs w:val="18"/>
              </w:rPr>
              <w:t>方案》、《</w:t>
            </w:r>
            <w:r>
              <w:rPr>
                <w:rFonts w:ascii="Times New Roman" w:hAnsi="Times New Roman" w:cs="Times New Roman" w:eastAsia="Times New Roman" w:hint="default"/>
                <w:spacing w:val="-2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年度报告》及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其摘要、《关于续聘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6"/>
                <w:sz w:val="18"/>
                <w:szCs w:val="18"/>
              </w:rPr>
              <w:t>度审计机构的议案》、《关于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授权公司管理层出售公司 所持同望科技股权的议案》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8"/>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w:t>
            </w:r>
            <w:r>
              <w:rPr>
                <w:rFonts w:ascii="宋体" w:hAnsi="宋体" w:cs="宋体" w:eastAsia="宋体" w:hint="default"/>
                <w:spacing w:val="-10"/>
                <w:sz w:val="18"/>
                <w:szCs w:val="18"/>
              </w:rPr>
              <w:t>会决议公告》（公告</w:t>
            </w:r>
            <w:r>
              <w:rPr>
                <w:rFonts w:ascii="宋体" w:hAnsi="宋体" w:cs="宋体" w:eastAsia="宋体" w:hint="default"/>
                <w:sz w:val="18"/>
                <w:szCs w:val="18"/>
              </w:rPr>
              <w:t>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2014-021</w:t>
            </w:r>
            <w:r>
              <w:rPr>
                <w:rFonts w:ascii="宋体" w:hAnsi="宋体" w:cs="宋体" w:eastAsia="宋体" w:hint="default"/>
                <w:sz w:val="18"/>
                <w:szCs w:val="18"/>
              </w:rPr>
              <w:t>）已 </w:t>
            </w:r>
            <w:r>
              <w:rPr>
                <w:rFonts w:ascii="宋体" w:hAnsi="宋体" w:cs="宋体" w:eastAsia="宋体" w:hint="default"/>
                <w:spacing w:val="-10"/>
                <w:sz w:val="18"/>
                <w:szCs w:val="18"/>
              </w:rPr>
              <w:t>披露于证券时报、中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国证券报和巨潮资 讯网</w:t>
            </w:r>
          </w:p>
          <w:p>
            <w:pPr>
              <w:pStyle w:val="TableParagraph"/>
              <w:spacing w:line="240" w:lineRule="auto" w:before="64"/>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10"/>
      <w:bookmarkEnd w:id="110"/>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098"/>
        <w:gridCol w:w="3118"/>
        <w:gridCol w:w="992"/>
        <w:gridCol w:w="1168"/>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2" w:right="23"/>
              <w:jc w:val="left"/>
              <w:rPr>
                <w:rFonts w:ascii="宋体" w:hAnsi="宋体" w:cs="宋体" w:eastAsia="宋体" w:hint="default"/>
                <w:sz w:val="18"/>
                <w:szCs w:val="18"/>
              </w:rPr>
            </w:pPr>
            <w:r>
              <w:rPr>
                <w:rFonts w:ascii="宋体" w:hAnsi="宋体" w:cs="宋体" w:eastAsia="宋体" w:hint="default"/>
                <w:sz w:val="18"/>
                <w:szCs w:val="18"/>
              </w:rPr>
              <w:t>《关于继续使用闲置自有资金进行理财 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3"/>
                <w:sz w:val="18"/>
                <w:szCs w:val="18"/>
              </w:rPr>
              <w:t>告》（公告编号</w:t>
            </w:r>
          </w:p>
          <w:p>
            <w:pPr>
              <w:pStyle w:val="TableParagraph"/>
              <w:spacing w:line="309" w:lineRule="auto" w:before="24"/>
              <w:ind w:left="23"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2014-053</w:t>
            </w:r>
            <w:r>
              <w:rPr>
                <w:rFonts w:ascii="宋体" w:hAnsi="宋体" w:cs="宋体" w:eastAsia="宋体" w:hint="default"/>
                <w:spacing w:val="-4"/>
                <w:sz w:val="18"/>
                <w:szCs w:val="18"/>
              </w:rPr>
              <w:t>）已披露于</w:t>
            </w:r>
            <w:r>
              <w:rPr>
                <w:rFonts w:ascii="宋体" w:hAnsi="宋体" w:cs="宋体" w:eastAsia="宋体" w:hint="default"/>
                <w:sz w:val="18"/>
                <w:szCs w:val="18"/>
              </w:rPr>
              <w:t> </w:t>
            </w:r>
            <w:r>
              <w:rPr>
                <w:rFonts w:ascii="宋体" w:hAnsi="宋体" w:cs="宋体" w:eastAsia="宋体" w:hint="default"/>
                <w:spacing w:val="-10"/>
                <w:sz w:val="18"/>
                <w:szCs w:val="18"/>
              </w:rPr>
              <w:t>证券时报、中国证券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240" w:lineRule="auto" w:before="65"/>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28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《关于本次交易符合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关于规范上市公 司重大资产重组若干问题的规定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 </w:t>
            </w:r>
            <w:r>
              <w:rPr>
                <w:rFonts w:ascii="宋体" w:hAnsi="宋体" w:cs="宋体" w:eastAsia="宋体" w:hint="default"/>
                <w:spacing w:val="-10"/>
                <w:sz w:val="18"/>
                <w:szCs w:val="18"/>
              </w:rPr>
              <w:t>条规定的议案》、《关于本次发行股份及</w:t>
            </w:r>
            <w:r>
              <w:rPr>
                <w:rFonts w:ascii="宋体" w:hAnsi="宋体" w:cs="宋体" w:eastAsia="宋体" w:hint="default"/>
                <w:sz w:val="18"/>
                <w:szCs w:val="18"/>
              </w:rPr>
              <w:t> </w:t>
            </w:r>
            <w:r>
              <w:rPr>
                <w:rFonts w:ascii="宋体" w:hAnsi="宋体" w:cs="宋体" w:eastAsia="宋体" w:hint="default"/>
                <w:spacing w:val="-10"/>
                <w:sz w:val="18"/>
                <w:szCs w:val="18"/>
              </w:rPr>
              <w:t>支付现金购买资产的方案的议案》、《关</w:t>
            </w:r>
            <w:r>
              <w:rPr>
                <w:rFonts w:ascii="宋体" w:hAnsi="宋体" w:cs="宋体" w:eastAsia="宋体" w:hint="default"/>
                <w:sz w:val="18"/>
                <w:szCs w:val="18"/>
              </w:rPr>
              <w:t> </w:t>
            </w:r>
            <w:r>
              <w:rPr>
                <w:rFonts w:ascii="宋体" w:hAnsi="宋体" w:cs="宋体" w:eastAsia="宋体" w:hint="default"/>
                <w:spacing w:val="-7"/>
                <w:sz w:val="18"/>
                <w:szCs w:val="18"/>
              </w:rPr>
              <w:t>于发行股份募集配套资金方案的议案》、</w:t>
            </w:r>
            <w:r>
              <w:rPr>
                <w:rFonts w:ascii="宋体" w:hAnsi="宋体" w:cs="宋体" w:eastAsia="宋体" w:hint="default"/>
                <w:sz w:val="18"/>
                <w:szCs w:val="18"/>
              </w:rPr>
            </w:r>
          </w:p>
          <w:p>
            <w:pPr>
              <w:pStyle w:val="TableParagraph"/>
              <w:spacing w:line="312" w:lineRule="auto" w:before="24"/>
              <w:ind w:left="22" w:right="23"/>
              <w:jc w:val="left"/>
              <w:rPr>
                <w:rFonts w:ascii="宋体" w:hAnsi="宋体" w:cs="宋体" w:eastAsia="宋体" w:hint="default"/>
                <w:sz w:val="18"/>
                <w:szCs w:val="18"/>
              </w:rPr>
            </w:pPr>
            <w:r>
              <w:rPr>
                <w:rFonts w:ascii="宋体" w:hAnsi="宋体" w:cs="宋体" w:eastAsia="宋体" w:hint="default"/>
                <w:sz w:val="18"/>
                <w:szCs w:val="18"/>
              </w:rPr>
              <w:t>《关于公司本次交易构成关联交易的议 </w:t>
            </w:r>
            <w:r>
              <w:rPr>
                <w:rFonts w:ascii="宋体" w:hAnsi="宋体" w:cs="宋体" w:eastAsia="宋体" w:hint="default"/>
                <w:spacing w:val="-10"/>
                <w:sz w:val="18"/>
                <w:szCs w:val="18"/>
              </w:rPr>
              <w:t>案》、《关于与相关方签署</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北京久其软</w:t>
            </w:r>
            <w:r>
              <w:rPr>
                <w:rFonts w:ascii="宋体" w:hAnsi="宋体" w:cs="宋体" w:eastAsia="宋体" w:hint="default"/>
                <w:sz w:val="18"/>
                <w:szCs w:val="18"/>
              </w:rPr>
              <w:t> 件股份有限公司与王新、李勇关于现金 </w:t>
            </w:r>
            <w:r>
              <w:rPr>
                <w:rFonts w:ascii="宋体" w:hAnsi="宋体" w:cs="宋体" w:eastAsia="宋体" w:hint="default"/>
                <w:spacing w:val="-6"/>
                <w:sz w:val="18"/>
                <w:szCs w:val="18"/>
              </w:rPr>
              <w:t>及发行股份购买资产协议</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09" w:lineRule="auto"/>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3"/>
                <w:sz w:val="18"/>
                <w:szCs w:val="18"/>
              </w:rPr>
              <w:t>告》（公告编号</w:t>
            </w:r>
          </w:p>
          <w:p>
            <w:pPr>
              <w:pStyle w:val="TableParagraph"/>
              <w:spacing w:line="309" w:lineRule="auto" w:before="23"/>
              <w:ind w:left="23"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2014-064</w:t>
            </w:r>
            <w:r>
              <w:rPr>
                <w:rFonts w:ascii="宋体" w:hAnsi="宋体" w:cs="宋体" w:eastAsia="宋体" w:hint="default"/>
                <w:spacing w:val="-4"/>
                <w:sz w:val="18"/>
                <w:szCs w:val="18"/>
              </w:rPr>
              <w:t>）已披露于</w:t>
            </w:r>
            <w:r>
              <w:rPr>
                <w:rFonts w:ascii="宋体" w:hAnsi="宋体" w:cs="宋体" w:eastAsia="宋体" w:hint="default"/>
                <w:sz w:val="18"/>
                <w:szCs w:val="18"/>
              </w:rPr>
              <w:t> </w:t>
            </w:r>
            <w:r>
              <w:rPr>
                <w:rFonts w:ascii="宋体" w:hAnsi="宋体" w:cs="宋体" w:eastAsia="宋体" w:hint="default"/>
                <w:spacing w:val="-10"/>
                <w:sz w:val="18"/>
                <w:szCs w:val="18"/>
              </w:rPr>
              <w:t>证券时报、中国证券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240" w:lineRule="auto" w:before="65"/>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098"/>
        <w:gridCol w:w="3118"/>
        <w:gridCol w:w="992"/>
        <w:gridCol w:w="1168"/>
        <w:gridCol w:w="1595"/>
      </w:tblGrid>
      <w:tr>
        <w:trPr>
          <w:trHeight w:val="473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《关于与相关方签署</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北京久其软件股 份有限公司与王新、李勇关于现金及发 行股份购买资产之业绩承诺与补偿协 </w:t>
            </w:r>
            <w:r>
              <w:rPr>
                <w:rFonts w:ascii="宋体" w:hAnsi="宋体" w:cs="宋体" w:eastAsia="宋体" w:hint="default"/>
                <w:spacing w:val="-11"/>
                <w:sz w:val="18"/>
                <w:szCs w:val="18"/>
              </w:rPr>
              <w:t>议</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的议案》、《关于与相关方签署</w:t>
            </w:r>
            <w:r>
              <w:rPr>
                <w:rFonts w:ascii="Times New Roman" w:hAnsi="Times New Roman" w:cs="Times New Roman" w:eastAsia="Times New Roman" w:hint="default"/>
                <w:spacing w:val="-11"/>
                <w:sz w:val="18"/>
                <w:szCs w:val="18"/>
              </w:rPr>
              <w:t>&lt;</w:t>
            </w:r>
            <w:r>
              <w:rPr>
                <w:rFonts w:ascii="宋体" w:hAnsi="宋体" w:cs="宋体" w:eastAsia="宋体" w:hint="default"/>
                <w:spacing w:val="-11"/>
                <w:sz w:val="18"/>
                <w:szCs w:val="18"/>
              </w:rPr>
              <w:t>北京</w:t>
            </w:r>
            <w:r>
              <w:rPr>
                <w:rFonts w:ascii="宋体" w:hAnsi="宋体" w:cs="宋体" w:eastAsia="宋体" w:hint="default"/>
                <w:spacing w:val="-83"/>
                <w:sz w:val="18"/>
                <w:szCs w:val="18"/>
              </w:rPr>
              <w:t> </w:t>
            </w:r>
            <w:r>
              <w:rPr>
                <w:rFonts w:ascii="宋体" w:hAnsi="宋体" w:cs="宋体" w:eastAsia="宋体" w:hint="default"/>
                <w:sz w:val="18"/>
                <w:szCs w:val="18"/>
              </w:rPr>
              <w:t>久其软件股份有限公司与北京久其科技 投资有限公司之股份认购协议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10"/>
                <w:sz w:val="18"/>
                <w:szCs w:val="18"/>
              </w:rPr>
              <w:t>案》、《</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北京久其软件股份有限公司发</w:t>
            </w:r>
            <w:r>
              <w:rPr>
                <w:rFonts w:ascii="宋体" w:hAnsi="宋体" w:cs="宋体" w:eastAsia="宋体" w:hint="default"/>
                <w:sz w:val="18"/>
                <w:szCs w:val="18"/>
              </w:rPr>
              <w:t> 行股份及支付现金购买资产并募集配套 资金暨关联交易报告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（草案）及其摘 </w:t>
            </w:r>
            <w:r>
              <w:rPr>
                <w:rFonts w:ascii="宋体" w:hAnsi="宋体" w:cs="宋体" w:eastAsia="宋体" w:hint="default"/>
                <w:spacing w:val="-10"/>
                <w:sz w:val="18"/>
                <w:szCs w:val="18"/>
              </w:rPr>
              <w:t>要的议案》、《关于批准本次交易有关审</w:t>
            </w:r>
            <w:r>
              <w:rPr>
                <w:rFonts w:ascii="宋体" w:hAnsi="宋体" w:cs="宋体" w:eastAsia="宋体" w:hint="default"/>
                <w:sz w:val="18"/>
                <w:szCs w:val="18"/>
              </w:rPr>
              <w:t> 计报告、盈利预测审核报告、备考合并 盈利预测审核报告及资产评估报告的议 </w:t>
            </w:r>
            <w:r>
              <w:rPr>
                <w:rFonts w:ascii="宋体" w:hAnsi="宋体" w:cs="宋体" w:eastAsia="宋体" w:hint="default"/>
                <w:spacing w:val="-10"/>
                <w:sz w:val="18"/>
                <w:szCs w:val="18"/>
              </w:rPr>
              <w:t>案》、《关于提请股东大会授权董事会全</w:t>
            </w:r>
            <w:r>
              <w:rPr>
                <w:rFonts w:ascii="宋体" w:hAnsi="宋体" w:cs="宋体" w:eastAsia="宋体" w:hint="default"/>
                <w:sz w:val="18"/>
                <w:szCs w:val="18"/>
              </w:rPr>
              <w:t> 权办理与本次发行股份并支付现金购买 资产及募集配套资金相关事宜的议案》</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2" w:right="23"/>
              <w:jc w:val="left"/>
              <w:rPr>
                <w:rFonts w:ascii="宋体" w:hAnsi="宋体" w:cs="宋体" w:eastAsia="宋体" w:hint="default"/>
                <w:sz w:val="18"/>
                <w:szCs w:val="18"/>
              </w:rPr>
            </w:pPr>
            <w:r>
              <w:rPr>
                <w:rFonts w:ascii="宋体" w:hAnsi="宋体" w:cs="宋体" w:eastAsia="宋体" w:hint="default"/>
                <w:sz w:val="18"/>
                <w:szCs w:val="18"/>
              </w:rPr>
              <w:t>《关于变更部分超额募集资金实施主体 及投资用途的议案》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3"/>
                <w:sz w:val="18"/>
                <w:szCs w:val="18"/>
              </w:rPr>
              <w:t>告》（公告编号</w:t>
            </w:r>
          </w:p>
          <w:p>
            <w:pPr>
              <w:pStyle w:val="TableParagraph"/>
              <w:spacing w:line="309" w:lineRule="auto" w:before="24"/>
              <w:ind w:left="23"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2014-079</w:t>
            </w:r>
            <w:r>
              <w:rPr>
                <w:rFonts w:ascii="宋体" w:hAnsi="宋体" w:cs="宋体" w:eastAsia="宋体" w:hint="default"/>
                <w:spacing w:val="-4"/>
                <w:sz w:val="18"/>
                <w:szCs w:val="18"/>
              </w:rPr>
              <w:t>）已披露于</w:t>
            </w:r>
            <w:r>
              <w:rPr>
                <w:rFonts w:ascii="宋体" w:hAnsi="宋体" w:cs="宋体" w:eastAsia="宋体" w:hint="default"/>
                <w:sz w:val="18"/>
                <w:szCs w:val="18"/>
              </w:rPr>
              <w:t> </w:t>
            </w:r>
            <w:r>
              <w:rPr>
                <w:rFonts w:ascii="宋体" w:hAnsi="宋体" w:cs="宋体" w:eastAsia="宋体" w:hint="default"/>
                <w:spacing w:val="-10"/>
                <w:sz w:val="18"/>
                <w:szCs w:val="18"/>
              </w:rPr>
              <w:t>证券时报、中国证券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240" w:lineRule="auto" w:before="65"/>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表决权恢夊的优先股股东请求召开临时股东大会" w:id="111"/>
      <w:bookmarkEnd w:id="111"/>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报告期内独立董事履行职责的情况" w:id="112"/>
      <w:bookmarkEnd w:id="112"/>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13"/>
      <w:bookmarkEnd w:id="11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韩凤岐</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祝卫</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both"/>
        <w:rPr>
          <w:b w:val="0"/>
          <w:bCs w:val="0"/>
        </w:rPr>
      </w:pPr>
      <w:bookmarkStart w:name="2、独立董事对公司有关事项提出异议的情况" w:id="114"/>
      <w:bookmarkEnd w:id="11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53" w:right="0"/>
        <w:jc w:val="both"/>
        <w:rPr>
          <w:b w:val="0"/>
          <w:bCs w:val="0"/>
        </w:rPr>
      </w:pPr>
      <w:bookmarkStart w:name="3、独立董事履行职责的其他说明" w:id="115"/>
      <w:bookmarkEnd w:id="11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6" w:lineRule="auto" w:before="42"/>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报告期内，公司独立董事严格按照《公司法》、《上市公司治理准则》、《深圳证券交易所中小企业板上市公司规范运作指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引》等法律法规及《公司章程》、《独立董事工作制度》的要求，忠实履行职责，充分发挥独立董事作用，维护公司股东尤</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其是中小股东的利益。公司独立董事在报告期内通过参与公司董事会及其专门委员会、现场会谈考察等方式，及时了解公司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经营状况、财务状况、内部控制建设以及重大事项进展等情况，并对公司发展战略、对外投资、内控建设、人才规划等方面</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提出建议。公司采纳了独立董事相关建议，并委托经营管理层组织相关工作的开展。</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四、董事会下设专门委员会在报告期内履行职责情况" w:id="116"/>
      <w:bookmarkEnd w:id="116"/>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报告期内，董事会战略发展委员会、审计委员会、薪酬与考核委员会按照其议事规则、《深圳证券交易所中小企业板上市公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司规范运作指引》等规范的要求，组织召开专门委员会会议，认真履行有关职责。</w:t>
      </w:r>
    </w:p>
    <w:p>
      <w:pPr>
        <w:spacing w:line="338" w:lineRule="auto"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（一）董事会战略发展委员会 </w:t>
      </w:r>
      <w:r>
        <w:rPr>
          <w:rFonts w:ascii="宋体" w:hAnsi="宋体" w:cs="宋体" w:eastAsia="宋体" w:hint="default"/>
          <w:spacing w:val="-2"/>
          <w:sz w:val="18"/>
          <w:szCs w:val="18"/>
        </w:rPr>
        <w:t>报告期内，公司董事会战略发展委员会召开会议三次，审议通过了《关于向全资子公司增资暨对外投资的议案》、《关于全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资子公司对外投资设立小驿科技（海南）有限公司的议案》和《关于公司对外投资设立合资公司的议案》。为顺应产业发展</w:t>
      </w:r>
    </w:p>
    <w:p>
      <w:pPr>
        <w:spacing w:line="319" w:lineRule="auto" w:before="2"/>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趋势，践行移动互联网、大数据战略，公司董事会战略发展委员会同意向海南久其增资、投资设立小驿科技及久其智通的有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关事项。</w:t>
      </w:r>
    </w:p>
    <w:p>
      <w:pPr>
        <w:spacing w:before="56"/>
        <w:ind w:left="153" w:right="0" w:firstLine="0"/>
        <w:jc w:val="both"/>
        <w:rPr>
          <w:rFonts w:ascii="宋体" w:hAnsi="宋体" w:cs="宋体" w:eastAsia="宋体" w:hint="default"/>
          <w:sz w:val="18"/>
          <w:szCs w:val="18"/>
        </w:rPr>
      </w:pPr>
      <w:r>
        <w:rPr>
          <w:rFonts w:ascii="宋体" w:hAnsi="宋体" w:cs="宋体" w:eastAsia="宋体" w:hint="default"/>
          <w:sz w:val="18"/>
          <w:szCs w:val="18"/>
        </w:rPr>
        <w:t>（二）董事会审计委员会</w:t>
      </w:r>
    </w:p>
    <w:p>
      <w:pPr>
        <w:spacing w:line="300" w:lineRule="auto" w:before="115"/>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报告期内，公司董事会审计委员会召开会议六次。在</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年度报告编制期间，公司董事会审计委员会委员通过审议审计工作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计划、财务报表、审计报告以及内部控制报告等文件，并与经营管理层和年审会计师现场沟通的方式，有效指导了公司</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年度审计工作的开展，同时建议公司继续聘任立信会计师事务所（特殊普通合伙）提供</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年年报及其他审计服务。通过审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议公司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年第一季度、半年度、第三季度的财务报表和内部审计工作报告与计划，加强对公司财务和内部审计的监督和核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查。</w:t>
      </w:r>
    </w:p>
    <w:p>
      <w:pPr>
        <w:spacing w:before="72"/>
        <w:ind w:left="154" w:right="0" w:firstLine="0"/>
        <w:jc w:val="both"/>
        <w:rPr>
          <w:rFonts w:ascii="宋体" w:hAnsi="宋体" w:cs="宋体" w:eastAsia="宋体" w:hint="default"/>
          <w:sz w:val="18"/>
          <w:szCs w:val="18"/>
        </w:rPr>
      </w:pPr>
      <w:r>
        <w:rPr>
          <w:rFonts w:ascii="宋体" w:hAnsi="宋体" w:cs="宋体" w:eastAsia="宋体" w:hint="default"/>
          <w:sz w:val="18"/>
          <w:szCs w:val="18"/>
        </w:rPr>
        <w:t>（三）董事会薪酬与考核委员会</w:t>
      </w:r>
    </w:p>
    <w:p>
      <w:pPr>
        <w:spacing w:line="302" w:lineRule="auto" w:before="11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报告期内，公司董事会薪酬与考核委员会召开会议一次。根据公司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年度业绩情况，对公司董事、高级管理人员以及股权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激励对象的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年度绩效考核情况进行审查，并确定公司董事和高级管理人员</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年度基本年薪。</w:t>
      </w:r>
    </w:p>
    <w:p>
      <w:pPr>
        <w:spacing w:line="240" w:lineRule="auto" w:before="13"/>
        <w:rPr>
          <w:rFonts w:ascii="宋体" w:hAnsi="宋体" w:cs="宋体" w:eastAsia="宋体" w:hint="default"/>
          <w:sz w:val="19"/>
          <w:szCs w:val="19"/>
        </w:rPr>
      </w:pPr>
    </w:p>
    <w:p>
      <w:pPr>
        <w:pStyle w:val="Heading2"/>
        <w:spacing w:line="240" w:lineRule="auto"/>
        <w:ind w:right="0"/>
        <w:jc w:val="both"/>
        <w:rPr>
          <w:b w:val="0"/>
          <w:bCs w:val="0"/>
        </w:rPr>
      </w:pPr>
      <w:bookmarkStart w:name="五、监事会工作情况" w:id="117"/>
      <w:bookmarkEnd w:id="117"/>
      <w:r>
        <w:rPr>
          <w:b w:val="0"/>
          <w:bCs w:val="0"/>
        </w:rPr>
      </w:r>
      <w:r>
        <w:rPr/>
        <w:t>五、监事会工作情况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公司相对于控股股东在业务、人员、资产、机构、财务等方面的独立完整情况" w:id="118"/>
      <w:bookmarkEnd w:id="118"/>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公司的控股股东是北京久其科技投资有限公司。该控股股东行为规范，没有超越股东大会直接或通过其他途径间接干预公司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的决策和经营活动。公司董事会、监事会、经理会能够独立运作，公司与控股股东在业务、人员、资产、机构、财务等方面</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完全分开，具有独立完整的业务及自主经营能力。</w:t>
      </w:r>
    </w:p>
    <w:p>
      <w:pPr>
        <w:spacing w:line="338" w:lineRule="auto" w:before="5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业务独立情况：公司独立从事业务经营，拥有独立产品研发、销售采购和技术服务运作体系和独立的商标权、著作权等知识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产权，与控股股东及其关联企业不存在依赖关系。 人员独立情况：公司的人事管理和绩效管理完全独立，与控股股东及其关联企业不存在依赖关系。</w:t>
      </w:r>
    </w:p>
    <w:p>
      <w:pPr>
        <w:spacing w:line="338" w:lineRule="auto" w:before="41"/>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资产独立情况：公司所拥有的生产经营场所房屋所有权、土地使用权、相关配套设施、工业产权和非专利技术等有形和无形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资产完全独立于控股股东及其关联企业。 机构独立情况：公司与控股股东及其关联企业在机构设置方面不存在交叉关联及上下级关系情况。</w:t>
      </w:r>
    </w:p>
    <w:p>
      <w:pPr>
        <w:spacing w:line="319" w:lineRule="auto" w:before="4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财务独立情况：公司拥有独立的财务会计部门，独立的会计核算体系和财务管理制度。公司独立做出财务决策，并拥有独立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银行账户，依法独立纳税。</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七、同业竞争情况" w:id="119"/>
      <w:bookmarkEnd w:id="119"/>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20"/>
      <w:bookmarkEnd w:id="12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根据公司《董事、监事和高级管理人员薪酬管理制度》等相关制度，公司高级管理人员薪酬由基本年薪和浮动奖金两部分构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成，其中基本年薪根据个人工作职务、岗位级别标准按月发放；浮动奖金根据公司经营业绩和个人绩效考核情况确定。每个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会计年度结束之后，公司董事会薪酬与考核委员会负责对高级管理人员的绩效考核成绩与薪酬进行审查，确定其上一年度年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终奖金及当年度基本年薪。</w:t>
      </w:r>
    </w:p>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248"/>
        <w:jc w:val="center"/>
        <w:rPr>
          <w:b w:val="0"/>
          <w:bCs w:val="0"/>
        </w:rPr>
      </w:pPr>
      <w:bookmarkStart w:name="第十节 内部控制" w:id="121"/>
      <w:bookmarkEnd w:id="121"/>
      <w:r>
        <w:rPr>
          <w:b w:val="0"/>
          <w:bCs w:val="0"/>
        </w:rPr>
      </w:r>
      <w:bookmarkStart w:name="_bookmark8" w:id="122"/>
      <w:bookmarkEnd w:id="122"/>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23"/>
      <w:bookmarkEnd w:id="123"/>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033" w:firstLine="360"/>
        <w:jc w:val="left"/>
        <w:rPr>
          <w:rFonts w:ascii="宋体" w:hAnsi="宋体" w:cs="宋体" w:eastAsia="宋体" w:hint="default"/>
          <w:sz w:val="18"/>
          <w:szCs w:val="18"/>
        </w:rPr>
      </w:pPr>
      <w:r>
        <w:rPr>
          <w:rFonts w:ascii="宋体" w:hAnsi="宋体" w:cs="宋体" w:eastAsia="宋体" w:hint="default"/>
          <w:spacing w:val="-2"/>
          <w:sz w:val="18"/>
          <w:szCs w:val="18"/>
        </w:rPr>
        <w:t>公司董事会负责指导内部控制的建立健全及有效实施，监事会负责对各项内部控制进行监督，经营管理层负责组织各项</w:t>
      </w:r>
      <w:r>
        <w:rPr>
          <w:rFonts w:ascii="宋体" w:hAnsi="宋体" w:cs="宋体" w:eastAsia="宋体" w:hint="default"/>
          <w:sz w:val="18"/>
          <w:szCs w:val="18"/>
        </w:rPr>
        <w:t> 内部控制措施的日常运行。报告期，公司依据《企业内部控制基本规范》及其配套指引的相关要求，并结合自身实际情况，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持续调整并规范公司内控管理相关制度流程，进一步健全公司法人治理结构，完善内部控制体系建设，提升公司经营运作水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平。</w:t>
      </w:r>
    </w:p>
    <w:p>
      <w:pPr>
        <w:spacing w:line="357" w:lineRule="auto" w:before="56"/>
        <w:ind w:left="513" w:right="1118" w:hanging="360"/>
        <w:jc w:val="left"/>
        <w:rPr>
          <w:rFonts w:ascii="宋体" w:hAnsi="宋体" w:cs="宋体" w:eastAsia="宋体" w:hint="default"/>
          <w:sz w:val="18"/>
          <w:szCs w:val="18"/>
        </w:rPr>
      </w:pPr>
      <w:r>
        <w:rPr>
          <w:rFonts w:ascii="宋体" w:hAnsi="宋体" w:cs="宋体" w:eastAsia="宋体" w:hint="default"/>
          <w:sz w:val="18"/>
          <w:szCs w:val="18"/>
        </w:rPr>
        <w:t>（一）组织架构 </w:t>
      </w:r>
      <w:r>
        <w:rPr>
          <w:rFonts w:ascii="宋体" w:hAnsi="宋体" w:cs="宋体" w:eastAsia="宋体" w:hint="default"/>
          <w:spacing w:val="-2"/>
          <w:sz w:val="18"/>
          <w:szCs w:val="18"/>
        </w:rPr>
        <w:t>公司的法人治理结构由股东大会、董事会、监事会和经理会组成，通过制定议事规则明确了各级组织的职责和权限，并</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在董事会下设四个专门委员会，以增强董事会专业履职能力。为满足公司发展需要，以优化资源配置、提升管理效能、增强</w:t>
      </w:r>
    </w:p>
    <w:p>
      <w:pPr>
        <w:spacing w:line="319" w:lineRule="auto" w:before="7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核心竞争力为导向，公司持续调整并完善组织架构建设，强化岗位职责与任务分工，切实推进各责任中心计划目标的落实与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执行，促进事业部模式下公司经营管理成效的提升。</w:t>
      </w:r>
    </w:p>
    <w:p>
      <w:pPr>
        <w:spacing w:line="357" w:lineRule="auto" w:before="58"/>
        <w:ind w:left="514" w:right="1118" w:hanging="360"/>
        <w:jc w:val="left"/>
        <w:rPr>
          <w:rFonts w:ascii="宋体" w:hAnsi="宋体" w:cs="宋体" w:eastAsia="宋体" w:hint="default"/>
          <w:sz w:val="18"/>
          <w:szCs w:val="18"/>
        </w:rPr>
      </w:pPr>
      <w:r>
        <w:rPr>
          <w:rFonts w:ascii="宋体" w:hAnsi="宋体" w:cs="宋体" w:eastAsia="宋体" w:hint="default"/>
          <w:sz w:val="18"/>
          <w:szCs w:val="18"/>
        </w:rPr>
        <w:t>（二）发展战略 </w:t>
      </w:r>
      <w:r>
        <w:rPr>
          <w:rFonts w:ascii="宋体" w:hAnsi="宋体" w:cs="宋体" w:eastAsia="宋体" w:hint="default"/>
          <w:spacing w:val="-2"/>
          <w:sz w:val="18"/>
          <w:szCs w:val="18"/>
        </w:rPr>
        <w:t>公司董事会战略发展委员会负责管理公司的发展战略。公司经理会负责组织对公司发展目标和战略规划进行可行性研究</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和论证，同时为了更好地落实战略规划并促进其成效，公司在经理会下设技术与产品管理委员会、项目管理委员会、财经管</w:t>
      </w:r>
    </w:p>
    <w:p>
      <w:pPr>
        <w:spacing w:line="319"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理委员会、企业文化管理委员会和顾问管理委员会，并建立了相关委员会章程，对公司经营发展所涉及的多层面战略规划进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行分解，确定执行战略的阶段和计划，推进战略的落地实施，保障战略目标的达成。</w:t>
      </w:r>
    </w:p>
    <w:p>
      <w:pPr>
        <w:spacing w:line="357" w:lineRule="auto" w:before="56"/>
        <w:ind w:left="513" w:right="1118" w:hanging="360"/>
        <w:jc w:val="left"/>
        <w:rPr>
          <w:rFonts w:ascii="宋体" w:hAnsi="宋体" w:cs="宋体" w:eastAsia="宋体" w:hint="default"/>
          <w:sz w:val="18"/>
          <w:szCs w:val="18"/>
        </w:rPr>
      </w:pPr>
      <w:r>
        <w:rPr>
          <w:rFonts w:ascii="宋体" w:hAnsi="宋体" w:cs="宋体" w:eastAsia="宋体" w:hint="default"/>
          <w:sz w:val="18"/>
          <w:szCs w:val="18"/>
        </w:rPr>
        <w:t>（三）人力资源 </w:t>
      </w:r>
      <w:r>
        <w:rPr>
          <w:rFonts w:ascii="宋体" w:hAnsi="宋体" w:cs="宋体" w:eastAsia="宋体" w:hint="default"/>
          <w:spacing w:val="-5"/>
          <w:sz w:val="18"/>
          <w:szCs w:val="18"/>
        </w:rPr>
        <w:t>公司充分重视人力资源管理建设工作，结合公司实际情况及人力资源战略的要求，围绕人员的引进、开发、培养、考核、</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激励、退出等建立了较为完善的人力资源管控体系，并通过优化人才结构、合理配置资源进一步增强人员复用性、削减冗余</w:t>
      </w:r>
    </w:p>
    <w:p>
      <w:pPr>
        <w:spacing w:before="77"/>
        <w:ind w:left="153" w:right="0" w:firstLine="0"/>
        <w:jc w:val="left"/>
        <w:rPr>
          <w:rFonts w:ascii="宋体" w:hAnsi="宋体" w:cs="宋体" w:eastAsia="宋体" w:hint="default"/>
          <w:sz w:val="18"/>
          <w:szCs w:val="18"/>
        </w:rPr>
      </w:pPr>
      <w:r>
        <w:rPr>
          <w:rFonts w:ascii="宋体" w:hAnsi="宋体" w:cs="宋体" w:eastAsia="宋体" w:hint="default"/>
          <w:sz w:val="18"/>
          <w:szCs w:val="18"/>
        </w:rPr>
        <w:t>人力成本，同时持续探索并完善适应公司发展且行之有效的绩效考核与激励机制，为逐步构建高水平的人才梯队打下基础。</w:t>
      </w:r>
    </w:p>
    <w:p>
      <w:pPr>
        <w:spacing w:line="357" w:lineRule="auto" w:before="116"/>
        <w:ind w:left="514" w:right="1118" w:hanging="360"/>
        <w:jc w:val="left"/>
        <w:rPr>
          <w:rFonts w:ascii="宋体" w:hAnsi="宋体" w:cs="宋体" w:eastAsia="宋体" w:hint="default"/>
          <w:sz w:val="18"/>
          <w:szCs w:val="18"/>
        </w:rPr>
      </w:pPr>
      <w:r>
        <w:rPr>
          <w:rFonts w:ascii="宋体" w:hAnsi="宋体" w:cs="宋体" w:eastAsia="宋体" w:hint="default"/>
          <w:sz w:val="18"/>
          <w:szCs w:val="18"/>
        </w:rPr>
        <w:t>（四）企业文化 </w:t>
      </w:r>
      <w:r>
        <w:rPr>
          <w:rFonts w:ascii="宋体" w:hAnsi="宋体" w:cs="宋体" w:eastAsia="宋体" w:hint="default"/>
          <w:spacing w:val="-2"/>
          <w:sz w:val="18"/>
          <w:szCs w:val="18"/>
        </w:rPr>
        <w:t>公司企业文化管理委员会负责研究并制定文化战略和方针政策，组织开展有关工作及活动。以《久其企业文化手册（总</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纲）》为总领，公司经过多年积累沉淀与传承发展，形成了独具特色的久其文化体系，围绕久其的使命与愿景，树立了久其</w:t>
      </w:r>
    </w:p>
    <w:p>
      <w:pPr>
        <w:spacing w:line="319" w:lineRule="auto" w:before="76"/>
        <w:ind w:left="154" w:right="1127" w:firstLine="0"/>
        <w:jc w:val="left"/>
        <w:rPr>
          <w:rFonts w:ascii="宋体" w:hAnsi="宋体" w:cs="宋体" w:eastAsia="宋体" w:hint="default"/>
          <w:sz w:val="18"/>
          <w:szCs w:val="18"/>
        </w:rPr>
      </w:pPr>
      <w:r>
        <w:rPr>
          <w:rFonts w:ascii="宋体" w:hAnsi="宋体" w:cs="宋体" w:eastAsia="宋体" w:hint="default"/>
          <w:spacing w:val="-5"/>
          <w:sz w:val="18"/>
          <w:szCs w:val="18"/>
        </w:rPr>
        <w:t>价值观与核心价值，以文化营造团结进取的企业氛围，以文化促动全员向心力和凝聚力，印证并深化了文化对于管理、人才、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研发、市场、服务等的重要意义和作用。</w:t>
      </w:r>
    </w:p>
    <w:p>
      <w:pPr>
        <w:spacing w:line="357" w:lineRule="auto" w:before="58"/>
        <w:ind w:left="514" w:right="1118" w:hanging="360"/>
        <w:jc w:val="left"/>
        <w:rPr>
          <w:rFonts w:ascii="宋体" w:hAnsi="宋体" w:cs="宋体" w:eastAsia="宋体" w:hint="default"/>
          <w:sz w:val="18"/>
          <w:szCs w:val="18"/>
        </w:rPr>
      </w:pPr>
      <w:r>
        <w:rPr>
          <w:rFonts w:ascii="宋体" w:hAnsi="宋体" w:cs="宋体" w:eastAsia="宋体" w:hint="default"/>
          <w:sz w:val="18"/>
          <w:szCs w:val="18"/>
        </w:rPr>
        <w:t>（五）资金活动 </w:t>
      </w:r>
      <w:r>
        <w:rPr>
          <w:rFonts w:ascii="宋体" w:hAnsi="宋体" w:cs="宋体" w:eastAsia="宋体" w:hint="default"/>
          <w:spacing w:val="-2"/>
          <w:sz w:val="18"/>
          <w:szCs w:val="18"/>
        </w:rPr>
        <w:t>公司对资金活动实施集中归口管理，对资金的使用和收支建立了严格的审批程序，并对与资金业务有关的岗位实行不相</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容职务的分离，公司根据年度经营计划和绩效目标，科学合理地统筹调度资金，提高资金使用效率。公司设立了投资工作团</w:t>
      </w:r>
    </w:p>
    <w:p>
      <w:pPr>
        <w:spacing w:line="319"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队，建立了投资管理相关制度，依据公司的投资计划目标，广泛搜寻适合公司战略发展需要的对外投资项目，实施充分有效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的投资调研，拟订投资方案，关注投资收益和风险，支撑管理层投资决策，确保投资目标的实现。</w:t>
      </w:r>
    </w:p>
    <w:p>
      <w:pPr>
        <w:spacing w:line="357" w:lineRule="auto" w:before="56"/>
        <w:ind w:left="514" w:right="1118" w:hanging="360"/>
        <w:jc w:val="left"/>
        <w:rPr>
          <w:rFonts w:ascii="宋体" w:hAnsi="宋体" w:cs="宋体" w:eastAsia="宋体" w:hint="default"/>
          <w:sz w:val="18"/>
          <w:szCs w:val="18"/>
        </w:rPr>
      </w:pPr>
      <w:r>
        <w:rPr>
          <w:rFonts w:ascii="宋体" w:hAnsi="宋体" w:cs="宋体" w:eastAsia="宋体" w:hint="default"/>
          <w:sz w:val="18"/>
          <w:szCs w:val="18"/>
        </w:rPr>
        <w:t>（六）采购业务 </w:t>
      </w:r>
      <w:r>
        <w:rPr>
          <w:rFonts w:ascii="宋体" w:hAnsi="宋体" w:cs="宋体" w:eastAsia="宋体" w:hint="default"/>
          <w:spacing w:val="-2"/>
          <w:sz w:val="18"/>
          <w:szCs w:val="18"/>
        </w:rPr>
        <w:t>公司严格按照《采购管理制度》的流程规范执行采购业务，并设置采购负责人专岗。公司按照业务需求和实际情况，统</w:t>
      </w:r>
    </w:p>
    <w:p>
      <w:pPr>
        <w:spacing w:line="223"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筹安排并制定采购计划，明确了请购、审批、购买、验收、付款等环节的职责和审批权限，根据不同的采购项目建立了比价</w:t>
      </w:r>
    </w:p>
    <w:p>
      <w:pPr>
        <w:spacing w:line="319"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询价、供应商合作及招标的采购价格管控机制，并结合公司资产管理、资金管理的要求，强化采购验收入库及付款票据的管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控，进一步提升了采购业务规范性。</w:t>
      </w:r>
    </w:p>
    <w:p>
      <w:pPr>
        <w:spacing w:line="357" w:lineRule="auto" w:before="58"/>
        <w:ind w:left="514" w:right="1118" w:hanging="360"/>
        <w:jc w:val="left"/>
        <w:rPr>
          <w:rFonts w:ascii="宋体" w:hAnsi="宋体" w:cs="宋体" w:eastAsia="宋体" w:hint="default"/>
          <w:sz w:val="18"/>
          <w:szCs w:val="18"/>
        </w:rPr>
      </w:pPr>
      <w:r>
        <w:rPr>
          <w:rFonts w:ascii="宋体" w:hAnsi="宋体" w:cs="宋体" w:eastAsia="宋体" w:hint="default"/>
          <w:sz w:val="18"/>
          <w:szCs w:val="18"/>
        </w:rPr>
        <w:t>（七）担保业务 </w:t>
      </w:r>
      <w:r>
        <w:rPr>
          <w:rFonts w:ascii="宋体" w:hAnsi="宋体" w:cs="宋体" w:eastAsia="宋体" w:hint="default"/>
          <w:spacing w:val="-2"/>
          <w:sz w:val="18"/>
          <w:szCs w:val="18"/>
        </w:rPr>
        <w:t>公司建立了《对外担保管理制度》，有效规范了公司及控股子公司对外担保事项的决策权限、申请及审核程序、日常管</w:t>
      </w:r>
    </w:p>
    <w:p>
      <w:pPr>
        <w:spacing w:line="22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理、持续风险控制及信息披露的机制。公司及控股子公司在报告期内未发生对外担保事项。</w:t>
      </w:r>
    </w:p>
    <w:p>
      <w:pPr>
        <w:spacing w:after="0" w:line="225"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513" w:right="1118" w:hanging="360"/>
        <w:jc w:val="left"/>
        <w:rPr>
          <w:rFonts w:ascii="宋体" w:hAnsi="宋体" w:cs="宋体" w:eastAsia="宋体" w:hint="default"/>
          <w:sz w:val="18"/>
          <w:szCs w:val="18"/>
        </w:rPr>
      </w:pPr>
      <w:r>
        <w:rPr>
          <w:rFonts w:ascii="宋体" w:hAnsi="宋体" w:cs="宋体" w:eastAsia="宋体" w:hint="default"/>
          <w:sz w:val="18"/>
          <w:szCs w:val="18"/>
        </w:rPr>
        <w:t>（八）资产管理 </w:t>
      </w:r>
      <w:r>
        <w:rPr>
          <w:rFonts w:ascii="宋体" w:hAnsi="宋体" w:cs="宋体" w:eastAsia="宋体" w:hint="default"/>
          <w:spacing w:val="-2"/>
          <w:sz w:val="18"/>
          <w:szCs w:val="18"/>
        </w:rPr>
        <w:t>为加强公司存货及固定资产的管理，维护资产安全和完整，公司设立专职部门并建立了存货与资产管理相关制度，明确</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pacing w:val="-5"/>
          <w:sz w:val="18"/>
          <w:szCs w:val="18"/>
        </w:rPr>
        <w:t>了资产出入库、维护、管理等的职责及流程规范，有效保障了公司资产的正常运转，提高了资产使用效率。在无形资产方面，</w:t>
      </w:r>
    </w:p>
    <w:p>
      <w:pPr>
        <w:spacing w:line="319" w:lineRule="auto" w:before="76"/>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公司配备专职人员进行信息资产管理，并建立相关制度，能够对品牌、商标、软件著作权、土地使用权等无形资产实施有效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管理。公司法务负责公司资产的权益保护，有效防范侵权行为及法律风险。</w:t>
      </w:r>
    </w:p>
    <w:p>
      <w:pPr>
        <w:spacing w:line="357" w:lineRule="auto" w:before="58"/>
        <w:ind w:left="513" w:right="1118" w:hanging="360"/>
        <w:jc w:val="left"/>
        <w:rPr>
          <w:rFonts w:ascii="宋体" w:hAnsi="宋体" w:cs="宋体" w:eastAsia="宋体" w:hint="default"/>
          <w:sz w:val="18"/>
          <w:szCs w:val="18"/>
        </w:rPr>
      </w:pPr>
      <w:r>
        <w:rPr>
          <w:rFonts w:ascii="宋体" w:hAnsi="宋体" w:cs="宋体" w:eastAsia="宋体" w:hint="default"/>
          <w:sz w:val="18"/>
          <w:szCs w:val="18"/>
        </w:rPr>
        <w:t>（九）销售业务 </w:t>
      </w:r>
      <w:r>
        <w:rPr>
          <w:rFonts w:ascii="宋体" w:hAnsi="宋体" w:cs="宋体" w:eastAsia="宋体" w:hint="default"/>
          <w:spacing w:val="-2"/>
          <w:sz w:val="18"/>
          <w:szCs w:val="18"/>
        </w:rPr>
        <w:t>经过十余年发展，公司以北京总部为核心在全国三十余个省市设立了分支机构，构筑了总分联动一体化的全国营销服务</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网络。公司建立了适应自身业务特点的销售管理模式，并通过销售管理制度、产品报价策略、投标操作指南、客户服务白皮</w:t>
      </w:r>
    </w:p>
    <w:p>
      <w:pPr>
        <w:spacing w:line="319" w:lineRule="auto" w:before="76"/>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书等制度规范不断改进、完善销售管理体系建设。公司采用信息化方式对销售计划、立项、费用、回款、维保等情况进行监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督管理，及时防范并应对销售过程可能产生的风险。</w:t>
      </w:r>
    </w:p>
    <w:p>
      <w:pPr>
        <w:spacing w:line="357" w:lineRule="auto" w:before="56"/>
        <w:ind w:left="513" w:right="1118" w:hanging="360"/>
        <w:jc w:val="left"/>
        <w:rPr>
          <w:rFonts w:ascii="宋体" w:hAnsi="宋体" w:cs="宋体" w:eastAsia="宋体" w:hint="default"/>
          <w:sz w:val="18"/>
          <w:szCs w:val="18"/>
        </w:rPr>
      </w:pPr>
      <w:r>
        <w:rPr>
          <w:rFonts w:ascii="宋体" w:hAnsi="宋体" w:cs="宋体" w:eastAsia="宋体" w:hint="default"/>
          <w:sz w:val="18"/>
          <w:szCs w:val="18"/>
        </w:rPr>
        <w:t>（十）研究与开发 </w:t>
      </w:r>
      <w:r>
        <w:rPr>
          <w:rFonts w:ascii="宋体" w:hAnsi="宋体" w:cs="宋体" w:eastAsia="宋体" w:hint="default"/>
          <w:spacing w:val="-2"/>
          <w:sz w:val="18"/>
          <w:szCs w:val="18"/>
        </w:rPr>
        <w:t>公司技术与产品管理委员会负责评估并论证技术产品，以及研发过程相关战略和规划。自主创新的技术研发实力是公司</w:t>
      </w:r>
    </w:p>
    <w:p>
      <w:pPr>
        <w:spacing w:line="237"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首要的核心竞争力，公司研发项目的执行过程严格遵循</w:t>
      </w:r>
      <w:r>
        <w:rPr>
          <w:rFonts w:ascii="Times New Roman" w:hAnsi="Times New Roman" w:cs="Times New Roman" w:eastAsia="Times New Roman" w:hint="default"/>
          <w:sz w:val="18"/>
          <w:szCs w:val="18"/>
        </w:rPr>
        <w:t>CMMI</w:t>
      </w:r>
      <w:r>
        <w:rPr>
          <w:rFonts w:ascii="宋体" w:hAnsi="宋体" w:cs="宋体" w:eastAsia="宋体" w:hint="default"/>
          <w:sz w:val="18"/>
          <w:szCs w:val="18"/>
        </w:rPr>
        <w:t>和</w:t>
      </w:r>
      <w:r>
        <w:rPr>
          <w:rFonts w:ascii="Times New Roman" w:hAnsi="Times New Roman" w:cs="Times New Roman" w:eastAsia="Times New Roman" w:hint="default"/>
          <w:sz w:val="18"/>
          <w:szCs w:val="18"/>
        </w:rPr>
        <w:t>ISO9001:2008</w:t>
      </w:r>
      <w:r>
        <w:rPr>
          <w:rFonts w:ascii="宋体" w:hAnsi="宋体" w:cs="宋体" w:eastAsia="宋体" w:hint="default"/>
          <w:sz w:val="18"/>
          <w:szCs w:val="18"/>
        </w:rPr>
        <w:t>质量管理体系要求的规范和标准，并根据公司</w:t>
      </w:r>
    </w:p>
    <w:p>
      <w:pPr>
        <w:spacing w:line="319" w:lineRule="auto" w:before="63"/>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研发项目和实施项目特点，制定了体系化、规范化的流程和标准，实现了从需求、设计、研发、测试，到实施、验收、维护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等项目全生命周期的质量控制和风险控制。</w:t>
      </w:r>
    </w:p>
    <w:p>
      <w:pPr>
        <w:spacing w:line="357" w:lineRule="auto" w:before="56"/>
        <w:ind w:left="514" w:right="1118" w:hanging="360"/>
        <w:jc w:val="left"/>
        <w:rPr>
          <w:rFonts w:ascii="宋体" w:hAnsi="宋体" w:cs="宋体" w:eastAsia="宋体" w:hint="default"/>
          <w:sz w:val="18"/>
          <w:szCs w:val="18"/>
        </w:rPr>
      </w:pPr>
      <w:r>
        <w:rPr>
          <w:rFonts w:ascii="宋体" w:hAnsi="宋体" w:cs="宋体" w:eastAsia="宋体" w:hint="default"/>
          <w:sz w:val="18"/>
          <w:szCs w:val="18"/>
        </w:rPr>
        <w:t>（十一）财务报告 </w:t>
      </w:r>
      <w:r>
        <w:rPr>
          <w:rFonts w:ascii="宋体" w:hAnsi="宋体" w:cs="宋体" w:eastAsia="宋体" w:hint="default"/>
          <w:spacing w:val="-2"/>
          <w:sz w:val="18"/>
          <w:szCs w:val="18"/>
        </w:rPr>
        <w:t>公司根据《企业会计准则》的规定，选择合法、合理且符合公司经营特点和发展状况的会计政策、会计估计来编制财务</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报告，并就对财务报告产生重大影响的交易和事项的处理建立了相应的审批权限和程序，确保财务报告的真实性和完整性。</w:t>
      </w:r>
    </w:p>
    <w:p>
      <w:pPr>
        <w:spacing w:line="319" w:lineRule="auto" w:before="76"/>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公司重视财务报告的分析利用，每季度、半年度、年度召开董事会审计委员会和董事会对财务报告进行审议，利用其反映的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综合信息，加强对经营管理相关问题的改进，提升公司管理水平。公司对外提供的财务报告严格遵循《企业会计准则》的规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定，需由公司法定代表人、财务总监和会计机构负责人共同签名并盖章。</w:t>
      </w:r>
    </w:p>
    <w:p>
      <w:pPr>
        <w:spacing w:line="357" w:lineRule="auto" w:before="58"/>
        <w:ind w:left="513" w:right="1118" w:hanging="360"/>
        <w:jc w:val="left"/>
        <w:rPr>
          <w:rFonts w:ascii="宋体" w:hAnsi="宋体" w:cs="宋体" w:eastAsia="宋体" w:hint="default"/>
          <w:sz w:val="18"/>
          <w:szCs w:val="18"/>
        </w:rPr>
      </w:pPr>
      <w:r>
        <w:rPr>
          <w:rFonts w:ascii="宋体" w:hAnsi="宋体" w:cs="宋体" w:eastAsia="宋体" w:hint="default"/>
          <w:sz w:val="18"/>
          <w:szCs w:val="18"/>
        </w:rPr>
        <w:t>（十二）合同管理 </w:t>
      </w:r>
      <w:r>
        <w:rPr>
          <w:rFonts w:ascii="宋体" w:hAnsi="宋体" w:cs="宋体" w:eastAsia="宋体" w:hint="default"/>
          <w:spacing w:val="-2"/>
          <w:sz w:val="18"/>
          <w:szCs w:val="18"/>
        </w:rPr>
        <w:t>为了维护企业合法权益，公司建立了《合同管理制度》，并设立法务专岗负责合同管理相关工作。在合同订立过程中重</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点关注合同主体、内容及形式的合法性，是否符合公司经济利益，以及双方的履约能力、权利义务及违约责任，除确保合同</w:t>
      </w:r>
    </w:p>
    <w:p>
      <w:pPr>
        <w:spacing w:line="319" w:lineRule="auto" w:before="76"/>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条款内容完整、表述清晰外，还强化合同商务部分和技术部分的专业审核，避免出现重大疏漏或风险。合同签订后，通过公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司内部信息化系统可及时掌握合同的执行、交付等情况，实现对合同履约情况的监管。</w:t>
      </w:r>
    </w:p>
    <w:p>
      <w:pPr>
        <w:spacing w:line="357" w:lineRule="auto" w:before="56"/>
        <w:ind w:left="513" w:right="1118" w:hanging="360"/>
        <w:jc w:val="left"/>
        <w:rPr>
          <w:rFonts w:ascii="宋体" w:hAnsi="宋体" w:cs="宋体" w:eastAsia="宋体" w:hint="default"/>
          <w:sz w:val="18"/>
          <w:szCs w:val="18"/>
        </w:rPr>
      </w:pPr>
      <w:r>
        <w:rPr>
          <w:rFonts w:ascii="宋体" w:hAnsi="宋体" w:cs="宋体" w:eastAsia="宋体" w:hint="default"/>
          <w:sz w:val="18"/>
          <w:szCs w:val="18"/>
        </w:rPr>
        <w:t>（十三）项目管理 </w:t>
      </w:r>
      <w:r>
        <w:rPr>
          <w:rFonts w:ascii="宋体" w:hAnsi="宋体" w:cs="宋体" w:eastAsia="宋体" w:hint="default"/>
          <w:spacing w:val="-2"/>
          <w:sz w:val="18"/>
          <w:szCs w:val="18"/>
        </w:rPr>
        <w:t>公司项目管理委员会指导项目监管部开展公司研发及实施项目的管理和监督工作，以保障项目质量与交付为目标，针对</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研发及实施项目从项目前期的立项、计划、成本评审，到项目执行中的沟通反馈、问题跟踪，以及项目交付的质量评审、结</w:t>
      </w:r>
    </w:p>
    <w:p>
      <w:pPr>
        <w:spacing w:before="77"/>
        <w:ind w:left="153" w:right="0" w:firstLine="0"/>
        <w:jc w:val="left"/>
        <w:rPr>
          <w:rFonts w:ascii="宋体" w:hAnsi="宋体" w:cs="宋体" w:eastAsia="宋体" w:hint="default"/>
          <w:sz w:val="18"/>
          <w:szCs w:val="18"/>
        </w:rPr>
      </w:pPr>
      <w:r>
        <w:rPr>
          <w:rFonts w:ascii="宋体" w:hAnsi="宋体" w:cs="宋体" w:eastAsia="宋体" w:hint="default"/>
          <w:spacing w:val="-5"/>
          <w:sz w:val="18"/>
          <w:szCs w:val="18"/>
        </w:rPr>
        <w:t>项、考核等，形成了较为完整并行之有效的管理制度和流程规范，并通过不断改进并完善项目激励机制，提升项目管理成效。</w:t>
      </w:r>
    </w:p>
    <w:p>
      <w:pPr>
        <w:spacing w:line="357" w:lineRule="auto" w:before="116"/>
        <w:ind w:left="513" w:right="0" w:hanging="360"/>
        <w:jc w:val="left"/>
        <w:rPr>
          <w:rFonts w:ascii="宋体" w:hAnsi="宋体" w:cs="宋体" w:eastAsia="宋体" w:hint="default"/>
          <w:sz w:val="18"/>
          <w:szCs w:val="18"/>
        </w:rPr>
      </w:pPr>
      <w:r>
        <w:rPr>
          <w:rFonts w:ascii="宋体" w:hAnsi="宋体" w:cs="宋体" w:eastAsia="宋体" w:hint="default"/>
          <w:sz w:val="18"/>
          <w:szCs w:val="18"/>
        </w:rPr>
        <w:t>（十四）内部信息传递 </w:t>
      </w:r>
      <w:r>
        <w:rPr>
          <w:rFonts w:ascii="宋体" w:hAnsi="宋体" w:cs="宋体" w:eastAsia="宋体" w:hint="default"/>
          <w:spacing w:val="-2"/>
          <w:sz w:val="18"/>
          <w:szCs w:val="18"/>
        </w:rPr>
        <w:t>公司制定了《信息披露制度》、《重大信息内部报告制度》、《内幕信息知情人管理制度》、《控股股东内幕信息管理</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制度》及《分子公司管理制度》，建立了较为有效的内部信息传递机制，针对不同类型、不同密级的信息明确了传递层级和</w:t>
      </w:r>
    </w:p>
    <w:p>
      <w:pPr>
        <w:spacing w:before="77"/>
        <w:ind w:left="153" w:right="0" w:firstLine="0"/>
        <w:jc w:val="left"/>
        <w:rPr>
          <w:rFonts w:ascii="宋体" w:hAnsi="宋体" w:cs="宋体" w:eastAsia="宋体" w:hint="default"/>
          <w:sz w:val="18"/>
          <w:szCs w:val="18"/>
        </w:rPr>
      </w:pPr>
      <w:r>
        <w:rPr>
          <w:rFonts w:ascii="宋体" w:hAnsi="宋体" w:cs="宋体" w:eastAsia="宋体" w:hint="default"/>
          <w:sz w:val="18"/>
          <w:szCs w:val="18"/>
        </w:rPr>
        <w:t>范围，落实了信息知悉人的职责权限。报告期内，公司未发生因内部信息传递问题导致的内幕信息泄露风险。</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董事会关于内部控制责任的声明" w:id="124"/>
      <w:bookmarkEnd w:id="124"/>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spacing w:line="312"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公司董事会对公司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年度内部控制活动承担责任。公司董事会对公司内部控制进行了认真的自查和分析，认为：公司具有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比较完善的法人治理结构，内部控制体系较为健全，符合有关法律法规规定。公司内部控制制度能够得到有效地执行，对控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制和防范经营管理风险、保护投资者的合法权益、促进公司规范运作和健康发展起到了积极的作用，在公司未来的经营发展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中，公司需持续不断的推进内部控制体系建设，保证内部控制体系的有效性和完备性。</w:t>
      </w:r>
    </w:p>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三、建立财务报告内部控制的依据" w:id="125"/>
      <w:bookmarkEnd w:id="125"/>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spacing w:line="319"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按照《企业内部控制基本规范》和《企业内部控制应用指引》，公司持续完善内部财务管理体系，严格执行会计法律法规和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国家统一的会计准则并按要求编制财务报告，在进一步完善财务决策机制、内部会计控制及会计核算流程的基础上，加强对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财务报告编制，以及对外提供和分析利用财务报告的过程管理，明确相关工作流程和要求，落实责任，确保财务报告合法合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规、真实完整和有效利用。报告期内，公司不存在财务报告内部控制的重大缺陷。</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四、内部控制评价报告" w:id="126"/>
      <w:bookmarkEnd w:id="126"/>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报告期内，公司不存在财务报告内部控制重大缺陷或重要缺陷，报告期内，未发现公司非财务报告内部控制重大缺陷或重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要缺陷。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年度内部控制评价报告》披露于巨潮资讯网</w:t>
            </w:r>
            <w:r>
              <w:rPr>
                <w:rFonts w:ascii="宋体" w:hAnsi="宋体" w:cs="宋体" w:eastAsia="宋体" w:hint="default"/>
                <w:spacing w:val="-61"/>
                <w:sz w:val="18"/>
                <w:szCs w:val="18"/>
              </w:rPr>
              <w:t> </w:t>
            </w:r>
            <w:hyperlink r:id="rId13">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27"/>
      <w:bookmarkEnd w:id="127"/>
      <w:r>
        <w:rPr>
          <w:b w:val="0"/>
          <w:bCs w:val="0"/>
        </w:rPr>
      </w:r>
      <w:r>
        <w:rPr/>
        <w:t>五、内部控制审计报告或鉴证报告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6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立信会计师事务所（特殊普通合伙）出具的《内部控制鉴证报告》披露于巨潮资讯网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年度报告重大差错责任追究制度的建立与执行情况" w:id="128"/>
      <w:bookmarkEnd w:id="128"/>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根据《证券法》、《会计法》、《上市公司信息披露管理办法》、《上市公司治理准则》等法律、法规的要求，公司制定了</w:t>
      </w:r>
    </w:p>
    <w:p>
      <w:pPr>
        <w:spacing w:line="316" w:lineRule="auto" w:before="76"/>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《年报信息披露重大差错责任追究制度》，明确了年度报告重大差错的责任追究机制，有效保障了信息披露的真实性、准确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性、完整性和及时性，提高年度报告信息披露的质量和透明度。报告期内，公司未发生重大会计差错更正、重大遗漏信息补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充等情况。</w:t>
      </w:r>
    </w:p>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29"/>
      <w:bookmarkEnd w:id="129"/>
      <w:r>
        <w:rPr>
          <w:b w:val="0"/>
          <w:bCs w:val="0"/>
        </w:rPr>
      </w:r>
      <w:bookmarkStart w:name="_bookmark9" w:id="130"/>
      <w:bookmarkEnd w:id="13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31"/>
      <w:bookmarkEnd w:id="13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710985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陈勇波 胡碟</w:t>
            </w:r>
          </w:p>
        </w:tc>
      </w:tr>
    </w:tbl>
    <w:p>
      <w:pPr>
        <w:spacing w:before="51"/>
        <w:ind w:left="3270" w:right="424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3"/>
        <w:spacing w:line="240" w:lineRule="auto" w:before="90"/>
        <w:ind w:left="3270" w:right="4247"/>
        <w:jc w:val="center"/>
        <w:rPr>
          <w:b w:val="0"/>
          <w:bCs w:val="0"/>
        </w:rPr>
      </w:pPr>
      <w:r>
        <w:rPr/>
        <w:t>审 计 报</w:t>
      </w:r>
      <w:r>
        <w:rPr>
          <w:spacing w:val="-50"/>
        </w:rPr>
        <w:t> </w:t>
      </w:r>
      <w:r>
        <w:rPr/>
        <w:t>告</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7132" w:right="0"/>
        <w:jc w:val="left"/>
      </w:pPr>
      <w:r>
        <w:rPr/>
        <w:t>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710985</w:t>
      </w:r>
      <w:r>
        <w:rPr/>
        <w:t>号</w:t>
      </w:r>
    </w:p>
    <w:p>
      <w:pPr>
        <w:pStyle w:val="Heading3"/>
        <w:spacing w:line="240" w:lineRule="auto" w:before="21"/>
        <w:ind w:left="153" w:right="0"/>
        <w:jc w:val="left"/>
        <w:rPr>
          <w:b w:val="0"/>
          <w:bCs w:val="0"/>
        </w:rPr>
      </w:pPr>
      <w:r>
        <w:rPr/>
        <w:t>北京久其软件股份有限公司全体股东：</w:t>
      </w:r>
      <w:r>
        <w:rPr>
          <w:b w:val="0"/>
          <w:bCs w:val="0"/>
        </w:rPr>
      </w:r>
    </w:p>
    <w:p>
      <w:pPr>
        <w:pStyle w:val="BodyText"/>
        <w:spacing w:line="256" w:lineRule="auto" w:before="37"/>
        <w:ind w:right="1128" w:firstLine="560"/>
        <w:jc w:val="both"/>
      </w:pPr>
      <w:r>
        <w:rPr/>
        <w:t>我们审计了后附的北京久其软件股份有限公司（以下简称贵公司）财务报表，包括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1"/>
        </w:rPr>
        <w:t>的合并及公司资产负债表、</w:t>
      </w:r>
      <w:r>
        <w:rPr>
          <w:rFonts w:ascii="Times New Roman" w:hAnsi="Times New Roman" w:cs="Times New Roman" w:eastAsia="Times New Roman" w:hint="default"/>
          <w:spacing w:val="-1"/>
        </w:rPr>
        <w:t>2014</w:t>
      </w:r>
      <w:r>
        <w:rPr>
          <w:spacing w:val="-1"/>
        </w:rPr>
        <w:t>年度的合并及公司利润表、合并及公司现金流量表、合并及公司所有者权</w:t>
      </w:r>
      <w:r>
        <w:rPr>
          <w:spacing w:val="-81"/>
        </w:rPr>
        <w:t> </w:t>
      </w:r>
      <w:r>
        <w:rPr>
          <w:spacing w:val="-81"/>
        </w:rPr>
      </w:r>
      <w:r>
        <w:rPr/>
        <w:t>益变动表以及财务报表附注。</w:t>
      </w:r>
    </w:p>
    <w:p>
      <w:pPr>
        <w:spacing w:line="273" w:lineRule="auto" w:before="22"/>
        <w:ind w:left="714" w:right="0" w:firstLine="159"/>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编制和公允列报财务报表是贵公司管理层的责任。这种责任包括：（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）按照企业会计准则的规定编</w:t>
      </w:r>
    </w:p>
    <w:p>
      <w:pPr>
        <w:pStyle w:val="BodyText"/>
        <w:spacing w:line="256" w:lineRule="auto"/>
        <w:ind w:right="0"/>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30"/>
        </w:rPr>
        <w:t> </w:t>
      </w:r>
      <w:r>
        <w:rPr>
          <w:spacing w:val="-30"/>
        </w:rPr>
      </w:r>
      <w:r>
        <w:rPr/>
        <w:t>舞弊或错误导致的重大错报。</w:t>
      </w:r>
    </w:p>
    <w:p>
      <w:pPr>
        <w:spacing w:line="273" w:lineRule="auto" w:before="22"/>
        <w:ind w:left="714" w:right="0" w:firstLine="159"/>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我们的责任是在执行审计工作的基础上对财务报表发表审计意见。我们按照中国注册会计师审计准</w:t>
      </w:r>
    </w:p>
    <w:p>
      <w:pPr>
        <w:pStyle w:val="BodyText"/>
        <w:spacing w:line="273" w:lineRule="auto" w:before="7"/>
        <w:ind w:right="0"/>
        <w:jc w:val="left"/>
      </w:pPr>
      <w:r>
        <w:rPr>
          <w:spacing w:val="-1"/>
        </w:rPr>
        <w:t>则的规定执行了审计工作。中国注册会计师审计准则要求我们遵守中国注册会计师职业道德守则，计划和</w:t>
      </w:r>
      <w:r>
        <w:rPr>
          <w:spacing w:val="-80"/>
        </w:rPr>
        <w:t> </w:t>
      </w:r>
      <w:r>
        <w:rPr>
          <w:spacing w:val="-80"/>
        </w:rPr>
      </w:r>
      <w:r>
        <w:rPr/>
        <w:t>执行审计工作以对财务报表是否不存在重大错报获取合理保证。</w:t>
      </w:r>
    </w:p>
    <w:p>
      <w:pPr>
        <w:pStyle w:val="BodyText"/>
        <w:spacing w:line="273" w:lineRule="auto" w:before="7"/>
        <w:ind w:right="1130" w:firstLine="560"/>
        <w:jc w:val="both"/>
      </w:pPr>
      <w:r>
        <w:rPr/>
        <w:t>审计工作涉及实施审计程序，以获取有关财务报表金额和披露的审计证据。选择的审计程序取决于 </w:t>
      </w:r>
      <w:r>
        <w:rPr>
          <w:spacing w:val="-1"/>
        </w:rPr>
        <w:t>注册会计师的判断，包括对由于舞弊或错误导致的财务报表重大错报风险的评估。在进行风险评估时，注</w:t>
      </w:r>
      <w:r>
        <w:rPr>
          <w:spacing w:val="-83"/>
        </w:rPr>
        <w:t> </w:t>
      </w:r>
      <w:r>
        <w:rPr>
          <w:spacing w:val="-83"/>
        </w:rPr>
      </w:r>
      <w:r>
        <w:rPr>
          <w:spacing w:val="-1"/>
        </w:rPr>
        <w:t>册会计师考虑与财务报表编制和公允列报相关的内部控制，以设计恰当的审计程序，但目的并非对内部控</w:t>
      </w:r>
      <w:r>
        <w:rPr>
          <w:spacing w:val="-81"/>
        </w:rPr>
        <w:t> </w:t>
      </w:r>
      <w:r>
        <w:rPr>
          <w:spacing w:val="-81"/>
        </w:rPr>
      </w:r>
      <w:r>
        <w:rPr>
          <w:spacing w:val="-1"/>
        </w:rPr>
        <w:t>制的有效性发表意见。审计工作还包括评价管理层选用会计政策的恰当性和作出会计估计的合理性，以及</w:t>
      </w:r>
      <w:r>
        <w:rPr>
          <w:spacing w:val="-81"/>
        </w:rPr>
        <w:t> </w:t>
      </w:r>
      <w:r>
        <w:rPr>
          <w:spacing w:val="-81"/>
        </w:rPr>
      </w:r>
      <w:r>
        <w:rPr/>
        <w:t>评价财务报表的总体列报。</w:t>
      </w:r>
    </w:p>
    <w:p>
      <w:pPr>
        <w:pStyle w:val="BodyText"/>
        <w:spacing w:line="273" w:lineRule="auto" w:before="7"/>
        <w:ind w:left="873" w:right="2842" w:hanging="159"/>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56" w:lineRule="auto" w:before="7"/>
        <w:ind w:right="1129" w:firstLine="560"/>
        <w:jc w:val="both"/>
      </w:pPr>
      <w:r>
        <w:rPr/>
        <w:t>我们认为，贵公司财务报表在所有重大方面按照企业会计准则的规定编制，公允反映了贵公司</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年度的合并及公司经营成果和现金流量。</w:t>
      </w:r>
    </w:p>
    <w:p>
      <w:pPr>
        <w:spacing w:line="240" w:lineRule="auto" w:before="2"/>
        <w:rPr>
          <w:rFonts w:ascii="宋体" w:hAnsi="宋体" w:cs="宋体" w:eastAsia="宋体" w:hint="default"/>
          <w:sz w:val="24"/>
          <w:szCs w:val="24"/>
        </w:rPr>
      </w:pPr>
    </w:p>
    <w:p>
      <w:pPr>
        <w:pStyle w:val="Heading3"/>
        <w:tabs>
          <w:tab w:pos="4495" w:val="left" w:leader="none"/>
          <w:tab w:pos="4883" w:val="left" w:leader="none"/>
        </w:tabs>
        <w:spacing w:line="544" w:lineRule="auto"/>
        <w:ind w:left="1050" w:right="3724" w:hanging="897"/>
        <w:jc w:val="left"/>
        <w:rPr>
          <w:b w:val="0"/>
          <w:bCs w:val="0"/>
        </w:rPr>
      </w:pPr>
      <w:r>
        <w:rPr>
          <w:w w:val="95"/>
        </w:rPr>
        <w:t>立信会计师事务所（特殊普通合伙）</w:t>
        <w:tab/>
        <w:tab/>
      </w:r>
      <w:r>
        <w:rPr/>
        <w:t>中国注册会计师：陈勇波</w:t>
      </w:r>
      <w:r>
        <w:rPr>
          <w:w w:val="99"/>
        </w:rPr>
        <w:t> </w:t>
      </w:r>
      <w:r>
        <w:rPr>
          <w:w w:val="95"/>
        </w:rPr>
        <w:t>中国</w:t>
      </w:r>
      <w:r>
        <w:rPr>
          <w:rFonts w:ascii="Times New Roman" w:hAnsi="Times New Roman" w:cs="Times New Roman" w:eastAsia="Times New Roman" w:hint="default"/>
          <w:w w:val="95"/>
        </w:rPr>
        <w:t>·</w:t>
      </w:r>
      <w:r>
        <w:rPr>
          <w:w w:val="95"/>
        </w:rPr>
        <w:t>上海</w:t>
        <w:tab/>
      </w:r>
      <w:r>
        <w:rPr/>
        <w:t>中国注册会计师：</w:t>
      </w:r>
      <w:r>
        <w:rPr>
          <w:spacing w:val="-18"/>
        </w:rPr>
        <w:t> </w:t>
      </w:r>
      <w:r>
        <w:rPr/>
        <w:t>胡碟</w:t>
      </w:r>
      <w:r>
        <w:rPr>
          <w:b w:val="0"/>
          <w:bCs w:val="0"/>
        </w:rPr>
      </w:r>
    </w:p>
    <w:p>
      <w:pPr>
        <w:pStyle w:val="Heading3"/>
        <w:spacing w:line="240" w:lineRule="auto" w:before="38"/>
        <w:ind w:left="0" w:right="1131"/>
        <w:jc w:val="right"/>
        <w:rPr>
          <w:b w:val="0"/>
          <w:bCs w:val="0"/>
        </w:rPr>
      </w:pPr>
      <w:r>
        <w:rPr>
          <w:w w:val="95"/>
        </w:rPr>
        <w:t>二〇一五年四月二十日</w:t>
      </w:r>
      <w:r>
        <w:rPr>
          <w:b w:val="0"/>
          <w:bCs w:val="0"/>
        </w:rPr>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财务报表" w:id="132"/>
      <w:bookmarkEnd w:id="13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33"/>
      <w:bookmarkEnd w:id="13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编制单位：北京久其软件股份有限公司</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287,187,584.43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234,712,889.08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50,799,905.59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80,788,375.18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245,235.00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65,227,158.98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67,084,987.90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7,141,358.34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3,692,601.45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19,623,716.50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14,674,840.04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71,665.90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1,210,750.04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430,296,624.74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402,364,443.69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101,422,164.40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71,795,068.49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53,208,911.08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71,305,706.12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143,059,452.33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146,655,804.41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75,478,719.35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60,257,423.39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17,645,325.16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5,604,111.69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486,028.48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2,086,691.88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656,146.24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381,941.44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394,357,747.04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359,958,448.42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824,654,371.78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762,322,892.11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1,336,073.64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2,973,322.20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5,737,912.40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2,331,493.98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42,718,300.55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32,581,140.45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9,037,686.34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8,744,472.73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687,583.46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687,583.46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4,689,915.00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3,547,701.87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64,207,471.39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50,865,714.69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1,212,833.76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1,528,773.84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79,990.56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78,837.52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1,292,824.32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1,607,611.36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65,500,295.71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52,473,326.05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175,795,305.00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275,919,230.51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275,919,230.51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44,963,753.07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38,841,898.35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253,108,020.97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218,193,819.13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749,786,309.55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708,750,252.99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9,367,766.52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1,099,313.07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759,154,076.07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709,849,566.06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824,654,371.78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762,322,892.11</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法定代表人：赵福君</w:t>
        <w:tab/>
        <w:t>主管会计工作负责人：邱安超</w:t>
        <w:tab/>
        <w:t>会计机构负责人：马巧红</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34"/>
      <w:bookmarkEnd w:id="13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205,765,092.03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179,340,576.95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50,799,905.59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80,788,375.18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245,235.00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56,291,956.14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57,408,389.69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7,120,353.02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3,684,440.23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31,719,383.75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17,090,605.25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71,665.90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1,062,781.24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352,013,591.43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339,575,168.54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101,422,164.40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71,795,068.49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119,804,835.66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117,901,630.70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122,931,645.93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126,778,388.27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49,679,067.65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55,936,500.84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17,645,325.16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5,604,111.69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342,959.17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1,835,109.18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556,293.29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347,606.86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412,382,291.26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382,070,117.03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764,395,882.69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721,645,285.57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1,724,693.64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2,318,459.70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4,727,214.00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1,504,131.58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32,021,917.70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23,455,210.62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6,713,583.99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5,870,795.15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3,439,905.59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1,988,726.04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48,627,314.92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35,137,323.09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1,212,833.76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1,528,773.84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79,990.56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78,837.52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1,292,824.32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1,607,611.36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49,920,139.24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36,744,934.45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175,795,305.00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277,971,196.61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277,971,196.61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44,963,753.07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38,841,898.35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215,745,488.77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192,291,951.16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714,475,743.45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684,900,351.12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764,395,882.69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721,645,285.57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35"/>
      <w:bookmarkEnd w:id="13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326,678,547.40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289,545,451.00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326,678,547.40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289,545,451.00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279,945,879.11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236,958,371.95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16,379,457.86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7,834,873.69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01.219971pt;width:157.7pt;height:19.650pt;mso-position-horizontal-relative:page;mso-position-vertical-relative:page;z-index:-777832" coordorigin="4245,10024" coordsize="3154,393">
            <v:shape style="position:absolute;left:4245;top:10024;width:3154;height:393" coordorigin="4245,10024" coordsize="3154,393" path="m4245,10417l7399,10417,7399,10024,4245,10024,4245,104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2,019,064.37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2,075,704.38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23,979,631.66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22,057,660.82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237,804,919.02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204,184,074.84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-3,067,595.72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-3,226,552.73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2,830,401.92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4,032,610.95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11,530.41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102,583.41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18,803,768.33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4,480,808.63</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1,453,558.98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-1,786,676.19</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65,547,967.03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57,170,471.09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11,198,904.15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8,020,193.25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70,819.55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928,932.38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1,844,579.65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744,908.68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843,367.17</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75,817,938.80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63,346,084.69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4,171,273.89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4,231,965.37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71,646,664.91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59,114,119.32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72,679,211.46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59,433,902.96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-1,032,546.55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-319,783.64</w:t>
            </w:r>
            <w:r>
              <w:rPr>
                <w:rFonts w:ascii="Times New Roman"/>
                <w:sz w:val="18"/>
              </w:rPr>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71,646,664.91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59,114,119.32</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72,679,211.46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59,433,902.96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-1,032,546.55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-319,783.64</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0.3381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0.3381</w:t>
            </w:r>
          </w:p>
        </w:tc>
      </w:tr>
    </w:tbl>
    <w:p>
      <w:pPr>
        <w:tabs>
          <w:tab w:pos="3574" w:val="left" w:leader="none"/>
          <w:tab w:pos="771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法定代表人：赵福君</w:t>
        <w:tab/>
        <w:t>主管会计工作负责人：邱安超</w:t>
        <w:tab/>
        <w:t>会计机构负责人：马巧红 </w:t>
      </w:r>
      <w:bookmarkStart w:name="4、母公司利润表" w:id="136"/>
      <w:bookmarkEnd w:id="13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256,505,347.10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240,619,317.80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12,991,213.25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6,543,346.02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1,453,879.87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1,416,235.69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18,565,665.66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17,450,530.72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183,749,579.06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161,993,967.97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-2,158,222.19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-2,512,525.56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2,402,804.30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1,054,725.84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102,583.41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18,803,768.33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3,797,735.43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1,453,558.98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-1,786,676.19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58,315,725.89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58,573,355.96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6,603,228.26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5,989,212.93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769,785.40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1,773,270.60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744,335.89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772,315.36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64,149,168.75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62,789,298.29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2,930,621.52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3,082,929.35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59,706,368.94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59,706,368.94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0.3396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37"/>
      <w:bookmarkEnd w:id="13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347,418,333.17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295,511,310.42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2,858,237.10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5,543,936.02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10,963,554.70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5,388,495.35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361,240,124.97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306,443,741.79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16,410,289.45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10,984,511.20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191,277,841.47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159,591,685.48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24,466,529.70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17,147,444.70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45,742,467.16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46,619,150.71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277,897,127.78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234,342,792.09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83,342,997.19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72,100,949.70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357,251,920.00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350,242,535.62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11,023,467.46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2,054,264.27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268,052.13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297,417.26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368,543,439.59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352,594,217.15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33,020,101.32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12,769,718.98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331,001,920.00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364,022,021.32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409,769,718.98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4,521,418.27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-57,175,501.83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31,643,154.90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17,659,530.50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6,121,509.43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37,764,664.33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17,659,530.50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-35,764,664.33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-17,659,530.50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52,099,751.13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-2,734,082.63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225,233,358.80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227,967,441.43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277,333,109.93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225,233,358.80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38"/>
      <w:bookmarkEnd w:id="13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271,733,568.35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246,341,322.01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1,547,323.50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4,878,351.56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10,543,916.38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3,383,886.98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283,824,808.23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254,603,560.55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11,697,692.53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9,746,453.06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143,289,461.39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126,666,650.45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17,525,313.13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11,732,793.32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51,477,643.97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40,576,190.97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223,990,111.02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188,722,087.80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59,834,697.21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65,881,472.75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357,251,920.00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350,536,623.32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11,023,467.46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17,974,264.27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116,443.89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4,381,024.12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368,391,831.35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372,891,911.71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13,455,373.37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12,313,417.04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351,001,920.00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364,457,293.37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409,313,417.04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3,934,537.98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-36,421,505.33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31,643,154.90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17,579,530.50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6,121,509.43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37,764,664.33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-37,764,664.33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-17,579,530.50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26,004,570.86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11,880,436.92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169,973,046.67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158,092,609.75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195,977,617.53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169,973,046.67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39"/>
      <w:bookmarkEnd w:id="13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5,305.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275,919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,230.51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38,841,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898.35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218,193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,819.13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1,099,3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13.07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709,849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,566.06</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5,305.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275,919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,230.51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38,841,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898.35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218,193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,819.13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1,099,3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709,849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,566.06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6,121,8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201.84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8,268,4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53.45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49,304,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510.01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72,679,</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211.46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-1,032,5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46.55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71,646,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664.91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9,301,0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9,301,0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9,301,0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9,301,0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6,121,8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-37,765,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009.62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-31,643,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154.90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6,121,8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54.72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-6,121,8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54.72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-31,643,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154.90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-31,643,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154.90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5,305.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275,919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44,963,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753.07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253,108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,020.97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9,367,7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66.52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759,154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,076.07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5,305.</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275,919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,230.51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32,871,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261.46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182,310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,083.56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1,419,0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96.71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668,314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,977.24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5,305.</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275,919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,230.51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32,871,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261.46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182,310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,083.56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1,419,0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96.71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668,314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,977.24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5,970,6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36.89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35,883,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735.57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-319,78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41,534,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588.82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59,433,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902.96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-319,78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3.64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59,114,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119.32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5,970,6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36.89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-23,550,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167.39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530.50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5,970,6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36.89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-5,970,6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530.50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530.50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5,305.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275,919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,230.51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38,841,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898.35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218,193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,819.13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1,099,3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13.07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709,849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,566.06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40"/>
      <w:bookmarkEnd w:id="14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277,971,1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38,841,89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192,291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,951.16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684,900,3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51.12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277,971,1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38,841,89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192,291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,951.16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684,900,3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51.12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6,121,854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23,453,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537.61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29,575,39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61,218,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547.23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61,218,54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7.23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6,121,854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-37,765,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009.62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-31,643,1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6,121,854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-6,121,8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54.72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-31,643,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154.90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-31,643,1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54.90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277,971,1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44,963,75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215,745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,488.77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714,475,7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43.45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305.00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277,971,1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96.61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32,871,26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156,135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,749.61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642,773,5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12.68</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305.00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277,971,1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32,871,26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156,135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,749.61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642,773,5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12.68</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5,970,636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36,156,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201.55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42,126,83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8.44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59,706,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368.94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59,706,36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5,970,636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-23,550,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167.39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5,970,636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-5,970,6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36.89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-17,579,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530.50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175,795,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277,971,1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38,841,89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192,291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,951.16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684,900,3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51.12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41"/>
      <w:bookmarkEnd w:id="141"/>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22" w:firstLine="102"/>
        <w:jc w:val="left"/>
        <w:rPr>
          <w:rFonts w:ascii="Times New Roman" w:hAnsi="Times New Roman" w:cs="Times New Roman" w:eastAsia="Times New Roman" w:hint="default"/>
        </w:rPr>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7"/>
        </w:rPr>
        <w:t> </w:t>
      </w:r>
      <w:r>
        <w:rPr>
          <w:rFonts w:ascii="宋体" w:hAnsi="宋体" w:cs="宋体" w:eastAsia="宋体" w:hint="default"/>
          <w:b/>
          <w:bCs/>
        </w:rPr>
        <w:t>公司概况</w:t>
      </w:r>
      <w:r>
        <w:rPr>
          <w:rFonts w:ascii="宋体" w:hAnsi="宋体" w:cs="宋体" w:eastAsia="宋体" w:hint="default"/>
          <w:b/>
          <w:bCs/>
          <w:w w:val="99"/>
        </w:rPr>
        <w:t> </w:t>
      </w:r>
      <w:r>
        <w:rPr/>
        <w:t>北京久其软件股份有限公司（以下简称公司）成立于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日，原名为北京久其北方软件技术有限</w:t>
      </w:r>
      <w:r>
        <w:rPr>
          <w:spacing w:val="-31"/>
        </w:rPr>
        <w:t> </w:t>
      </w:r>
      <w:r>
        <w:rPr>
          <w:spacing w:val="-31"/>
        </w:rPr>
      </w:r>
      <w:r>
        <w:rPr>
          <w:spacing w:val="-1"/>
        </w:rPr>
        <w:t>公司，是经北京市工商行政管理局批准，由自然人董泰湘出资</w:t>
      </w:r>
      <w:r>
        <w:rPr>
          <w:rFonts w:ascii="Times New Roman" w:hAnsi="Times New Roman" w:cs="Times New Roman" w:eastAsia="Times New Roman" w:hint="default"/>
          <w:spacing w:val="-1"/>
        </w:rPr>
        <w:t>25</w:t>
      </w:r>
      <w:r>
        <w:rPr>
          <w:spacing w:val="-1"/>
        </w:rPr>
        <w:t>万元，自然人赵福君出资</w:t>
      </w:r>
      <w:r>
        <w:rPr>
          <w:rFonts w:ascii="Times New Roman" w:hAnsi="Times New Roman" w:cs="Times New Roman" w:eastAsia="Times New Roman" w:hint="default"/>
          <w:spacing w:val="-1"/>
        </w:rPr>
        <w:t>20</w:t>
      </w:r>
      <w:r>
        <w:rPr>
          <w:spacing w:val="-1"/>
        </w:rPr>
        <w:t>万元，自然人</w:t>
      </w:r>
      <w:r>
        <w:rPr>
          <w:spacing w:val="-87"/>
        </w:rPr>
        <w:t> </w:t>
      </w:r>
      <w:r>
        <w:rPr>
          <w:spacing w:val="-87"/>
        </w:rPr>
      </w:r>
      <w:r>
        <w:rPr/>
        <w:t>欧阳曜出资</w:t>
      </w:r>
      <w:r>
        <w:rPr>
          <w:rFonts w:ascii="Times New Roman" w:hAnsi="Times New Roman" w:cs="Times New Roman" w:eastAsia="Times New Roman" w:hint="default"/>
        </w:rPr>
        <w:t>5</w:t>
      </w:r>
      <w:r>
        <w:rPr/>
        <w:t>万元设立的有限责任公司。上述出资业经北京中之光会计师事务所审验，并出具（</w:t>
      </w:r>
      <w:r>
        <w:rPr>
          <w:rFonts w:ascii="Times New Roman" w:hAnsi="Times New Roman" w:cs="Times New Roman" w:eastAsia="Times New Roman" w:hint="default"/>
        </w:rPr>
        <w:t>99</w:t>
      </w:r>
      <w:r>
        <w:rPr/>
        <w:t>）京之</w:t>
      </w:r>
      <w:r>
        <w:rPr>
          <w:spacing w:val="-24"/>
        </w:rPr>
        <w:t> </w:t>
      </w:r>
      <w:r>
        <w:rPr/>
        <w:t>验字第</w:t>
      </w:r>
      <w:r>
        <w:rPr>
          <w:rFonts w:ascii="Times New Roman" w:hAnsi="Times New Roman" w:cs="Times New Roman" w:eastAsia="Times New Roman" w:hint="default"/>
        </w:rPr>
        <w:t>606</w:t>
      </w:r>
      <w:r>
        <w:rPr/>
        <w:t>号验资报告予以验证。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日，公司增加注册资本</w:t>
      </w:r>
      <w:r>
        <w:rPr>
          <w:rFonts w:ascii="Times New Roman" w:hAnsi="Times New Roman" w:cs="Times New Roman" w:eastAsia="Times New Roman" w:hint="default"/>
        </w:rPr>
        <w:t>450</w:t>
      </w:r>
      <w:r>
        <w:rPr/>
        <w:t>万元，分别由原股东董泰湘以货币形式追加投资</w:t>
      </w:r>
      <w:r>
        <w:rPr>
          <w:rFonts w:ascii="Times New Roman" w:hAnsi="Times New Roman" w:cs="Times New Roman" w:eastAsia="Times New Roman" w:hint="default"/>
        </w:rPr>
        <w:t>225</w:t>
      </w:r>
      <w:r>
        <w:rPr/>
        <w:t>万元，原股东</w:t>
      </w:r>
      <w:r>
        <w:rPr>
          <w:spacing w:val="-29"/>
        </w:rPr>
        <w:t> </w:t>
      </w:r>
      <w:r>
        <w:rPr>
          <w:spacing w:val="-29"/>
        </w:rPr>
      </w:r>
      <w:r>
        <w:rPr/>
        <w:t>赵福君以货币形式追加投资</w:t>
      </w:r>
      <w:r>
        <w:rPr>
          <w:rFonts w:ascii="Times New Roman" w:hAnsi="Times New Roman" w:cs="Times New Roman" w:eastAsia="Times New Roman" w:hint="default"/>
        </w:rPr>
        <w:t>160</w:t>
      </w:r>
      <w:r>
        <w:rPr/>
        <w:t>万元，原股东欧阳曜以货币形式追加投资</w:t>
      </w:r>
      <w:r>
        <w:rPr>
          <w:rFonts w:ascii="Times New Roman" w:hAnsi="Times New Roman" w:cs="Times New Roman" w:eastAsia="Times New Roman" w:hint="default"/>
        </w:rPr>
        <w:t>45</w:t>
      </w:r>
      <w:r>
        <w:rPr/>
        <w:t>万元，新股东李坤奇以货币形</w:t>
      </w:r>
      <w:r>
        <w:rPr>
          <w:spacing w:val="-29"/>
        </w:rPr>
        <w:t> </w:t>
      </w:r>
      <w:r>
        <w:rPr>
          <w:spacing w:val="-29"/>
        </w:rPr>
      </w:r>
      <w:r>
        <w:rPr/>
        <w:t>式投资</w:t>
      </w:r>
      <w:r>
        <w:rPr>
          <w:rFonts w:ascii="Times New Roman" w:hAnsi="Times New Roman" w:cs="Times New Roman" w:eastAsia="Times New Roman" w:hint="default"/>
        </w:rPr>
        <w:t>10</w:t>
      </w:r>
      <w:r>
        <w:rPr/>
        <w:t>万元，新股东施瑞丰以货币形式投资</w:t>
      </w:r>
      <w:r>
        <w:rPr>
          <w:rFonts w:ascii="Times New Roman" w:hAnsi="Times New Roman" w:cs="Times New Roman" w:eastAsia="Times New Roman" w:hint="default"/>
        </w:rPr>
        <w:t>10</w:t>
      </w:r>
      <w:r>
        <w:rPr/>
        <w:t>万元，公司的注册资本由</w:t>
      </w:r>
      <w:r>
        <w:rPr>
          <w:rFonts w:ascii="Times New Roman" w:hAnsi="Times New Roman" w:cs="Times New Roman" w:eastAsia="Times New Roman" w:hint="default"/>
        </w:rPr>
        <w:t>50</w:t>
      </w:r>
      <w:r>
        <w:rPr/>
        <w:t>万元变更为</w:t>
      </w:r>
      <w:r>
        <w:rPr>
          <w:rFonts w:ascii="Times New Roman" w:hAnsi="Times New Roman" w:cs="Times New Roman" w:eastAsia="Times New Roman" w:hint="default"/>
        </w:rPr>
        <w:t>500</w:t>
      </w:r>
      <w:r>
        <w:rPr/>
        <w:t>万元。上述出</w:t>
      </w:r>
      <w:r>
        <w:rPr>
          <w:spacing w:val="-29"/>
        </w:rPr>
        <w:t> </w:t>
      </w:r>
      <w:r>
        <w:rPr>
          <w:spacing w:val="-29"/>
        </w:rPr>
      </w:r>
      <w:r>
        <w:rPr/>
        <w:t>资业经中科华会计师事务所有限公司审验，并出具中科华验字（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1420</w:t>
      </w:r>
      <w:r>
        <w:rPr/>
        <w:t>号验资报告予以验证。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日，公司再次增加注册资金，新增的</w:t>
      </w:r>
      <w:r>
        <w:rPr>
          <w:rFonts w:ascii="Times New Roman" w:hAnsi="Times New Roman" w:cs="Times New Roman" w:eastAsia="Times New Roman" w:hint="default"/>
        </w:rPr>
        <w:t>260</w:t>
      </w:r>
      <w:r>
        <w:rPr/>
        <w:t>万元，全部由新股东北京久其科技投资有限公司以</w:t>
      </w:r>
      <w:r>
        <w:rPr>
          <w:spacing w:val="-34"/>
        </w:rPr>
        <w:t> </w:t>
      </w:r>
      <w:r>
        <w:rPr>
          <w:spacing w:val="-34"/>
        </w:rPr>
      </w:r>
      <w:r>
        <w:rPr/>
        <w:t>无形资产（非专利技术）</w:t>
      </w:r>
      <w:r>
        <w:rPr>
          <w:rFonts w:ascii="Times New Roman" w:hAnsi="Times New Roman" w:cs="Times New Roman" w:eastAsia="Times New Roman" w:hint="default"/>
        </w:rPr>
        <w:t>——“</w:t>
      </w:r>
      <w:r>
        <w:rPr/>
        <w:t>久其报表数据管理系统</w:t>
      </w:r>
      <w:r>
        <w:rPr>
          <w:rFonts w:ascii="Times New Roman" w:hAnsi="Times New Roman" w:cs="Times New Roman" w:eastAsia="Times New Roman" w:hint="default"/>
        </w:rPr>
        <w:t>V2.0”</w:t>
      </w:r>
      <w:r>
        <w:rPr/>
        <w:t>软件技术的形式追加投入。公司的注册资本由</w:t>
      </w:r>
      <w:r>
        <w:rPr>
          <w:spacing w:val="-100"/>
        </w:rPr>
        <w:t> </w:t>
      </w:r>
      <w:r>
        <w:rPr>
          <w:spacing w:val="-100"/>
        </w:rPr>
      </w:r>
      <w:r>
        <w:rPr>
          <w:spacing w:val="-1"/>
        </w:rPr>
        <w:t>原来的</w:t>
      </w:r>
      <w:r>
        <w:rPr>
          <w:rFonts w:ascii="Times New Roman" w:hAnsi="Times New Roman" w:cs="Times New Roman" w:eastAsia="Times New Roman" w:hint="default"/>
          <w:spacing w:val="-1"/>
        </w:rPr>
        <w:t>500</w:t>
      </w:r>
      <w:r>
        <w:rPr>
          <w:spacing w:val="-1"/>
        </w:rPr>
        <w:t>万元变更为</w:t>
      </w:r>
      <w:r>
        <w:rPr>
          <w:rFonts w:ascii="Times New Roman" w:hAnsi="Times New Roman" w:cs="Times New Roman" w:eastAsia="Times New Roman" w:hint="default"/>
          <w:spacing w:val="-1"/>
        </w:rPr>
        <w:t>760</w:t>
      </w:r>
      <w:r>
        <w:rPr>
          <w:spacing w:val="-1"/>
        </w:rPr>
        <w:t>万元。上述增资业经中鸿信建元会计师事务所有限公司审验，并出具中鸿信建元</w:t>
      </w:r>
      <w:r>
        <w:rPr>
          <w:spacing w:val="-81"/>
        </w:rPr>
        <w:t> </w:t>
      </w:r>
      <w:r>
        <w:rPr>
          <w:spacing w:val="-81"/>
        </w:rPr>
      </w:r>
      <w:r>
        <w:rPr/>
        <w:t>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56</w:t>
      </w:r>
      <w:r>
        <w:rPr/>
        <w:t>号验资报告予以验证。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日，经京政体改股函</w:t>
      </w:r>
      <w:r>
        <w:rPr>
          <w:rFonts w:ascii="Times New Roman" w:hAnsi="Times New Roman" w:cs="Times New Roman" w:eastAsia="Times New Roman" w:hint="default"/>
        </w:rPr>
        <w:t>[2001]65</w:t>
      </w:r>
      <w:r>
        <w:rPr/>
        <w:t>号文批准，公司整体改制为北京久其软件股份有限公司，并以</w:t>
      </w:r>
      <w:r>
        <w:rPr>
          <w:spacing w:val="-69"/>
        </w:rPr>
        <w:t> </w:t>
      </w:r>
      <w:r>
        <w:rPr>
          <w:spacing w:val="-69"/>
        </w:rPr>
      </w:r>
      <w:r>
        <w:rPr/>
        <w:t>截至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日止经中鸿信建元会计师事务所有限公司审计的净资产</w:t>
      </w:r>
      <w:r>
        <w:rPr>
          <w:rFonts w:ascii="Times New Roman" w:hAnsi="Times New Roman" w:cs="Times New Roman" w:eastAsia="Times New Roman" w:hint="default"/>
        </w:rPr>
        <w:t>45,740,037.00</w:t>
      </w:r>
      <w:r>
        <w:rPr/>
        <w:t>元为基准，按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p>
    <w:p>
      <w:pPr>
        <w:spacing w:after="0" w:line="256"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59" w:lineRule="auto" w:before="35"/>
        <w:ind w:right="1025"/>
        <w:jc w:val="left"/>
      </w:pPr>
      <w:r>
        <w:rPr>
          <w:spacing w:val="19"/>
        </w:rPr>
        <w:t>的比例折股，</w:t>
      </w:r>
      <w:r>
        <w:rPr>
          <w:spacing w:val="-81"/>
        </w:rPr>
        <w:t> </w:t>
      </w:r>
      <w:r>
        <w:rPr>
          <w:spacing w:val="20"/>
        </w:rPr>
        <w:t>改制后公司注册资本</w:t>
      </w:r>
      <w:r>
        <w:rPr>
          <w:spacing w:val="-75"/>
        </w:rPr>
        <w:t> </w:t>
      </w:r>
      <w:r>
        <w:rPr>
          <w:rFonts w:ascii="Times New Roman" w:hAnsi="Times New Roman" w:cs="Times New Roman" w:eastAsia="Times New Roman" w:hint="default"/>
        </w:rPr>
        <w:t>45,740,037.00</w:t>
      </w:r>
      <w:r>
        <w:rPr>
          <w:rFonts w:ascii="Times New Roman" w:hAnsi="Times New Roman" w:cs="Times New Roman" w:eastAsia="Times New Roman" w:hint="default"/>
          <w:spacing w:val="-27"/>
        </w:rPr>
        <w:t> </w:t>
      </w:r>
      <w:r>
        <w:rPr>
          <w:spacing w:val="23"/>
        </w:rPr>
        <w:t>元，其中北京久其科技投资有限公司出资人民币</w:t>
      </w:r>
      <w:r>
        <w:rPr>
          <w:spacing w:val="-100"/>
        </w:rPr>
        <w:t> </w:t>
      </w:r>
      <w:r>
        <w:rPr>
          <w:rFonts w:ascii="Times New Roman" w:hAnsi="Times New Roman" w:cs="Times New Roman" w:eastAsia="Times New Roman" w:hint="default"/>
        </w:rPr>
        <w:t>15,643,093.00</w:t>
      </w:r>
      <w:r>
        <w:rPr/>
        <w:t>元，占注册资本的</w:t>
      </w:r>
      <w:r>
        <w:rPr>
          <w:rFonts w:ascii="Times New Roman" w:hAnsi="Times New Roman" w:cs="Times New Roman" w:eastAsia="Times New Roman" w:hint="default"/>
        </w:rPr>
        <w:t>34.20%</w:t>
      </w:r>
      <w:r>
        <w:rPr/>
        <w:t>；董泰湘出资人民币</w:t>
      </w:r>
      <w:r>
        <w:rPr>
          <w:rFonts w:ascii="Times New Roman" w:hAnsi="Times New Roman" w:cs="Times New Roman" w:eastAsia="Times New Roman" w:hint="default"/>
        </w:rPr>
        <w:t>15,048,472.00</w:t>
      </w:r>
      <w:r>
        <w:rPr/>
        <w:t>元，占注册资本的</w:t>
      </w:r>
      <w:r>
        <w:rPr>
          <w:rFonts w:ascii="Times New Roman" w:hAnsi="Times New Roman" w:cs="Times New Roman" w:eastAsia="Times New Roman" w:hint="default"/>
        </w:rPr>
        <w:t>32.90%</w:t>
      </w:r>
      <w:r>
        <w:rPr/>
        <w:t>；赵福</w:t>
      </w:r>
      <w:r>
        <w:rPr>
          <w:spacing w:val="-65"/>
        </w:rPr>
        <w:t> </w:t>
      </w:r>
      <w:r>
        <w:rPr>
          <w:spacing w:val="2"/>
        </w:rPr>
        <w:t>君出资人民币</w:t>
      </w:r>
      <w:r>
        <w:rPr>
          <w:rFonts w:ascii="Times New Roman" w:hAnsi="Times New Roman" w:cs="Times New Roman" w:eastAsia="Times New Roman" w:hint="default"/>
          <w:spacing w:val="2"/>
        </w:rPr>
        <w:t>10,840,390.00</w:t>
      </w:r>
      <w:r>
        <w:rPr>
          <w:spacing w:val="2"/>
        </w:rPr>
        <w:t>元，占注册资本的</w:t>
      </w:r>
      <w:r>
        <w:rPr>
          <w:rFonts w:ascii="Times New Roman" w:hAnsi="Times New Roman" w:cs="Times New Roman" w:eastAsia="Times New Roman" w:hint="default"/>
          <w:spacing w:val="2"/>
        </w:rPr>
        <w:t>23.70%</w:t>
      </w:r>
      <w:r>
        <w:rPr>
          <w:spacing w:val="2"/>
        </w:rPr>
        <w:t>；欧阳曜出资人民币</w:t>
      </w:r>
      <w:r>
        <w:rPr>
          <w:rFonts w:ascii="Times New Roman" w:hAnsi="Times New Roman" w:cs="Times New Roman" w:eastAsia="Times New Roman" w:hint="default"/>
          <w:spacing w:val="2"/>
        </w:rPr>
        <w:t>3,018,842.00</w:t>
      </w:r>
      <w:r>
        <w:rPr>
          <w:spacing w:val="2"/>
        </w:rPr>
        <w:t>元，占注册资本的</w:t>
      </w:r>
      <w:r>
        <w:rPr>
          <w:spacing w:val="-82"/>
        </w:rPr>
        <w:t> </w:t>
      </w:r>
      <w:r>
        <w:rPr>
          <w:spacing w:val="-82"/>
        </w:rPr>
      </w:r>
      <w:r>
        <w:rPr>
          <w:rFonts w:ascii="Times New Roman" w:hAnsi="Times New Roman" w:cs="Times New Roman" w:eastAsia="Times New Roman" w:hint="default"/>
        </w:rPr>
        <w:t>6.60%</w:t>
      </w:r>
      <w:r>
        <w:rPr/>
        <w:t>；李坤奇出资人民币</w:t>
      </w:r>
      <w:r>
        <w:rPr>
          <w:rFonts w:ascii="Times New Roman" w:hAnsi="Times New Roman" w:cs="Times New Roman" w:eastAsia="Times New Roman" w:hint="default"/>
        </w:rPr>
        <w:t>594,620.00</w:t>
      </w:r>
      <w:r>
        <w:rPr/>
        <w:t>元，占注册资本的</w:t>
      </w:r>
      <w:r>
        <w:rPr>
          <w:rFonts w:ascii="Times New Roman" w:hAnsi="Times New Roman" w:cs="Times New Roman" w:eastAsia="Times New Roman" w:hint="default"/>
        </w:rPr>
        <w:t>1.30%</w:t>
      </w:r>
      <w:r>
        <w:rPr/>
        <w:t>；施瑞丰出资人民币</w:t>
      </w:r>
      <w:r>
        <w:rPr>
          <w:rFonts w:ascii="Times New Roman" w:hAnsi="Times New Roman" w:cs="Times New Roman" w:eastAsia="Times New Roman" w:hint="default"/>
        </w:rPr>
        <w:t>594,620.00</w:t>
      </w:r>
      <w:r>
        <w:rPr/>
        <w:t>元，占注册资 本的</w:t>
      </w:r>
      <w:r>
        <w:rPr>
          <w:rFonts w:ascii="Times New Roman" w:hAnsi="Times New Roman" w:cs="Times New Roman" w:eastAsia="Times New Roman" w:hint="default"/>
        </w:rPr>
        <w:t>1.30%</w:t>
      </w:r>
      <w:r>
        <w:rPr/>
        <w:t>。上述行为业经中鸿信建元会计师事务所有限责任公司审验，并出具中鸿信建元验字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61 </w:t>
      </w:r>
      <w:r>
        <w:rPr/>
        <w:t>号验资报告予以验证。 根据本公司</w:t>
      </w:r>
      <w:r>
        <w:rPr>
          <w:rFonts w:ascii="Times New Roman" w:hAnsi="Times New Roman" w:cs="Times New Roman" w:eastAsia="Times New Roman" w:hint="default"/>
        </w:rPr>
        <w:t>2007</w:t>
      </w:r>
      <w:r>
        <w:rPr/>
        <w:t>年度和</w:t>
      </w:r>
      <w:r>
        <w:rPr>
          <w:rFonts w:ascii="Times New Roman" w:hAnsi="Times New Roman" w:cs="Times New Roman" w:eastAsia="Times New Roman" w:hint="default"/>
        </w:rPr>
        <w:t>2008</w:t>
      </w:r>
      <w:r>
        <w:rPr/>
        <w:t>年度股东大会决议和中国证券监督管理委员会证监许可</w:t>
      </w:r>
      <w:r>
        <w:rPr>
          <w:rFonts w:ascii="Times New Roman" w:hAnsi="Times New Roman" w:cs="Times New Roman" w:eastAsia="Times New Roman" w:hint="default"/>
        </w:rPr>
        <w:t>[2009]671</w:t>
      </w:r>
      <w:r>
        <w:rPr/>
        <w:t>号</w:t>
      </w:r>
      <w:r>
        <w:rPr>
          <w:rFonts w:ascii="Times New Roman" w:hAnsi="Times New Roman" w:cs="Times New Roman" w:eastAsia="Times New Roman" w:hint="default"/>
        </w:rPr>
        <w:t>“</w:t>
      </w:r>
      <w:r>
        <w:rPr/>
        <w:t>关于核准</w:t>
      </w:r>
      <w:r>
        <w:rPr>
          <w:spacing w:val="-59"/>
        </w:rPr>
        <w:t> </w:t>
      </w:r>
      <w:r>
        <w:rPr>
          <w:spacing w:val="-59"/>
        </w:rPr>
      </w:r>
      <w:r>
        <w:rPr/>
        <w:t>北京久其软件股份有限公司首次公开发行股票的批复</w:t>
      </w:r>
      <w:r>
        <w:rPr>
          <w:rFonts w:ascii="Times New Roman" w:hAnsi="Times New Roman" w:cs="Times New Roman" w:eastAsia="Times New Roman" w:hint="default"/>
        </w:rPr>
        <w:t>”</w:t>
      </w:r>
      <w:r>
        <w:rPr/>
        <w:t>规定，本公司于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日前向不特定对象公开</w:t>
      </w:r>
      <w:r>
        <w:rPr>
          <w:spacing w:val="-17"/>
        </w:rPr>
        <w:t> </w:t>
      </w:r>
      <w:r>
        <w:rPr>
          <w:spacing w:val="-17"/>
        </w:rPr>
      </w:r>
      <w:r>
        <w:rPr/>
        <w:t>募集股份（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1,530</w:t>
      </w:r>
      <w:r>
        <w:rPr/>
        <w:t>万股，增加注册资本</w:t>
      </w:r>
      <w:r>
        <w:rPr>
          <w:rFonts w:ascii="Times New Roman" w:hAnsi="Times New Roman" w:cs="Times New Roman" w:eastAsia="Times New Roman" w:hint="default"/>
        </w:rPr>
        <w:t>1,530</w:t>
      </w:r>
      <w:r>
        <w:rPr/>
        <w:t>万元，变更后的注册资本为人民币</w:t>
      </w:r>
      <w:r>
        <w:rPr>
          <w:rFonts w:ascii="Times New Roman" w:hAnsi="Times New Roman" w:cs="Times New Roman" w:eastAsia="Times New Roman" w:hint="default"/>
        </w:rPr>
        <w:t>6,104.0037</w:t>
      </w:r>
      <w:r>
        <w:rPr/>
        <w:t>万元，上述</w:t>
      </w:r>
      <w:r>
        <w:rPr>
          <w:spacing w:val="-73"/>
        </w:rPr>
        <w:t> </w:t>
      </w:r>
      <w:r>
        <w:rPr>
          <w:spacing w:val="-73"/>
        </w:rPr>
      </w:r>
      <w:r>
        <w:rPr>
          <w:spacing w:val="-5"/>
        </w:rPr>
        <w:t>募集资金到位情况业经大信会计师事务有限公司予以验证，并出具大信验字</w:t>
      </w:r>
      <w:r>
        <w:rPr>
          <w:rFonts w:ascii="Times New Roman" w:hAnsi="Times New Roman" w:cs="Times New Roman" w:eastAsia="Times New Roman" w:hint="default"/>
          <w:spacing w:val="-5"/>
        </w:rPr>
        <w:t>[2009]</w:t>
      </w:r>
      <w:r>
        <w:rPr>
          <w:spacing w:val="-5"/>
        </w:rPr>
        <w:t>第</w:t>
      </w:r>
      <w:r>
        <w:rPr>
          <w:rFonts w:ascii="Times New Roman" w:hAnsi="Times New Roman" w:cs="Times New Roman" w:eastAsia="Times New Roman" w:hint="default"/>
          <w:spacing w:val="-5"/>
        </w:rPr>
        <w:t>1-0021</w:t>
      </w:r>
      <w:r>
        <w:rPr>
          <w:spacing w:val="-5"/>
        </w:rPr>
        <w:t>号《验资报告》。</w:t>
      </w:r>
      <w:r>
        <w:rPr>
          <w:spacing w:val="-69"/>
        </w:rPr>
        <w:t> </w:t>
      </w:r>
      <w:r>
        <w:rPr>
          <w:spacing w:val="-69"/>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2009</w:t>
      </w:r>
      <w:r>
        <w:rPr/>
        <w:t>年度股东大会通过的有关决议，公司以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日总股本为基数，每</w:t>
      </w:r>
      <w:r>
        <w:rPr>
          <w:rFonts w:ascii="Times New Roman" w:hAnsi="Times New Roman" w:cs="Times New Roman" w:eastAsia="Times New Roman" w:hint="default"/>
        </w:rPr>
        <w:t>10</w:t>
      </w:r>
      <w:r>
        <w:rPr/>
        <w:t>股派发</w:t>
      </w:r>
      <w:r>
        <w:rPr>
          <w:spacing w:val="-27"/>
        </w:rPr>
        <w:t> </w:t>
      </w:r>
      <w:r>
        <w:rPr/>
        <w:t>现金股利</w:t>
      </w:r>
      <w:r>
        <w:rPr>
          <w:rFonts w:ascii="Times New Roman" w:hAnsi="Times New Roman" w:cs="Times New Roman" w:eastAsia="Times New Roman" w:hint="default"/>
        </w:rPr>
        <w:t>5</w:t>
      </w:r>
      <w:r>
        <w:rPr/>
        <w:t>元（含税），共计派送现金</w:t>
      </w:r>
      <w:r>
        <w:rPr>
          <w:rFonts w:ascii="Times New Roman" w:hAnsi="Times New Roman" w:cs="Times New Roman" w:eastAsia="Times New Roman" w:hint="default"/>
        </w:rPr>
        <w:t>30,520,018.50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w:t>
      </w:r>
      <w:r>
        <w:rPr>
          <w:spacing w:val="-80"/>
        </w:rPr>
        <w:t> </w:t>
      </w:r>
      <w:r>
        <w:rPr>
          <w:spacing w:val="-80"/>
        </w:rPr>
      </w:r>
      <w:r>
        <w:rPr/>
        <w:t>增</w:t>
      </w:r>
      <w:r>
        <w:rPr>
          <w:rFonts w:ascii="Times New Roman" w:hAnsi="Times New Roman" w:cs="Times New Roman" w:eastAsia="Times New Roman" w:hint="default"/>
        </w:rPr>
        <w:t>48,832,029.00</w:t>
      </w:r>
      <w:r>
        <w:rPr/>
        <w:t>股，转增后公司注册资本变更为</w:t>
      </w:r>
      <w:r>
        <w:rPr>
          <w:rFonts w:ascii="Times New Roman" w:hAnsi="Times New Roman" w:cs="Times New Roman" w:eastAsia="Times New Roman" w:hint="default"/>
        </w:rPr>
        <w:t>10,987.2066</w:t>
      </w:r>
      <w:r>
        <w:rPr/>
        <w:t>万元，上述变更业经大信会计师事务有限公司</w:t>
      </w:r>
      <w:r>
        <w:rPr>
          <w:spacing w:val="-79"/>
        </w:rPr>
        <w:t> </w:t>
      </w:r>
      <w:r>
        <w:rPr>
          <w:spacing w:val="-79"/>
        </w:rPr>
      </w:r>
      <w:r>
        <w:rPr/>
        <w:t>出具大信验资</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1-0030</w:t>
      </w:r>
      <w:r>
        <w:rPr/>
        <w:t>号验资报告予以验证。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2011</w:t>
      </w:r>
      <w:r>
        <w:rPr/>
        <w:t>年度股东大会通过的有关决议，公司以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109,872,066.00</w:t>
      </w:r>
      <w:r>
        <w:rPr/>
        <w:t>股为基数，每</w:t>
      </w:r>
    </w:p>
    <w:p>
      <w:pPr>
        <w:pStyle w:val="BodyText"/>
        <w:spacing w:line="256" w:lineRule="auto" w:before="2"/>
        <w:ind w:right="1129"/>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40"/>
        </w:rPr>
        <w:t> </w:t>
      </w:r>
      <w:r>
        <w:rPr/>
        <w:t>股派发现金股利</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，共计派发现金股利</w:t>
      </w:r>
      <w:r>
        <w:rPr>
          <w:rFonts w:ascii="Times New Roman" w:hAnsi="Times New Roman" w:cs="Times New Roman" w:eastAsia="Times New Roman" w:hint="default"/>
        </w:rPr>
        <w:t>21,974,413.20</w:t>
      </w:r>
      <w:r>
        <w:rPr/>
        <w:t>元；并以资本公积向全体股东每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 </w:t>
      </w:r>
      <w:r>
        <w:rPr/>
        <w:t>股，共计转增</w:t>
      </w:r>
      <w:r>
        <w:rPr>
          <w:rFonts w:ascii="Times New Roman" w:hAnsi="Times New Roman" w:cs="Times New Roman" w:eastAsia="Times New Roman" w:hint="default"/>
        </w:rPr>
        <w:t>65,923,239.00</w:t>
      </w:r>
      <w:r>
        <w:rPr/>
        <w:t>股，经转增后，公司的注册资本由原来的</w:t>
      </w:r>
      <w:r>
        <w:rPr>
          <w:rFonts w:ascii="Times New Roman" w:hAnsi="Times New Roman" w:cs="Times New Roman" w:eastAsia="Times New Roman" w:hint="default"/>
        </w:rPr>
        <w:t>10,987.2066</w:t>
      </w:r>
      <w:r>
        <w:rPr/>
        <w:t>万元变更为</w:t>
      </w:r>
      <w:r>
        <w:rPr>
          <w:rFonts w:ascii="Times New Roman" w:hAnsi="Times New Roman" w:cs="Times New Roman" w:eastAsia="Times New Roman" w:hint="default"/>
        </w:rPr>
        <w:t>17,579.5305</w:t>
      </w:r>
      <w:r>
        <w:rPr/>
        <w:t>万</w:t>
      </w:r>
      <w:r>
        <w:rPr>
          <w:spacing w:val="-77"/>
        </w:rPr>
        <w:t> </w:t>
      </w:r>
      <w:r>
        <w:rPr/>
        <w:t>元，上述变更业经大信会计师事务有限公司出具大信验字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1-0056</w:t>
      </w:r>
      <w:r>
        <w:rPr/>
        <w:t>号验资报告予以验证。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日，本公司的股本结构如下：</w:t>
      </w:r>
    </w:p>
    <w:p>
      <w:pPr>
        <w:spacing w:line="240" w:lineRule="auto" w:before="9"/>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4500"/>
        <w:gridCol w:w="2455"/>
        <w:gridCol w:w="2704"/>
      </w:tblGrid>
      <w:tr>
        <w:trPr>
          <w:trHeight w:val="355" w:hRule="exact"/>
        </w:trPr>
        <w:tc>
          <w:tcPr>
            <w:tcW w:w="4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79" w:right="0"/>
              <w:jc w:val="left"/>
              <w:rPr>
                <w:rFonts w:ascii="宋体" w:hAnsi="宋体" w:cs="宋体" w:eastAsia="宋体" w:hint="default"/>
                <w:sz w:val="18"/>
                <w:szCs w:val="18"/>
              </w:rPr>
            </w:pPr>
            <w:r>
              <w:rPr>
                <w:rFonts w:ascii="宋体" w:hAnsi="宋体" w:cs="宋体" w:eastAsia="宋体" w:hint="default"/>
                <w:sz w:val="18"/>
                <w:szCs w:val="18"/>
              </w:rPr>
              <w:t>持股数（股）</w:t>
            </w:r>
          </w:p>
        </w:tc>
        <w:tc>
          <w:tcPr>
            <w:tcW w:w="2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4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北京久其科技投资有限公司</w:t>
            </w:r>
          </w:p>
        </w:tc>
        <w:tc>
          <w:tcPr>
            <w:tcW w:w="2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45,182,172.00</w:t>
            </w:r>
          </w:p>
        </w:tc>
        <w:tc>
          <w:tcPr>
            <w:tcW w:w="2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2"/>
              <w:jc w:val="center"/>
              <w:rPr>
                <w:rFonts w:ascii="Times New Roman" w:hAnsi="Times New Roman" w:cs="Times New Roman" w:eastAsia="Times New Roman" w:hint="default"/>
                <w:sz w:val="21"/>
                <w:szCs w:val="21"/>
              </w:rPr>
            </w:pPr>
            <w:r>
              <w:rPr>
                <w:rFonts w:ascii="Times New Roman"/>
                <w:sz w:val="21"/>
              </w:rPr>
              <w:t>25.70</w:t>
            </w:r>
          </w:p>
        </w:tc>
      </w:tr>
      <w:tr>
        <w:trPr>
          <w:trHeight w:val="362" w:hRule="exact"/>
        </w:trPr>
        <w:tc>
          <w:tcPr>
            <w:tcW w:w="4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2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33,110,798.00</w:t>
            </w:r>
          </w:p>
        </w:tc>
        <w:tc>
          <w:tcPr>
            <w:tcW w:w="2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22"/>
              <w:jc w:val="center"/>
              <w:rPr>
                <w:rFonts w:ascii="Times New Roman" w:hAnsi="Times New Roman" w:cs="Times New Roman" w:eastAsia="Times New Roman" w:hint="default"/>
                <w:sz w:val="21"/>
                <w:szCs w:val="21"/>
              </w:rPr>
            </w:pPr>
            <w:r>
              <w:rPr>
                <w:rFonts w:ascii="Times New Roman"/>
                <w:sz w:val="21"/>
              </w:rPr>
              <w:t>18.83</w:t>
            </w:r>
          </w:p>
        </w:tc>
      </w:tr>
      <w:tr>
        <w:trPr>
          <w:trHeight w:val="362" w:hRule="exact"/>
        </w:trPr>
        <w:tc>
          <w:tcPr>
            <w:tcW w:w="4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2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23,617,123.00</w:t>
            </w:r>
          </w:p>
        </w:tc>
        <w:tc>
          <w:tcPr>
            <w:tcW w:w="2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2"/>
              <w:jc w:val="center"/>
              <w:rPr>
                <w:rFonts w:ascii="Times New Roman" w:hAnsi="Times New Roman" w:cs="Times New Roman" w:eastAsia="Times New Roman" w:hint="default"/>
                <w:sz w:val="21"/>
                <w:szCs w:val="21"/>
              </w:rPr>
            </w:pPr>
            <w:r>
              <w:rPr>
                <w:rFonts w:ascii="Times New Roman"/>
                <w:sz w:val="21"/>
              </w:rPr>
              <w:t>13.43</w:t>
            </w:r>
          </w:p>
        </w:tc>
      </w:tr>
      <w:tr>
        <w:trPr>
          <w:trHeight w:val="362" w:hRule="exact"/>
        </w:trPr>
        <w:tc>
          <w:tcPr>
            <w:tcW w:w="4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欧阳曜</w:t>
            </w:r>
          </w:p>
        </w:tc>
        <w:tc>
          <w:tcPr>
            <w:tcW w:w="2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6,740,885.00</w:t>
            </w:r>
          </w:p>
        </w:tc>
        <w:tc>
          <w:tcPr>
            <w:tcW w:w="2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40" w:right="0"/>
              <w:jc w:val="center"/>
              <w:rPr>
                <w:rFonts w:ascii="Times New Roman" w:hAnsi="Times New Roman" w:cs="Times New Roman" w:eastAsia="Times New Roman" w:hint="default"/>
                <w:sz w:val="21"/>
                <w:szCs w:val="21"/>
              </w:rPr>
            </w:pPr>
            <w:r>
              <w:rPr>
                <w:rFonts w:ascii="Times New Roman"/>
                <w:sz w:val="21"/>
              </w:rPr>
              <w:t>3.83</w:t>
            </w:r>
          </w:p>
        </w:tc>
      </w:tr>
      <w:tr>
        <w:trPr>
          <w:trHeight w:val="361" w:hRule="exact"/>
        </w:trPr>
        <w:tc>
          <w:tcPr>
            <w:tcW w:w="4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施瑞丰</w:t>
            </w:r>
          </w:p>
        </w:tc>
        <w:tc>
          <w:tcPr>
            <w:tcW w:w="2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1,013,979.00</w:t>
            </w:r>
          </w:p>
        </w:tc>
        <w:tc>
          <w:tcPr>
            <w:tcW w:w="2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40" w:right="0"/>
              <w:jc w:val="center"/>
              <w:rPr>
                <w:rFonts w:ascii="Times New Roman" w:hAnsi="Times New Roman" w:cs="Times New Roman" w:eastAsia="Times New Roman" w:hint="default"/>
                <w:sz w:val="21"/>
                <w:szCs w:val="21"/>
              </w:rPr>
            </w:pPr>
            <w:r>
              <w:rPr>
                <w:rFonts w:ascii="Times New Roman"/>
                <w:sz w:val="21"/>
              </w:rPr>
              <w:t>0.58</w:t>
            </w:r>
          </w:p>
        </w:tc>
      </w:tr>
      <w:tr>
        <w:trPr>
          <w:trHeight w:val="362" w:hRule="exact"/>
        </w:trPr>
        <w:tc>
          <w:tcPr>
            <w:tcW w:w="4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其他社会公众股</w:t>
            </w:r>
          </w:p>
        </w:tc>
        <w:tc>
          <w:tcPr>
            <w:tcW w:w="2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66,130,348.00</w:t>
            </w:r>
          </w:p>
        </w:tc>
        <w:tc>
          <w:tcPr>
            <w:tcW w:w="2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left="145" w:right="0"/>
              <w:jc w:val="center"/>
              <w:rPr>
                <w:rFonts w:ascii="Times New Roman" w:hAnsi="Times New Roman" w:cs="Times New Roman" w:eastAsia="Times New Roman" w:hint="default"/>
                <w:sz w:val="21"/>
                <w:szCs w:val="21"/>
              </w:rPr>
            </w:pPr>
            <w:r>
              <w:rPr>
                <w:rFonts w:ascii="Times New Roman"/>
                <w:sz w:val="21"/>
              </w:rPr>
              <w:t>37.63</w:t>
            </w:r>
          </w:p>
        </w:tc>
      </w:tr>
      <w:tr>
        <w:trPr>
          <w:trHeight w:val="362" w:hRule="exact"/>
        </w:trPr>
        <w:tc>
          <w:tcPr>
            <w:tcW w:w="4500" w:type="dxa"/>
            <w:tcBorders>
              <w:top w:val="single" w:sz="12"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175,795,305.00</w:t>
            </w:r>
          </w:p>
        </w:tc>
        <w:tc>
          <w:tcPr>
            <w:tcW w:w="2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5"/>
        <w:rPr>
          <w:rFonts w:ascii="宋体" w:hAnsi="宋体" w:cs="宋体" w:eastAsia="宋体" w:hint="default"/>
          <w:sz w:val="5"/>
          <w:szCs w:val="5"/>
        </w:rPr>
      </w:pPr>
    </w:p>
    <w:p>
      <w:pPr>
        <w:pStyle w:val="BodyText"/>
        <w:spacing w:line="256" w:lineRule="auto" w:before="35"/>
        <w:ind w:left="154" w:right="1138"/>
        <w:jc w:val="left"/>
      </w:pPr>
      <w:r>
        <w:rPr>
          <w:spacing w:val="10"/>
        </w:rPr>
        <w:t>公司</w:t>
      </w:r>
      <w:r>
        <w:rPr>
          <w:spacing w:val="-85"/>
        </w:rPr>
        <w:t> </w:t>
      </w:r>
      <w:r>
        <w:rPr>
          <w:rFonts w:ascii="Times New Roman" w:hAnsi="Times New Roman" w:cs="Times New Roman" w:eastAsia="Times New Roman" w:hint="default"/>
        </w:rPr>
        <w:t>1999</w:t>
      </w:r>
      <w:r>
        <w:rPr>
          <w:rFonts w:ascii="Times New Roman" w:hAnsi="Times New Roman" w:cs="Times New Roman" w:eastAsia="Times New Roman" w:hint="default"/>
          <w:spacing w:val="-32"/>
        </w:rPr>
        <w:t> </w:t>
      </w:r>
      <w:r>
        <w:rPr/>
        <w:t>年</w:t>
      </w:r>
      <w:r>
        <w:rPr>
          <w:spacing w:val="-86"/>
        </w:rPr>
        <w:t>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月</w:t>
      </w:r>
      <w:r>
        <w:rPr>
          <w:spacing w:val="-85"/>
        </w:rPr>
        <w:t>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spacing w:val="19"/>
        </w:rPr>
        <w:t>日被北京市软件企业认定和软件产品登记机关认定为软件企业（</w:t>
      </w:r>
      <w:r>
        <w:rPr>
          <w:spacing w:val="-85"/>
        </w:rPr>
        <w:t> </w:t>
      </w:r>
      <w:r>
        <w:rPr>
          <w:spacing w:val="16"/>
        </w:rPr>
        <w:t>证书编号：</w:t>
      </w:r>
      <w:r>
        <w:rPr>
          <w:spacing w:val="-84"/>
        </w:rPr>
        <w:t> </w:t>
      </w:r>
      <w:r>
        <w:rPr/>
        <w:t>京</w:t>
      </w:r>
      <w:r>
        <w:rPr/>
        <w:t> </w:t>
      </w:r>
      <w:r>
        <w:rPr>
          <w:rFonts w:ascii="Times New Roman" w:hAnsi="Times New Roman" w:cs="Times New Roman" w:eastAsia="Times New Roman" w:hint="default"/>
        </w:rPr>
        <w:t>R</w:t>
      </w:r>
      <w:r>
        <w:rPr>
          <w:rFonts w:ascii="Times New Roman" w:hAnsi="Times New Roman" w:cs="Times New Roman" w:eastAsia="Times New Roman" w:hint="default"/>
        </w:rPr>
        <w:t>—</w:t>
      </w:r>
      <w:r>
        <w:rPr>
          <w:rFonts w:ascii="Times New Roman" w:hAnsi="Times New Roman" w:cs="Times New Roman" w:eastAsia="Times New Roman" w:hint="default"/>
        </w:rPr>
        <w:t>1999</w:t>
      </w:r>
      <w:r>
        <w:rPr>
          <w:rFonts w:ascii="Times New Roman" w:hAnsi="Times New Roman" w:cs="Times New Roman" w:eastAsia="Times New Roman" w:hint="default"/>
        </w:rPr>
        <w:t>—</w:t>
      </w:r>
      <w:r>
        <w:rPr>
          <w:rFonts w:ascii="Times New Roman" w:hAnsi="Times New Roman" w:cs="Times New Roman" w:eastAsia="Times New Roman" w:hint="default"/>
        </w:rPr>
        <w:t>0054</w:t>
      </w:r>
      <w:r>
        <w:rPr/>
        <w:t>）。</w:t>
      </w:r>
    </w:p>
    <w:p>
      <w:pPr>
        <w:pStyle w:val="BodyText"/>
        <w:spacing w:line="240" w:lineRule="auto" w:before="5"/>
        <w:ind w:left="154" w:right="0"/>
        <w:jc w:val="left"/>
        <w:rPr>
          <w:rFonts w:ascii="Times New Roman" w:hAnsi="Times New Roman" w:cs="Times New Roman" w:eastAsia="Times New Roman" w:hint="default"/>
        </w:rPr>
      </w:pPr>
      <w:r>
        <w:rPr/>
        <w:t>公司注册号：</w:t>
      </w:r>
      <w:r>
        <w:rPr>
          <w:rFonts w:ascii="Times New Roman" w:hAnsi="Times New Roman" w:cs="Times New Roman" w:eastAsia="Times New Roman" w:hint="default"/>
        </w:rPr>
        <w:t>110000000798536</w:t>
      </w:r>
    </w:p>
    <w:p>
      <w:pPr>
        <w:pStyle w:val="BodyText"/>
        <w:spacing w:line="256" w:lineRule="auto" w:before="21"/>
        <w:ind w:right="6028"/>
        <w:jc w:val="left"/>
      </w:pPr>
      <w:r>
        <w:rPr/>
        <w:t>公司注册地址：北京市海淀区大慧寺路</w:t>
      </w:r>
      <w:r>
        <w:rPr>
          <w:rFonts w:ascii="Times New Roman" w:hAnsi="Times New Roman" w:cs="Times New Roman" w:eastAsia="Times New Roman" w:hint="default"/>
        </w:rPr>
        <w:t>5</w:t>
      </w:r>
      <w:r>
        <w:rPr/>
        <w:t>号</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3</w:t>
      </w:r>
      <w:r>
        <w:rPr/>
        <w:t>层 公司注册资本：</w:t>
      </w:r>
      <w:r>
        <w:rPr>
          <w:rFonts w:ascii="Times New Roman" w:hAnsi="Times New Roman" w:cs="Times New Roman" w:eastAsia="Times New Roman" w:hint="default"/>
        </w:rPr>
        <w:t>17,579.5305</w:t>
      </w:r>
      <w:r>
        <w:rPr/>
        <w:t>万元 公司法定代表人：赵福君</w:t>
      </w:r>
    </w:p>
    <w:p>
      <w:pPr>
        <w:pStyle w:val="BodyText"/>
        <w:spacing w:line="273" w:lineRule="auto" w:before="22"/>
        <w:ind w:right="1024"/>
        <w:jc w:val="left"/>
      </w:pPr>
      <w:r>
        <w:rPr>
          <w:spacing w:val="-3"/>
        </w:rPr>
        <w:t>公司行业性质：公司为管理软件开发企业，多年来公司产品在政府部门和企事业单位的基础统计信息管理、</w:t>
      </w:r>
      <w:r>
        <w:rPr>
          <w:spacing w:val="-92"/>
        </w:rPr>
        <w:t> </w:t>
      </w:r>
      <w:r>
        <w:rPr>
          <w:spacing w:val="-92"/>
        </w:rPr>
      </w:r>
      <w:r>
        <w:rPr/>
        <w:t>大型统计分析、财务业务一体化集成应用系统等领域均有广泛应用。从行业细分角度而言，公司主要产品</w:t>
      </w:r>
      <w:r>
        <w:rPr/>
        <w:t> 分别属于管理软件的电子政务软件领域、集团管控软件领域、大数据软件领域以及移动互联网领域。 公司经营范围：许可经营项目：互联网信息服务业务。一般经营项目：电子计算机软件、硬件及外部设备 的技术开发、技术咨询、技术转让、技术服务、技术培训；经济贸易咨询、企业管理咨询；计算机系统服 务；销售（含网上销售）电子计算机软硬件及外部设备、打印纸及计算机耗材；计算机及外部设备租赁；</w:t>
      </w:r>
      <w:r>
        <w:rPr>
          <w:spacing w:val="-28"/>
        </w:rPr>
        <w:t> </w:t>
      </w:r>
      <w:r>
        <w:rPr>
          <w:spacing w:val="-28"/>
        </w:rPr>
      </w:r>
      <w:r>
        <w:rPr/>
        <w:t>技术进出口、货物进出口、代理进出口。</w:t>
      </w:r>
    </w:p>
    <w:p>
      <w:pPr>
        <w:pStyle w:val="BodyText"/>
        <w:spacing w:line="273" w:lineRule="auto" w:before="7"/>
        <w:ind w:right="0"/>
        <w:jc w:val="left"/>
      </w:pPr>
      <w:r>
        <w:rPr/>
        <w:t>公司主营业务和主要产品：公司主要从事电子政务软件、</w:t>
      </w:r>
      <w:r>
        <w:rPr>
          <w:spacing w:val="49"/>
        </w:rPr>
        <w:t> </w:t>
      </w:r>
      <w:r>
        <w:rPr/>
        <w:t>集团管控软件、大数据软件等管理软件以及移</w:t>
      </w:r>
      <w:r>
        <w:rPr>
          <w:spacing w:val="-88"/>
        </w:rPr>
        <w:t> </w:t>
      </w:r>
      <w:r>
        <w:rPr>
          <w:spacing w:val="-88"/>
        </w:rPr>
      </w:r>
      <w:r>
        <w:rPr>
          <w:spacing w:val="-1"/>
        </w:rPr>
        <w:t>动互联网领域的研究和开发，为政府部门和企业集团提供咨询及信息化管理解决方案，主要产品包括有决</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算报表、合并报表、商业智能、决策分析、战略管理、全面预算、集中核算、财辅管理、资产管理、全面</w:t>
      </w:r>
      <w:r>
        <w:rPr>
          <w:spacing w:val="-86"/>
        </w:rPr>
        <w:t> </w:t>
      </w:r>
      <w:r>
        <w:rPr>
          <w:spacing w:val="-86"/>
        </w:rPr>
      </w:r>
      <w:r>
        <w:rPr/>
        <w:t>绩效、风险管理、项目管理、经营统计和综合业务应用等。主营业务自设立以来未发生变更。 公司基本组织架构如下：</w:t>
      </w:r>
    </w:p>
    <w:p>
      <w:pPr>
        <w:spacing w:line="240" w:lineRule="auto" w:before="9"/>
        <w:rPr>
          <w:rFonts w:ascii="宋体" w:hAnsi="宋体" w:cs="宋体" w:eastAsia="宋体" w:hint="default"/>
          <w:sz w:val="9"/>
          <w:szCs w:val="9"/>
        </w:rPr>
      </w:pPr>
    </w:p>
    <w:p>
      <w:pPr>
        <w:spacing w:line="8520" w:lineRule="exact"/>
        <w:ind w:left="154" w:right="0" w:firstLine="0"/>
        <w:rPr>
          <w:rFonts w:ascii="宋体" w:hAnsi="宋体" w:cs="宋体" w:eastAsia="宋体" w:hint="default"/>
          <w:sz w:val="20"/>
          <w:szCs w:val="20"/>
        </w:rPr>
      </w:pPr>
      <w:r>
        <w:rPr>
          <w:rFonts w:ascii="宋体" w:hAnsi="宋体" w:cs="宋体" w:eastAsia="宋体" w:hint="default"/>
          <w:position w:val="-169"/>
          <w:sz w:val="20"/>
          <w:szCs w:val="20"/>
        </w:rPr>
        <w:drawing>
          <wp:inline distT="0" distB="0" distL="0" distR="0">
            <wp:extent cx="6620009" cy="54102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8" cstate="print"/>
                    <a:stretch>
                      <a:fillRect/>
                    </a:stretch>
                  </pic:blipFill>
                  <pic:spPr>
                    <a:xfrm>
                      <a:off x="0" y="0"/>
                      <a:ext cx="6620009" cy="5410200"/>
                    </a:xfrm>
                    <a:prstGeom prst="rect">
                      <a:avLst/>
                    </a:prstGeom>
                  </pic:spPr>
                </pic:pic>
              </a:graphicData>
            </a:graphic>
          </wp:inline>
        </w:drawing>
      </w:r>
      <w:r>
        <w:rPr>
          <w:rFonts w:ascii="宋体" w:hAnsi="宋体" w:cs="宋体" w:eastAsia="宋体" w:hint="default"/>
          <w:position w:val="-169"/>
          <w:sz w:val="20"/>
          <w:szCs w:val="20"/>
        </w:rPr>
      </w:r>
    </w:p>
    <w:p>
      <w:pPr>
        <w:spacing w:line="240" w:lineRule="auto" w:before="0"/>
        <w:rPr>
          <w:rFonts w:ascii="宋体" w:hAnsi="宋体" w:cs="宋体" w:eastAsia="宋体" w:hint="default"/>
          <w:sz w:val="20"/>
          <w:szCs w:val="20"/>
        </w:rPr>
      </w:pPr>
    </w:p>
    <w:p>
      <w:pPr>
        <w:pStyle w:val="BodyText"/>
        <w:spacing w:line="240" w:lineRule="auto" w:before="148"/>
        <w:ind w:left="871"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0"/>
        <w:rPr>
          <w:rFonts w:ascii="宋体" w:hAnsi="宋体" w:cs="宋体" w:eastAsia="宋体" w:hint="default"/>
          <w:sz w:val="2"/>
          <w:szCs w:val="2"/>
        </w:rPr>
      </w:pPr>
    </w:p>
    <w:tbl>
      <w:tblPr>
        <w:tblW w:w="0" w:type="auto"/>
        <w:jc w:val="left"/>
        <w:tblInd w:w="770" w:type="dxa"/>
        <w:tblLayout w:type="fixed"/>
        <w:tblCellMar>
          <w:top w:w="0" w:type="dxa"/>
          <w:left w:w="0" w:type="dxa"/>
          <w:bottom w:w="0" w:type="dxa"/>
          <w:right w:w="0" w:type="dxa"/>
        </w:tblCellMar>
        <w:tblLook w:val="01E0"/>
      </w:tblPr>
      <w:tblGrid>
        <w:gridCol w:w="8371"/>
      </w:tblGrid>
      <w:tr>
        <w:trPr>
          <w:trHeight w:val="355" w:hRule="exact"/>
        </w:trPr>
        <w:tc>
          <w:tcPr>
            <w:tcW w:w="8371" w:type="dxa"/>
            <w:tcBorders>
              <w:top w:val="single" w:sz="6" w:space="0" w:color="000000"/>
              <w:left w:val="nil" w:sz="6" w:space="0" w:color="auto"/>
              <w:bottom w:val="single" w:sz="12" w:space="0" w:color="000000"/>
              <w:right w:val="nil" w:sz="6" w:space="0" w:color="auto"/>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子公司名称</w:t>
            </w:r>
          </w:p>
        </w:tc>
      </w:tr>
      <w:tr>
        <w:trPr>
          <w:trHeight w:val="352"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西安久其软件有限公司</w:t>
            </w:r>
          </w:p>
        </w:tc>
      </w:tr>
      <w:tr>
        <w:trPr>
          <w:trHeight w:val="353"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上海久其软件有限公司</w:t>
            </w:r>
          </w:p>
        </w:tc>
      </w:tr>
      <w:tr>
        <w:trPr>
          <w:trHeight w:val="352"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成都久其软件有限公司</w:t>
            </w:r>
          </w:p>
        </w:tc>
      </w:tr>
      <w:tr>
        <w:trPr>
          <w:trHeight w:val="352"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广东久其软件有限公司</w:t>
            </w:r>
          </w:p>
        </w:tc>
      </w:tr>
      <w:tr>
        <w:trPr>
          <w:trHeight w:val="353"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北京久其政务软件股份有限公司</w:t>
            </w:r>
          </w:p>
        </w:tc>
      </w:tr>
      <w:tr>
        <w:trPr>
          <w:trHeight w:val="352"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sz w:val="15"/>
                <w:szCs w:val="15"/>
              </w:rPr>
              <w:t>新疆久其科技有限公司</w:t>
            </w:r>
          </w:p>
        </w:tc>
      </w:tr>
      <w:tr>
        <w:trPr>
          <w:trHeight w:val="352"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重庆久其软件有限公司</w:t>
            </w:r>
          </w:p>
        </w:tc>
      </w:tr>
      <w:tr>
        <w:trPr>
          <w:trHeight w:val="353"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北京北邮中望信息科技有限责任公司</w:t>
            </w:r>
          </w:p>
        </w:tc>
      </w:tr>
      <w:tr>
        <w:trPr>
          <w:trHeight w:val="352" w:hRule="exact"/>
        </w:trPr>
        <w:tc>
          <w:tcPr>
            <w:tcW w:w="83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海南久其云计算科技有限公司</w:t>
            </w:r>
          </w:p>
        </w:tc>
      </w:tr>
    </w:tbl>
    <w:p>
      <w:pPr>
        <w:spacing w:after="0" w:line="240" w:lineRule="auto"/>
        <w:jc w:val="center"/>
        <w:rPr>
          <w:rFonts w:ascii="宋体" w:hAnsi="宋体" w:cs="宋体" w:eastAsia="宋体" w:hint="default"/>
          <w:sz w:val="15"/>
          <w:szCs w:val="15"/>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p>
      <w:pPr>
        <w:spacing w:line="20" w:lineRule="exact"/>
        <w:ind w:left="762" w:right="0" w:firstLine="0"/>
        <w:rPr>
          <w:rFonts w:ascii="宋体" w:hAnsi="宋体" w:cs="宋体" w:eastAsia="宋体" w:hint="default"/>
          <w:sz w:val="2"/>
          <w:szCs w:val="2"/>
        </w:rPr>
      </w:pPr>
      <w:r>
        <w:rPr>
          <w:rFonts w:ascii="宋体" w:hAnsi="宋体" w:cs="宋体" w:eastAsia="宋体" w:hint="default"/>
          <w:sz w:val="2"/>
          <w:szCs w:val="2"/>
        </w:rPr>
        <w:pict>
          <v:group style="width:419.3pt;height:.75pt;mso-position-horizontal-relative:char;mso-position-vertical-relative:line" coordorigin="0,0" coordsize="8386,15">
            <v:group style="position:absolute;left:7;top:7;width:8371;height:2" coordorigin="7,7" coordsize="8371,2">
              <v:shape style="position:absolute;left:7;top:7;width:8371;height:2" coordorigin="7,7" coordsize="8371,0" path="m7,7l8378,7e" filled="false" stroked="true" strokeweight=".72pt" strokecolor="#000000">
                <v:path arrowok="t"/>
              </v:shape>
            </v:group>
          </v:group>
        </w:pict>
      </w:r>
      <w:r>
        <w:rPr>
          <w:rFonts w:ascii="宋体" w:hAnsi="宋体" w:cs="宋体" w:eastAsia="宋体" w:hint="default"/>
          <w:sz w:val="2"/>
          <w:szCs w:val="2"/>
        </w:rPr>
      </w:r>
    </w:p>
    <w:p>
      <w:pPr>
        <w:spacing w:before="39"/>
        <w:ind w:left="3235" w:right="4249" w:firstLine="0"/>
        <w:jc w:val="center"/>
        <w:rPr>
          <w:rFonts w:ascii="宋体" w:hAnsi="宋体" w:cs="宋体" w:eastAsia="宋体" w:hint="default"/>
          <w:sz w:val="15"/>
          <w:szCs w:val="15"/>
        </w:rPr>
      </w:pPr>
      <w:r>
        <w:rPr>
          <w:rFonts w:ascii="宋体" w:hAnsi="宋体" w:cs="宋体" w:eastAsia="宋体" w:hint="default"/>
          <w:sz w:val="15"/>
          <w:szCs w:val="15"/>
        </w:rPr>
        <w:t>北京久其智通数据科技有限公司</w:t>
      </w:r>
    </w:p>
    <w:p>
      <w:pPr>
        <w:spacing w:line="240" w:lineRule="auto" w:before="0"/>
        <w:rPr>
          <w:rFonts w:ascii="宋体" w:hAnsi="宋体" w:cs="宋体" w:eastAsia="宋体" w:hint="default"/>
          <w:sz w:val="7"/>
          <w:szCs w:val="7"/>
        </w:rPr>
      </w:pPr>
    </w:p>
    <w:p>
      <w:pPr>
        <w:spacing w:line="30" w:lineRule="exact"/>
        <w:ind w:left="74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0.8pt;height:1.5pt;mso-position-horizontal-relative:char;mso-position-vertical-relative:line" coordorigin="0,0" coordsize="8416,30">
            <v:group style="position:absolute;left:15;top:15;width:8386;height:2" coordorigin="15,15" coordsize="8386,2">
              <v:shape style="position:absolute;left:15;top:15;width:8386;height:2" coordorigin="15,15" coordsize="8386,0" path="m15,15l8400,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56" w:lineRule="auto"/>
        <w:ind w:left="871" w:right="1118"/>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w:t>
      </w:r>
      <w:r>
        <w:rPr>
          <w:spacing w:val="-78"/>
        </w:rPr>
        <w:t> </w:t>
      </w:r>
      <w:r>
        <w:rPr>
          <w:spacing w:val="-78"/>
        </w:rPr>
      </w:r>
      <w:r>
        <w:rPr/>
        <w:t>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3"/>
          <w:szCs w:val="23"/>
        </w:rPr>
      </w:pPr>
    </w:p>
    <w:p>
      <w:pPr>
        <w:pStyle w:val="Heading2"/>
        <w:spacing w:line="240" w:lineRule="auto"/>
        <w:ind w:left="154" w:right="0"/>
        <w:jc w:val="left"/>
        <w:rPr>
          <w:b w:val="0"/>
          <w:bCs w:val="0"/>
        </w:rPr>
      </w:pPr>
      <w:bookmarkStart w:name="四、财务报表的编制基础" w:id="142"/>
      <w:bookmarkEnd w:id="14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43"/>
      <w:bookmarkEnd w:id="14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w:t>
      </w:r>
      <w:r>
        <w:rPr>
          <w:spacing w:val="-32"/>
        </w:rPr>
        <w:t> </w:t>
      </w:r>
      <w:r>
        <w:rPr/>
        <w:t>和各项具体会计准则、企业会计准则应用指南、企业会计准则解释及其他相关规定（以下合称</w:t>
      </w:r>
      <w:r>
        <w:rPr>
          <w:rFonts w:ascii="Times New Roman" w:hAnsi="Times New Roman" w:cs="Times New Roman" w:eastAsia="Times New Roman" w:hint="default"/>
        </w:rPr>
        <w:t>“</w:t>
      </w:r>
      <w:r>
        <w:rPr/>
        <w:t>企业会计 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财务报告的 一般规定》的披露规定编制财务报表。</w:t>
      </w:r>
    </w:p>
    <w:p>
      <w:pPr>
        <w:spacing w:line="240" w:lineRule="auto" w:before="10"/>
        <w:rPr>
          <w:rFonts w:ascii="宋体" w:hAnsi="宋体" w:cs="宋体" w:eastAsia="宋体" w:hint="default"/>
          <w:sz w:val="24"/>
          <w:szCs w:val="24"/>
        </w:rPr>
      </w:pPr>
    </w:p>
    <w:p>
      <w:pPr>
        <w:pStyle w:val="BodyText"/>
        <w:spacing w:line="506" w:lineRule="auto"/>
        <w:ind w:right="2773"/>
        <w:jc w:val="left"/>
      </w:pPr>
      <w:bookmarkStart w:name="2、持续经营" w:id="144"/>
      <w:bookmarkEnd w:id="144"/>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7"/>
          <w:szCs w:val="27"/>
        </w:rPr>
      </w:pPr>
    </w:p>
    <w:p>
      <w:pPr>
        <w:pStyle w:val="Heading2"/>
        <w:spacing w:line="240" w:lineRule="auto"/>
        <w:ind w:left="154" w:right="0"/>
        <w:jc w:val="left"/>
        <w:rPr>
          <w:b w:val="0"/>
          <w:bCs w:val="0"/>
        </w:rPr>
      </w:pPr>
      <w:bookmarkStart w:name="五、重要会计政策及会计估计" w:id="145"/>
      <w:bookmarkEnd w:id="14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56" w:lineRule="auto" w:before="91"/>
        <w:ind w:left="154" w:right="1117"/>
        <w:jc w:val="left"/>
      </w:pPr>
      <w:r>
        <w:rPr>
          <w:spacing w:val="2"/>
        </w:rPr>
        <w:t>以下披露内容已涵盖了本公司根据实际生产经营特点制定的具体会计政策和会计估计。详见本附注</w:t>
      </w:r>
      <w:r>
        <w:rPr>
          <w:rFonts w:ascii="Times New Roman" w:hAnsi="Times New Roman" w:cs="Times New Roman" w:eastAsia="Times New Roman" w:hint="default"/>
          <w:spacing w:val="2"/>
        </w:rPr>
        <w:t>“</w:t>
      </w:r>
      <w:r>
        <w:rPr>
          <w:spacing w:val="2"/>
        </w:rPr>
        <w:t>五、</w:t>
      </w:r>
      <w:r>
        <w:rPr>
          <w:spacing w:val="-102"/>
        </w:rPr>
        <w:t> </w:t>
      </w:r>
      <w:r>
        <w:rPr>
          <w:rFonts w:ascii="Times New Roman" w:hAnsi="Times New Roman" w:cs="Times New Roman" w:eastAsia="Times New Roman" w:hint="default"/>
        </w:rPr>
        <w:t>24</w:t>
      </w:r>
      <w:r>
        <w:rPr/>
        <w:t>、收入</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1、遵循企业会计准则的声明" w:id="146"/>
      <w:bookmarkEnd w:id="14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17"/>
        <w:jc w:val="left"/>
      </w:pPr>
      <w:r>
        <w:rPr>
          <w:spacing w:val="-5"/>
        </w:rPr>
        <w:t>公司所编制的财务报表符合企业会计准则的要求，真实、完整地反映了报告期公司的财务状况、经营成果、</w:t>
      </w:r>
      <w:r>
        <w:rPr>
          <w:spacing w:val="-103"/>
        </w:rPr>
        <w:t> </w:t>
      </w:r>
      <w:r>
        <w:rPr>
          <w:spacing w:val="-103"/>
        </w:rPr>
      </w:r>
      <w:r>
        <w:rPr/>
        <w:t>现金流量等有关信息。</w:t>
      </w:r>
    </w:p>
    <w:p>
      <w:pPr>
        <w:spacing w:line="240" w:lineRule="auto" w:before="8"/>
        <w:rPr>
          <w:rFonts w:ascii="宋体" w:hAnsi="宋体" w:cs="宋体" w:eastAsia="宋体" w:hint="default"/>
          <w:sz w:val="23"/>
          <w:szCs w:val="23"/>
        </w:rPr>
      </w:pPr>
    </w:p>
    <w:p>
      <w:pPr>
        <w:spacing w:line="506" w:lineRule="auto" w:before="0"/>
        <w:ind w:left="154" w:right="6552" w:firstLine="0"/>
        <w:jc w:val="left"/>
        <w:rPr>
          <w:rFonts w:ascii="宋体" w:hAnsi="宋体" w:cs="宋体" w:eastAsia="宋体" w:hint="default"/>
          <w:sz w:val="21"/>
          <w:szCs w:val="21"/>
        </w:rPr>
      </w:pPr>
      <w:bookmarkStart w:name="2、会计期间" w:id="147"/>
      <w:bookmarkEnd w:id="1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 </w:t>
      </w:r>
      <w:bookmarkStart w:name="3、营业周期" w:id="148"/>
      <w:bookmarkEnd w:id="148"/>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3"/>
        <w:ind w:left="154"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line="506" w:lineRule="auto" w:before="0"/>
        <w:ind w:left="154" w:right="8232" w:firstLine="0"/>
        <w:jc w:val="left"/>
        <w:rPr>
          <w:rFonts w:ascii="宋体" w:hAnsi="宋体" w:cs="宋体" w:eastAsia="宋体" w:hint="default"/>
          <w:sz w:val="21"/>
          <w:szCs w:val="21"/>
        </w:rPr>
      </w:pPr>
      <w:bookmarkStart w:name="4、记账本位币" w:id="149"/>
      <w:bookmarkEnd w:id="14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同一控制下和非同一控制下企业合并的会计处理方法" w:id="150"/>
      <w:bookmarkEnd w:id="15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8"/>
        <w:jc w:val="left"/>
      </w:pPr>
      <w:r>
        <w:rPr>
          <w:spacing w:val="-1"/>
        </w:rPr>
        <w:t>同一控制下企业合并：本公司在企业合并中取得的资产和负债，按照合并日在被合并方资产、负债（包括</w:t>
      </w:r>
      <w:r>
        <w:rPr>
          <w:spacing w:val="-86"/>
        </w:rPr>
        <w:t> </w:t>
      </w:r>
      <w:r>
        <w:rPr>
          <w:spacing w:val="-86"/>
        </w:rPr>
      </w:r>
      <w:r>
        <w:rPr>
          <w:spacing w:val="-1"/>
        </w:rPr>
        <w:t>最终控制方收购被合并方而形成的商誉）在最终控制方合并财务报表中的账面价值计量。在合并中取得的</w:t>
      </w:r>
      <w:r>
        <w:rPr>
          <w:spacing w:val="-81"/>
        </w:rPr>
        <w:t> </w:t>
      </w:r>
      <w:r>
        <w:rPr>
          <w:spacing w:val="-81"/>
        </w:rPr>
      </w:r>
      <w:r>
        <w:rPr>
          <w:spacing w:val="-5"/>
        </w:rPr>
        <w:t>净资产账面价值与支付的合并对价账面价值（或发行股份面值总额）的差额，调整资本公积中的股本溢价，</w:t>
      </w:r>
      <w:r>
        <w:rPr>
          <w:spacing w:val="-101"/>
        </w:rPr>
        <w:t> </w:t>
      </w:r>
      <w:r>
        <w:rPr>
          <w:spacing w:val="-101"/>
        </w:rPr>
      </w:r>
      <w:r>
        <w:rPr/>
        <w:t>资本公积中的股本溢价不足冲减的，调整留存收益。 </w:t>
      </w:r>
      <w:r>
        <w:rPr>
          <w:spacing w:val="-1"/>
        </w:rPr>
        <w:t>非同一控制下企业合并：本公司在购买日对作为企业合并对价付出的资产、发生或承担的负债按照公允价</w:t>
      </w:r>
      <w:r>
        <w:rPr>
          <w:spacing w:val="-81"/>
        </w:rPr>
        <w:t> </w:t>
      </w:r>
      <w:r>
        <w:rPr>
          <w:spacing w:val="-81"/>
        </w:rPr>
      </w:r>
      <w:r>
        <w:rPr>
          <w:spacing w:val="-1"/>
        </w:rPr>
        <w:t>值计量，公允价值与其账面价值的差额，计入当期损益。本公司对合并成本大于合并中取得的被购买方可</w:t>
      </w:r>
      <w:r>
        <w:rPr>
          <w:spacing w:val="-83"/>
        </w:rPr>
        <w:t> </w:t>
      </w:r>
      <w:r>
        <w:rPr>
          <w:spacing w:val="-83"/>
        </w:rPr>
      </w:r>
      <w:r>
        <w:rPr>
          <w:spacing w:val="-1"/>
        </w:rPr>
        <w:t>辨认净资产公允价值份额的差额，确认为商誉；合并成本小于合并中取得的被购买方可辨认净资产公允价</w:t>
      </w:r>
      <w:r>
        <w:rPr>
          <w:spacing w:val="-81"/>
        </w:rPr>
        <w:t> </w:t>
      </w:r>
      <w:r>
        <w:rPr>
          <w:spacing w:val="-81"/>
        </w:rPr>
      </w:r>
      <w:r>
        <w:rPr/>
        <w:t>值份额的差额，经复核后，计入当期损益。 </w:t>
      </w:r>
      <w:r>
        <w:rPr>
          <w:spacing w:val="-5"/>
        </w:rPr>
        <w:t>为企业合并发生的审计、法律服务、评估咨询等中介费用以及其他直接相关费用，于发生时计入当期损益；</w:t>
      </w:r>
      <w:r>
        <w:rPr>
          <w:spacing w:val="-101"/>
        </w:rPr>
        <w:t> </w:t>
      </w:r>
      <w:r>
        <w:rPr>
          <w:spacing w:val="-101"/>
        </w:rPr>
      </w:r>
      <w:r>
        <w:rPr/>
        <w:t>为企业合并而发行权益性证券的交易费用，冲减权益。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6、合并财务报表的编制方法" w:id="151"/>
      <w:bookmarkEnd w:id="15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54"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本公司合并财务报表的合并范围以控制为基础确定，所有子公司（包括本公司所控制的被投资方可分割的</w:t>
      </w:r>
      <w:r>
        <w:rPr>
          <w:spacing w:val="-81"/>
        </w:rPr>
        <w:t> </w:t>
      </w:r>
      <w:r>
        <w:rPr>
          <w:spacing w:val="-81"/>
        </w:rPr>
      </w:r>
      <w:r>
        <w:rPr/>
        <w:t>部分）均纳入合并财务报表。</w:t>
      </w:r>
    </w:p>
    <w:p>
      <w:pPr>
        <w:pStyle w:val="BodyText"/>
        <w:spacing w:line="271" w:lineRule="auto" w:before="16"/>
        <w:ind w:left="214" w:right="1124" w:hanging="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w:t>
      </w:r>
      <w:r>
        <w:rPr>
          <w:spacing w:val="-100"/>
        </w:rPr>
        <w:t> </w:t>
      </w:r>
      <w:r>
        <w:rPr>
          <w:spacing w:val="-100"/>
        </w:rPr>
      </w:r>
      <w:r>
        <w:rPr>
          <w:spacing w:val="-2"/>
        </w:rPr>
        <w:t>务报表，将整个企业集团视为一个会计主体，依据相关企业会计准则的确认、计量和列报要求，按照统一</w:t>
      </w:r>
      <w:r>
        <w:rPr>
          <w:spacing w:val="-101"/>
        </w:rPr>
        <w:t> </w:t>
      </w:r>
      <w:r>
        <w:rPr>
          <w:spacing w:val="-101"/>
        </w:rPr>
      </w:r>
      <w:r>
        <w:rPr/>
        <w:t>的会计政策，反映本企业集团整体财务状况、经营成果和现金流量。 </w:t>
      </w:r>
      <w:r>
        <w:rPr>
          <w:spacing w:val="-2"/>
        </w:rPr>
        <w:t>所有纳入合并财务报表合并范围的子公司所采用的会计政策、会计期间与本公司一致，如子公司采用的会</w:t>
      </w:r>
      <w:r>
        <w:rPr>
          <w:spacing w:val="-99"/>
        </w:rPr>
        <w:t> </w:t>
      </w:r>
      <w:r>
        <w:rPr>
          <w:spacing w:val="-99"/>
        </w:rPr>
      </w:r>
      <w:r>
        <w:rPr>
          <w:spacing w:val="-2"/>
        </w:rPr>
        <w:t>计政策、会计期间与本公司不一致的，在编制合并财务报表时，按本公司的会计政策、会计期间进行必要</w:t>
      </w:r>
      <w:r>
        <w:rPr>
          <w:spacing w:val="-101"/>
        </w:rPr>
        <w:t> </w:t>
      </w:r>
      <w:r>
        <w:rPr>
          <w:spacing w:val="-101"/>
        </w:rPr>
      </w:r>
      <w:r>
        <w:rPr>
          <w:spacing w:val="-2"/>
        </w:rPr>
        <w:t>的调整。对于非同一控制下企业合并取得的子公司，以购买日可辨认净资产公允价值为基础对其财务报表</w:t>
      </w:r>
      <w:r>
        <w:rPr>
          <w:spacing w:val="-99"/>
        </w:rPr>
        <w:t> </w:t>
      </w:r>
      <w:r>
        <w:rPr>
          <w:spacing w:val="-99"/>
        </w:rPr>
      </w:r>
      <w:r>
        <w:rPr>
          <w:spacing w:val="-2"/>
        </w:rPr>
        <w:t>进行调整。对于同一控制下企业合并取得的子公司，以其资产、负债（包括最终控制方收购该子公司而形</w:t>
      </w:r>
      <w:r>
        <w:rPr>
          <w:spacing w:val="-101"/>
        </w:rPr>
        <w:t> </w:t>
      </w:r>
      <w:r>
        <w:rPr>
          <w:spacing w:val="-101"/>
        </w:rPr>
      </w:r>
      <w:r>
        <w:rPr/>
        <w:t>成的商誉）在最终控制方财务报表中的账面价值为基础对其财务报表进行调整。 </w:t>
      </w:r>
      <w:r>
        <w:rPr>
          <w:spacing w:val="-2"/>
        </w:rPr>
        <w:t>子公司所有者权益、当期净损益和当期综合收益中属于少数股东的份额分别在合并资产负债表中所有者权</w:t>
      </w:r>
      <w:r>
        <w:rPr>
          <w:spacing w:val="-98"/>
        </w:rPr>
        <w:t> </w:t>
      </w:r>
      <w:r>
        <w:rPr>
          <w:spacing w:val="-98"/>
        </w:rPr>
      </w:r>
      <w:r>
        <w:rPr>
          <w:spacing w:val="-2"/>
        </w:rPr>
        <w:t>益项目下、合并利润表中净利润项目下和综合收益总额项目下单独列示。子公司少数股东分担的当期亏损</w:t>
      </w:r>
      <w:r>
        <w:rPr>
          <w:spacing w:val="-99"/>
        </w:rPr>
        <w:t> </w:t>
      </w:r>
      <w:r>
        <w:rPr>
          <w:spacing w:val="-99"/>
        </w:rPr>
      </w:r>
      <w:r>
        <w:rPr/>
        <w:t>超过了少数股东在该子公司期初所有者权益中所享有份额而形成的余额，冲减少数股东权益。</w:t>
      </w:r>
    </w:p>
    <w:p>
      <w:pPr>
        <w:pStyle w:val="BodyText"/>
        <w:spacing w:line="271" w:lineRule="auto" w:before="10"/>
        <w:ind w:left="214" w:right="1124"/>
        <w:jc w:val="left"/>
      </w:pPr>
      <w:r>
        <w:rPr>
          <w:rFonts w:ascii="Times New Roman" w:hAnsi="Times New Roman" w:cs="Times New Roman" w:eastAsia="Times New Roman" w:hint="default"/>
        </w:rPr>
        <w:t>&lt;1&gt;</w:t>
      </w:r>
      <w:r>
        <w:rPr/>
        <w:t>增加子公司或业务 </w:t>
      </w:r>
      <w:r>
        <w:rPr>
          <w:spacing w:val="-2"/>
        </w:rPr>
        <w:t>在报告期内，若因同一控制下企业合并增加子公司或业务的，则调整合并资产负债表的期初数；将子公司</w:t>
      </w:r>
      <w:r>
        <w:rPr>
          <w:spacing w:val="-97"/>
        </w:rPr>
        <w:t> </w:t>
      </w:r>
      <w:r>
        <w:rPr>
          <w:spacing w:val="-97"/>
        </w:rPr>
      </w:r>
      <w:r>
        <w:rPr>
          <w:spacing w:val="-2"/>
        </w:rPr>
        <w:t>或业务合并当期期初至报告期末的收入、费用、利润纳入合并利润表；将子公司或业务合并当期期初至报</w:t>
      </w:r>
      <w:r>
        <w:rPr>
          <w:spacing w:val="-97"/>
        </w:rPr>
        <w:t> </w:t>
      </w:r>
      <w:r>
        <w:rPr>
          <w:spacing w:val="-97"/>
        </w:rPr>
      </w:r>
      <w:r>
        <w:rPr>
          <w:spacing w:val="-2"/>
        </w:rPr>
        <w:t>告期末的现金流量纳入合并现金流量表，同时对比较报表的相关项目进行调整，视同合并后的报告主体自</w:t>
      </w:r>
      <w:r>
        <w:rPr>
          <w:spacing w:val="-95"/>
        </w:rPr>
        <w:t> </w:t>
      </w:r>
      <w:r>
        <w:rPr>
          <w:spacing w:val="-95"/>
        </w:rPr>
      </w:r>
      <w:r>
        <w:rPr/>
        <w:t>最终控制方开始控制时点起一直存在。 </w:t>
      </w:r>
      <w:r>
        <w:rPr>
          <w:spacing w:val="-2"/>
        </w:rPr>
        <w:t>在报告期内，若因非同一控制下企业合并增加子公司或业务的，则不调整合并资产负债表期初数；将该子</w:t>
      </w:r>
      <w:r>
        <w:rPr>
          <w:spacing w:val="-97"/>
        </w:rPr>
        <w:t> </w:t>
      </w:r>
      <w:r>
        <w:rPr>
          <w:spacing w:val="-97"/>
        </w:rPr>
      </w:r>
      <w:r>
        <w:rPr>
          <w:spacing w:val="-2"/>
        </w:rPr>
        <w:t>公司或业务自购买日至报告期末的收入、费用、利润纳入合并利润表；该子公司或业务自购买日至报告期</w:t>
      </w:r>
      <w:r>
        <w:rPr>
          <w:spacing w:val="-97"/>
        </w:rPr>
        <w:t> </w:t>
      </w:r>
      <w:r>
        <w:rPr>
          <w:spacing w:val="-97"/>
        </w:rPr>
      </w:r>
      <w:r>
        <w:rPr/>
        <w:t>末的现金流量纳入合并现金流量表。</w:t>
      </w:r>
    </w:p>
    <w:p>
      <w:pPr>
        <w:pStyle w:val="BodyText"/>
        <w:spacing w:line="240" w:lineRule="auto" w:before="10"/>
        <w:ind w:right="0"/>
        <w:jc w:val="left"/>
      </w:pPr>
      <w:r>
        <w:rPr>
          <w:rFonts w:ascii="Times New Roman" w:hAnsi="Times New Roman" w:cs="Times New Roman" w:eastAsia="Times New Roman" w:hint="default"/>
        </w:rPr>
        <w:t>&lt;2&gt;</w:t>
      </w:r>
      <w:r>
        <w:rPr/>
        <w:t>处置子公司或业务</w:t>
      </w:r>
    </w:p>
    <w:p>
      <w:pPr>
        <w:pStyle w:val="BodyText"/>
        <w:spacing w:line="273" w:lineRule="auto" w:before="21"/>
        <w:ind w:left="213" w:right="1125"/>
        <w:jc w:val="left"/>
      </w:pPr>
      <w:r>
        <w:rPr/>
        <w:t>①一般处理方法 </w:t>
      </w:r>
      <w:r>
        <w:rPr>
          <w:spacing w:val="-2"/>
        </w:rPr>
        <w:t>在报告期内，本公司处置子公司或业务，则该子公司或业务期初至处置日的收入、费用、利润纳入合并利</w:t>
      </w:r>
      <w:r>
        <w:rPr>
          <w:spacing w:val="-97"/>
        </w:rPr>
        <w:t> </w:t>
      </w:r>
      <w:r>
        <w:rPr>
          <w:spacing w:val="-97"/>
        </w:rPr>
      </w:r>
      <w:r>
        <w:rPr/>
        <w:t>润表；该子公司或业务期初至处置日的现金流量纳入合并现金流量表。 </w:t>
      </w:r>
      <w:r>
        <w:rPr>
          <w:spacing w:val="-2"/>
        </w:rPr>
        <w:t>因处置部分股权投资或其他原因丧失了对被投资方控制权时，对于处置后的剩余股权投资，本公司按照其</w:t>
      </w:r>
      <w:r>
        <w:rPr>
          <w:spacing w:val="-95"/>
        </w:rPr>
        <w:t> </w:t>
      </w:r>
      <w:r>
        <w:rPr>
          <w:spacing w:val="-95"/>
        </w:rPr>
      </w:r>
      <w:r>
        <w:rPr>
          <w:spacing w:val="-2"/>
        </w:rPr>
        <w:t>在丧失控制权日的公允价值进行重新计量。处置股权取得的对价与剩余股权公允价值之和，减去按原持股</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213" w:right="1131"/>
        <w:jc w:val="both"/>
      </w:pPr>
      <w:r>
        <w:rPr>
          <w:spacing w:val="-2"/>
        </w:rPr>
        <w:t>比例计算应享有原有子公司自购买日或合并日开始持续计算的净资产的份额与商誉之和的差额，计入丧失</w:t>
      </w:r>
      <w:r>
        <w:rPr>
          <w:spacing w:val="-95"/>
        </w:rPr>
        <w:t> </w:t>
      </w:r>
      <w:r>
        <w:rPr>
          <w:spacing w:val="-95"/>
        </w:rPr>
      </w:r>
      <w:r>
        <w:rPr>
          <w:spacing w:val="-2"/>
        </w:rPr>
        <w:t>控制权当期的投资收益。与原有子公司股权投资相关的其他综合收益或除净损益、其他综合收益及利润分</w:t>
      </w:r>
      <w:r>
        <w:rPr>
          <w:spacing w:val="-95"/>
        </w:rPr>
        <w:t> </w:t>
      </w:r>
      <w:r>
        <w:rPr>
          <w:spacing w:val="-95"/>
        </w:rPr>
      </w:r>
      <w:r>
        <w:rPr>
          <w:spacing w:val="-2"/>
        </w:rPr>
        <w:t>配之外的其他所有者权益变动，在丧失控制权时转为当期投资收益，由于被投资方重新计量设定受益计划</w:t>
      </w:r>
      <w:r>
        <w:rPr>
          <w:spacing w:val="-95"/>
        </w:rPr>
        <w:t> </w:t>
      </w:r>
      <w:r>
        <w:rPr>
          <w:spacing w:val="-95"/>
        </w:rPr>
      </w:r>
      <w:r>
        <w:rPr/>
        <w:t>净负债或净资产变动而产生的其他综合收益除外。</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7、现金及现金等价物的确定标准" w:id="152"/>
      <w:bookmarkEnd w:id="152"/>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8、外币业务和外币报表折算" w:id="153"/>
      <w:bookmarkEnd w:id="153"/>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319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273" w:lineRule="auto" w:before="22"/>
        <w:ind w:right="1131"/>
        <w:jc w:val="both"/>
      </w:pPr>
      <w:r>
        <w:rPr>
          <w:spacing w:val="-1"/>
        </w:rPr>
        <w:t>外币货币性项目余额按资产负债表日即期汇率折算，由此产生的汇兑差额，除属于与购建符合资本化条件</w:t>
      </w:r>
      <w:r>
        <w:rPr>
          <w:spacing w:val="-81"/>
        </w:rPr>
        <w:t> </w:t>
      </w:r>
      <w:r>
        <w:rPr>
          <w:spacing w:val="-81"/>
        </w:rPr>
      </w:r>
      <w:r>
        <w:rPr>
          <w:spacing w:val="-1"/>
        </w:rPr>
        <w:t>的资产相关的外币专门借款产生的汇兑差额按照借款费用资本化的原则处理外，均计入当期损益。以历史</w:t>
      </w:r>
      <w:r>
        <w:rPr>
          <w:spacing w:val="-81"/>
        </w:rPr>
        <w:t> </w:t>
      </w:r>
      <w:r>
        <w:rPr>
          <w:spacing w:val="-81"/>
        </w:rPr>
      </w:r>
      <w:r>
        <w:rPr>
          <w:spacing w:val="-1"/>
        </w:rPr>
        <w:t>成本计量的外币非货币性项目，仍采用交易发生日的即期汇率折算，不改变其记账本位币金额。以公允价</w:t>
      </w:r>
      <w:r>
        <w:rPr>
          <w:spacing w:val="-83"/>
        </w:rPr>
        <w:t> </w:t>
      </w:r>
      <w:r>
        <w:rPr>
          <w:spacing w:val="-83"/>
        </w:rPr>
      </w:r>
      <w:r>
        <w:rPr>
          <w:spacing w:val="-1"/>
        </w:rPr>
        <w:t>值计量的外币非货币性项目，采用公允价值确定日的即期汇率折算，由此产生的汇兑差额计入当期损益或</w:t>
      </w:r>
      <w:r>
        <w:rPr>
          <w:spacing w:val="-81"/>
        </w:rPr>
        <w:t> </w:t>
      </w:r>
      <w:r>
        <w:rPr>
          <w:spacing w:val="-81"/>
        </w:rPr>
      </w:r>
      <w:r>
        <w:rPr/>
        <w:t>资本公积。</w:t>
      </w:r>
    </w:p>
    <w:p>
      <w:pPr>
        <w:pStyle w:val="BodyText"/>
        <w:spacing w:line="266" w:lineRule="auto" w:before="7"/>
        <w:ind w:right="102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 目外，其他项目采用发生时的即期汇率折算。利润表中的收入和费用项目，采用交易发生日的即期汇率折 算。按照上述折算产生的外币财务报表折算差额，在资产负债表所有者权益项目下单独列示。 </w:t>
      </w:r>
      <w:r>
        <w:rPr>
          <w:spacing w:val="-3"/>
        </w:rPr>
        <w:t>处置境外经营时，将资产负债表中所有者权益项目下列示的、与该境外经营相关的外币财务报表折算差额，</w:t>
      </w:r>
      <w:r>
        <w:rPr>
          <w:spacing w:val="-92"/>
        </w:rPr>
        <w:t> </w:t>
      </w:r>
      <w:r>
        <w:rPr>
          <w:spacing w:val="-92"/>
        </w:rPr>
      </w:r>
      <w:r>
        <w:rPr/>
        <w:t>自所有者权益项目转入处置当期损益；部分处置境外经营的，按处置的比例计算处置部分的外币财务报表</w:t>
      </w:r>
      <w:r>
        <w:rPr/>
        <w:t> 折算差额，转入处置当期损益。</w:t>
      </w:r>
    </w:p>
    <w:p>
      <w:pPr>
        <w:spacing w:line="590" w:lineRule="atLeast" w:before="16"/>
        <w:ind w:left="153" w:right="6343" w:firstLine="0"/>
        <w:jc w:val="left"/>
        <w:rPr>
          <w:rFonts w:ascii="宋体" w:hAnsi="宋体" w:cs="宋体" w:eastAsia="宋体" w:hint="default"/>
          <w:sz w:val="21"/>
          <w:szCs w:val="21"/>
        </w:rPr>
      </w:pPr>
      <w:bookmarkStart w:name="9、金融工具" w:id="154"/>
      <w:bookmarkEnd w:id="15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BodyText"/>
        <w:spacing w:line="266" w:lineRule="auto" w:before="37"/>
        <w:ind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管理层按照取得持有金融资产和承担金融负债的目的，将其划分为：以公允价值计量且其变动计入当期损</w:t>
      </w:r>
      <w:r>
        <w:rPr>
          <w:spacing w:val="-81"/>
        </w:rPr>
        <w:t> </w:t>
      </w:r>
      <w:r>
        <w:rPr>
          <w:spacing w:val="-81"/>
        </w:rPr>
      </w:r>
      <w:r>
        <w:rPr>
          <w:spacing w:val="-1"/>
        </w:rPr>
        <w:t>益的金融资产或金融负债，包括交易性金融资产或金融负债和直接指定为以公允价值计量且其变动计入当</w:t>
      </w:r>
      <w:r>
        <w:rPr>
          <w:spacing w:val="-81"/>
        </w:rPr>
        <w:t> </w:t>
      </w:r>
      <w:r>
        <w:rPr>
          <w:spacing w:val="-81"/>
        </w:rPr>
      </w:r>
      <w:r>
        <w:rPr/>
        <w:t>期损益的金融资产或金融负债；持有至到期投资；应收款项；可供出售金融资产；其他金融负债等。</w:t>
      </w:r>
    </w:p>
    <w:p>
      <w:pPr>
        <w:pStyle w:val="Heading3"/>
        <w:spacing w:line="240" w:lineRule="auto" w:before="14"/>
        <w:ind w:left="153"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pStyle w:val="BodyText"/>
        <w:spacing w:line="273" w:lineRule="auto" w:before="21"/>
        <w:ind w:right="0"/>
        <w:jc w:val="left"/>
      </w:pPr>
      <w:r>
        <w:rPr>
          <w:rFonts w:ascii="宋体" w:hAnsi="宋体" w:cs="宋体" w:eastAsia="宋体" w:hint="default"/>
          <w:b/>
          <w:bCs/>
        </w:rPr>
        <w:t>①以公允价值计量且其变动计入当期损益的金融资产（金融负债）</w:t>
      </w:r>
      <w:r>
        <w:rPr>
          <w:rFonts w:ascii="宋体" w:hAnsi="宋体" w:cs="宋体" w:eastAsia="宋体" w:hint="default"/>
          <w:b/>
          <w:bCs/>
          <w:w w:val="99"/>
        </w:rPr>
        <w:t> </w:t>
      </w:r>
      <w:r>
        <w:rPr>
          <w:spacing w:val="-1"/>
        </w:rPr>
        <w:t>取得时以公允价值（扣除已宣告但尚未发放的现金股利或已到付息期但尚未领取的债券利息）作为初始确</w:t>
      </w:r>
      <w:r>
        <w:rPr>
          <w:spacing w:val="-81"/>
        </w:rPr>
        <w:t> </w:t>
      </w:r>
      <w:r>
        <w:rPr>
          <w:spacing w:val="-81"/>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73" w:lineRule="auto" w:before="7"/>
        <w:ind w:right="0"/>
        <w:jc w:val="left"/>
      </w:pPr>
      <w:r>
        <w:rPr/>
        <w:t>②持有至到期投资 取得时按公允价值（扣除已到付息期但尚未领取的债券利息）和相关交易费用之和作为初始确认金额。 </w:t>
      </w:r>
      <w:r>
        <w:rPr>
          <w:spacing w:val="-1"/>
        </w:rPr>
        <w:t>持有期间按照摊余成本和实际利率计算确认利息收入，计入投资收益。实际利率在取得时确定，在该预期</w:t>
      </w:r>
      <w:r>
        <w:rPr>
          <w:spacing w:val="-83"/>
        </w:rPr>
        <w:t> </w:t>
      </w:r>
      <w:r>
        <w:rPr>
          <w:spacing w:val="-83"/>
        </w:rPr>
      </w:r>
      <w:r>
        <w:rPr/>
        <w:t>存续期间或适用的更短期间内保持不变。</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处置时，将所取得价款与该投资账面价值之间的差额计入投资收益。</w:t>
      </w:r>
    </w:p>
    <w:p>
      <w:pPr>
        <w:pStyle w:val="BodyText"/>
        <w:spacing w:line="273" w:lineRule="auto" w:before="37"/>
        <w:ind w:right="1033"/>
        <w:jc w:val="left"/>
      </w:pPr>
      <w:r>
        <w:rPr/>
        <w:t>③应收款项 公司对外销售商品或提供劳务形成的应收债权，以及公司持有的其他企业的不包括在活跃市场上有报价的 债务工具的债权，包括应收账款、其他应收款等，以向购货方应收的合同或协议价款作为初始确认金额；</w:t>
      </w:r>
      <w:r>
        <w:rPr>
          <w:spacing w:val="-35"/>
        </w:rPr>
        <w:t> </w:t>
      </w:r>
      <w:r>
        <w:rPr>
          <w:spacing w:val="-35"/>
        </w:rPr>
      </w:r>
      <w:r>
        <w:rPr/>
        <w:t>具有融资性质的，按其现值进行初始确认。 收回或处置时，将取得的价款与该应收款项账面价值之间的差额计入当期损益。</w:t>
      </w:r>
    </w:p>
    <w:p>
      <w:pPr>
        <w:pStyle w:val="BodyText"/>
        <w:spacing w:line="273" w:lineRule="auto" w:before="7"/>
        <w:ind w:right="0"/>
        <w:jc w:val="left"/>
      </w:pPr>
      <w:r>
        <w:rPr/>
        <w:t>④可供出售金融资产 </w:t>
      </w:r>
      <w:r>
        <w:rPr>
          <w:spacing w:val="-1"/>
        </w:rPr>
        <w:t>取得时按公允价值（扣除已宣告但尚未发放的现金股利或已到付息期但尚未领取的债券利息）和相关交易</w:t>
      </w:r>
      <w:r>
        <w:rPr>
          <w:spacing w:val="-81"/>
        </w:rPr>
        <w:t> </w:t>
      </w:r>
      <w:r>
        <w:rPr>
          <w:spacing w:val="-81"/>
        </w:rPr>
      </w:r>
      <w:r>
        <w:rPr/>
        <w:t>费用之和作为初始确认金额。 </w:t>
      </w:r>
      <w:r>
        <w:rPr>
          <w:spacing w:val="-1"/>
        </w:rPr>
        <w:t>持有期间将取得的利息或现金股利确认为投资收益。期末以公允价值计量且将公允价值变动计入资本公积</w:t>
      </w:r>
    </w:p>
    <w:p>
      <w:pPr>
        <w:pStyle w:val="BodyText"/>
        <w:spacing w:line="273" w:lineRule="auto" w:before="7"/>
        <w:ind w:right="0"/>
        <w:jc w:val="left"/>
      </w:pPr>
      <w:r>
        <w:rPr/>
        <w:t>（其他资本公积）。 </w:t>
      </w:r>
      <w:r>
        <w:rPr>
          <w:spacing w:val="-1"/>
        </w:rPr>
        <w:t>处置时，将取得的价款与该金融资产账面价值之间的差额，计入投资损益；同时，将原直接计入所有者权</w:t>
      </w:r>
      <w:r>
        <w:rPr>
          <w:spacing w:val="-86"/>
        </w:rPr>
        <w:t> </w:t>
      </w:r>
      <w:r>
        <w:rPr>
          <w:spacing w:val="-86"/>
        </w:rPr>
      </w:r>
      <w:r>
        <w:rPr/>
        <w:t>益的公允价值变动累计额对应处置部分的金额转出，计入投资损益。</w:t>
      </w:r>
    </w:p>
    <w:p>
      <w:pPr>
        <w:pStyle w:val="BodyText"/>
        <w:spacing w:line="273" w:lineRule="auto" w:before="7"/>
        <w:ind w:right="2983"/>
        <w:jc w:val="left"/>
      </w:pPr>
      <w:r>
        <w:rPr/>
        <w:t>⑤其他金融负债 按其公允价值和相关交易费用之和作为初始确认金额。采用摊余成本进行后续计量。</w:t>
      </w:r>
    </w:p>
    <w:p>
      <w:pPr>
        <w:pStyle w:val="BodyText"/>
        <w:spacing w:line="268" w:lineRule="auto" w:before="7"/>
        <w:ind w:right="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在判断金融资产转移是否满足上述金融资产终止确认条件时，采用实质重于形式的原则。公司将金融资产</w:t>
      </w:r>
      <w:r>
        <w:rPr>
          <w:spacing w:val="-81"/>
        </w:rPr>
        <w:t> </w:t>
      </w:r>
      <w:r>
        <w:rPr>
          <w:spacing w:val="-81"/>
        </w:rPr>
      </w: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BodyText"/>
        <w:spacing w:line="240" w:lineRule="auto" w:before="12"/>
        <w:ind w:right="0"/>
        <w:jc w:val="left"/>
      </w:pPr>
      <w:r>
        <w:rPr/>
        <w:t>①所转移金融资产的账面价值；</w:t>
      </w:r>
    </w:p>
    <w:p>
      <w:pPr>
        <w:pStyle w:val="BodyText"/>
        <w:spacing w:line="273" w:lineRule="auto" w:before="37"/>
        <w:ind w:right="0"/>
        <w:jc w:val="left"/>
      </w:pPr>
      <w:r>
        <w:rPr>
          <w:spacing w:val="-1"/>
        </w:rPr>
        <w:t>②因转移而收到的对价，与原直接计入所有者权益的公允价值变动累计额（涉及转移的金融资产为可供出</w:t>
      </w:r>
      <w:r>
        <w:rPr>
          <w:spacing w:val="-81"/>
        </w:rPr>
        <w:t> </w:t>
      </w:r>
      <w:r>
        <w:rPr>
          <w:spacing w:val="-81"/>
        </w:rPr>
      </w:r>
      <w:r>
        <w:rPr/>
        <w:t>售金融资产的情形）之和。 </w:t>
      </w:r>
      <w:r>
        <w:rPr>
          <w:spacing w:val="-1"/>
        </w:rPr>
        <w:t>金融资产部分转移满足终止确认条件的，将所转移金融资产整体的账面价值，在终止确认部分和未终止确</w:t>
      </w:r>
      <w:r>
        <w:rPr>
          <w:spacing w:val="-81"/>
        </w:rPr>
        <w:t> </w:t>
      </w:r>
      <w:r>
        <w:rPr>
          <w:spacing w:val="-81"/>
        </w:rPr>
      </w:r>
      <w:r>
        <w:rPr/>
        <w:t>认部分之间，按照各自的相对公允价值进行分摊，并将下列两项金额的差额计入当期损益：</w:t>
      </w:r>
    </w:p>
    <w:p>
      <w:pPr>
        <w:pStyle w:val="BodyText"/>
        <w:spacing w:line="240" w:lineRule="auto" w:before="7"/>
        <w:ind w:right="0"/>
        <w:jc w:val="left"/>
      </w:pPr>
      <w:r>
        <w:rPr/>
        <w:t>③终止确认部分的账面价值；</w:t>
      </w:r>
    </w:p>
    <w:p>
      <w:pPr>
        <w:pStyle w:val="BodyText"/>
        <w:spacing w:line="273" w:lineRule="auto" w:before="37"/>
        <w:ind w:right="0"/>
        <w:jc w:val="left"/>
      </w:pPr>
      <w:r>
        <w:rPr>
          <w:spacing w:val="-1"/>
        </w:rPr>
        <w:t>④终止确认部分的对价，与原直接计入所有者权益的公允价值变动累计额中对应终止确认部分的金额（涉</w:t>
      </w:r>
      <w:r>
        <w:rPr>
          <w:spacing w:val="-81"/>
        </w:rPr>
        <w:t> </w:t>
      </w:r>
      <w:r>
        <w:rPr>
          <w:spacing w:val="-81"/>
        </w:rPr>
      </w:r>
      <w:r>
        <w:rPr/>
        <w:t>及转移的金融资产为可供出售金融资产的情形）之和。 金融资产转移不满足终止确认条件的，继续确认该金融资产，所收到的对价确认为一项金融负债。</w:t>
      </w:r>
    </w:p>
    <w:p>
      <w:pPr>
        <w:pStyle w:val="BodyText"/>
        <w:spacing w:line="271" w:lineRule="auto" w:before="7"/>
        <w:ind w:right="1024"/>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92"/>
        </w:rPr>
        <w:t> </w:t>
      </w:r>
      <w:r>
        <w:rPr>
          <w:spacing w:val="-92"/>
        </w:rPr>
      </w:r>
      <w:r>
        <w:rPr/>
        <w:t>则终止确认现存金融负债，并同时确认新金融负债。 对现存金融负债全部或部分合同条款作出实质性修改的，则终止确认现存金融负债或其一部分，同时将修</w:t>
      </w:r>
      <w:r>
        <w:rPr/>
        <w:t> 改条款后的金融负债确认为一项新金融负债。 金融负债全部或部分终止确认时，终止确认的金融负债账面价值与支付对价（包括转出的非现金资产或承 担的新金融负债）之间的差额，计入当期损益。 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spacing w:line="256" w:lineRule="auto" w:before="10"/>
        <w:ind w:left="154" w:right="319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本公司采用公允价值计量的金融资产和金融负债全部直接参考活跃市场中的报价。</w:t>
      </w:r>
    </w:p>
    <w:p>
      <w:pPr>
        <w:pStyle w:val="Heading3"/>
        <w:spacing w:line="240" w:lineRule="auto" w:before="22"/>
        <w:ind w:left="153" w:right="0"/>
        <w:jc w:val="left"/>
        <w:rPr>
          <w:b w:val="0"/>
          <w:bCs w:val="0"/>
        </w:rPr>
      </w:pPr>
      <w:r>
        <w:rPr/>
        <w:t>（</w:t>
      </w:r>
      <w:r>
        <w:rPr>
          <w:rFonts w:ascii="Times New Roman" w:hAnsi="Times New Roman" w:cs="Times New Roman" w:eastAsia="Times New Roman" w:hint="default"/>
        </w:rPr>
        <w:t>6</w:t>
      </w:r>
      <w:r>
        <w:rPr/>
        <w:t>）金融资产（不含应收款项）减值准备计提</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left="213" w:right="1125"/>
        <w:jc w:val="left"/>
      </w:pPr>
      <w:r>
        <w:rPr>
          <w:spacing w:val="-2"/>
        </w:rPr>
        <w:t>除以公允价值计量且其变动计入当期损益的金融资产外，本公司于资产负债表日对金融资产的账面价值进</w:t>
      </w:r>
      <w:r>
        <w:rPr>
          <w:spacing w:val="-95"/>
        </w:rPr>
        <w:t> </w:t>
      </w:r>
      <w:r>
        <w:rPr>
          <w:spacing w:val="-95"/>
        </w:rPr>
      </w:r>
      <w:r>
        <w:rPr/>
        <w:t>行检查，如果有客观证据表明某项金融资产发生减值的，计提减值准备。</w:t>
      </w:r>
    </w:p>
    <w:p>
      <w:pPr>
        <w:pStyle w:val="BodyText"/>
        <w:spacing w:line="273" w:lineRule="auto" w:before="7"/>
        <w:ind w:right="0"/>
        <w:jc w:val="left"/>
      </w:pPr>
      <w:r>
        <w:rPr/>
        <w:t>①可供出售金融资产的减值准备： </w:t>
      </w:r>
      <w:r>
        <w:rPr>
          <w:spacing w:val="-1"/>
        </w:rPr>
        <w:t>期末如果可供出售金融资产的公允价值发生较大幅度下降，或在综合考虑各种相关因素后，预期这种下降</w:t>
      </w:r>
      <w:r>
        <w:rPr>
          <w:spacing w:val="-81"/>
        </w:rPr>
        <w:t> </w:t>
      </w:r>
      <w:r>
        <w:rPr>
          <w:spacing w:val="-81"/>
        </w:rPr>
      </w:r>
      <w:r>
        <w:rPr>
          <w:spacing w:val="-1"/>
        </w:rPr>
        <w:t>趋势属于非暂时性的，就认定其已发生减值，将原直接计入所有者权益的公允价值下降形成的累计损失一</w:t>
      </w:r>
      <w:r>
        <w:rPr>
          <w:spacing w:val="-81"/>
        </w:rPr>
        <w:t> </w:t>
      </w:r>
      <w:r>
        <w:rPr>
          <w:spacing w:val="-81"/>
        </w:rPr>
      </w:r>
      <w:r>
        <w:rPr/>
        <w:t>并转出，确认减值损失。 </w:t>
      </w:r>
      <w:r>
        <w:rPr>
          <w:spacing w:val="-1"/>
        </w:rPr>
        <w:t>对于已确认减值损失的可供出售债务工具，在随后的会计期间公允价值已上升且客观上与确认原减值损失</w:t>
      </w:r>
      <w:r>
        <w:rPr>
          <w:spacing w:val="-81"/>
        </w:rPr>
        <w:t> </w:t>
      </w:r>
      <w:r>
        <w:rPr>
          <w:spacing w:val="-81"/>
        </w:rPr>
      </w:r>
      <w:r>
        <w:rPr/>
        <w:t>确认后发生的事项有关的，原确认的减值损失予以转回，计入当期损益。 可供出售权益工具投资发生的减值损失，不得通过损益转回。</w:t>
      </w:r>
    </w:p>
    <w:p>
      <w:pPr>
        <w:pStyle w:val="BodyText"/>
        <w:spacing w:line="273" w:lineRule="auto" w:before="7"/>
        <w:ind w:right="4243"/>
        <w:jc w:val="left"/>
      </w:pPr>
      <w:r>
        <w:rPr/>
        <w:t>②持有至到期投资的减值准备： 持有至到期投资减值损失的计量比照应收款项减值损失计量方法处理。</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10、应收款项" w:id="155"/>
      <w:bookmarkEnd w:id="155"/>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56"/>
      <w:bookmarkEnd w:id="15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期末单项余额在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万元以上的应收账款。</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 据其未来现金流量低于其账面价值的差额确认减值损失。</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57"/>
      <w:bookmarkEnd w:id="15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内部及关联方应收款项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内部及关联方应收款项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上重大但单独计提坏账准备的应收款项" w:id="158"/>
      <w:bookmarkEnd w:id="15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涉及诉讼或对应收款项金额存在争议的应收款项。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单独进行减值测试，如果客观证据表明其发生了减值的，根 据其未来现金流量低于其账面价值的差额确认减值损失。</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1、存货" w:id="159"/>
      <w:bookmarkEnd w:id="159"/>
      <w:r>
        <w:rPr>
          <w:b w:val="0"/>
          <w:bCs w:val="0"/>
        </w:rPr>
      </w: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54" w:right="111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存货分类为：在途物资、原材料、周转材料、库存商品、在产品、发出商品、委托加工物资、消耗性生物</w:t>
      </w:r>
      <w:r>
        <w:rPr>
          <w:spacing w:val="-84"/>
        </w:rPr>
        <w:t> </w:t>
      </w:r>
      <w:r>
        <w:rPr>
          <w:spacing w:val="-84"/>
        </w:rPr>
      </w:r>
      <w:r>
        <w:rPr/>
        <w:t>资产等。</w:t>
      </w:r>
    </w:p>
    <w:p>
      <w:pPr>
        <w:spacing w:line="256" w:lineRule="auto" w:before="16"/>
        <w:ind w:left="153" w:right="78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存货发出时按加权平均法计价。</w:t>
      </w:r>
    </w:p>
    <w:p>
      <w:pPr>
        <w:pStyle w:val="BodyText"/>
        <w:spacing w:line="271" w:lineRule="auto" w:before="22"/>
        <w:ind w:left="154" w:right="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）存货可变现净值的确定依据及存货跌价准备的计提方法</w:t>
      </w:r>
      <w:r>
        <w:rPr>
          <w:rFonts w:ascii="宋体" w:hAnsi="宋体" w:cs="宋体" w:eastAsia="宋体" w:hint="default"/>
          <w:b/>
          <w:bCs/>
          <w:w w:val="99"/>
        </w:rPr>
        <w:t> </w:t>
      </w: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r>
        <w:rPr>
          <w:spacing w:val="-83"/>
        </w:rPr>
        <w:t> </w:t>
      </w:r>
      <w:r>
        <w:rPr>
          <w:spacing w:val="-83"/>
        </w:rPr>
      </w: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期末按照单个存货项目计提存货跌价准备；但对于数量繁多、单价较低的存货，按照存货类别计提存货跌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 </w:t>
      </w:r>
      <w:r>
        <w:rPr>
          <w:spacing w:val="-1"/>
        </w:rPr>
        <w:t>以前减记存货价值的影响因素已经消失的，减记的金额予以恢复，并在原已计提的存货跌价准备金额内转</w:t>
      </w:r>
      <w:r>
        <w:rPr>
          <w:spacing w:val="-81"/>
        </w:rPr>
        <w:t> </w:t>
      </w:r>
      <w:r>
        <w:rPr>
          <w:spacing w:val="-81"/>
        </w:rPr>
      </w:r>
      <w:r>
        <w:rPr/>
        <w:t>回，转回的金额计入当期损益。</w:t>
      </w:r>
    </w:p>
    <w:p>
      <w:pPr>
        <w:spacing w:line="256" w:lineRule="auto" w:before="10"/>
        <w:ind w:left="154" w:right="87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pStyle w:val="Heading3"/>
        <w:spacing w:line="240" w:lineRule="auto" w:before="22"/>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21"/>
        <w:ind w:left="154" w:right="0"/>
        <w:jc w:val="left"/>
      </w:pPr>
      <w:r>
        <w:rPr/>
        <w:t>①低值易耗品采用一次转销法；</w:t>
      </w:r>
    </w:p>
    <w:p>
      <w:pPr>
        <w:pStyle w:val="BodyText"/>
        <w:spacing w:line="240" w:lineRule="auto" w:before="37"/>
        <w:ind w:left="154" w:right="0"/>
        <w:jc w:val="left"/>
      </w:pPr>
      <w:r>
        <w:rPr/>
        <w:t>②包装物采用一次转销法。</w:t>
      </w:r>
    </w:p>
    <w:p>
      <w:pPr>
        <w:spacing w:line="590" w:lineRule="atLeast" w:before="39"/>
        <w:ind w:left="153" w:right="3823" w:firstLine="0"/>
        <w:jc w:val="left"/>
        <w:rPr>
          <w:rFonts w:ascii="宋体" w:hAnsi="宋体" w:cs="宋体" w:eastAsia="宋体" w:hint="default"/>
          <w:sz w:val="21"/>
          <w:szCs w:val="21"/>
        </w:rPr>
      </w:pPr>
      <w:bookmarkStart w:name="12、划分为持有待售资产" w:id="160"/>
      <w:bookmarkEnd w:id="160"/>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本公司将同时满足下列条件的组成部分（或非流动资产）确认为持有待售：</w:t>
      </w:r>
    </w:p>
    <w:p>
      <w:pPr>
        <w:pStyle w:val="BodyText"/>
        <w:spacing w:line="240" w:lineRule="auto" w:before="37"/>
        <w:ind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56" w:lineRule="auto" w:before="21"/>
        <w:ind w:left="154" w:right="0"/>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w:t>
      </w:r>
      <w:r>
        <w:rPr>
          <w:spacing w:val="-35"/>
        </w:rPr>
        <w:t> </w:t>
      </w:r>
      <w:r>
        <w:rPr>
          <w:spacing w:val="-35"/>
        </w:rPr>
      </w:r>
      <w:r>
        <w:rPr/>
        <w:t>东大会或相应权力机构的批准；</w:t>
      </w:r>
    </w:p>
    <w:p>
      <w:pPr>
        <w:pStyle w:val="BodyText"/>
        <w:spacing w:line="240" w:lineRule="auto" w:before="22"/>
        <w:ind w:left="154"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21"/>
        <w:ind w:right="0"/>
        <w:jc w:val="left"/>
      </w:pPr>
      <w:r>
        <w:rPr/>
        <w:t>（</w:t>
      </w:r>
      <w:r>
        <w:rPr>
          <w:rFonts w:ascii="Times New Roman" w:hAnsi="Times New Roman" w:cs="Times New Roman" w:eastAsia="Times New Roman" w:hint="default"/>
        </w:rPr>
        <w:t>4</w:t>
      </w:r>
      <w:r>
        <w:rPr/>
        <w:t>）该项转让将在一年内完成。</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3、长期股权投资" w:id="161"/>
      <w:bookmarkEnd w:id="161"/>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left="154"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与方一致同意后才能决策。本公司与其他合营方一同对被投资单位实施共同控制且对被投资单位净资产享</w:t>
      </w:r>
      <w:r>
        <w:rPr>
          <w:spacing w:val="-81"/>
        </w:rPr>
        <w:t> </w:t>
      </w:r>
      <w:r>
        <w:rPr>
          <w:spacing w:val="-81"/>
        </w:rPr>
      </w:r>
      <w:r>
        <w:rPr/>
        <w:t>有权利的，被投资单位为本公司的合营企业。 </w:t>
      </w:r>
      <w:r>
        <w:rPr>
          <w:spacing w:val="-1"/>
        </w:rPr>
        <w:t>重大影响，是指对一个企业的财务和经营决策有参与决策的权力，但并不能够控制或者与其他方一起共同</w:t>
      </w:r>
      <w:r>
        <w:rPr>
          <w:spacing w:val="-81"/>
        </w:rPr>
        <w:t> </w:t>
      </w:r>
      <w:r>
        <w:rPr>
          <w:spacing w:val="-81"/>
        </w:rPr>
      </w:r>
      <w:r>
        <w:rPr/>
        <w:t>控制这些政策的制定。本能够对被投资单位施加重大影响的，被投资单位为本公司联营企业。</w:t>
      </w:r>
    </w:p>
    <w:p>
      <w:pPr>
        <w:pStyle w:val="Heading3"/>
        <w:spacing w:line="240" w:lineRule="auto" w:before="12"/>
        <w:ind w:left="153" w:right="0"/>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273" w:lineRule="auto" w:before="21"/>
        <w:ind w:right="0"/>
        <w:jc w:val="left"/>
      </w:pPr>
      <w:r>
        <w:rPr/>
        <w:t>①企业合并形成的长期股权投资 </w:t>
      </w:r>
      <w:r>
        <w:rPr>
          <w:spacing w:val="-1"/>
        </w:rPr>
        <w:t>同一控制下的企业合并：公司以支付现金、转让非现金资产或承担债务方式以及以发行权益性证券作为合</w:t>
      </w:r>
      <w:r>
        <w:rPr>
          <w:spacing w:val="-81"/>
        </w:rPr>
        <w:t> </w:t>
      </w:r>
      <w:r>
        <w:rPr>
          <w:spacing w:val="-81"/>
        </w:rPr>
      </w:r>
      <w:r>
        <w:rPr>
          <w:spacing w:val="-1"/>
        </w:rPr>
        <w:t>并对价的，在合并日按照取得被合并方所有者权益在最终控制方合并财务报表中的账面价值的份额作为长</w:t>
      </w:r>
      <w:r>
        <w:rPr>
          <w:spacing w:val="-81"/>
        </w:rPr>
        <w:t> </w:t>
      </w:r>
      <w:r>
        <w:rPr>
          <w:spacing w:val="-81"/>
        </w:rPr>
      </w:r>
      <w:r>
        <w:rPr/>
        <w:t>期股权投资的初始投资成本。 非同一控制下的企业合并：公司按照购买日确定的合并成本作为长期股权投资的初始投资成本。</w:t>
      </w:r>
    </w:p>
    <w:p>
      <w:pPr>
        <w:pStyle w:val="BodyText"/>
        <w:spacing w:line="273" w:lineRule="auto" w:before="7"/>
        <w:ind w:right="2143"/>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Heading3"/>
        <w:spacing w:line="240" w:lineRule="auto" w:before="7"/>
        <w:ind w:left="153" w:right="0"/>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273" w:lineRule="auto" w:before="21"/>
        <w:ind w:left="213" w:right="0" w:hanging="60"/>
        <w:jc w:val="left"/>
      </w:pPr>
      <w:r>
        <w:rPr/>
        <w:t>①成本法核算的长期股权投资 </w:t>
      </w:r>
      <w:r>
        <w:rPr>
          <w:spacing w:val="-2"/>
        </w:rPr>
        <w:t>公司对子公司的长期股权投资，采用成本法核算。除取得投资时实际支付的价款或对价中包含的已宣告但</w:t>
      </w:r>
      <w:r>
        <w:rPr/>
        <w:t> 尚未发放的现金股利或利润外，公司按照享有被投资单位宣告发放的现金股利或利润确认当期投资收益。</w:t>
      </w:r>
    </w:p>
    <w:p>
      <w:pPr>
        <w:pStyle w:val="BodyText"/>
        <w:spacing w:line="273" w:lineRule="auto" w:before="7"/>
        <w:ind w:left="154" w:right="0"/>
        <w:jc w:val="left"/>
      </w:pPr>
      <w:r>
        <w:rPr/>
        <w:t>②权益法核算的长期股权投资 </w:t>
      </w:r>
      <w:r>
        <w:rPr>
          <w:spacing w:val="-1"/>
        </w:rPr>
        <w:t>对联营企业和合营企业的长期股权投资，采用权益法核算。初始投资成本大于投资时应享有被投资单位可</w:t>
      </w:r>
      <w:r>
        <w:rPr>
          <w:spacing w:val="-81"/>
        </w:rPr>
        <w:t> </w:t>
      </w:r>
      <w:r>
        <w:rPr>
          <w:spacing w:val="-81"/>
        </w:rPr>
      </w:r>
      <w:r>
        <w:rPr>
          <w:spacing w:val="-1"/>
        </w:rPr>
        <w:t>辨认净资产公允价值份额的差额，不调整长期股权投资的初始投资成本；初始投资成本小于投资时应享有</w:t>
      </w:r>
      <w:r>
        <w:rPr>
          <w:spacing w:val="-81"/>
        </w:rPr>
        <w:t> </w:t>
      </w:r>
      <w:r>
        <w:rPr>
          <w:spacing w:val="-81"/>
        </w:rPr>
      </w:r>
      <w:r>
        <w:rPr/>
        <w:t>被投资单位可辨认净资产公允价值份额的差额，计入当期损益。 </w:t>
      </w:r>
      <w:r>
        <w:rPr>
          <w:spacing w:val="-1"/>
        </w:rPr>
        <w:t>公司按照应享有或应分担的被投资单位实现的净损益和其他综合收益的份额，分别确认投资收益和其他综</w:t>
      </w:r>
      <w:r>
        <w:rPr>
          <w:spacing w:val="-81"/>
        </w:rPr>
        <w:t> </w:t>
      </w:r>
      <w:r>
        <w:rPr>
          <w:spacing w:val="-81"/>
        </w:rPr>
      </w:r>
      <w:r>
        <w:rPr>
          <w:spacing w:val="-1"/>
        </w:rPr>
        <w:t>合收益，同时调整长期股权投资的账面价值；按照被投资单位宣告分派的利润或现金股利计算应享有的部</w:t>
      </w:r>
      <w:r>
        <w:rPr>
          <w:spacing w:val="-81"/>
        </w:rPr>
        <w:t> </w:t>
      </w:r>
      <w:r>
        <w:rPr>
          <w:spacing w:val="-81"/>
        </w:rPr>
      </w:r>
      <w:r>
        <w:rPr>
          <w:spacing w:val="-1"/>
        </w:rPr>
        <w:t>分，相应减少长期股权投资的账面价值；对于被投资单位除净损益、其他综合收益和利润分配以外所有者</w:t>
      </w:r>
      <w:r>
        <w:rPr>
          <w:spacing w:val="-83"/>
        </w:rPr>
        <w:t> </w:t>
      </w:r>
      <w:r>
        <w:rPr>
          <w:spacing w:val="-83"/>
        </w:rPr>
      </w:r>
      <w:r>
        <w:rPr/>
        <w:t>权益的其他变动，调整长期股权投资的账面价值并计入所有者权益。 </w:t>
      </w:r>
      <w:r>
        <w:rPr>
          <w:spacing w:val="-1"/>
        </w:rPr>
        <w:t>在确认应享有被投资单位净损益的份额时，以取得投资时被投资单位可辨认净资产的公允价值为基础，并</w:t>
      </w:r>
      <w:r>
        <w:rPr>
          <w:spacing w:val="-81"/>
        </w:rPr>
        <w:t> </w:t>
      </w:r>
      <w:r>
        <w:rPr>
          <w:spacing w:val="-81"/>
        </w:rPr>
      </w:r>
      <w:r>
        <w:rPr>
          <w:spacing w:val="-1"/>
        </w:rPr>
        <w:t>按照公司的会计政策及会计期间，对被投资单位的净利润进行调整后确认。在持有投资期间，被投资单位</w:t>
      </w:r>
      <w:r>
        <w:rPr>
          <w:spacing w:val="-82"/>
        </w:rPr>
        <w:t> </w:t>
      </w:r>
      <w:r>
        <w:rPr>
          <w:spacing w:val="-82"/>
        </w:rPr>
      </w:r>
      <w:r>
        <w:rPr>
          <w:spacing w:val="-1"/>
        </w:rPr>
        <w:t>编制合并财务报表的，以合并财务报表中的净利润、其他综合收益和其他所有者权益变动中归属于被投资</w:t>
      </w:r>
      <w:r>
        <w:rPr>
          <w:spacing w:val="-81"/>
        </w:rPr>
        <w:t> </w:t>
      </w:r>
      <w:r>
        <w:rPr>
          <w:spacing w:val="-81"/>
        </w:rPr>
      </w:r>
      <w:r>
        <w:rPr/>
        <w:t>单位的金额为基础进行核算。 </w:t>
      </w:r>
      <w:r>
        <w:rPr>
          <w:spacing w:val="-1"/>
        </w:rPr>
        <w:t>在公司确认应分担被投资单位发生的亏损时，按照以下顺序进行处理：首先，冲减长期股权投资的账面价</w:t>
      </w:r>
      <w:r>
        <w:rPr>
          <w:spacing w:val="-83"/>
        </w:rPr>
        <w:t> </w:t>
      </w:r>
      <w:r>
        <w:rPr>
          <w:spacing w:val="-83"/>
        </w:rPr>
      </w:r>
      <w:r>
        <w:rPr>
          <w:spacing w:val="-1"/>
        </w:rPr>
        <w:t>值。其次，长期股权投资的账面价值不足以冲减的，以其他实质上构成对被投资单位净投资的长期权益账</w:t>
      </w:r>
      <w:r>
        <w:rPr>
          <w:spacing w:val="-83"/>
        </w:rPr>
        <w:t> </w:t>
      </w:r>
      <w:r>
        <w:rPr>
          <w:spacing w:val="-83"/>
        </w:rPr>
      </w:r>
      <w:r>
        <w:rPr>
          <w:spacing w:val="-1"/>
        </w:rPr>
        <w:t>面价值为限继续确认投资损失，冲减长期应收项目等的账面价值。最后，经过上述处理，按照投资合同或</w:t>
      </w:r>
      <w:r>
        <w:rPr>
          <w:spacing w:val="-86"/>
        </w:rPr>
        <w:t> </w:t>
      </w:r>
      <w:r>
        <w:rPr>
          <w:spacing w:val="-86"/>
        </w:rPr>
      </w:r>
      <w:r>
        <w:rPr/>
        <w:t>协议约定企业仍承担额外义务的，按预计承担的义务确认预计负债，计入当期投资损失。</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4、投资性房地产" w:id="162"/>
      <w:bookmarkEnd w:id="162"/>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95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4" w:lineRule="exact"/>
        <w:ind w:right="0"/>
        <w:jc w:val="left"/>
      </w:pPr>
      <w:r>
        <w:rPr/>
        <w:t>投资性房地产是指为赚取租金或资本增值，或两者兼有而持有的房地产，包括已出租的土地使用权、持有</w:t>
      </w:r>
    </w:p>
    <w:p>
      <w:pPr>
        <w:spacing w:after="0" w:line="274"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并准备增值后转让的土地使用权、已出租的建筑物（含自行建造或开发活动完成后用于出租的建筑物以及</w:t>
      </w:r>
      <w:r>
        <w:rPr>
          <w:spacing w:val="-81"/>
        </w:rPr>
        <w:t> </w:t>
      </w:r>
      <w:r>
        <w:rPr>
          <w:spacing w:val="-81"/>
        </w:rPr>
      </w:r>
      <w:r>
        <w:rPr/>
        <w:t>正在建造或开发过程中将来用于出租的建筑物）。 </w:t>
      </w:r>
      <w:r>
        <w:rPr>
          <w:spacing w:val="-1"/>
        </w:rPr>
        <w:t>公司对现有投资性房地产采用成本模式计量。对按照成本模式计量的投资性房地产－出租用建筑物采用与</w:t>
      </w:r>
      <w:r>
        <w:rPr>
          <w:spacing w:val="-81"/>
        </w:rPr>
        <w:t> </w:t>
      </w:r>
      <w:r>
        <w:rPr>
          <w:spacing w:val="-81"/>
        </w:rPr>
      </w:r>
      <w:r>
        <w:rPr/>
        <w:t>本公司固定资产相同的折旧政策，出租用土地使用权按与无形资产相同的摊销政策执行。 公司对存在减值迹象的，估计其可收回金额，可收回金额低于其账面价值的，确认相应的减值损失。 投资性房地产减值损失一经确认，不再转回。</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15、固定资产" w:id="163"/>
      <w:bookmarkEnd w:id="163"/>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64"/>
      <w:bookmarkEnd w:id="16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满足下列条件时予以确认：①与该固定资产有关的经济利益很可能流入企业；②该固定资产的成本能够可靠地计量。</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2）折旧方法" w:id="165"/>
      <w:bookmarkEnd w:id="16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11.88-23.75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7.92-11.88</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right="0"/>
        <w:jc w:val="left"/>
        <w:rPr>
          <w:b w:val="0"/>
          <w:bCs w:val="0"/>
        </w:rPr>
      </w:pPr>
      <w:bookmarkStart w:name="（3）融资租入固定资产的认定依据、计价和折旧方法" w:id="166"/>
      <w:bookmarkEnd w:id="16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pPr>
      <w:r>
        <w:rPr/>
        <w:t>公司与租赁方所签订的租赁协议条款中规定了下列条件之一的，确认为融资租入资产：</w:t>
      </w:r>
    </w:p>
    <w:p>
      <w:pPr>
        <w:pStyle w:val="BodyText"/>
        <w:spacing w:line="240" w:lineRule="auto" w:before="76"/>
        <w:ind w:right="0"/>
        <w:jc w:val="left"/>
      </w:pPr>
      <w:r>
        <w:rPr/>
        <w:t>②</w:t>
      </w:r>
      <w:r>
        <w:rPr>
          <w:spacing w:val="45"/>
        </w:rPr>
        <w:t> </w:t>
      </w:r>
      <w:r>
        <w:rPr/>
        <w:t>租赁期满后租赁资产的所有权归属于本公司；</w:t>
      </w:r>
    </w:p>
    <w:p>
      <w:pPr>
        <w:pStyle w:val="BodyText"/>
        <w:spacing w:line="240" w:lineRule="auto" w:before="76"/>
        <w:ind w:left="154" w:right="0"/>
        <w:jc w:val="left"/>
      </w:pPr>
      <w:r>
        <w:rPr/>
        <w:t>②公司具有购买资产的选择权，购买价款远低于行使选择权时该资产的公允价值；</w:t>
      </w:r>
    </w:p>
    <w:p>
      <w:pPr>
        <w:pStyle w:val="BodyText"/>
        <w:spacing w:line="240" w:lineRule="auto" w:before="78"/>
        <w:ind w:right="0"/>
        <w:jc w:val="left"/>
      </w:pPr>
      <w:r>
        <w:rPr/>
        <w:t>③</w:t>
      </w:r>
      <w:r>
        <w:rPr>
          <w:spacing w:val="45"/>
        </w:rPr>
        <w:t> </w:t>
      </w:r>
      <w:r>
        <w:rPr/>
        <w:t>租赁期占所租赁资产使用寿命的大部分；</w:t>
      </w:r>
    </w:p>
    <w:p>
      <w:pPr>
        <w:pStyle w:val="BodyText"/>
        <w:spacing w:line="285" w:lineRule="auto" w:before="76"/>
        <w:ind w:right="0"/>
        <w:jc w:val="left"/>
      </w:pPr>
      <w:r>
        <w:rPr/>
        <w:t>④</w:t>
      </w:r>
      <w:r>
        <w:rPr>
          <w:spacing w:val="45"/>
        </w:rPr>
        <w:t> </w:t>
      </w:r>
      <w:r>
        <w:rPr/>
        <w:t>租赁开始日的最低租赁付款额现值，与该资产的公允价值不存在较大的差异。</w:t>
      </w:r>
      <w:r>
        <w:rPr/>
        <w:t> 公司在承租开始日，将租赁资产公允价值与最低租赁付款额现值两者中较低者作为租入资产的入账价值，</w:t>
      </w:r>
      <w:r>
        <w:rPr>
          <w:spacing w:val="-38"/>
        </w:rPr>
        <w:t> </w:t>
      </w:r>
      <w:r>
        <w:rPr>
          <w:spacing w:val="-38"/>
        </w:rPr>
      </w:r>
      <w:r>
        <w:rPr/>
        <w:t>将最低租赁付款额作为长期应付款的入账价值，其差额作为未确认的融资费。 融资租赁方式租入的固定资产，能合理确定租赁期届满时将会取得租赁资产所有权的，在租赁资产尚可使</w:t>
      </w:r>
      <w:r>
        <w:rPr/>
        <w:t> 用年限内计提折旧；无法合理确定租赁期届满时能够取得租赁资产所有权的，在租赁期与租赁资产尚可使 用年限两者中较短的期间内计提折旧。</w:t>
      </w:r>
    </w:p>
    <w:p>
      <w:pPr>
        <w:spacing w:line="240" w:lineRule="auto" w:before="8"/>
        <w:rPr>
          <w:rFonts w:ascii="宋体" w:hAnsi="宋体" w:cs="宋体" w:eastAsia="宋体" w:hint="default"/>
          <w:sz w:val="22"/>
          <w:szCs w:val="22"/>
        </w:rPr>
      </w:pPr>
    </w:p>
    <w:p>
      <w:pPr>
        <w:pStyle w:val="Heading3"/>
        <w:spacing w:line="240" w:lineRule="auto"/>
        <w:ind w:left="153" w:right="0"/>
        <w:jc w:val="left"/>
        <w:rPr>
          <w:b w:val="0"/>
          <w:bCs w:val="0"/>
        </w:rPr>
      </w:pPr>
      <w:bookmarkStart w:name="16、在建工程" w:id="167"/>
      <w:bookmarkEnd w:id="167"/>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4"/>
          <w:szCs w:val="24"/>
        </w:rPr>
      </w:pPr>
    </w:p>
    <w:p>
      <w:pPr>
        <w:spacing w:line="256" w:lineRule="auto" w:before="0"/>
        <w:ind w:left="154" w:right="781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在建工程以立项项目分类核算。</w:t>
      </w:r>
    </w:p>
    <w:p>
      <w:pPr>
        <w:pStyle w:val="BodyText"/>
        <w:spacing w:line="266" w:lineRule="auto" w:before="22"/>
        <w:ind w:left="154"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）在建工程结转为固定资产的标准和时点</w:t>
      </w:r>
      <w:r>
        <w:rPr>
          <w:rFonts w:ascii="宋体" w:hAnsi="宋体" w:cs="宋体" w:eastAsia="宋体" w:hint="default"/>
          <w:b/>
          <w:bCs/>
          <w:w w:val="99"/>
        </w:rPr>
        <w:t> </w:t>
      </w:r>
      <w:r>
        <w:rPr/>
        <w:t>在建工程项目按建造该项资产达到预定可使用状态前所发生的全部支出，作为固定资产的入账价值。所建 造的固定资产在建工程已达到预定可使用状态，但尚未办理竣工决算的，自达到预定可使用状态之日起，</w:t>
      </w:r>
      <w:r>
        <w:rPr>
          <w:spacing w:val="-35"/>
        </w:rPr>
        <w:t> </w:t>
      </w:r>
      <w:r>
        <w:rPr>
          <w:spacing w:val="-35"/>
        </w:rPr>
      </w:r>
      <w:r>
        <w:rPr/>
        <w:t>根据工程预算、造价或者工程实际成本等，按估计的价值转入固定资产，并按本公司固定资产折旧政策计</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spacing w:val="-5"/>
        </w:rPr>
        <w:t>提固定资产的折旧，待办理竣工决算后，再按实际成本调整原来的暂估价值，但不调整原已计提的折旧额。</w:t>
      </w:r>
    </w:p>
    <w:p>
      <w:pPr>
        <w:pStyle w:val="BodyText"/>
        <w:spacing w:line="271" w:lineRule="auto" w:before="37"/>
        <w:ind w:right="1118" w:firstLine="56"/>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）在建工程的减值测试方法、减值准备计提方法</w:t>
      </w:r>
      <w:r>
        <w:rPr>
          <w:rFonts w:ascii="宋体" w:hAnsi="宋体" w:cs="宋体" w:eastAsia="宋体" w:hint="default"/>
          <w:b/>
          <w:bCs/>
          <w:w w:val="99"/>
        </w:rPr>
        <w:t> </w:t>
      </w:r>
      <w:r>
        <w:rPr/>
        <w:t>公司在每期末判断在建工程是否存在可能发生减值的迹象。 </w:t>
      </w:r>
      <w:r>
        <w:rPr>
          <w:spacing w:val="-1"/>
        </w:rPr>
        <w:t>在建工程存在减值迹象的，估计其可收回金额。有迹象表明一项在建工程可能发生减值的，企业以单项在</w:t>
      </w:r>
      <w:r>
        <w:rPr>
          <w:spacing w:val="-83"/>
        </w:rPr>
        <w:t> </w:t>
      </w:r>
      <w:r>
        <w:rPr>
          <w:spacing w:val="-83"/>
        </w:rPr>
      </w:r>
      <w:r>
        <w:rPr>
          <w:spacing w:val="-1"/>
        </w:rPr>
        <w:t>建工程为基础估计其可收回金额。企业难以对单项在建工程的可收回金额进行估计的，以该在建工程所属</w:t>
      </w:r>
      <w:r>
        <w:rPr>
          <w:spacing w:val="-81"/>
        </w:rPr>
        <w:t> </w:t>
      </w:r>
      <w:r>
        <w:rPr>
          <w:spacing w:val="-81"/>
        </w:rPr>
      </w:r>
      <w:r>
        <w:rPr/>
        <w:t>的资产组为基础确定资产组的可收回金额。 </w:t>
      </w:r>
      <w:r>
        <w:rPr>
          <w:spacing w:val="3"/>
        </w:rPr>
        <w:t>可收回金额根据在建工程的公允价值减去处置费用后的净额与在建工程预计未来现金流量的现值两者之</w:t>
      </w:r>
      <w:r>
        <w:rPr>
          <w:spacing w:val="-82"/>
        </w:rPr>
        <w:t> </w:t>
      </w:r>
      <w:r>
        <w:rPr>
          <w:spacing w:val="-82"/>
        </w:rPr>
      </w:r>
      <w:r>
        <w:rPr/>
        <w:t>间较高者确定。 </w:t>
      </w:r>
      <w:r>
        <w:rPr>
          <w:spacing w:val="-1"/>
        </w:rPr>
        <w:t>当在建工程的可收回金额低于其账面价值的，将在建工程的账面价值减记至可收回金额，减记的金额确认</w:t>
      </w:r>
      <w:r>
        <w:rPr>
          <w:spacing w:val="-81"/>
        </w:rPr>
        <w:t> </w:t>
      </w:r>
      <w:r>
        <w:rPr>
          <w:spacing w:val="-81"/>
        </w:rPr>
      </w:r>
      <w:r>
        <w:rPr/>
        <w:t>为在建工程减值损失，计入当期损益，同时计提相应的在建工程减值准备。 在建工程的减值损失一经确认，在以后会计期间不再转回。</w:t>
      </w:r>
    </w:p>
    <w:p>
      <w:pPr>
        <w:spacing w:line="240" w:lineRule="auto" w:before="10"/>
        <w:rPr>
          <w:rFonts w:ascii="宋体" w:hAnsi="宋体" w:cs="宋体" w:eastAsia="宋体" w:hint="default"/>
          <w:sz w:val="23"/>
          <w:szCs w:val="23"/>
        </w:rPr>
      </w:pPr>
    </w:p>
    <w:p>
      <w:pPr>
        <w:pStyle w:val="Heading3"/>
        <w:spacing w:line="240" w:lineRule="auto"/>
        <w:ind w:left="153" w:right="0"/>
        <w:jc w:val="left"/>
        <w:rPr>
          <w:b w:val="0"/>
          <w:bCs w:val="0"/>
        </w:rPr>
      </w:pPr>
      <w:bookmarkStart w:name="17、借款费用" w:id="168"/>
      <w:bookmarkEnd w:id="168"/>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BodyText"/>
        <w:spacing w:line="240" w:lineRule="auto" w:before="12"/>
        <w:ind w:left="154" w:right="0"/>
        <w:jc w:val="left"/>
      </w:pPr>
      <w:r>
        <w:rPr/>
        <w:t>借款费用同时满足下列条件时开始资本化：</w:t>
      </w:r>
    </w:p>
    <w:p>
      <w:pPr>
        <w:pStyle w:val="BodyText"/>
        <w:spacing w:line="273" w:lineRule="auto" w:before="37"/>
        <w:ind w:left="154" w:right="0"/>
        <w:jc w:val="left"/>
      </w:pPr>
      <w:r>
        <w:rPr>
          <w:spacing w:val="-1"/>
        </w:rPr>
        <w:t>①资产支出已经发生，资产支出包括为购建或者生产符合资本化条件的资产而以支付现金、转移非现金资</w:t>
      </w:r>
      <w:r>
        <w:rPr>
          <w:spacing w:val="-81"/>
        </w:rPr>
        <w:t> </w:t>
      </w:r>
      <w:r>
        <w:rPr>
          <w:spacing w:val="-81"/>
        </w:rPr>
      </w:r>
      <w:r>
        <w:rPr/>
        <w:t>产或者承担带息债务形式发生的支出；</w:t>
      </w:r>
    </w:p>
    <w:p>
      <w:pPr>
        <w:pStyle w:val="BodyText"/>
        <w:spacing w:line="240" w:lineRule="auto" w:before="7"/>
        <w:ind w:left="154" w:right="0"/>
        <w:jc w:val="left"/>
      </w:pPr>
      <w:r>
        <w:rPr/>
        <w:t>②借款费用已经发生；</w:t>
      </w:r>
    </w:p>
    <w:p>
      <w:pPr>
        <w:pStyle w:val="BodyText"/>
        <w:spacing w:line="240" w:lineRule="auto" w:before="37"/>
        <w:ind w:left="154" w:right="0"/>
        <w:jc w:val="left"/>
      </w:pPr>
      <w:r>
        <w:rPr/>
        <w:t>③为使资产达到预定可使用或者可销售状态所必要的购建或者生产活动已经开始。</w:t>
      </w:r>
    </w:p>
    <w:p>
      <w:pPr>
        <w:pStyle w:val="BodyText"/>
        <w:spacing w:line="271" w:lineRule="auto" w:before="37"/>
        <w:ind w:left="154" w:right="113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资本化期间，指从借款费用开始资本化时点到停止资本化时点的期间，借款费用暂停资本化的期间不包括</w:t>
      </w:r>
      <w:r>
        <w:rPr>
          <w:spacing w:val="-81"/>
        </w:rPr>
        <w:t> </w:t>
      </w:r>
      <w:r>
        <w:rPr>
          <w:spacing w:val="-81"/>
        </w:rPr>
      </w: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pStyle w:val="BodyText"/>
        <w:spacing w:line="264" w:lineRule="auto" w:before="10"/>
        <w:ind w:left="154" w:right="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24"/>
        </w:rPr>
        <w:t> </w:t>
      </w:r>
      <w:r>
        <w:rPr>
          <w:spacing w:val="-24"/>
        </w:rPr>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2"/>
        </w:rPr>
        <w:t> </w:t>
      </w:r>
      <w:r>
        <w:rPr>
          <w:spacing w:val="-82"/>
        </w:rPr>
      </w:r>
      <w:r>
        <w:rPr/>
        <w:t>生产活动重新开始后借款费用继续资本化。</w:t>
      </w:r>
    </w:p>
    <w:p>
      <w:pPr>
        <w:pStyle w:val="BodyText"/>
        <w:spacing w:line="268" w:lineRule="auto" w:before="16"/>
        <w:ind w:left="154" w:right="0"/>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产支出加权平均数乘以所占用一般借款的资本化率，计算确定一般借款应予资本化的利息金额。资本化率</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8"/>
        <w:jc w:val="left"/>
      </w:pPr>
      <w:r>
        <w:rPr/>
        <w:t>根据一般借款加权平均利率计算确定。 </w:t>
      </w:r>
      <w:r>
        <w:rPr>
          <w:spacing w:val="-1"/>
        </w:rPr>
        <w:t>借款存在折价或者溢价的，按照实际利率法确定每一会计期间应摊销的折价或者溢价金额，调整每期利息</w:t>
      </w:r>
      <w:r>
        <w:rPr>
          <w:spacing w:val="-81"/>
        </w:rPr>
        <w:t> </w:t>
      </w:r>
      <w:r>
        <w:rPr>
          <w:spacing w:val="-81"/>
        </w:rPr>
      </w:r>
      <w:r>
        <w:rPr/>
        <w:t>金额。</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18、无形资产" w:id="169"/>
      <w:bookmarkEnd w:id="169"/>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70"/>
      <w:bookmarkEnd w:id="17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①无形资产的计价方法</w:t>
      </w:r>
      <w:r>
        <w:rPr>
          <w:b w:val="0"/>
          <w:bCs w:val="0"/>
        </w:rPr>
      </w:r>
    </w:p>
    <w:p>
      <w:pPr>
        <w:pStyle w:val="BodyText"/>
        <w:spacing w:line="271" w:lineRule="auto" w:before="37"/>
        <w:ind w:left="154" w:right="0"/>
        <w:jc w:val="left"/>
      </w:pPr>
      <w:r>
        <w:rPr>
          <w:rFonts w:ascii="Times New Roman" w:hAnsi="Times New Roman" w:cs="Times New Roman" w:eastAsia="Times New Roman" w:hint="default"/>
        </w:rPr>
        <w:t>&lt;1&gt;</w:t>
      </w:r>
      <w:r>
        <w:rPr/>
        <w:t>公司取得无形资产时按成本进行初始计量； </w:t>
      </w: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 </w:t>
      </w:r>
      <w:r>
        <w:rPr>
          <w:spacing w:val="-1"/>
        </w:rPr>
        <w:t>债务重组取得债务人用以抵债的无形资产，以该无形资产的公允价值为基础确定其入账价值，并将重组债</w:t>
      </w:r>
      <w:r>
        <w:rPr>
          <w:spacing w:val="-81"/>
        </w:rPr>
        <w:t> </w:t>
      </w:r>
      <w:r>
        <w:rPr>
          <w:spacing w:val="-81"/>
        </w:rPr>
      </w: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 </w:t>
      </w:r>
      <w:r>
        <w:rPr>
          <w:spacing w:val="-1"/>
        </w:rPr>
        <w:t>以同一控制下的企业吸收合并方式取得的无形资产按被合并方的账面价值确定其入账价值；以非同一控制</w:t>
      </w:r>
      <w:r>
        <w:rPr>
          <w:spacing w:val="-81"/>
        </w:rPr>
        <w:t> </w:t>
      </w:r>
      <w:r>
        <w:rPr>
          <w:spacing w:val="-81"/>
        </w:rPr>
      </w:r>
      <w:r>
        <w:rPr/>
        <w:t>下的企业吸收合并方式取得的无形资产按公允价值确定其入账价值。 </w:t>
      </w:r>
      <w:r>
        <w:rPr>
          <w:spacing w:val="-1"/>
        </w:rPr>
        <w:t>内部自行开发的无形资产，其成本包括：开发该无形资产时耗用的材料、劳务成本、注册费、在开发过程</w:t>
      </w:r>
      <w:r>
        <w:rPr>
          <w:spacing w:val="-83"/>
        </w:rPr>
        <w:t> </w:t>
      </w:r>
      <w:r>
        <w:rPr>
          <w:spacing w:val="-83"/>
        </w:rPr>
      </w:r>
      <w:r>
        <w:rPr>
          <w:spacing w:val="-1"/>
        </w:rPr>
        <w:t>中使用的其他专利权和特许权的摊销以及满足资本化条件的利息费用，以及为使该无形资产达到预定用途</w:t>
      </w:r>
      <w:r>
        <w:rPr>
          <w:spacing w:val="-81"/>
        </w:rPr>
        <w:t> </w:t>
      </w:r>
      <w:r>
        <w:rPr>
          <w:spacing w:val="-81"/>
        </w:rPr>
      </w:r>
      <w:r>
        <w:rPr/>
        <w:t>前所发生的其他直接费用。</w:t>
      </w:r>
    </w:p>
    <w:p>
      <w:pPr>
        <w:pStyle w:val="BodyText"/>
        <w:spacing w:line="256" w:lineRule="auto" w:before="10"/>
        <w:ind w:left="154" w:right="6972"/>
        <w:jc w:val="left"/>
      </w:pPr>
      <w:r>
        <w:rPr>
          <w:rFonts w:ascii="Times New Roman" w:hAnsi="Times New Roman" w:cs="Times New Roman" w:eastAsia="Times New Roman" w:hint="default"/>
        </w:rPr>
        <w:t>&lt;2&gt;</w:t>
      </w:r>
      <w:r>
        <w:rPr/>
        <w:t>后续计量 在取得无形资产时分析判断其使用寿命。</w:t>
      </w:r>
    </w:p>
    <w:p>
      <w:pPr>
        <w:pStyle w:val="BodyText"/>
        <w:spacing w:line="273" w:lineRule="auto" w:before="22"/>
        <w:ind w:left="154" w:right="0"/>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w:t>
      </w:r>
    </w:p>
    <w:p>
      <w:pPr>
        <w:pStyle w:val="BodyText"/>
        <w:spacing w:line="273" w:lineRule="auto" w:before="7"/>
        <w:ind w:right="1118"/>
        <w:jc w:val="left"/>
      </w:pPr>
      <w:r>
        <w:rPr>
          <w:rFonts w:ascii="宋体" w:hAnsi="宋体" w:cs="宋体" w:eastAsia="宋体" w:hint="default"/>
          <w:b/>
          <w:bCs/>
        </w:rPr>
        <w:t>②使用寿命有限的无形资产的使用寿命估计情况：</w:t>
      </w:r>
      <w:r>
        <w:rPr>
          <w:rFonts w:ascii="宋体" w:hAnsi="宋体" w:cs="宋体" w:eastAsia="宋体" w:hint="default"/>
          <w:b/>
          <w:bCs/>
          <w:w w:val="99"/>
        </w:rPr>
        <w:t> </w:t>
      </w:r>
      <w:r>
        <w:rPr>
          <w:spacing w:val="-1"/>
        </w:rPr>
        <w:t>使用寿命有限的无形资产，其应摊销金额在使用寿命内系统合理摊销，无法可靠确定预期实现方式的，采</w:t>
      </w:r>
      <w:r>
        <w:rPr>
          <w:spacing w:val="-83"/>
        </w:rPr>
        <w:t> </w:t>
      </w:r>
      <w:r>
        <w:rPr>
          <w:spacing w:val="-83"/>
        </w:rPr>
      </w:r>
      <w:r>
        <w:rPr/>
        <w:t>用直线法摊销。 </w:t>
      </w:r>
      <w:r>
        <w:rPr>
          <w:spacing w:val="-1"/>
        </w:rPr>
        <w:t>本公司至少于每年年度终了，对使用寿命有限的无形资产的使用寿命及摊销方法进行复核，必要时进行调</w:t>
      </w:r>
      <w:r>
        <w:rPr>
          <w:spacing w:val="-81"/>
        </w:rPr>
        <w:t> </w:t>
      </w:r>
      <w:r>
        <w:rPr>
          <w:spacing w:val="-81"/>
        </w:rPr>
      </w:r>
      <w:r>
        <w:rPr/>
        <w:t>整。</w:t>
      </w:r>
    </w:p>
    <w:p>
      <w:pPr>
        <w:pStyle w:val="BodyText"/>
        <w:spacing w:line="273" w:lineRule="auto" w:before="7"/>
        <w:ind w:right="0"/>
        <w:jc w:val="left"/>
      </w:pPr>
      <w:r>
        <w:rPr>
          <w:rFonts w:ascii="宋体" w:hAnsi="宋体" w:cs="宋体" w:eastAsia="宋体" w:hint="default"/>
          <w:b/>
          <w:bCs/>
        </w:rPr>
        <w:t>③使用寿命不确定的无形资产的判断依据：</w:t>
      </w:r>
      <w:r>
        <w:rPr>
          <w:rFonts w:ascii="宋体" w:hAnsi="宋体" w:cs="宋体" w:eastAsia="宋体" w:hint="default"/>
          <w:b/>
          <w:bCs/>
          <w:w w:val="99"/>
        </w:rPr>
        <w:t> </w:t>
      </w:r>
      <w:r>
        <w:rPr>
          <w:spacing w:val="-1"/>
        </w:rPr>
        <w:t>本公司将无法预见该资产为公司带来经济利益的期限，或使用期限不确定等无形资产确定为使用寿命不确</w:t>
      </w:r>
      <w:r>
        <w:rPr>
          <w:spacing w:val="-81"/>
        </w:rPr>
        <w:t> </w:t>
      </w:r>
      <w:r>
        <w:rPr>
          <w:spacing w:val="-81"/>
        </w:rPr>
      </w:r>
      <w:r>
        <w:rPr/>
        <w:t>定的无形资产。 </w:t>
      </w:r>
      <w:r>
        <w:rPr>
          <w:spacing w:val="-1"/>
        </w:rPr>
        <w:t>使用寿命不确定的判断依据：①来源于合同性权利或其他法定权利，但合同规定或法律规定无明确使用年</w:t>
      </w:r>
      <w:r>
        <w:rPr>
          <w:spacing w:val="-81"/>
        </w:rPr>
        <w:t> </w:t>
      </w:r>
      <w:r>
        <w:rPr>
          <w:spacing w:val="-81"/>
        </w:rPr>
      </w:r>
      <w:r>
        <w:rPr/>
        <w:t>限；②综合同行业情况或相关专家论证等，仍无法判断无形资产为公司带来经济利益的期限。 </w:t>
      </w:r>
      <w:r>
        <w:rPr>
          <w:spacing w:val="-1"/>
        </w:rPr>
        <w:t>每年年末，对使用寿命不确定无形资产使用寿命进行复核，主要采取自下而上的方式，由无形资产使用相</w:t>
      </w:r>
      <w:r>
        <w:rPr>
          <w:spacing w:val="-83"/>
        </w:rPr>
        <w:t> </w:t>
      </w:r>
      <w:r>
        <w:rPr>
          <w:spacing w:val="-83"/>
        </w:rPr>
      </w:r>
      <w:r>
        <w:rPr/>
        <w:t>关部门进行基础复核，评价使用寿命不确定判断依据是否存在变化等。</w:t>
      </w:r>
    </w:p>
    <w:p>
      <w:pPr>
        <w:pStyle w:val="BodyText"/>
        <w:spacing w:line="273" w:lineRule="auto" w:before="8"/>
        <w:ind w:right="3823"/>
        <w:jc w:val="left"/>
      </w:pPr>
      <w:r>
        <w:rPr>
          <w:rFonts w:ascii="宋体" w:hAnsi="宋体" w:cs="宋体" w:eastAsia="宋体" w:hint="default"/>
          <w:b/>
          <w:bCs/>
        </w:rPr>
        <w:t>④无形资产减值准备的计提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w:t>
      </w:r>
    </w:p>
    <w:p>
      <w:pPr>
        <w:pStyle w:val="BodyText"/>
        <w:spacing w:line="240" w:lineRule="auto" w:before="7"/>
        <w:ind w:right="0"/>
        <w:jc w:val="left"/>
      </w:pPr>
      <w:r>
        <w:rPr/>
        <w:t>对无形资产进行减值测试，估计其可收回金额。有迹象表明一项无形资产可能发生减值的，公司以单项无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形资产为基础估计其可收回金额。公司难以对单项资产的可收回金额进行估计的，以该无形资产所属的资</w:t>
      </w:r>
      <w:r>
        <w:rPr>
          <w:spacing w:val="-81"/>
        </w:rPr>
        <w:t> </w:t>
      </w:r>
      <w:r>
        <w:rPr>
          <w:spacing w:val="-81"/>
        </w:rPr>
      </w:r>
      <w:r>
        <w:rPr/>
        <w:t>产组为基础确定无形资产组的可收回金额。 </w:t>
      </w:r>
      <w:r>
        <w:rPr>
          <w:spacing w:val="3"/>
        </w:rPr>
        <w:t>可收回金额根据无形资产的公允价值减去处置费用后的净额与无形资产预计未来现金流量的现值两者之</w:t>
      </w:r>
      <w:r>
        <w:rPr>
          <w:spacing w:val="-82"/>
        </w:rPr>
        <w:t> </w:t>
      </w:r>
      <w:r>
        <w:rPr>
          <w:spacing w:val="-82"/>
        </w:rPr>
      </w:r>
      <w:r>
        <w:rPr/>
        <w:t>间较高者确定。 </w:t>
      </w:r>
      <w:r>
        <w:rPr>
          <w:spacing w:val="-1"/>
        </w:rPr>
        <w:t>当无形资产的可收回金额低于其账面价值的，将无形资产的账面价值减记至可收回金额，减记的金额确认</w:t>
      </w:r>
      <w:r>
        <w:rPr>
          <w:spacing w:val="-81"/>
        </w:rPr>
        <w:t> </w:t>
      </w:r>
      <w:r>
        <w:rPr>
          <w:spacing w:val="-81"/>
        </w:rPr>
      </w:r>
      <w:r>
        <w:rPr/>
        <w:t>为无形资产减值损失，计入当期损益，同时计提相应的无形资产减值准备。 </w:t>
      </w:r>
      <w:r>
        <w:rPr>
          <w:spacing w:val="-1"/>
        </w:rPr>
        <w:t>无形资产减值损失确认后，减值无形资产的折耗或者摊销费用在未来期间作相应调整，以使该无形资产在</w:t>
      </w:r>
      <w:r>
        <w:rPr>
          <w:spacing w:val="-81"/>
        </w:rPr>
        <w:t> </w:t>
      </w:r>
      <w:r>
        <w:rPr>
          <w:spacing w:val="-81"/>
        </w:rPr>
      </w:r>
      <w:r>
        <w:rPr/>
        <w:t>剩余使用寿命内，系统地分摊调整后的无形资产账面价值（扣除预计净残值）。 无形资产的减值损失一经确认，在以后会计期间不再转回。</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内部研究开发支出会计政策" w:id="171"/>
      <w:bookmarkEnd w:id="17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rFonts w:ascii="宋体" w:hAnsi="宋体" w:cs="宋体" w:eastAsia="宋体" w:hint="default"/>
          <w:b/>
          <w:bCs/>
        </w:rPr>
        <w:t>①划分公司内部研究开发项目的研究阶段和开发阶段具体标准</w:t>
      </w:r>
      <w:r>
        <w:rPr>
          <w:rFonts w:ascii="宋体" w:hAnsi="宋体" w:cs="宋体" w:eastAsia="宋体" w:hint="default"/>
          <w:b/>
          <w:bCs/>
          <w:w w:val="99"/>
        </w:rPr>
        <w:t> </w:t>
      </w:r>
      <w:r>
        <w:rPr/>
        <w:t>公司内部研究开发项目的支出分为研究阶段支出和开发阶段支出。 研究阶段：指为获取新的技术和知识等所进行的有计划的调查。公司的研究阶段一般是指研发部门根据市 场需求、技术需要等因素对需研究开发的项目进行相关分析立项，由项目管理部门对该项目进行技术创新 能力、成果转化能力、实际需求能力及项目预算资金保障能力等情况进行评审分析的阶段。 开发阶段：指在进行商业性生产或使用前，将研究成果或其他知识应用于某项计划或设计，以生产出新的 或具有实质性改进的材料、装置、产品等。公司的开发阶段是指项目立项申请经过研究阶段的研究分析，</w:t>
      </w:r>
      <w:r>
        <w:rPr>
          <w:spacing w:val="-35"/>
        </w:rPr>
        <w:t> </w:t>
      </w:r>
      <w:r>
        <w:rPr>
          <w:spacing w:val="-35"/>
        </w:rPr>
      </w:r>
      <w:r>
        <w:rPr/>
        <w:t>评审形成立项报告后，研发项目组完成软件详细设计、代码编写、系统测试等工作，并且通过不断修订完</w:t>
      </w:r>
      <w:r>
        <w:rPr/>
        <w:t> 善直至达到可使用或可销售状态。</w:t>
      </w:r>
    </w:p>
    <w:p>
      <w:pPr>
        <w:spacing w:line="273" w:lineRule="auto" w:before="7"/>
        <w:ind w:left="153" w:right="3823" w:firstLine="0"/>
        <w:jc w:val="left"/>
        <w:rPr>
          <w:rFonts w:ascii="宋体" w:hAnsi="宋体" w:cs="宋体" w:eastAsia="宋体" w:hint="default"/>
          <w:sz w:val="21"/>
          <w:szCs w:val="21"/>
        </w:rPr>
      </w:pPr>
      <w:r>
        <w:rPr>
          <w:rFonts w:ascii="宋体" w:hAnsi="宋体" w:cs="宋体" w:eastAsia="宋体" w:hint="default"/>
          <w:b/>
          <w:bCs/>
          <w:sz w:val="21"/>
          <w:szCs w:val="21"/>
        </w:rPr>
        <w:t>②开发阶段支出符合资本化的具体标准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7"/>
        <w:ind w:right="0"/>
        <w:jc w:val="left"/>
      </w:pPr>
      <w:r>
        <w:rPr>
          <w:rFonts w:ascii="Times New Roman" w:hAnsi="Times New Roman" w:cs="Times New Roman" w:eastAsia="Times New Roman" w:hint="default"/>
        </w:rPr>
        <w:t>&lt;1&gt;</w:t>
      </w:r>
      <w:r>
        <w:rPr/>
        <w:t>完成该无形资产以使其能够使用或出售在技术上具有可行性；</w:t>
      </w:r>
    </w:p>
    <w:p>
      <w:pPr>
        <w:pStyle w:val="BodyText"/>
        <w:spacing w:line="240" w:lineRule="auto" w:before="21"/>
        <w:ind w:left="154" w:right="0"/>
        <w:jc w:val="left"/>
      </w:pPr>
      <w:r>
        <w:rPr>
          <w:rFonts w:ascii="Times New Roman" w:hAnsi="Times New Roman" w:cs="Times New Roman" w:eastAsia="Times New Roman" w:hint="default"/>
        </w:rPr>
        <w:t>&lt;2&gt;</w:t>
      </w:r>
      <w:r>
        <w:rPr/>
        <w:t>具有完成该无形资产并使用或出售的意图；</w:t>
      </w:r>
    </w:p>
    <w:p>
      <w:pPr>
        <w:pStyle w:val="BodyText"/>
        <w:spacing w:line="256" w:lineRule="auto" w:before="21"/>
        <w:ind w:left="154" w:right="0"/>
        <w:jc w:val="left"/>
      </w:pPr>
      <w:r>
        <w:rPr>
          <w:rFonts w:ascii="Times New Roman" w:hAnsi="Times New Roman" w:cs="Times New Roman" w:eastAsia="Times New Roman" w:hint="default"/>
        </w:rPr>
        <w:t>&lt;3&gt;</w:t>
      </w:r>
      <w:r>
        <w:rPr/>
        <w:t>无形资产产生经济利益的方式，包括能够证明运用该无形资产生产的产品存在市场或无形资产自身存</w:t>
      </w:r>
      <w:r>
        <w:rPr>
          <w:spacing w:val="-61"/>
        </w:rPr>
        <w:t> </w:t>
      </w:r>
      <w:r>
        <w:rPr>
          <w:spacing w:val="-61"/>
        </w:rPr>
      </w:r>
      <w:r>
        <w:rPr/>
        <w:t>在市场，无形资产将在内部使用的，能够证明其有用性；</w:t>
      </w:r>
    </w:p>
    <w:p>
      <w:pPr>
        <w:pStyle w:val="BodyText"/>
        <w:spacing w:line="256" w:lineRule="auto" w:before="22"/>
        <w:ind w:left="154" w:right="1118"/>
        <w:jc w:val="left"/>
      </w:pPr>
      <w:r>
        <w:rPr>
          <w:rFonts w:ascii="Times New Roman" w:hAnsi="Times New Roman" w:cs="Times New Roman" w:eastAsia="Times New Roman" w:hint="default"/>
        </w:rPr>
        <w:t>&lt;4&gt;</w:t>
      </w:r>
      <w:r>
        <w:rPr/>
        <w:t>有足够的技术、财务资源和其他资源支持，以完成该无形资产的开发，并有能力使用或出售该无形资</w:t>
      </w:r>
      <w:r>
        <w:rPr>
          <w:spacing w:val="-61"/>
        </w:rPr>
        <w:t> </w:t>
      </w:r>
      <w:r>
        <w:rPr>
          <w:spacing w:val="-61"/>
        </w:rPr>
      </w:r>
      <w:r>
        <w:rPr/>
        <w:t>产；</w:t>
      </w:r>
    </w:p>
    <w:p>
      <w:pPr>
        <w:pStyle w:val="BodyText"/>
        <w:spacing w:line="264" w:lineRule="auto" w:before="22"/>
        <w:ind w:right="1118"/>
        <w:jc w:val="left"/>
      </w:pPr>
      <w:r>
        <w:rPr>
          <w:rFonts w:ascii="Times New Roman" w:hAnsi="Times New Roman" w:cs="Times New Roman" w:eastAsia="Times New Roman" w:hint="default"/>
        </w:rPr>
        <w:t>&lt;5&gt;</w:t>
      </w:r>
      <w:r>
        <w:rPr/>
        <w:t>归属于该无形资产开发阶段的支出能够可靠地计量。 </w:t>
      </w:r>
      <w:r>
        <w:rPr>
          <w:spacing w:val="-1"/>
        </w:rPr>
        <w:t>开发阶段的支出，若不满足上列条件的，于发生时计入当期损益。研究阶段的支出，在发生时计入当期损</w:t>
      </w:r>
      <w:r>
        <w:rPr>
          <w:spacing w:val="-86"/>
        </w:rPr>
        <w:t> </w:t>
      </w:r>
      <w:r>
        <w:rPr>
          <w:spacing w:val="-86"/>
        </w:rPr>
      </w:r>
      <w:r>
        <w:rPr/>
        <w:t>益。</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19、 商誉" w:id="172"/>
      <w:bookmarkEnd w:id="172"/>
      <w:r>
        <w:rPr>
          <w:b w:val="0"/>
          <w:bCs w:val="0"/>
        </w:rPr>
      </w:r>
      <w:r>
        <w:rPr>
          <w:rFonts w:ascii="Times New Roman" w:hAnsi="Times New Roman" w:cs="Times New Roman" w:eastAsia="Times New Roman" w:hint="default"/>
        </w:rPr>
        <w:t>19</w:t>
      </w:r>
      <w:r>
        <w:rPr/>
        <w:t>、</w:t>
      </w:r>
      <w:r>
        <w:rPr>
          <w:spacing w:val="-1"/>
        </w:rPr>
        <w:t> </w:t>
      </w:r>
      <w:r>
        <w:rPr/>
        <w:t>商誉</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0"/>
        <w:jc w:val="left"/>
      </w:pPr>
      <w:r>
        <w:rPr>
          <w:spacing w:val="-1"/>
        </w:rPr>
        <w:t>因非同一控制下企业合并形成的商誉，其初始成本是合并成本大于合并中取得的被购买方可辨认净资产公</w:t>
      </w:r>
      <w:r>
        <w:rPr>
          <w:spacing w:val="-81"/>
        </w:rPr>
        <w:t> </w:t>
      </w:r>
      <w:r>
        <w:rPr>
          <w:spacing w:val="-81"/>
        </w:rPr>
      </w:r>
      <w:r>
        <w:rPr/>
        <w:t>允价值份额的差额。</w:t>
      </w:r>
    </w:p>
    <w:p>
      <w:pPr>
        <w:pStyle w:val="BodyText"/>
        <w:spacing w:line="273" w:lineRule="auto" w:before="7"/>
        <w:ind w:right="0"/>
        <w:jc w:val="left"/>
      </w:pPr>
      <w:r>
        <w:rPr/>
        <w:t>商誉在其相关资产组或资产组组合处置时予以转出，计入当期损益。 本公司对商誉不摊销，商誉至少在每年年度终了进行减值测试。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0"/>
        </w:rPr>
        <w:t> </w:t>
      </w:r>
      <w:r>
        <w:rPr>
          <w:spacing w:val="-80"/>
        </w:rPr>
      </w: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0"/>
        <w:jc w:val="both"/>
      </w:pP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2"/>
        </w:rPr>
        <w:t> </w:t>
      </w:r>
      <w:r>
        <w:rPr>
          <w:spacing w:val="-82"/>
        </w:rPr>
      </w:r>
      <w:r>
        <w:rPr/>
        <w:t>者资产组组合的可收回金额低于其账面价值的，确认商誉的减值损失。</w:t>
      </w:r>
      <w:r>
        <w:rPr>
          <w:spacing w:val="49"/>
        </w:rPr>
        <w:t> </w:t>
      </w:r>
      <w:r>
        <w:rPr/>
        <w:t>商誉减值损失在发生时计入当期</w:t>
      </w:r>
      <w:r>
        <w:rPr>
          <w:spacing w:val="-88"/>
        </w:rPr>
        <w:t> </w:t>
      </w:r>
      <w:r>
        <w:rPr>
          <w:spacing w:val="-88"/>
        </w:rPr>
      </w:r>
      <w:r>
        <w:rPr/>
        <w:t>损益，且在以后会计期间不予转回。</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0、长期待摊费用" w:id="173"/>
      <w:bookmarkEnd w:id="173"/>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jc w:val="both"/>
      </w:pPr>
      <w:r>
        <w:rPr>
          <w:spacing w:val="-1"/>
        </w:rPr>
        <w:t>本公司长期待摊费用是指已经支出，但受益期限在一年以上（不含一年）的各项费用，主要包括车位使用</w:t>
      </w:r>
      <w:r>
        <w:rPr>
          <w:spacing w:val="-86"/>
        </w:rPr>
        <w:t> </w:t>
      </w:r>
      <w:r>
        <w:rPr>
          <w:spacing w:val="-86"/>
        </w:rPr>
      </w:r>
      <w:r>
        <w:rPr>
          <w:spacing w:val="-1"/>
        </w:rPr>
        <w:t>费、房屋装修费等。长期待摊费用按费用项目的受益期限分期摊销。长期待摊的费用项目不能使以后会计</w:t>
      </w:r>
      <w:r>
        <w:rPr>
          <w:spacing w:val="-83"/>
        </w:rPr>
        <w:t> </w:t>
      </w:r>
      <w:r>
        <w:rPr>
          <w:spacing w:val="-83"/>
        </w:rPr>
      </w:r>
      <w:r>
        <w:rPr/>
        <w:t>期间受益，则将尚未摊销的该项目的摊余价值全部转入当期损益。</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1、职工薪酬" w:id="174"/>
      <w:bookmarkEnd w:id="174"/>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75"/>
      <w:bookmarkEnd w:id="17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0"/>
        <w:jc w:val="left"/>
      </w:pPr>
      <w:r>
        <w:rPr/>
        <w:t>本公司在职工为本公司提供服务的会计期间，将实际发生的短期薪酬确认为负债，并计入当期损益或相关 资产成本。本公司为职工缴纳的社会保险费和住房公积金，以及按规定提取的工会经费和职工教育经费，</w:t>
      </w:r>
      <w:r>
        <w:rPr>
          <w:spacing w:val="-35"/>
        </w:rPr>
        <w:t> </w:t>
      </w:r>
      <w:r>
        <w:rPr>
          <w:spacing w:val="-35"/>
        </w:rPr>
      </w:r>
      <w:r>
        <w:rPr/>
        <w:t>在职工为本公司提供服务的会计期间，根据规定的计提基础和计提比例计算确定相应的职工薪酬金额。职</w:t>
      </w:r>
      <w:r>
        <w:rPr/>
        <w:t> 工福利费为非货币性福利的，如能够可靠计量的，按照公允价值计量。</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离职后福利的会计处理方法" w:id="176"/>
      <w:bookmarkEnd w:id="17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①设定提存计划 </w:t>
      </w:r>
      <w:r>
        <w:rPr>
          <w:spacing w:val="-1"/>
        </w:rPr>
        <w:t>本公司按当地政府的相关规定为职工缴纳基本养老保险和失业保险，在职工为本公司提供服务的会计期间，</w:t>
      </w:r>
      <w:r>
        <w:rPr>
          <w:spacing w:val="-80"/>
        </w:rPr>
        <w:t> </w:t>
      </w:r>
      <w:r>
        <w:rPr>
          <w:spacing w:val="-80"/>
        </w:rPr>
      </w:r>
      <w:r>
        <w:rPr/>
        <w:t>按以当地规定的缴纳基数和比例计算应缴纳金额，确认为负债，并计入当期损益或相关资产成本。 </w:t>
      </w:r>
      <w:r>
        <w:rPr>
          <w:spacing w:val="-3"/>
        </w:rPr>
        <w:t>除基本养老保险外，本公司还依据国家企业年金制度的相关政策建立了企业年金缴费制度（补充养老保险）</w:t>
      </w:r>
    </w:p>
    <w:p>
      <w:pPr>
        <w:pStyle w:val="BodyText"/>
        <w:spacing w:line="256" w:lineRule="auto" w:before="7"/>
        <w:ind w:right="0"/>
        <w:jc w:val="left"/>
      </w:pP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年金计划缴费，相应支出计</w:t>
      </w:r>
      <w:r>
        <w:rPr>
          <w:spacing w:val="-42"/>
        </w:rPr>
        <w:t> </w:t>
      </w:r>
      <w:r>
        <w:rPr>
          <w:spacing w:val="-42"/>
        </w:rPr>
      </w:r>
      <w:r>
        <w:rPr/>
        <w:t>入当期损益或相关资产成本。</w:t>
      </w:r>
    </w:p>
    <w:p>
      <w:pPr>
        <w:pStyle w:val="BodyText"/>
        <w:spacing w:line="273" w:lineRule="auto" w:before="22"/>
        <w:ind w:right="1033"/>
        <w:jc w:val="left"/>
      </w:pPr>
      <w:r>
        <w:rPr/>
        <w:t>②设定受益计划 本公司根据预期累计福利单位法确定的公式将设定受益计划产生的福利义务归属于职工提供服务的期间，</w:t>
      </w:r>
      <w:r>
        <w:rPr>
          <w:spacing w:val="-35"/>
        </w:rPr>
        <w:t> </w:t>
      </w:r>
      <w:r>
        <w:rPr>
          <w:spacing w:val="-35"/>
        </w:rPr>
      </w:r>
      <w:r>
        <w:rPr/>
        <w:t>并计入当期损益或相关资产成本。 </w:t>
      </w:r>
      <w:r>
        <w:rPr>
          <w:spacing w:val="3"/>
        </w:rPr>
        <w:t>设定受益计划义务现值减去设定受益计划资产公允价值所形成的赤字或盈余确认为一项设定受益计划净</w:t>
      </w:r>
      <w:r>
        <w:rPr>
          <w:spacing w:val="-82"/>
        </w:rPr>
        <w:t> </w:t>
      </w:r>
      <w:r>
        <w:rPr>
          <w:spacing w:val="-82"/>
        </w:rPr>
      </w:r>
      <w:r>
        <w:rPr/>
        <w:t>负债或净资产。设定受益计划存在盈余的，本公司以设定受益计划的盈余和资产上限两项的孰低者计量设</w:t>
      </w:r>
      <w:r>
        <w:rPr/>
        <w:t> 定受益计划净资产。 所有设定受益计划义务，包括预期在职工提供服务的年度报告期间结束后的十二个月内支付的义务，根据 </w:t>
      </w:r>
      <w:r>
        <w:rPr>
          <w:spacing w:val="3"/>
        </w:rPr>
        <w:t>资产负债表日与设定受益计划义务期限和币种相匹配的国债或活跃市场上的高质量公司债券的市场收益</w:t>
      </w:r>
      <w:r>
        <w:rPr>
          <w:spacing w:val="-82"/>
        </w:rPr>
        <w:t> </w:t>
      </w:r>
      <w:r>
        <w:rPr>
          <w:spacing w:val="-82"/>
        </w:rPr>
      </w:r>
      <w:r>
        <w:rPr/>
        <w:t>率予以折现。 设定受益计划产生的服务成本和设定受益计划净负债或净资产的利息净额计入当期损益或相关资产成本；</w:t>
      </w:r>
      <w:r>
        <w:rPr>
          <w:spacing w:val="-35"/>
        </w:rPr>
        <w:t> </w:t>
      </w:r>
      <w:r>
        <w:rPr>
          <w:spacing w:val="-35"/>
        </w:rPr>
      </w:r>
      <w:r>
        <w:rPr/>
        <w:t>重新计量设定受益计划净负债或净资产所产生的变动计入其他综合收益，并且在后续会计期间不转回至损</w:t>
      </w:r>
      <w:r>
        <w:rPr/>
        <w:t> 益。 在设定受益计划结算时，按在结算日确定的设定受益计划义务现值和结算价格两者的差额，确认结算利得 或损失。</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辞退福利的会计处理方法" w:id="177"/>
      <w:bookmarkEnd w:id="17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本公司在不能单方面撤回因解除劳动关系计划或裁减建议所提供的辞退福利时，或确认与涉及支付辞退福</w:t>
      </w:r>
      <w:r>
        <w:rPr>
          <w:spacing w:val="-81"/>
        </w:rPr>
        <w:t> </w:t>
      </w:r>
      <w:r>
        <w:rPr>
          <w:spacing w:val="-81"/>
        </w:rPr>
      </w:r>
      <w:r>
        <w:rPr/>
        <w:t>利的重组相关的成本或费用时（两者孰早），确认辞退福利产生的职工薪酬负债，并计入当期损益。</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2、预计负债" w:id="178"/>
      <w:bookmarkEnd w:id="178"/>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17"/>
        <w:jc w:val="left"/>
      </w:pPr>
      <w:r>
        <w:rPr>
          <w:spacing w:val="-5"/>
        </w:rPr>
        <w:t>本公司涉及诉讼、债务担保、亏损合同、重组事项时，如该等事项很可能需要未来以交付资产或提供劳务、</w:t>
      </w:r>
      <w:r>
        <w:rPr>
          <w:spacing w:val="-102"/>
        </w:rPr>
        <w:t> </w:t>
      </w:r>
      <w:r>
        <w:rPr>
          <w:spacing w:val="-102"/>
        </w:rPr>
      </w:r>
      <w:r>
        <w:rPr/>
        <w:t>其金额能够可靠计量的，确认为预计负债。</w:t>
      </w:r>
    </w:p>
    <w:p>
      <w:pPr>
        <w:spacing w:line="256" w:lineRule="auto" w:before="7"/>
        <w:ind w:left="154" w:right="424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与或有事项相关的义务同时满足下列条件时，本公司确认为预计负债：</w:t>
      </w:r>
    </w:p>
    <w:p>
      <w:pPr>
        <w:pStyle w:val="BodyText"/>
        <w:spacing w:line="240" w:lineRule="auto" w:before="22"/>
        <w:ind w:right="0"/>
        <w:jc w:val="left"/>
      </w:pPr>
      <w:r>
        <w:rPr/>
        <w:t>①该义务是本公司承担的现时义务；</w:t>
      </w:r>
    </w:p>
    <w:p>
      <w:pPr>
        <w:pStyle w:val="BodyText"/>
        <w:spacing w:line="240" w:lineRule="auto" w:before="37"/>
        <w:ind w:right="0"/>
        <w:jc w:val="left"/>
      </w:pPr>
      <w:r>
        <w:rPr/>
        <w:t>②履行该义务很可能导致经济利益流出本公司；</w:t>
      </w:r>
    </w:p>
    <w:p>
      <w:pPr>
        <w:pStyle w:val="BodyText"/>
        <w:spacing w:line="240" w:lineRule="auto" w:before="37"/>
        <w:ind w:left="154" w:right="0"/>
        <w:jc w:val="left"/>
      </w:pPr>
      <w:r>
        <w:rPr/>
        <w:t>③该义务的金额能够可靠地计量。</w:t>
      </w:r>
    </w:p>
    <w:p>
      <w:pPr>
        <w:spacing w:line="256" w:lineRule="auto" w:before="37"/>
        <w:ind w:left="154" w:right="361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本公司预计负债按履行相关现时义务所需的支出的最佳估计数进行初始计量。</w:t>
      </w:r>
    </w:p>
    <w:p>
      <w:pPr>
        <w:pStyle w:val="BodyText"/>
        <w:spacing w:line="273" w:lineRule="auto" w:before="22"/>
        <w:ind w:right="1118"/>
        <w:jc w:val="left"/>
      </w:pPr>
      <w:r>
        <w:rPr>
          <w:spacing w:val="-1"/>
        </w:rPr>
        <w:t>本公司在确定最佳估计数时，综合考虑与或有事项有关的风险、不确定性和货币时间价值等因素。对于货</w:t>
      </w:r>
      <w:r>
        <w:rPr>
          <w:spacing w:val="-82"/>
        </w:rPr>
        <w:t> </w:t>
      </w:r>
      <w:r>
        <w:rPr>
          <w:spacing w:val="-82"/>
        </w:rPr>
      </w:r>
      <w:r>
        <w:rPr/>
        <w:t>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所需支出存在一个连续范围（或区间），且该范围内各种结果发生的可能性相同的，则最佳估计数按照该</w:t>
      </w:r>
      <w:r>
        <w:rPr>
          <w:spacing w:val="-86"/>
        </w:rPr>
        <w:t> </w:t>
      </w:r>
      <w:r>
        <w:rPr>
          <w:spacing w:val="-86"/>
        </w:rPr>
      </w:r>
      <w:r>
        <w:rPr/>
        <w:t>范围的中间值即上下限金额的平均数确定。 </w:t>
      </w:r>
      <w:r>
        <w:rPr>
          <w:spacing w:val="-1"/>
        </w:rPr>
        <w:t>所需支出不存在一个连续范围（或区间），或虽然存在一个连续范围但该范围内各种结果发生的可能性不</w:t>
      </w:r>
      <w:r>
        <w:rPr>
          <w:spacing w:val="-83"/>
        </w:rPr>
        <w:t> </w:t>
      </w:r>
      <w:r>
        <w:rPr>
          <w:spacing w:val="-83"/>
        </w:rPr>
      </w:r>
      <w:r>
        <w:rPr>
          <w:spacing w:val="-1"/>
        </w:rPr>
        <w:t>相同的，如或有事项涉及单个项目的，则最佳估计数按照最可能发生金额确定；如或有事项涉及多个项目</w:t>
      </w:r>
      <w:r>
        <w:rPr>
          <w:spacing w:val="-83"/>
        </w:rPr>
        <w:t> </w:t>
      </w:r>
      <w:r>
        <w:rPr>
          <w:spacing w:val="-83"/>
        </w:rPr>
      </w:r>
      <w:r>
        <w:rPr/>
        <w:t>的，则最佳估计数按各种可能结果及相关概率计算确定。 </w:t>
      </w:r>
      <w:r>
        <w:rPr>
          <w:spacing w:val="-1"/>
        </w:rPr>
        <w:t>本公司清偿预计负债所需支出全部或部分预期由第三方补偿的，补偿金额在基本确定能够收到时，作为资</w:t>
      </w:r>
      <w:r>
        <w:rPr>
          <w:spacing w:val="-81"/>
        </w:rPr>
        <w:t> </w:t>
      </w:r>
      <w:r>
        <w:rPr>
          <w:spacing w:val="-81"/>
        </w:rPr>
      </w:r>
      <w:r>
        <w:rPr/>
        <w:t>产单独确认，确认的补偿金额不超过预计负债的账面价值。</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3、股份支付" w:id="179"/>
      <w:bookmarkEnd w:id="179"/>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right="1027"/>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w:t>
      </w:r>
      <w:r>
        <w:rPr>
          <w:spacing w:val="-65"/>
        </w:rPr>
        <w:t> </w:t>
      </w:r>
      <w:r>
        <w:rPr>
          <w:spacing w:val="-65"/>
        </w:rPr>
      </w:r>
      <w:r>
        <w:rPr/>
        <w:t>负债的交易。本公司的股份支付分为以权益结算的股份支付。 </w:t>
      </w:r>
      <w:r>
        <w:rPr>
          <w:spacing w:val="-3"/>
        </w:rPr>
        <w:t>以权益结算的股份支付换取职工提供服务的，以授予职工权益工具的公允价值计量。授予后立即可行权的，</w:t>
      </w:r>
      <w:r>
        <w:rPr>
          <w:spacing w:val="-92"/>
        </w:rPr>
        <w:t> </w:t>
      </w:r>
      <w:r>
        <w:rPr>
          <w:spacing w:val="-92"/>
        </w:rPr>
      </w:r>
      <w:r>
        <w:rPr/>
        <w:t>在授予日按照公允价值计入相关成本或费用，相应增加资本公积；完成等待期内的服务或达到规定业绩条</w:t>
      </w:r>
      <w:r>
        <w:rPr/>
        <w:t> 件才可行权的，在等待期内每个资产负债表日，本公司根据最新取得的可行权职工人数变动、是否达到规 定业绩条件等后续信息对可行权权益工具数量作出最佳估计，以此为基础，按照授予日的公允价值，将当 期取得的服务计入相关成本或费用，相应增加资本公积。权益工具的公允价值采用</w:t>
      </w:r>
      <w:r>
        <w:rPr>
          <w:rFonts w:ascii="Times New Roman" w:hAnsi="Times New Roman" w:cs="Times New Roman" w:eastAsia="Times New Roman" w:hint="default"/>
        </w:rPr>
        <w:t>Black-Scholes</w:t>
      </w:r>
      <w:r>
        <w:rPr/>
        <w:t>期权定价</w:t>
      </w:r>
      <w:r>
        <w:rPr>
          <w:spacing w:val="-82"/>
        </w:rPr>
        <w:t> </w:t>
      </w:r>
      <w:r>
        <w:rPr>
          <w:spacing w:val="-82"/>
        </w:rPr>
      </w:r>
      <w:r>
        <w:rPr/>
        <w:t>模型确定。 在满足业绩条件和服务期限条件的期间，应确认以权益结算的股份支付的成本或费用，并相应增加资本公</w:t>
      </w:r>
      <w:r>
        <w:rPr/>
        <w:t> 积。可行权日之前，于每个资产负债表日为以权益结算的股份支付确认的累计金额反映了等待期已届满的 部分以及本公司对最终可行权的权益工具数量的最佳估计。 对于最终未能行权的股份支付，不确认成本或费用，除非行权条件是市场条件或非可行权条件，此时无论 是否满足市场条件或非可行权条件，只要满足所有可行权条件中的非市场条件，即视为可行权。 如果修改了以权益结算的股份支付的条款，至少按照未修改条款的情况确认取得的服务。此外，任何增加 所授予权益工具公允价值的修改，或在修改日对职工有利的变更，均确认取得服务的增加。</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如果取消了以权益结算的股份支付，则于取消日作为加速行权处理，立即确认尚未确认的金额。职工或其 他方能够选择满足非可行权条件但在等待期内未满足的，作为取消以权益结算的股份支付处理。但是，如 果授予新的权益工具，并在新权益工具授予日认定所授予的新权益工具是用于替代被取消的权益工具的，</w:t>
      </w:r>
      <w:r>
        <w:rPr>
          <w:spacing w:val="-35"/>
        </w:rPr>
        <w:t> </w:t>
      </w:r>
      <w:r>
        <w:rPr>
          <w:spacing w:val="-35"/>
        </w:rPr>
      </w:r>
      <w:r>
        <w:rPr/>
        <w:t>则以与处理原权益工具条款和条件修改相同的方式，对所授予的替代权益工具进行处理。</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4、收入" w:id="180"/>
      <w:bookmarkEnd w:id="180"/>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4"/>
          <w:szCs w:val="24"/>
        </w:rPr>
      </w:pPr>
    </w:p>
    <w:p>
      <w:pPr>
        <w:spacing w:line="256" w:lineRule="auto" w:before="0"/>
        <w:ind w:left="154" w:right="592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）收入确认的一般原则</w:t>
      </w:r>
      <w:r>
        <w:rPr>
          <w:rFonts w:ascii="宋体" w:hAnsi="宋体" w:cs="宋体" w:eastAsia="宋体" w:hint="default"/>
          <w:b/>
          <w:bCs/>
          <w:w w:val="99"/>
          <w:sz w:val="21"/>
          <w:szCs w:val="21"/>
        </w:rPr>
        <w:t> </w:t>
      </w:r>
      <w:r>
        <w:rPr>
          <w:rFonts w:ascii="宋体" w:hAnsi="宋体" w:cs="宋体" w:eastAsia="宋体" w:hint="default"/>
          <w:sz w:val="21"/>
          <w:szCs w:val="21"/>
        </w:rPr>
        <w:t>销售商品时，在同时满足以下条件时确认收入实现：</w:t>
      </w:r>
    </w:p>
    <w:p>
      <w:pPr>
        <w:pStyle w:val="BodyText"/>
        <w:spacing w:line="240" w:lineRule="auto" w:before="22"/>
        <w:ind w:left="154" w:right="0"/>
        <w:jc w:val="left"/>
      </w:pPr>
      <w:r>
        <w:rPr/>
        <w:t>①</w:t>
      </w:r>
      <w:r>
        <w:rPr>
          <w:spacing w:val="-21"/>
        </w:rPr>
        <w:t> </w:t>
      </w:r>
      <w:r>
        <w:rPr/>
        <w:t>已将商品所有权上的主要风险和报酬转移给购货方；</w:t>
      </w:r>
    </w:p>
    <w:p>
      <w:pPr>
        <w:pStyle w:val="BodyText"/>
        <w:spacing w:line="240" w:lineRule="auto" w:before="37"/>
        <w:ind w:right="0"/>
        <w:jc w:val="left"/>
      </w:pPr>
      <w:r>
        <w:rPr/>
        <w:t>②</w:t>
      </w:r>
      <w:r>
        <w:rPr>
          <w:spacing w:val="-21"/>
        </w:rPr>
        <w:t> </w:t>
      </w:r>
      <w:r>
        <w:rPr/>
        <w:t>企业既没有保留通常与所有权相联系的继续管理权，也没有对已出售的商品实施有效控制；</w:t>
      </w:r>
    </w:p>
    <w:p>
      <w:pPr>
        <w:pStyle w:val="BodyText"/>
        <w:spacing w:line="240" w:lineRule="auto" w:before="37"/>
        <w:ind w:left="154" w:right="0"/>
        <w:jc w:val="left"/>
      </w:pPr>
      <w:r>
        <w:rPr/>
        <w:t>③</w:t>
      </w:r>
      <w:r>
        <w:rPr>
          <w:spacing w:val="-21"/>
        </w:rPr>
        <w:t> </w:t>
      </w:r>
      <w:r>
        <w:rPr/>
        <w:t>收入的金额能够可靠地计量；</w:t>
      </w:r>
    </w:p>
    <w:p>
      <w:pPr>
        <w:pStyle w:val="BodyText"/>
        <w:spacing w:line="240" w:lineRule="auto" w:before="37"/>
        <w:ind w:left="154" w:right="0"/>
        <w:jc w:val="left"/>
      </w:pPr>
      <w:r>
        <w:rPr/>
        <w:t>④</w:t>
      </w:r>
      <w:r>
        <w:rPr>
          <w:spacing w:val="-21"/>
        </w:rPr>
        <w:t> </w:t>
      </w:r>
      <w:r>
        <w:rPr/>
        <w:t>与交易相关的经济利益很可能流入企业；</w:t>
      </w:r>
    </w:p>
    <w:p>
      <w:pPr>
        <w:pStyle w:val="BodyText"/>
        <w:spacing w:line="273" w:lineRule="auto" w:before="37"/>
        <w:ind w:right="1024"/>
        <w:jc w:val="left"/>
      </w:pPr>
      <w:r>
        <w:rPr/>
        <w:t>⑤</w:t>
      </w:r>
      <w:r>
        <w:rPr>
          <w:spacing w:val="-21"/>
        </w:rPr>
        <w:t> </w:t>
      </w:r>
      <w:r>
        <w:rPr/>
        <w:t>相关的已发生或将发生的成本能够可靠地计量。</w:t>
      </w:r>
      <w:r>
        <w:rPr/>
        <w:t> 提供劳务收入的确认和计量方法：在资产负债表日提供劳务交易的结果能够可靠估计的，应当采用完工百 </w:t>
      </w:r>
      <w:r>
        <w:rPr>
          <w:spacing w:val="-3"/>
        </w:rPr>
        <w:t>分比法确认提供劳务收入；在资产负债表日提供劳务交易结果不能够可靠估计的，应当分别下列情况处理：</w:t>
      </w:r>
    </w:p>
    <w:p>
      <w:pPr>
        <w:pStyle w:val="BodyText"/>
        <w:spacing w:line="273" w:lineRule="auto" w:before="7"/>
        <w:ind w:left="154" w:right="1118"/>
        <w:jc w:val="left"/>
      </w:pPr>
      <w:r>
        <w:rPr/>
        <w:t>①</w:t>
      </w:r>
      <w:r>
        <w:rPr>
          <w:spacing w:val="48"/>
        </w:rPr>
        <w:t> </w:t>
      </w:r>
      <w:r>
        <w:rPr/>
        <w:t>己发生的劳务成本预计能够得到补偿，应按己经发生的劳务成本金额确认收入，并按相同金额结转成</w:t>
      </w:r>
      <w:r>
        <w:rPr>
          <w:spacing w:val="-87"/>
        </w:rPr>
        <w:t> </w:t>
      </w:r>
      <w:r>
        <w:rPr>
          <w:spacing w:val="-87"/>
        </w:rPr>
      </w:r>
      <w:r>
        <w:rPr/>
        <w:t>本；</w:t>
      </w:r>
    </w:p>
    <w:p>
      <w:pPr>
        <w:pStyle w:val="BodyText"/>
        <w:spacing w:line="273" w:lineRule="auto" w:before="7"/>
        <w:ind w:left="154" w:right="1118"/>
        <w:jc w:val="left"/>
      </w:pPr>
      <w:r>
        <w:rPr/>
        <w:t>②</w:t>
      </w:r>
      <w:r>
        <w:rPr>
          <w:spacing w:val="48"/>
        </w:rPr>
        <w:t> </w:t>
      </w:r>
      <w:r>
        <w:rPr/>
        <w:t>己发生的劳务成本预计不能够得到补偿的，应当将己经发生的劳务成本计入当期损益，不确认提供劳</w:t>
      </w:r>
      <w:r>
        <w:rPr>
          <w:spacing w:val="-87"/>
        </w:rPr>
        <w:t> </w:t>
      </w:r>
      <w:r>
        <w:rPr>
          <w:spacing w:val="-87"/>
        </w:rPr>
      </w:r>
      <w:r>
        <w:rPr/>
        <w:t>务收入。 </w:t>
      </w:r>
      <w:r>
        <w:rPr>
          <w:spacing w:val="-1"/>
        </w:rPr>
        <w:t>让渡资产使用权收入的确认和计量方法：以相关的经济利益很可能流入公司，收入的金额能够可靠地计量</w:t>
      </w:r>
      <w:r>
        <w:rPr>
          <w:spacing w:val="-81"/>
        </w:rPr>
        <w:t> </w:t>
      </w:r>
      <w:r>
        <w:rPr>
          <w:spacing w:val="-81"/>
        </w:rPr>
      </w:r>
      <w:r>
        <w:rPr/>
        <w:t>时，按有关合同或协议规定的收费时间和方法计算确定。</w:t>
      </w:r>
    </w:p>
    <w:p>
      <w:pPr>
        <w:pStyle w:val="Heading3"/>
        <w:spacing w:line="240" w:lineRule="auto" w:before="8"/>
        <w:ind w:right="0"/>
        <w:jc w:val="left"/>
        <w:rPr>
          <w:b w:val="0"/>
          <w:bCs w:val="0"/>
        </w:rPr>
      </w:pPr>
      <w:r>
        <w:rPr/>
        <w:t>（</w:t>
      </w:r>
      <w:r>
        <w:rPr>
          <w:rFonts w:ascii="Times New Roman" w:hAnsi="Times New Roman" w:cs="Times New Roman" w:eastAsia="Times New Roman" w:hint="default"/>
        </w:rPr>
        <w:t>2</w:t>
      </w:r>
      <w:r>
        <w:rPr/>
        <w:t>）收入确认的具体方法</w:t>
      </w:r>
      <w:r>
        <w:rPr>
          <w:b w:val="0"/>
          <w:bCs w:val="0"/>
        </w:rPr>
      </w:r>
    </w:p>
    <w:p>
      <w:pPr>
        <w:pStyle w:val="BodyText"/>
        <w:spacing w:line="273" w:lineRule="auto" w:before="21"/>
        <w:ind w:right="0" w:firstLine="60"/>
        <w:jc w:val="left"/>
      </w:pPr>
      <w:r>
        <w:rPr/>
        <w:t>①</w:t>
      </w:r>
      <w:r>
        <w:rPr>
          <w:spacing w:val="-21"/>
        </w:rPr>
        <w:t> </w:t>
      </w:r>
      <w:r>
        <w:rPr/>
        <w:t>自行开发研制的软件产品销售收入确认和计量方法</w:t>
      </w:r>
      <w:r>
        <w:rPr/>
        <w:t> </w:t>
      </w:r>
      <w:r>
        <w:rPr>
          <w:spacing w:val="-1"/>
        </w:rPr>
        <w:t>自行开发研制的软件产品是指经过信息产业部认证并获得著作权，销售时不转让所有权的软件产品，由此</w:t>
      </w:r>
      <w:r>
        <w:rPr>
          <w:spacing w:val="-81"/>
        </w:rPr>
        <w:t> </w:t>
      </w:r>
      <w:r>
        <w:rPr>
          <w:spacing w:val="-81"/>
        </w:rPr>
      </w:r>
      <w:r>
        <w:rPr/>
        <w:t>开发出来的软件具有自主知识产权、无差异化、可批量复制的特性。 </w:t>
      </w:r>
      <w:r>
        <w:rPr>
          <w:spacing w:val="-1"/>
        </w:rPr>
        <w:t>不需要安装的以产品交付并经购货方验收后确认收入；需安装调试的按合同约定在项目实施完成并经对方</w:t>
      </w:r>
      <w:r>
        <w:rPr>
          <w:spacing w:val="-81"/>
        </w:rPr>
        <w:t> </w:t>
      </w:r>
      <w:r>
        <w:rPr>
          <w:spacing w:val="-81"/>
        </w:rPr>
      </w:r>
      <w:r>
        <w:rPr/>
        <w:t>验收合格后确认收入，对合同约定完工比例的，按合同约定的完工确认条件确认收入。</w:t>
      </w:r>
    </w:p>
    <w:p>
      <w:pPr>
        <w:pStyle w:val="BodyText"/>
        <w:spacing w:line="273" w:lineRule="auto" w:before="7"/>
        <w:ind w:right="0"/>
        <w:jc w:val="left"/>
      </w:pPr>
      <w:r>
        <w:rPr/>
        <w:t>②</w:t>
      </w:r>
      <w:r>
        <w:rPr>
          <w:spacing w:val="-21"/>
        </w:rPr>
        <w:t> </w:t>
      </w:r>
      <w:r>
        <w:rPr/>
        <w:t>定制软件产品销售收入确认和计量方法</w:t>
      </w:r>
      <w:r>
        <w:rPr/>
        <w:t> </w:t>
      </w:r>
      <w:r>
        <w:rPr>
          <w:spacing w:val="-1"/>
        </w:rPr>
        <w:t>定制软件是指根据与客户签订的技术开发、技术转让合同，对用户的业务进行充分实地调查，并根据用户</w:t>
      </w:r>
      <w:r>
        <w:rPr>
          <w:spacing w:val="-83"/>
        </w:rPr>
        <w:t> </w:t>
      </w:r>
      <w:r>
        <w:rPr>
          <w:spacing w:val="-83"/>
        </w:rPr>
      </w:r>
      <w:r>
        <w:rPr/>
        <w:t>的实际需求进行专门的软件设计与开发，由此开发出来的软件不具有通用性。 </w:t>
      </w:r>
      <w:r>
        <w:rPr>
          <w:spacing w:val="-1"/>
        </w:rPr>
        <w:t>定制软件项目按合同约定在项目实施完成并经对方验收合格后确认收入，对合同约定完工比例的，按合同</w:t>
      </w:r>
      <w:r>
        <w:rPr>
          <w:spacing w:val="-81"/>
        </w:rPr>
        <w:t> </w:t>
      </w:r>
      <w:r>
        <w:rPr>
          <w:spacing w:val="-81"/>
        </w:rPr>
      </w:r>
      <w:r>
        <w:rPr/>
        <w:t>约定的完工确认条件确认收入。</w:t>
      </w:r>
    </w:p>
    <w:p>
      <w:pPr>
        <w:pStyle w:val="BodyText"/>
        <w:spacing w:line="273" w:lineRule="auto" w:before="7"/>
        <w:ind w:right="1118"/>
        <w:jc w:val="left"/>
      </w:pPr>
      <w:r>
        <w:rPr/>
        <w:t>③</w:t>
      </w:r>
      <w:r>
        <w:rPr>
          <w:spacing w:val="-21"/>
        </w:rPr>
        <w:t> </w:t>
      </w:r>
      <w:r>
        <w:rPr/>
        <w:t>系统集成收入确认和计量方法</w:t>
      </w:r>
      <w:r>
        <w:rPr/>
        <w:t> 系统集成收入是指与客户订立软件产品销售的同时，为其提供软件嵌入所需的设备配件和安装服务。 </w:t>
      </w:r>
      <w:r>
        <w:rPr>
          <w:spacing w:val="-1"/>
        </w:rPr>
        <w:t>对于系统集成业务，如果软件收入与设备配件及安装服务收入能分开核算，则硬件收入按上述商品销售的</w:t>
      </w:r>
      <w:r>
        <w:rPr>
          <w:spacing w:val="-81"/>
        </w:rPr>
        <w:t> </w:t>
      </w:r>
      <w:r>
        <w:rPr>
          <w:spacing w:val="-81"/>
        </w:rPr>
      </w:r>
      <w:r>
        <w:rPr>
          <w:spacing w:val="-1"/>
        </w:rPr>
        <w:t>原则进行确认，软件收入按上述软件产品销售的原则进行确认。如果软件收入与设备配件及安装服务收入</w:t>
      </w:r>
      <w:r>
        <w:rPr>
          <w:spacing w:val="-81"/>
        </w:rPr>
        <w:t> </w:t>
      </w:r>
      <w:r>
        <w:rPr>
          <w:spacing w:val="-81"/>
        </w:rPr>
      </w:r>
      <w:r>
        <w:rPr>
          <w:spacing w:val="-1"/>
        </w:rPr>
        <w:t>不能分开核算，则将其一并核算，待系统集成于安装完成后确认收入，或根据合同约定的完工确认条件确</w:t>
      </w:r>
      <w:r>
        <w:rPr>
          <w:spacing w:val="-82"/>
        </w:rPr>
        <w:t> </w:t>
      </w:r>
      <w:r>
        <w:rPr>
          <w:spacing w:val="-82"/>
        </w:rPr>
      </w:r>
      <w:r>
        <w:rPr/>
        <w:t>认收入。</w:t>
      </w:r>
    </w:p>
    <w:p>
      <w:pPr>
        <w:pStyle w:val="BodyText"/>
        <w:spacing w:line="273" w:lineRule="auto" w:before="7"/>
        <w:ind w:right="2563"/>
        <w:jc w:val="left"/>
      </w:pPr>
      <w:r>
        <w:rPr/>
        <w:t>④</w:t>
      </w:r>
      <w:r>
        <w:rPr>
          <w:spacing w:val="-21"/>
        </w:rPr>
        <w:t> </w:t>
      </w:r>
      <w:r>
        <w:rPr/>
        <w:t>技术服务收入确认和计量方法</w:t>
      </w:r>
      <w:r>
        <w:rPr/>
        <w:t> 技术服务收入，主要是指按合同要求向客户提供技术咨询、实施和产品售后服务等业务。 技术服务收入在劳务已经提供，收到价款或取得收取款项的证据时，确认劳务收入。</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5、政府补助" w:id="181"/>
      <w:bookmarkEnd w:id="181"/>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82"/>
      <w:bookmarkEnd w:id="18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4" w:right="0"/>
        <w:jc w:val="left"/>
      </w:pPr>
      <w:r>
        <w:rPr>
          <w:spacing w:val="-1"/>
        </w:rPr>
        <w:t>与购建固定资产、无形资产等长期资产相关的政府补助，确认为递延收益，按照所建造或购买的资产使用</w:t>
      </w:r>
      <w:r>
        <w:rPr>
          <w:spacing w:val="-83"/>
        </w:rPr>
        <w:t> </w:t>
      </w:r>
      <w:r>
        <w:rPr>
          <w:spacing w:val="-83"/>
        </w:rPr>
      </w:r>
      <w:r>
        <w:rPr/>
        <w:t>年限分期计入营业外收入；</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与收益相关的政府补助判断依据及会计处理方法" w:id="183"/>
      <w:bookmarkEnd w:id="18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jc w:val="both"/>
      </w:pPr>
      <w:r>
        <w:rPr>
          <w:spacing w:val="-1"/>
        </w:rPr>
        <w:t>与收益相关的政府补助，用于补偿企业以后期间的相关费用或损失的，取得时确认为递延收益，在确认相</w:t>
      </w:r>
      <w:r>
        <w:rPr>
          <w:spacing w:val="-83"/>
        </w:rPr>
        <w:t> </w:t>
      </w:r>
      <w:r>
        <w:rPr>
          <w:spacing w:val="-83"/>
        </w:rPr>
      </w:r>
      <w:r>
        <w:rPr>
          <w:spacing w:val="-1"/>
        </w:rPr>
        <w:t>关费用的期间计入当期营业外收入；用于补偿企业已发生的相关费用或损失的，取得时直接计入当期营业</w:t>
      </w:r>
      <w:r>
        <w:rPr>
          <w:spacing w:val="-81"/>
        </w:rPr>
        <w:t> </w:t>
      </w:r>
      <w:r>
        <w:rPr>
          <w:spacing w:val="-81"/>
        </w:rPr>
      </w:r>
      <w:r>
        <w:rPr/>
        <w:t>外收入。</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6、递延所得税资产/递延所得税负债" w:id="184"/>
      <w:bookmarkEnd w:id="184"/>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对于可抵扣暂时性差异确认递延所得税资产，以未来期间很可能取得的用来抵扣可抵扣暂时性差异的应纳</w:t>
      </w:r>
      <w:r>
        <w:rPr>
          <w:spacing w:val="-81"/>
        </w:rPr>
        <w:t> </w:t>
      </w:r>
      <w:r>
        <w:rPr>
          <w:spacing w:val="-81"/>
        </w:rPr>
      </w:r>
      <w:r>
        <w:rPr/>
        <w:t>税所得额为限。</w:t>
      </w:r>
    </w:p>
    <w:p>
      <w:pPr>
        <w:pStyle w:val="BodyText"/>
        <w:spacing w:line="273" w:lineRule="auto" w:before="7"/>
        <w:ind w:right="0"/>
        <w:jc w:val="left"/>
      </w:pPr>
      <w:r>
        <w:rPr/>
        <w:t>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r>
        <w:rPr>
          <w:spacing w:val="-83"/>
        </w:rPr>
        <w:t> </w:t>
      </w:r>
      <w:r>
        <w:rPr>
          <w:spacing w:val="-83"/>
        </w:rPr>
      </w:r>
      <w:r>
        <w:rPr/>
        <w:t>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是同时取得资产、清偿负债时，递延所得税资产及递延所得税负债以抵销后的净额列报。</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7、 关联方" w:id="185"/>
      <w:bookmarkEnd w:id="185"/>
      <w:r>
        <w:rPr>
          <w:b w:val="0"/>
          <w:bCs w:val="0"/>
        </w:rPr>
      </w:r>
      <w:r>
        <w:rPr>
          <w:rFonts w:ascii="Times New Roman" w:hAnsi="Times New Roman" w:cs="Times New Roman" w:eastAsia="Times New Roman" w:hint="default"/>
        </w:rPr>
        <w:t>27</w:t>
      </w:r>
      <w:r>
        <w:rPr/>
        <w:t>、</w:t>
      </w:r>
      <w:r>
        <w:rPr>
          <w:spacing w:val="-1"/>
        </w:rPr>
        <w:t> </w:t>
      </w:r>
      <w:r>
        <w:rPr/>
        <w:t>关联方</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033"/>
        <w:jc w:val="left"/>
      </w:pPr>
      <w:r>
        <w:rPr/>
        <w:t>一方控制、共同控制另一方或对另一方施加重大影响，以及两方或两方以上同受一方控制、共同控制的，</w:t>
      </w:r>
      <w:r>
        <w:rPr>
          <w:spacing w:val="-35"/>
        </w:rPr>
        <w:t> </w:t>
      </w:r>
      <w:r>
        <w:rPr>
          <w:spacing w:val="-35"/>
        </w:rPr>
      </w:r>
      <w:r>
        <w:rPr/>
        <w:t>构成关联方。关联方可为个人或企业。仅仅同受国家控制而不存在其他关联方关系的企业，不构成本公司</w:t>
      </w:r>
      <w:r>
        <w:rPr/>
        <w:t> 的关联方。</w:t>
      </w:r>
    </w:p>
    <w:p>
      <w:pPr>
        <w:pStyle w:val="BodyText"/>
        <w:spacing w:line="240" w:lineRule="auto" w:before="7"/>
        <w:ind w:left="154" w:right="0"/>
        <w:jc w:val="left"/>
      </w:pPr>
      <w:r>
        <w:rPr/>
        <w:t>本公司的关联方包括但不限于：</w:t>
      </w:r>
    </w:p>
    <w:p>
      <w:pPr>
        <w:pStyle w:val="BodyText"/>
        <w:spacing w:line="240" w:lineRule="auto" w:before="37"/>
        <w:ind w:left="154" w:right="0"/>
        <w:jc w:val="left"/>
      </w:pPr>
      <w:r>
        <w:rPr/>
        <w:t>（</w:t>
      </w:r>
      <w:r>
        <w:rPr>
          <w:rFonts w:ascii="Times New Roman" w:hAnsi="Times New Roman" w:cs="Times New Roman" w:eastAsia="Times New Roman" w:hint="default"/>
        </w:rPr>
        <w:t>1</w:t>
      </w:r>
      <w:r>
        <w:rPr/>
        <w:t>）本公司的母公司；</w:t>
      </w:r>
    </w:p>
    <w:p>
      <w:pPr>
        <w:pStyle w:val="BodyText"/>
        <w:spacing w:line="240" w:lineRule="auto" w:before="21"/>
        <w:ind w:left="154" w:right="0"/>
        <w:jc w:val="left"/>
      </w:pPr>
      <w:r>
        <w:rPr/>
        <w:t>（</w:t>
      </w:r>
      <w:r>
        <w:rPr>
          <w:rFonts w:ascii="Times New Roman" w:hAnsi="Times New Roman" w:cs="Times New Roman" w:eastAsia="Times New Roman" w:hint="default"/>
        </w:rPr>
        <w:t>2</w:t>
      </w:r>
      <w:r>
        <w:rPr/>
        <w:t>）本公司的子公司；</w:t>
      </w:r>
    </w:p>
    <w:p>
      <w:pPr>
        <w:pStyle w:val="BodyText"/>
        <w:spacing w:line="240" w:lineRule="auto" w:before="21"/>
        <w:ind w:left="154" w:right="0"/>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21"/>
        <w:ind w:right="0"/>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21"/>
        <w:ind w:right="0"/>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21"/>
        <w:ind w:right="0"/>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21"/>
        <w:ind w:right="0"/>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21"/>
        <w:ind w:right="0"/>
        <w:jc w:val="left"/>
      </w:pPr>
      <w:r>
        <w:rPr/>
        <w:t>（</w:t>
      </w:r>
      <w:r>
        <w:rPr>
          <w:rFonts w:ascii="Times New Roman" w:hAnsi="Times New Roman" w:cs="Times New Roman" w:eastAsia="Times New Roman" w:hint="default"/>
        </w:rPr>
        <w:t>8</w:t>
      </w:r>
      <w:r>
        <w:rPr/>
        <w:t>）本公司的主要投资者个人及与其关系密切的家庭成员</w:t>
      </w:r>
      <w:r>
        <w:rPr>
          <w:spacing w:val="-23"/>
        </w:rPr>
        <w:t> </w:t>
      </w:r>
      <w:r>
        <w:rPr/>
        <w:t>；</w:t>
      </w:r>
    </w:p>
    <w:p>
      <w:pPr>
        <w:pStyle w:val="BodyText"/>
        <w:spacing w:line="240" w:lineRule="auto" w:before="21"/>
        <w:ind w:left="154"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240" w:lineRule="auto" w:before="21"/>
        <w:ind w:left="154" w:right="0"/>
        <w:jc w:val="left"/>
      </w:pPr>
      <w:r>
        <w:rPr/>
        <w:t>（</w:t>
      </w:r>
      <w:r>
        <w:rPr>
          <w:rFonts w:ascii="Times New Roman" w:hAnsi="Times New Roman" w:cs="Times New Roman" w:eastAsia="Times New Roman" w:hint="default"/>
        </w:rPr>
        <w:t>10</w:t>
      </w:r>
      <w:r>
        <w:rPr/>
        <w:t>）本公司的主要投资者个人、关键管理人员或与其关系密切的家庭成员控制、共同控制的其他企业。</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28、重要会计政策和会计估计变更" w:id="186"/>
      <w:bookmarkEnd w:id="186"/>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重要会计政策变更" w:id="187"/>
      <w:bookmarkEnd w:id="18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right="0"/>
        <w:jc w:val="both"/>
      </w:pPr>
      <w:r>
        <w:rPr/>
        <w:t>①执行财政部于</w:t>
      </w:r>
      <w:r>
        <w:rPr>
          <w:rFonts w:ascii="Times New Roman" w:hAnsi="Times New Roman" w:cs="Times New Roman" w:eastAsia="Times New Roman" w:hint="default"/>
        </w:rPr>
        <w:t>2014</w:t>
      </w:r>
      <w:r>
        <w:rPr/>
        <w:t>年修订及新颁布的准则</w:t>
      </w:r>
    </w:p>
    <w:p>
      <w:pPr>
        <w:pStyle w:val="BodyText"/>
        <w:spacing w:line="240" w:lineRule="auto" w:before="21"/>
        <w:ind w:right="0"/>
        <w:jc w:val="both"/>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56" w:lineRule="auto" w:before="21"/>
        <w:ind w:left="154" w:right="1130"/>
        <w:jc w:val="both"/>
      </w:pPr>
      <w:r>
        <w:rPr>
          <w:spacing w:val="-1"/>
        </w:rPr>
        <w:t>②根据修订后的《企业会计准则第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财务报表列报》及其应用指南的规定，对报表列报科目作以下</w:t>
      </w:r>
      <w:r>
        <w:rPr>
          <w:spacing w:val="-85"/>
        </w:rPr>
        <w:t> </w:t>
      </w:r>
      <w:r>
        <w:rPr>
          <w:spacing w:val="-85"/>
        </w:rPr>
      </w:r>
      <w:r>
        <w:rPr>
          <w:spacing w:val="-2"/>
        </w:rPr>
        <w:t>重分类：原列报于合并资产负债表及资产负债表的</w:t>
      </w:r>
      <w:r>
        <w:rPr>
          <w:rFonts w:ascii="Times New Roman" w:hAnsi="Times New Roman" w:cs="Times New Roman" w:eastAsia="Times New Roman" w:hint="default"/>
          <w:spacing w:val="-2"/>
        </w:rPr>
        <w:t>“</w:t>
      </w:r>
      <w:r>
        <w:rPr>
          <w:spacing w:val="-2"/>
        </w:rPr>
        <w:t>其他非流动负债</w:t>
      </w:r>
      <w:r>
        <w:rPr>
          <w:rFonts w:ascii="Times New Roman" w:hAnsi="Times New Roman" w:cs="Times New Roman" w:eastAsia="Times New Roman" w:hint="default"/>
          <w:spacing w:val="-2"/>
        </w:rPr>
        <w:t>”</w:t>
      </w:r>
      <w:r>
        <w:rPr>
          <w:spacing w:val="-2"/>
        </w:rPr>
        <w:t>科目的递延收益项目，改为列报于</w:t>
      </w:r>
      <w:r>
        <w:rPr>
          <w:rFonts w:ascii="Times New Roman" w:hAnsi="Times New Roman" w:cs="Times New Roman" w:eastAsia="Times New Roman" w:hint="default"/>
          <w:spacing w:val="-2"/>
        </w:rPr>
        <w:t>“</w:t>
      </w:r>
      <w:r>
        <w:rPr>
          <w:spacing w:val="-2"/>
        </w:rPr>
        <w:t>递</w:t>
      </w:r>
      <w:r>
        <w:rPr>
          <w:spacing w:val="-102"/>
        </w:rPr>
        <w:t> </w:t>
      </w:r>
      <w:r>
        <w:rPr/>
        <w:t>延收益</w:t>
      </w:r>
      <w:r>
        <w:rPr>
          <w:rFonts w:ascii="Times New Roman" w:hAnsi="Times New Roman" w:cs="Times New Roman" w:eastAsia="Times New Roman" w:hint="default"/>
        </w:rPr>
        <w:t>”</w:t>
      </w:r>
      <w:r>
        <w:rPr/>
        <w:t>科目。</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bookmarkStart w:name="（2）重要会计估计变更" w:id="188"/>
      <w:bookmarkEnd w:id="18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税项" w:id="189"/>
      <w:bookmarkEnd w:id="189"/>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主要税种及税率" w:id="190"/>
      <w:bookmarkEnd w:id="19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9" w:lineRule="auto" w:before="51"/>
              <w:ind w:left="28"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3"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6" w:lineRule="auto" w:before="51"/>
              <w:ind w:left="28"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北京久其软件股份有限公司武汉分公司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北京久其软件股份有限公司郑州分公司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北京久其软件股份有限公司南昌分公司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北京久其软件股份有限公司石家庄分公司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北京久其软件股份有限公司贵州分公司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北京久其软件股份有限公司杭州分公司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北京久其软件股份有限公司沈阳分公司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北京久其软件股份有限公司安徽分公司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北京久其软件股份有限公司银川分公司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北京久其软件股份有限公司兰州分公司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汇总纳税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北京久其软件股份有限公司研发中心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不独立核算</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北京久其政务软件股份有限公司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新疆久其科技有限公司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重庆久其软件有限公司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北京北邮中望信息科技有限责任公司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海南久其云计算科技有限公司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北京久其智通数据科技有限公司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191"/>
      <w:bookmarkEnd w:id="19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4" w:right="1127"/>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）所得税：</w:t>
      </w:r>
      <w:r>
        <w:rPr>
          <w:rFonts w:ascii="宋体" w:hAnsi="宋体" w:cs="宋体" w:eastAsia="宋体" w:hint="default"/>
          <w:b/>
          <w:bCs/>
          <w:w w:val="99"/>
        </w:rPr>
        <w:t> </w:t>
      </w:r>
      <w:r>
        <w:rPr>
          <w:spacing w:val="-5"/>
        </w:rPr>
        <w:t>根据国家发展和改革委员会、工业和信息化部、财政部、商务部与国家税务总局联合下发的《关于认定</w:t>
      </w:r>
      <w:r>
        <w:rPr>
          <w:rFonts w:ascii="Times New Roman" w:hAnsi="Times New Roman" w:cs="Times New Roman" w:eastAsia="Times New Roman" w:hint="default"/>
          <w:spacing w:val="-5"/>
        </w:rPr>
        <w:t>2013</w:t>
      </w:r>
    </w:p>
    <w:p>
      <w:pPr>
        <w:pStyle w:val="BodyText"/>
        <w:spacing w:line="259" w:lineRule="auto" w:before="5"/>
        <w:ind w:right="1128"/>
        <w:jc w:val="left"/>
      </w:pPr>
      <w:r>
        <w:rPr/>
        <w:t>－</w:t>
      </w:r>
      <w:r>
        <w:rPr>
          <w:rFonts w:ascii="Times New Roman" w:hAnsi="Times New Roman" w:cs="Times New Roman" w:eastAsia="Times New Roman" w:hint="default"/>
        </w:rPr>
        <w:t>2014</w:t>
      </w:r>
      <w:r>
        <w:rPr/>
        <w:t>年度国家规划布局内重点软件企业和集成电路设计企业名单的通知》（发改高技</w:t>
      </w:r>
      <w:r>
        <w:rPr>
          <w:rFonts w:ascii="Times New Roman" w:hAnsi="Times New Roman" w:cs="Times New Roman" w:eastAsia="Times New Roman" w:hint="default"/>
        </w:rPr>
        <w:t>[2013]2458</w:t>
      </w:r>
      <w:r>
        <w:rPr/>
        <w:t>号），</w:t>
      </w:r>
      <w:r>
        <w:rPr>
          <w:spacing w:val="-59"/>
        </w:rPr>
        <w:t> </w:t>
      </w:r>
      <w:r>
        <w:rPr>
          <w:spacing w:val="-2"/>
        </w:rPr>
        <w:t>本公司被认定为</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2"/>
        </w:rPr>
        <w:t>-2014</w:t>
      </w:r>
      <w:r>
        <w:rPr>
          <w:spacing w:val="-2"/>
        </w:rPr>
        <w:t>年度国家规划布局内重点软件企业</w:t>
      </w:r>
      <w:r>
        <w:rPr>
          <w:rFonts w:ascii="Times New Roman" w:hAnsi="Times New Roman" w:cs="Times New Roman" w:eastAsia="Times New Roman" w:hint="default"/>
          <w:spacing w:val="-2"/>
        </w:rPr>
        <w:t>”</w:t>
      </w:r>
      <w:r>
        <w:rPr>
          <w:spacing w:val="-2"/>
        </w:rPr>
        <w:t>，根据《财政部国家税务总局关于进一步鼓</w:t>
      </w:r>
      <w:r>
        <w:rPr>
          <w:spacing w:val="-73"/>
        </w:rPr>
        <w:t> </w:t>
      </w:r>
      <w:r>
        <w:rPr>
          <w:spacing w:val="-73"/>
        </w:rPr>
      </w:r>
      <w:r>
        <w:rPr>
          <w:spacing w:val="-1"/>
        </w:rPr>
        <w:t>励软件产业和集成电路产业发展企业所得税政策的通知》（财税〔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号）的规定，国家规划布局内</w:t>
      </w:r>
      <w:r>
        <w:rPr>
          <w:spacing w:val="-83"/>
        </w:rPr>
        <w:t> </w:t>
      </w:r>
      <w:r>
        <w:rPr>
          <w:spacing w:val="-83"/>
        </w:rPr>
      </w:r>
      <w:r>
        <w:rPr/>
        <w:t>重点软件企业可享受企业所得税减按</w:t>
      </w:r>
      <w:r>
        <w:rPr>
          <w:rFonts w:ascii="Times New Roman" w:hAnsi="Times New Roman" w:cs="Times New Roman" w:eastAsia="Times New Roman" w:hint="default"/>
        </w:rPr>
        <w:t>10%</w:t>
      </w:r>
      <w:r>
        <w:rPr/>
        <w:t>税率征收的优惠政策。通过此次认定后，公司</w:t>
      </w:r>
      <w:r>
        <w:rPr>
          <w:rFonts w:ascii="Times New Roman" w:hAnsi="Times New Roman" w:cs="Times New Roman" w:eastAsia="Times New Roman" w:hint="default"/>
        </w:rPr>
        <w:t>2013</w:t>
      </w:r>
      <w:r>
        <w:rPr/>
        <w:t>年度和</w:t>
      </w:r>
      <w:r>
        <w:rPr>
          <w:rFonts w:ascii="Times New Roman" w:hAnsi="Times New Roman" w:cs="Times New Roman" w:eastAsia="Times New Roman" w:hint="default"/>
        </w:rPr>
        <w:t>2014</w:t>
      </w:r>
      <w:r>
        <w:rPr/>
        <w:t>年</w:t>
      </w:r>
      <w:r>
        <w:rPr>
          <w:spacing w:val="-100"/>
        </w:rPr>
        <w:t> </w:t>
      </w:r>
      <w:r>
        <w:rPr/>
        <w:t>度的企业所得税将执行</w:t>
      </w:r>
      <w:r>
        <w:rPr>
          <w:rFonts w:ascii="Times New Roman" w:hAnsi="Times New Roman" w:cs="Times New Roman" w:eastAsia="Times New Roman" w:hint="default"/>
        </w:rPr>
        <w:t>10%</w:t>
      </w:r>
      <w:r>
        <w:rPr/>
        <w:t>的税率。 </w:t>
      </w:r>
      <w:r>
        <w:rPr>
          <w:spacing w:val="-1"/>
        </w:rPr>
        <w:t>北京久其政务软件股份有限公司、北京北邮中望信息科技有限责任公司、上海久其软件有限公司系高新技</w:t>
      </w:r>
      <w:r>
        <w:rPr>
          <w:spacing w:val="-81"/>
        </w:rPr>
        <w:t> </w:t>
      </w:r>
      <w:r>
        <w:rPr>
          <w:spacing w:val="-81"/>
        </w:rPr>
      </w:r>
      <w:r>
        <w:rPr/>
        <w:t>术企业，执行</w:t>
      </w:r>
      <w:r>
        <w:rPr>
          <w:rFonts w:ascii="Times New Roman" w:hAnsi="Times New Roman" w:cs="Times New Roman" w:eastAsia="Times New Roman" w:hint="default"/>
        </w:rPr>
        <w:t>15%</w:t>
      </w:r>
      <w:r>
        <w:rPr/>
        <w:t>的企业所得税税率；新疆久其科技有限公司执行</w:t>
      </w:r>
      <w:r>
        <w:rPr>
          <w:rFonts w:ascii="Times New Roman" w:hAnsi="Times New Roman" w:cs="Times New Roman" w:eastAsia="Times New Roman" w:hint="default"/>
        </w:rPr>
        <w:t>20%</w:t>
      </w:r>
      <w:r>
        <w:rPr/>
        <w:t>的企业所得税税率；其他各子公司</w:t>
      </w:r>
      <w:r>
        <w:rPr>
          <w:spacing w:val="-63"/>
        </w:rPr>
        <w:t> </w:t>
      </w:r>
      <w:r>
        <w:rPr>
          <w:spacing w:val="-63"/>
        </w:rPr>
      </w:r>
      <w:r>
        <w:rPr/>
        <w:t>暂执行</w:t>
      </w:r>
      <w:r>
        <w:rPr>
          <w:rFonts w:ascii="Times New Roman" w:hAnsi="Times New Roman" w:cs="Times New Roman" w:eastAsia="Times New Roman" w:hint="default"/>
        </w:rPr>
        <w:t>25</w:t>
      </w:r>
      <w:r>
        <w:rPr/>
        <w:t>％的企业所得税税率。</w:t>
      </w:r>
    </w:p>
    <w:p>
      <w:pPr>
        <w:pStyle w:val="BodyText"/>
        <w:spacing w:line="261" w:lineRule="auto" w:before="2"/>
        <w:ind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）增值税：</w:t>
      </w:r>
      <w:r>
        <w:rPr>
          <w:rFonts w:ascii="宋体" w:hAnsi="宋体" w:cs="宋体" w:eastAsia="宋体" w:hint="default"/>
          <w:b/>
          <w:bCs/>
          <w:w w:val="99"/>
        </w:rPr>
        <w:t> </w:t>
      </w:r>
      <w:r>
        <w:rPr/>
        <w:t>公司及其控股子公司上海久其软件有限公司、广东久其软件有限公司、北京久其政务软件股份有限公司、</w:t>
      </w:r>
      <w:r>
        <w:rPr>
          <w:spacing w:val="-35"/>
        </w:rPr>
        <w:t> </w:t>
      </w:r>
      <w:r>
        <w:rPr>
          <w:spacing w:val="-35"/>
        </w:rPr>
      </w:r>
      <w:r>
        <w:rPr/>
        <w:t>成都久其软件有限公司、新疆久其科技有限公司、西安久其软件有限公司、北京北邮中望信息科技有限责</w:t>
      </w:r>
      <w:r>
        <w:rPr/>
        <w:t> 任公司为增值税一般纳税人，安徽分公司、武汉分公司为增值税一般纳税人，分别适用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6%</w:t>
      </w:r>
      <w:r>
        <w:rPr/>
        <w:t>的增值税 税率。公司其他分子公司均为小规模纳税人，按</w:t>
      </w:r>
      <w:r>
        <w:rPr>
          <w:rFonts w:ascii="Times New Roman" w:hAnsi="Times New Roman" w:cs="Times New Roman" w:eastAsia="Times New Roman" w:hint="default"/>
        </w:rPr>
        <w:t>3%</w:t>
      </w:r>
      <w:r>
        <w:rPr/>
        <w:t>的征收率计算缴纳增值税。 </w:t>
      </w:r>
      <w:r>
        <w:rPr>
          <w:spacing w:val="-2"/>
        </w:rPr>
        <w:t>根据国务院国发</w:t>
      </w:r>
      <w:r>
        <w:rPr>
          <w:rFonts w:ascii="Times New Roman" w:hAnsi="Times New Roman" w:cs="Times New Roman" w:eastAsia="Times New Roman" w:hint="default"/>
          <w:spacing w:val="-2"/>
        </w:rPr>
        <w:t>[2011]4</w:t>
      </w:r>
      <w:r>
        <w:rPr>
          <w:spacing w:val="-2"/>
        </w:rPr>
        <w:t>号文件《国务院关于印发进一步鼓励软件产业和集成电路产业发展若干政策的通知》</w:t>
      </w:r>
      <w:r>
        <w:rPr>
          <w:spacing w:val="-61"/>
        </w:rPr>
        <w:t> </w:t>
      </w:r>
      <w:r>
        <w:rPr>
          <w:spacing w:val="-61"/>
        </w:rPr>
      </w:r>
      <w:r>
        <w:rPr/>
        <w:t>的规定，对增值税一般纳税人销售其自行开发生产的软件产品，按</w:t>
      </w:r>
      <w:r>
        <w:rPr>
          <w:rFonts w:ascii="Times New Roman" w:hAnsi="Times New Roman" w:cs="Times New Roman" w:eastAsia="Times New Roman" w:hint="default"/>
        </w:rPr>
        <w:t>17%</w:t>
      </w:r>
      <w:r>
        <w:rPr/>
        <w:t>税率征收增值税后，对其增值税实</w:t>
      </w:r>
      <w:r>
        <w:rPr>
          <w:spacing w:val="-97"/>
        </w:rPr>
        <w:t> </w:t>
      </w:r>
      <w:r>
        <w:rPr>
          <w:spacing w:val="-97"/>
        </w:rPr>
      </w:r>
      <w:r>
        <w:rPr/>
        <w:t>际税负超过</w:t>
      </w:r>
      <w:r>
        <w:rPr>
          <w:rFonts w:ascii="Times New Roman" w:hAnsi="Times New Roman" w:cs="Times New Roman" w:eastAsia="Times New Roman" w:hint="default"/>
        </w:rPr>
        <w:t>3%</w:t>
      </w:r>
      <w:r>
        <w:rPr/>
        <w:t>的部分实行即征即退政策，公司及其控股子公司上海久其软件有限公司、广东久其软件有限 公司、北京久其政务软件股份有限公司、北京北邮中望信息科技有限责任公司适用此规定。</w:t>
      </w:r>
    </w:p>
    <w:p>
      <w:pPr>
        <w:spacing w:after="0" w:line="261"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合并财务报表项目注释" w:id="192"/>
      <w:bookmarkEnd w:id="19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193"/>
      <w:bookmarkEnd w:id="19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245,264.40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429,120.96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277,087,845.53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224,804,237.84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9,854,474.50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9,479,530.28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287,187,584.43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234,712,889.08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1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19"/>
        <w:jc w:val="left"/>
      </w:pPr>
      <w:r>
        <w:rPr/>
        <w:t>其中受限制的货币资金明细如下：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单位：元</w:t>
      </w:r>
    </w:p>
    <w:p>
      <w:pPr>
        <w:spacing w:after="0" w:line="240" w:lineRule="auto"/>
        <w:jc w:val="left"/>
        <w:sectPr>
          <w:type w:val="continuous"/>
          <w:pgSz w:w="11910" w:h="16840"/>
          <w:pgMar w:top="1060" w:bottom="1160" w:left="980" w:right="0"/>
          <w:cols w:num="2" w:equalWidth="0">
            <w:col w:w="3305" w:space="5495"/>
            <w:col w:w="2130"/>
          </w:cols>
        </w:sectPr>
      </w:pP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374"/>
        <w:gridCol w:w="2684"/>
        <w:gridCol w:w="2602"/>
      </w:tblGrid>
      <w:tr>
        <w:trPr>
          <w:trHeight w:val="356" w:hRule="exact"/>
        </w:trPr>
        <w:tc>
          <w:tcPr>
            <w:tcW w:w="43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912"/>
              <w:jc w:val="right"/>
              <w:rPr>
                <w:rFonts w:ascii="宋体" w:hAnsi="宋体" w:cs="宋体" w:eastAsia="宋体" w:hint="default"/>
                <w:sz w:val="19"/>
                <w:szCs w:val="19"/>
              </w:rPr>
            </w:pPr>
            <w:r>
              <w:rPr>
                <w:rFonts w:ascii="宋体" w:hAnsi="宋体" w:cs="宋体" w:eastAsia="宋体" w:hint="default"/>
                <w:sz w:val="19"/>
                <w:szCs w:val="19"/>
              </w:rPr>
              <w:t>项</w:t>
            </w:r>
            <w:r>
              <w:rPr>
                <w:rFonts w:ascii="宋体" w:hAnsi="宋体" w:cs="宋体" w:eastAsia="宋体" w:hint="default"/>
                <w:spacing w:val="57"/>
                <w:sz w:val="19"/>
                <w:szCs w:val="19"/>
              </w:rPr>
              <w:t> </w:t>
            </w:r>
            <w:r>
              <w:rPr>
                <w:rFonts w:ascii="宋体" w:hAnsi="宋体" w:cs="宋体" w:eastAsia="宋体" w:hint="default"/>
                <w:sz w:val="19"/>
                <w:szCs w:val="19"/>
              </w:rPr>
              <w:t>目</w:t>
            </w:r>
          </w:p>
        </w:tc>
        <w:tc>
          <w:tcPr>
            <w:tcW w:w="2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期末余额</w:t>
            </w:r>
          </w:p>
        </w:tc>
        <w:tc>
          <w:tcPr>
            <w:tcW w:w="2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年初余额</w:t>
            </w:r>
          </w:p>
        </w:tc>
      </w:tr>
      <w:tr>
        <w:trPr>
          <w:trHeight w:val="361" w:hRule="exact"/>
        </w:trPr>
        <w:tc>
          <w:tcPr>
            <w:tcW w:w="4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9"/>
                <w:szCs w:val="19"/>
              </w:rPr>
            </w:pPr>
            <w:r>
              <w:rPr>
                <w:rFonts w:ascii="宋体" w:hAnsi="宋体" w:cs="宋体" w:eastAsia="宋体" w:hint="default"/>
                <w:sz w:val="19"/>
                <w:szCs w:val="19"/>
              </w:rPr>
              <w:t>履约保证金</w:t>
            </w:r>
          </w:p>
        </w:tc>
        <w:tc>
          <w:tcPr>
            <w:tcW w:w="26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9,850,474.50</w:t>
            </w:r>
            <w:r>
              <w:rPr>
                <w:rFonts w:ascii="Times New Roman"/>
                <w:sz w:val="16"/>
              </w:rPr>
            </w:r>
          </w:p>
        </w:tc>
        <w:tc>
          <w:tcPr>
            <w:tcW w:w="2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9,479,530.28</w:t>
            </w:r>
            <w:r>
              <w:rPr>
                <w:rFonts w:ascii="Times New Roman"/>
                <w:sz w:val="16"/>
              </w:rPr>
            </w:r>
          </w:p>
        </w:tc>
      </w:tr>
      <w:tr>
        <w:trPr>
          <w:trHeight w:val="362" w:hRule="exact"/>
        </w:trPr>
        <w:tc>
          <w:tcPr>
            <w:tcW w:w="4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9"/>
                <w:szCs w:val="19"/>
              </w:rPr>
            </w:pPr>
            <w:r>
              <w:rPr>
                <w:rFonts w:ascii="宋体" w:hAnsi="宋体" w:cs="宋体" w:eastAsia="宋体" w:hint="default"/>
                <w:sz w:val="19"/>
                <w:szCs w:val="19"/>
              </w:rPr>
              <w:t>银行汇票</w:t>
            </w:r>
          </w:p>
        </w:tc>
        <w:tc>
          <w:tcPr>
            <w:tcW w:w="26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w w:val="95"/>
                <w:sz w:val="16"/>
              </w:rPr>
              <w:t>4,000.00</w:t>
            </w:r>
            <w:r>
              <w:rPr>
                <w:rFonts w:ascii="Times New Roman"/>
                <w:sz w:val="16"/>
              </w:rPr>
            </w:r>
          </w:p>
        </w:tc>
        <w:tc>
          <w:tcPr>
            <w:tcW w:w="2602" w:type="dxa"/>
            <w:tcBorders>
              <w:top w:val="single" w:sz="12" w:space="0" w:color="000000"/>
              <w:left w:val="single" w:sz="6" w:space="0" w:color="000000"/>
              <w:bottom w:val="single" w:sz="12" w:space="0" w:color="000000"/>
              <w:right w:val="single" w:sz="6" w:space="0" w:color="000000"/>
            </w:tcBorders>
          </w:tcPr>
          <w:p>
            <w:pPr/>
          </w:p>
        </w:tc>
      </w:tr>
      <w:tr>
        <w:trPr>
          <w:trHeight w:val="362" w:hRule="exact"/>
        </w:trPr>
        <w:tc>
          <w:tcPr>
            <w:tcW w:w="4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1894"/>
              <w:jc w:val="right"/>
              <w:rPr>
                <w:rFonts w:ascii="宋体" w:hAnsi="宋体" w:cs="宋体" w:eastAsia="宋体" w:hint="default"/>
                <w:sz w:val="19"/>
                <w:szCs w:val="19"/>
              </w:rPr>
            </w:pPr>
            <w:r>
              <w:rPr>
                <w:rFonts w:ascii="宋体" w:hAnsi="宋体" w:cs="宋体" w:eastAsia="宋体" w:hint="default"/>
                <w:sz w:val="19"/>
                <w:szCs w:val="19"/>
              </w:rPr>
              <w:t>合</w:t>
            </w:r>
            <w:r>
              <w:rPr>
                <w:rFonts w:ascii="宋体" w:hAnsi="宋体" w:cs="宋体" w:eastAsia="宋体" w:hint="default"/>
                <w:spacing w:val="93"/>
                <w:sz w:val="19"/>
                <w:szCs w:val="19"/>
              </w:rPr>
              <w:t> </w:t>
            </w:r>
            <w:r>
              <w:rPr>
                <w:rFonts w:ascii="宋体" w:hAnsi="宋体" w:cs="宋体" w:eastAsia="宋体" w:hint="default"/>
                <w:sz w:val="19"/>
                <w:szCs w:val="19"/>
              </w:rPr>
              <w:t>计</w:t>
            </w:r>
          </w:p>
        </w:tc>
        <w:tc>
          <w:tcPr>
            <w:tcW w:w="26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9,854,474.50</w:t>
            </w:r>
            <w:r>
              <w:rPr>
                <w:rFonts w:ascii="Times New Roman"/>
                <w:sz w:val="16"/>
              </w:rPr>
            </w:r>
          </w:p>
        </w:tc>
        <w:tc>
          <w:tcPr>
            <w:tcW w:w="26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9,479,530.28</w:t>
            </w:r>
            <w:r>
              <w:rPr>
                <w:rFonts w:ascii="Times New Roman"/>
                <w:sz w:val="16"/>
              </w:rPr>
            </w:r>
          </w:p>
        </w:tc>
      </w:tr>
    </w:tbl>
    <w:p>
      <w:pPr>
        <w:pStyle w:val="BodyText"/>
        <w:spacing w:line="260" w:lineRule="exact"/>
        <w:ind w:left="154" w:right="0"/>
        <w:jc w:val="left"/>
      </w:pPr>
      <w:r>
        <w:rPr/>
        <w:t>货币资金说明：</w:t>
      </w:r>
    </w:p>
    <w:p>
      <w:pPr>
        <w:pStyle w:val="BodyText"/>
        <w:spacing w:line="256" w:lineRule="auto" w:before="37"/>
        <w:ind w:right="0"/>
        <w:jc w:val="left"/>
      </w:pP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日，其他货币资金中人民币</w:t>
      </w:r>
      <w:r>
        <w:rPr>
          <w:rFonts w:ascii="Times New Roman" w:hAnsi="Times New Roman" w:cs="Times New Roman" w:eastAsia="Times New Roman" w:hint="default"/>
          <w:spacing w:val="-2"/>
        </w:rPr>
        <w:t>9,850,474.50</w:t>
      </w:r>
      <w:r>
        <w:rPr>
          <w:spacing w:val="-2"/>
        </w:rPr>
        <w:t>元为本公司向银行申请开具无条件、不可撤销的</w:t>
      </w:r>
      <w:r>
        <w:rPr>
          <w:spacing w:val="-75"/>
        </w:rPr>
        <w:t> </w:t>
      </w:r>
      <w:r>
        <w:rPr>
          <w:spacing w:val="-75"/>
        </w:rPr>
      </w:r>
      <w:r>
        <w:rPr/>
        <w:t>担保函所存入的保证金存款。</w:t>
      </w:r>
    </w:p>
    <w:p>
      <w:pPr>
        <w:spacing w:line="240" w:lineRule="auto" w:before="10"/>
        <w:rPr>
          <w:rFonts w:ascii="宋体" w:hAnsi="宋体" w:cs="宋体" w:eastAsia="宋体" w:hint="default"/>
          <w:sz w:val="24"/>
          <w:szCs w:val="24"/>
        </w:rPr>
      </w:pPr>
    </w:p>
    <w:p>
      <w:pPr>
        <w:pStyle w:val="Heading3"/>
        <w:spacing w:line="240" w:lineRule="auto"/>
        <w:ind w:left="153" w:right="0"/>
        <w:jc w:val="left"/>
        <w:rPr>
          <w:b w:val="0"/>
          <w:bCs w:val="0"/>
        </w:rPr>
      </w:pPr>
      <w:bookmarkStart w:name="2、以公允价值计量且其变动计入当期损益的金融资产" w:id="194"/>
      <w:bookmarkEnd w:id="19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50,799,905.59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80,788,375.18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50,799,905.59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80,788,375.18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50,799,905.59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80,788,375.18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21"/>
        <w:jc w:val="left"/>
      </w:pPr>
      <w:r>
        <w:rPr>
          <w:spacing w:val="2"/>
        </w:rPr>
        <w:t>期末交易性金融资产系购入的银行理财产品：购入非凡资产管理</w:t>
      </w:r>
      <w:r>
        <w:rPr>
          <w:rFonts w:ascii="Times New Roman" w:hAnsi="Times New Roman" w:cs="Times New Roman" w:eastAsia="Times New Roman" w:hint="default"/>
          <w:spacing w:val="2"/>
        </w:rPr>
        <w:t>126</w:t>
      </w:r>
      <w:r>
        <w:rPr>
          <w:spacing w:val="2"/>
        </w:rPr>
        <w:t>天增利第</w:t>
      </w:r>
      <w:r>
        <w:rPr>
          <w:rFonts w:ascii="Times New Roman" w:hAnsi="Times New Roman" w:cs="Times New Roman" w:eastAsia="Times New Roman" w:hint="default"/>
          <w:spacing w:val="2"/>
        </w:rPr>
        <w:t>153</w:t>
      </w:r>
      <w:r>
        <w:rPr>
          <w:spacing w:val="2"/>
        </w:rPr>
        <w:t>期对公</w:t>
      </w:r>
      <w:r>
        <w:rPr>
          <w:rFonts w:ascii="Times New Roman" w:hAnsi="Times New Roman" w:cs="Times New Roman" w:eastAsia="Times New Roman" w:hint="default"/>
          <w:spacing w:val="2"/>
        </w:rPr>
        <w:t>02</w:t>
      </w:r>
      <w:r>
        <w:rPr>
          <w:spacing w:val="2"/>
        </w:rPr>
        <w:t>款</w:t>
      </w:r>
      <w:r>
        <w:rPr>
          <w:rFonts w:ascii="Times New Roman" w:hAnsi="Times New Roman" w:cs="Times New Roman" w:eastAsia="Times New Roman" w:hint="default"/>
          <w:spacing w:val="2"/>
        </w:rPr>
        <w:t>3,000,000.00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元，期末公允价值</w:t>
      </w:r>
      <w:r>
        <w:rPr>
          <w:rFonts w:ascii="Times New Roman" w:hAnsi="Times New Roman" w:cs="Times New Roman" w:eastAsia="Times New Roman" w:hint="default"/>
        </w:rPr>
        <w:t>3,025,989.04</w:t>
      </w:r>
      <w:r>
        <w:rPr/>
        <w:t>元；购入</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25</w:t>
      </w:r>
      <w:r>
        <w:rPr/>
        <w:t>期非保本公司机构理财</w:t>
      </w:r>
      <w:r>
        <w:rPr>
          <w:rFonts w:ascii="Times New Roman" w:hAnsi="Times New Roman" w:cs="Times New Roman" w:eastAsia="Times New Roman" w:hint="default"/>
        </w:rPr>
        <w:t>D</w:t>
      </w:r>
      <w:r>
        <w:rPr/>
        <w:t>款</w:t>
      </w:r>
      <w:r>
        <w:rPr>
          <w:rFonts w:ascii="Times New Roman" w:hAnsi="Times New Roman" w:cs="Times New Roman" w:eastAsia="Times New Roman" w:hint="default"/>
        </w:rPr>
        <w:t>11,000,000.00</w:t>
      </w:r>
      <w:r>
        <w:rPr/>
        <w:t>元，期末公允</w:t>
      </w:r>
      <w:r>
        <w:rPr>
          <w:spacing w:val="-76"/>
        </w:rPr>
        <w:t> </w:t>
      </w:r>
      <w:r>
        <w:rPr>
          <w:spacing w:val="-76"/>
        </w:rPr>
      </w:r>
      <w:r>
        <w:rPr>
          <w:spacing w:val="6"/>
        </w:rPr>
        <w:t>价价值</w:t>
      </w:r>
      <w:r>
        <w:rPr>
          <w:rFonts w:ascii="Times New Roman" w:hAnsi="Times New Roman" w:cs="Times New Roman" w:eastAsia="Times New Roman" w:hint="default"/>
          <w:spacing w:val="6"/>
        </w:rPr>
        <w:t>11,332,742.47</w:t>
      </w:r>
      <w:r>
        <w:rPr>
          <w:spacing w:val="6"/>
        </w:rPr>
        <w:t>元；购入非凡资产管理双月增利第</w:t>
      </w:r>
      <w:r>
        <w:rPr>
          <w:rFonts w:ascii="Times New Roman" w:hAnsi="Times New Roman" w:cs="Times New Roman" w:eastAsia="Times New Roman" w:hint="default"/>
          <w:spacing w:val="6"/>
        </w:rPr>
        <w:t>155</w:t>
      </w:r>
      <w:r>
        <w:rPr>
          <w:spacing w:val="6"/>
        </w:rPr>
        <w:t>期对公</w:t>
      </w:r>
      <w:r>
        <w:rPr>
          <w:rFonts w:ascii="Times New Roman" w:hAnsi="Times New Roman" w:cs="Times New Roman" w:eastAsia="Times New Roman" w:hint="default"/>
          <w:spacing w:val="6"/>
        </w:rPr>
        <w:t>02</w:t>
      </w:r>
      <w:r>
        <w:rPr>
          <w:spacing w:val="6"/>
        </w:rPr>
        <w:t>款</w:t>
      </w:r>
      <w:r>
        <w:rPr>
          <w:rFonts w:ascii="Times New Roman" w:hAnsi="Times New Roman" w:cs="Times New Roman" w:eastAsia="Times New Roman" w:hint="default"/>
          <w:spacing w:val="6"/>
        </w:rPr>
        <w:t>10,200,000.00</w:t>
      </w:r>
      <w:r>
        <w:rPr>
          <w:spacing w:val="6"/>
        </w:rPr>
        <w:t>元，期末公允价值</w:t>
      </w:r>
      <w:r>
        <w:rPr>
          <w:spacing w:val="-98"/>
        </w:rPr>
        <w:t> </w:t>
      </w:r>
      <w:r>
        <w:rPr>
          <w:spacing w:val="-98"/>
        </w:rPr>
      </w:r>
      <w:r>
        <w:rPr>
          <w:rFonts w:ascii="Times New Roman" w:hAnsi="Times New Roman" w:cs="Times New Roman" w:eastAsia="Times New Roman" w:hint="default"/>
        </w:rPr>
        <w:t>10,265,671.23</w:t>
      </w:r>
      <w:r>
        <w:rPr/>
        <w:t>元； 购入信泽财富</w:t>
      </w:r>
      <w:r>
        <w:rPr>
          <w:rFonts w:ascii="Times New Roman" w:hAnsi="Times New Roman" w:cs="Times New Roman" w:eastAsia="Times New Roman" w:hint="default"/>
        </w:rPr>
        <w:t>24</w:t>
      </w:r>
      <w:r>
        <w:rPr/>
        <w:t>号集合资产管理计划</w:t>
      </w:r>
      <w:r>
        <w:rPr>
          <w:rFonts w:ascii="Times New Roman" w:hAnsi="Times New Roman" w:cs="Times New Roman" w:eastAsia="Times New Roman" w:hint="default"/>
        </w:rPr>
        <w:t>9,800,000.00</w:t>
      </w:r>
      <w:r>
        <w:rPr/>
        <w:t>元，期末公允价值</w:t>
      </w:r>
      <w:r>
        <w:rPr>
          <w:rFonts w:ascii="Times New Roman" w:hAnsi="Times New Roman" w:cs="Times New Roman" w:eastAsia="Times New Roman" w:hint="default"/>
        </w:rPr>
        <w:t>9,991,100.00</w:t>
      </w:r>
      <w:r>
        <w:rPr/>
        <w:t>元；</w:t>
      </w:r>
      <w:r>
        <w:rPr>
          <w:spacing w:val="-81"/>
        </w:rPr>
        <w:t> </w:t>
      </w:r>
      <w:r>
        <w:rPr/>
        <w:t>购</w:t>
      </w:r>
      <w:r>
        <w:rPr/>
        <w:t> 入中信证券信泽财富</w:t>
      </w:r>
      <w:r>
        <w:rPr>
          <w:rFonts w:ascii="Times New Roman" w:hAnsi="Times New Roman" w:cs="Times New Roman" w:eastAsia="Times New Roman" w:hint="default"/>
        </w:rPr>
        <w:t>34</w:t>
      </w:r>
      <w:r>
        <w:rPr/>
        <w:t>号集合资产管理计划</w:t>
      </w:r>
      <w:r>
        <w:rPr>
          <w:rFonts w:ascii="Times New Roman" w:hAnsi="Times New Roman" w:cs="Times New Roman" w:eastAsia="Times New Roman" w:hint="default"/>
        </w:rPr>
        <w:t>10,000,000.00</w:t>
      </w:r>
      <w:r>
        <w:rPr/>
        <w:t>元，期末公允价值</w:t>
      </w:r>
      <w:r>
        <w:rPr>
          <w:rFonts w:ascii="Times New Roman" w:hAnsi="Times New Roman" w:cs="Times New Roman" w:eastAsia="Times New Roman" w:hint="default"/>
        </w:rPr>
        <w:t>10,122,000.00</w:t>
      </w:r>
      <w:r>
        <w:rPr/>
        <w:t>元；购入中信信</w:t>
      </w:r>
      <w:r>
        <w:rPr>
          <w:spacing w:val="-35"/>
        </w:rPr>
        <w:t> </w:t>
      </w:r>
      <w:r>
        <w:rPr>
          <w:spacing w:val="-35"/>
        </w:rPr>
      </w:r>
      <w:r>
        <w:rPr/>
        <w:t>诚稳赢四期（优先级）</w:t>
      </w:r>
      <w:r>
        <w:rPr>
          <w:rFonts w:ascii="Times New Roman" w:hAnsi="Times New Roman" w:cs="Times New Roman" w:eastAsia="Times New Roman" w:hint="default"/>
        </w:rPr>
        <w:t>6,000,000.00</w:t>
      </w:r>
      <w:r>
        <w:rPr/>
        <w:t>元，期末公允价值</w:t>
      </w:r>
      <w:r>
        <w:rPr>
          <w:rFonts w:ascii="Times New Roman" w:hAnsi="Times New Roman" w:cs="Times New Roman" w:eastAsia="Times New Roman" w:hint="default"/>
        </w:rPr>
        <w:t>6,062,402.85</w:t>
      </w:r>
      <w:r>
        <w:rPr/>
        <w:t>元。 本公司交易性金融资产投资变现不存在重大限制。</w:t>
      </w:r>
    </w:p>
    <w:p>
      <w:pPr>
        <w:spacing w:after="0" w:line="256"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应收票据" w:id="195"/>
      <w:bookmarkEnd w:id="195"/>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196"/>
      <w:bookmarkEnd w:id="19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应收账款" w:id="197"/>
      <w:bookmarkEnd w:id="197"/>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98"/>
      <w:bookmarkEnd w:id="19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66,724,5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23.68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1,497,36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65,227,15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68,329,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886.10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1,244,898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67,084,987.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2,283,64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2,283,64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69,008,1</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67.68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3,781,00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65,227,15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68,329,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886.10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1,244,898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67,084,987.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50,079,494.68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7,235,408.00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361,770.40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57,314,902.68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361,770.40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7,958,213.00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795,821.30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66,724,523.68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1,497,364.70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bl>
    <w:p>
      <w:pPr>
        <w:spacing w:line="338" w:lineRule="auto"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已单独计提减值准备的应收账款除外，公司根据以前年度与之相同或相类似的、按账龄段划分的具有类似信用风险特征的应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收账款组合的实际损失率为基础，结合现时情况分析法确定坏账准备计提的比例。</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199"/>
      <w:bookmarkEnd w:id="19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2,536,110.50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按欠款方归集的期末余额前五吊的应收账款情况" w:id="200"/>
      <w:bookmarkEnd w:id="20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218"/>
        <w:gridCol w:w="2027"/>
        <w:gridCol w:w="2330"/>
        <w:gridCol w:w="2084"/>
      </w:tblGrid>
      <w:tr>
        <w:trPr>
          <w:trHeight w:val="355" w:hRule="exact"/>
        </w:trPr>
        <w:tc>
          <w:tcPr>
            <w:tcW w:w="3218" w:type="dxa"/>
            <w:vMerge w:val="restart"/>
            <w:tcBorders>
              <w:top w:val="single" w:sz="6" w:space="0" w:color="000000"/>
              <w:left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6441"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3" w:hRule="exact"/>
        </w:trPr>
        <w:tc>
          <w:tcPr>
            <w:tcW w:w="3218" w:type="dxa"/>
            <w:vMerge/>
            <w:tcBorders>
              <w:left w:val="single" w:sz="6" w:space="0" w:color="000000"/>
              <w:bottom w:val="single" w:sz="12" w:space="0" w:color="000000"/>
              <w:right w:val="single" w:sz="6" w:space="0" w:color="000000"/>
            </w:tcBorders>
          </w:tcPr>
          <w:p>
            <w:pP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应收账款</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占应收账款合计数的比例</w:t>
            </w:r>
            <w:r>
              <w:rPr>
                <w:rFonts w:ascii="Times New Roman" w:hAnsi="Times New Roman" w:cs="Times New Roman" w:eastAsia="Times New Roman" w:hint="default"/>
                <w:sz w:val="16"/>
                <w:szCs w:val="16"/>
              </w:rPr>
              <w:t>(%)</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715"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352"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6"/>
                <w:szCs w:val="16"/>
              </w:rPr>
            </w:pPr>
            <w:r>
              <w:rPr>
                <w:rFonts w:ascii="Times New Roman"/>
                <w:sz w:val="16"/>
              </w:rPr>
              <w:t>4,800,000.00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6.96</w:t>
            </w:r>
          </w:p>
        </w:tc>
        <w:tc>
          <w:tcPr>
            <w:tcW w:w="2084"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6"/>
                <w:szCs w:val="16"/>
              </w:rPr>
            </w:pPr>
            <w:r>
              <w:rPr>
                <w:rFonts w:ascii="Times New Roman"/>
                <w:sz w:val="16"/>
              </w:rPr>
              <w:t>2,820,000.00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4.09</w:t>
            </w:r>
          </w:p>
        </w:tc>
        <w:tc>
          <w:tcPr>
            <w:tcW w:w="2084" w:type="dxa"/>
            <w:tcBorders>
              <w:top w:val="single" w:sz="12" w:space="0" w:color="000000"/>
              <w:left w:val="single" w:sz="6" w:space="0" w:color="000000"/>
              <w:bottom w:val="single" w:sz="12" w:space="0" w:color="000000"/>
              <w:right w:val="single" w:sz="6" w:space="0" w:color="000000"/>
            </w:tcBorders>
          </w:tcPr>
          <w:p>
            <w:pPr/>
          </w:p>
        </w:tc>
      </w:tr>
      <w:tr>
        <w:trPr>
          <w:trHeight w:val="353"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6"/>
                <w:szCs w:val="16"/>
              </w:rPr>
            </w:pPr>
            <w:r>
              <w:rPr>
                <w:rFonts w:ascii="Times New Roman"/>
                <w:sz w:val="16"/>
              </w:rPr>
              <w:t>2,436,000.00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3.53</w:t>
            </w:r>
          </w:p>
        </w:tc>
        <w:tc>
          <w:tcPr>
            <w:tcW w:w="2084"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6"/>
                <w:szCs w:val="16"/>
              </w:rPr>
            </w:pPr>
            <w:r>
              <w:rPr>
                <w:rFonts w:ascii="Times New Roman"/>
                <w:sz w:val="16"/>
              </w:rPr>
              <w:t>2,146,000.00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3.11</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715" w:right="0"/>
              <w:jc w:val="left"/>
              <w:rPr>
                <w:rFonts w:ascii="Times New Roman" w:hAnsi="Times New Roman" w:cs="Times New Roman" w:eastAsia="Times New Roman" w:hint="default"/>
                <w:sz w:val="16"/>
                <w:szCs w:val="16"/>
              </w:rPr>
            </w:pPr>
            <w:r>
              <w:rPr>
                <w:rFonts w:ascii="Times New Roman"/>
                <w:sz w:val="16"/>
              </w:rPr>
              <w:t>31,600.00</w:t>
            </w:r>
          </w:p>
        </w:tc>
      </w:tr>
      <w:tr>
        <w:trPr>
          <w:trHeight w:val="352"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6"/>
                <w:szCs w:val="16"/>
              </w:rPr>
            </w:pPr>
            <w:r>
              <w:rPr>
                <w:rFonts w:ascii="Times New Roman"/>
                <w:sz w:val="16"/>
              </w:rPr>
              <w:t>1,500,000.00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2.17</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675" w:right="0"/>
              <w:jc w:val="left"/>
              <w:rPr>
                <w:rFonts w:ascii="Times New Roman" w:hAnsi="Times New Roman" w:cs="Times New Roman" w:eastAsia="Times New Roman" w:hint="default"/>
                <w:sz w:val="16"/>
                <w:szCs w:val="16"/>
              </w:rPr>
            </w:pPr>
            <w:r>
              <w:rPr>
                <w:rFonts w:ascii="Times New Roman"/>
                <w:sz w:val="16"/>
              </w:rPr>
              <w:t>150,000.00</w:t>
            </w:r>
          </w:p>
        </w:tc>
      </w:tr>
      <w:tr>
        <w:trPr>
          <w:trHeight w:val="353"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6"/>
                <w:szCs w:val="16"/>
              </w:rPr>
            </w:pPr>
            <w:r>
              <w:rPr>
                <w:rFonts w:ascii="Times New Roman"/>
                <w:sz w:val="16"/>
              </w:rPr>
              <w:t>13,702,000.00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19.86</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675" w:right="0"/>
              <w:jc w:val="left"/>
              <w:rPr>
                <w:rFonts w:ascii="Times New Roman" w:hAnsi="Times New Roman" w:cs="Times New Roman" w:eastAsia="Times New Roman" w:hint="default"/>
                <w:sz w:val="16"/>
                <w:szCs w:val="16"/>
              </w:rPr>
            </w:pPr>
            <w:r>
              <w:rPr>
                <w:rFonts w:ascii="Times New Roman"/>
                <w:sz w:val="16"/>
              </w:rPr>
              <w:t>181,600.00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预付款项" w:id="201"/>
      <w:bookmarkEnd w:id="201"/>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02"/>
      <w:bookmarkEnd w:id="20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7,100,216.34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3,244,898.89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10,559.76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128,400.00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308,742.80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7,141,358.34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3,692,601.45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账龄超过一年的预付款项系未结算的购货尾款。</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按预付对象归集的期末余额前五吊的预付款情况" w:id="203"/>
      <w:bookmarkEnd w:id="20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909"/>
        <w:gridCol w:w="2953"/>
        <w:gridCol w:w="2993"/>
      </w:tblGrid>
      <w:tr>
        <w:trPr>
          <w:trHeight w:val="348" w:hRule="exact"/>
        </w:trPr>
        <w:tc>
          <w:tcPr>
            <w:tcW w:w="3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预付对象</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70" w:right="0"/>
              <w:jc w:val="left"/>
              <w:rPr>
                <w:rFonts w:ascii="宋体" w:hAnsi="宋体" w:cs="宋体" w:eastAsia="宋体" w:hint="default"/>
                <w:sz w:val="16"/>
                <w:szCs w:val="16"/>
              </w:rPr>
            </w:pPr>
            <w:r>
              <w:rPr>
                <w:rFonts w:ascii="宋体" w:hAnsi="宋体" w:cs="宋体" w:eastAsia="宋体" w:hint="default"/>
                <w:sz w:val="16"/>
                <w:szCs w:val="16"/>
              </w:rPr>
              <w:t>占预付款期末余额合计数的比例</w:t>
            </w:r>
          </w:p>
        </w:tc>
      </w:tr>
      <w:tr>
        <w:trPr>
          <w:trHeight w:val="347" w:hRule="exact"/>
        </w:trPr>
        <w:tc>
          <w:tcPr>
            <w:tcW w:w="3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6,480,000.00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429"/>
              <w:jc w:val="center"/>
              <w:rPr>
                <w:rFonts w:ascii="Times New Roman" w:hAnsi="Times New Roman" w:cs="Times New Roman" w:eastAsia="Times New Roman" w:hint="default"/>
                <w:sz w:val="16"/>
                <w:szCs w:val="16"/>
              </w:rPr>
            </w:pPr>
            <w:r>
              <w:rPr>
                <w:rFonts w:ascii="Times New Roman"/>
                <w:sz w:val="16"/>
              </w:rPr>
              <w:t>90.74</w:t>
            </w:r>
          </w:p>
        </w:tc>
      </w:tr>
      <w:tr>
        <w:trPr>
          <w:trHeight w:val="347" w:hRule="exact"/>
        </w:trPr>
        <w:tc>
          <w:tcPr>
            <w:tcW w:w="3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141,509.43</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80"/>
              <w:jc w:val="center"/>
              <w:rPr>
                <w:rFonts w:ascii="Times New Roman" w:hAnsi="Times New Roman" w:cs="Times New Roman" w:eastAsia="Times New Roman" w:hint="default"/>
                <w:sz w:val="16"/>
                <w:szCs w:val="16"/>
              </w:rPr>
            </w:pPr>
            <w:r>
              <w:rPr>
                <w:rFonts w:ascii="Times New Roman"/>
                <w:sz w:val="16"/>
              </w:rPr>
              <w:t>1.98</w:t>
            </w:r>
          </w:p>
        </w:tc>
      </w:tr>
      <w:tr>
        <w:trPr>
          <w:trHeight w:val="347" w:hRule="exact"/>
        </w:trPr>
        <w:tc>
          <w:tcPr>
            <w:tcW w:w="3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120,000.00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80"/>
              <w:jc w:val="center"/>
              <w:rPr>
                <w:rFonts w:ascii="Times New Roman" w:hAnsi="Times New Roman" w:cs="Times New Roman" w:eastAsia="Times New Roman" w:hint="default"/>
                <w:sz w:val="16"/>
                <w:szCs w:val="16"/>
              </w:rPr>
            </w:pPr>
            <w:r>
              <w:rPr>
                <w:rFonts w:ascii="Times New Roman"/>
                <w:sz w:val="16"/>
              </w:rPr>
              <w:t>1.68</w:t>
            </w:r>
          </w:p>
        </w:tc>
      </w:tr>
      <w:tr>
        <w:trPr>
          <w:trHeight w:val="347" w:hRule="exact"/>
        </w:trPr>
        <w:tc>
          <w:tcPr>
            <w:tcW w:w="3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100,000.00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80"/>
              <w:jc w:val="center"/>
              <w:rPr>
                <w:rFonts w:ascii="Times New Roman" w:hAnsi="Times New Roman" w:cs="Times New Roman" w:eastAsia="Times New Roman" w:hint="default"/>
                <w:sz w:val="16"/>
                <w:szCs w:val="16"/>
              </w:rPr>
            </w:pPr>
            <w:r>
              <w:rPr>
                <w:rFonts w:ascii="Times New Roman"/>
                <w:sz w:val="16"/>
              </w:rPr>
              <w:t>1.40</w:t>
            </w:r>
          </w:p>
        </w:tc>
      </w:tr>
      <w:tr>
        <w:trPr>
          <w:trHeight w:val="347" w:hRule="exact"/>
        </w:trPr>
        <w:tc>
          <w:tcPr>
            <w:tcW w:w="3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60,300.00</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80"/>
              <w:jc w:val="center"/>
              <w:rPr>
                <w:rFonts w:ascii="Times New Roman" w:hAnsi="Times New Roman" w:cs="Times New Roman" w:eastAsia="Times New Roman" w:hint="default"/>
                <w:sz w:val="16"/>
                <w:szCs w:val="16"/>
              </w:rPr>
            </w:pPr>
            <w:r>
              <w:rPr>
                <w:rFonts w:ascii="Times New Roman"/>
                <w:sz w:val="16"/>
              </w:rPr>
              <w:t>0.84</w:t>
            </w:r>
          </w:p>
        </w:tc>
      </w:tr>
      <w:tr>
        <w:trPr>
          <w:trHeight w:val="348" w:hRule="exact"/>
        </w:trPr>
        <w:tc>
          <w:tcPr>
            <w:tcW w:w="3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6,901,809.43</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29"/>
              <w:jc w:val="center"/>
              <w:rPr>
                <w:rFonts w:ascii="Times New Roman" w:hAnsi="Times New Roman" w:cs="Times New Roman" w:eastAsia="Times New Roman" w:hint="default"/>
                <w:sz w:val="16"/>
                <w:szCs w:val="16"/>
              </w:rPr>
            </w:pPr>
            <w:r>
              <w:rPr>
                <w:rFonts w:ascii="Times New Roman"/>
                <w:sz w:val="16"/>
              </w:rPr>
              <w:t>96.64</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6、其他应收款" w:id="204"/>
      <w:bookmarkEnd w:id="204"/>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205"/>
      <w:bookmarkEnd w:id="20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20,818,4</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05.60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1,194,68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19,623,71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15,575,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237.72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900,397.6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14,674,840.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20,818,4</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05.60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1,194,68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19,623,71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15,575,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237.72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900,397.6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14,674,840.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7"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7,643,358.71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7,847,238.71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3,212,585.20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321,258.52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4,003,850.00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600,577.50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450,265.42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90,053.08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15,686,545.33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1,194,689.10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r>
    </w:tbl>
    <w:p>
      <w:pPr>
        <w:spacing w:line="338" w:lineRule="auto"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已单独计提减值准备的其他应收款除外，公司根据以前年度与之相同或相类似的、按账龄段划分的具有类似信用风险特征的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其他应收款组合的实际损失率为基础，结合现时情况分析法确定坏账准备计提的比例</w:t>
      </w:r>
      <w:r>
        <w:rPr>
          <w:rFonts w:ascii="Times New Roman" w:hAnsi="Times New Roman" w:cs="Times New Roman" w:eastAsia="Times New Roman" w:hint="default"/>
          <w:sz w:val="18"/>
          <w:szCs w:val="18"/>
        </w:rPr>
        <w:t>. </w:t>
      </w:r>
      <w:r>
        <w:rPr>
          <w:rFonts w:ascii="宋体" w:hAnsi="宋体" w:cs="宋体" w:eastAsia="宋体" w:hint="default"/>
          <w:sz w:val="18"/>
          <w:szCs w:val="18"/>
        </w:rPr>
        <w:t>组合中，采用余额百分比法计提坏账准备的其他应收款：</w:t>
      </w:r>
    </w:p>
    <w:p>
      <w:pPr>
        <w:spacing w:line="338" w:lineRule="auto" w:before="43"/>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28" w:lineRule="auto" w:before="42"/>
        <w:ind w:left="153" w:right="265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对公司内部员工备用金或关联方借款，除有确定依据无法收回全额计提坏账准备外，不确认坏账准备。 该组合中其他应收款期末余额为</w:t>
      </w:r>
      <w:r>
        <w:rPr>
          <w:rFonts w:ascii="Times New Roman" w:hAnsi="Times New Roman" w:cs="Times New Roman" w:eastAsia="Times New Roman" w:hint="default"/>
          <w:sz w:val="18"/>
          <w:szCs w:val="18"/>
        </w:rPr>
        <w:t>5,131,860.27</w:t>
      </w:r>
      <w:r>
        <w:rPr>
          <w:rFonts w:ascii="宋体" w:hAnsi="宋体" w:cs="宋体" w:eastAsia="宋体" w:hint="default"/>
          <w:sz w:val="18"/>
          <w:szCs w:val="18"/>
        </w:rPr>
        <w:t>元，坏账准备期末余额为</w:t>
      </w:r>
      <w:r>
        <w:rPr>
          <w:rFonts w:ascii="Times New Roman" w:hAnsi="Times New Roman" w:cs="Times New Roman" w:eastAsia="Times New Roman" w:hint="default"/>
          <w:sz w:val="18"/>
          <w:szCs w:val="18"/>
        </w:rPr>
        <w:t>0</w:t>
      </w:r>
      <w:r>
        <w:rPr>
          <w:rFonts w:ascii="宋体" w:hAnsi="宋体" w:cs="宋体" w:eastAsia="宋体" w:hint="default"/>
          <w:sz w:val="18"/>
          <w:szCs w:val="18"/>
        </w:rPr>
        <w:t>元，坏账准备的计提比例为</w:t>
      </w:r>
      <w:r>
        <w:rPr>
          <w:rFonts w:ascii="Times New Roman" w:hAnsi="Times New Roman" w:cs="Times New Roman" w:eastAsia="Times New Roman" w:hint="default"/>
          <w:sz w:val="18"/>
          <w:szCs w:val="18"/>
        </w:rPr>
        <w:t>0.</w:t>
      </w:r>
    </w:p>
    <w:p>
      <w:pPr>
        <w:spacing w:line="240" w:lineRule="auto" w:before="0"/>
        <w:rPr>
          <w:rFonts w:ascii="Times New Roman" w:hAnsi="Times New Roman" w:cs="Times New Roman" w:eastAsia="Times New Roman" w:hint="default"/>
          <w:sz w:val="23"/>
          <w:szCs w:val="23"/>
        </w:rPr>
      </w:pPr>
    </w:p>
    <w:p>
      <w:pPr>
        <w:pStyle w:val="Heading3"/>
        <w:spacing w:line="240" w:lineRule="auto"/>
        <w:ind w:left="153" w:right="0"/>
        <w:jc w:val="left"/>
        <w:rPr>
          <w:b w:val="0"/>
          <w:bCs w:val="0"/>
        </w:rPr>
      </w:pPr>
      <w:bookmarkStart w:name="（2）本期计提、收回或转回的坏账准备情况" w:id="206"/>
      <w:bookmarkEnd w:id="2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294,291.42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207"/>
      <w:bookmarkEnd w:id="207"/>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5,171,860.27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3,893,976.45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11,366,942.42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10,420,829.02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4,234,841.20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1,192,767.23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44,761.71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67,665.02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20,818,405.60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15,575,237.72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208"/>
      <w:bookmarkEnd w:id="208"/>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408,750.00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2,177,040.00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217,704.00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r>
        <w:rPr/>
        <w:pict>
          <v:shape style="position:absolute;margin-left:99.840004pt;margin-top:548.919983pt;width:105.5pt;height:15.6pt;mso-position-horizontal-relative:page;mso-position-vertical-relative:page;z-index:-777760"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（优先级）</w:t>
                  </w:r>
                </w:p>
              </w:txbxContent>
            </v:textbox>
            <w10:wrap type="none"/>
          </v:shape>
        </w:pict>
      </w:r>
      <w:r>
        <w:rPr/>
        <w:pict>
          <v:group style="position:absolute;margin-left:142.039993pt;margin-top:548.919983pt;width:63.3pt;height:15.6pt;mso-position-horizontal-relative:page;mso-position-vertical-relative:page;z-index:-777712" coordorigin="2841,10978" coordsize="1266,312">
            <v:shape style="position:absolute;left:2841;top:10978;width:1266;height:312" coordorigin="2841,10978" coordsize="1266,312" path="m2841,11290l4107,11290,4107,10978,2841,10978,2841,1129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6,235,790.00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626,454.00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存货" w:id="209"/>
      <w:bookmarkEnd w:id="209"/>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10"/>
      <w:bookmarkEnd w:id="21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71,665.90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71,665.90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1,210,750.04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1,210,750.04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71,665.90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71,665.90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1,210,750.04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1,210,750.04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持有至到期投资" w:id="211"/>
      <w:bookmarkEnd w:id="211"/>
      <w:r>
        <w:rPr>
          <w:b w:val="0"/>
          <w:bCs w:val="0"/>
        </w:rPr>
      </w:r>
      <w:r>
        <w:rPr>
          <w:rFonts w:ascii="Times New Roman" w:hAnsi="Times New Roman" w:cs="Times New Roman" w:eastAsia="Times New Roman" w:hint="default"/>
        </w:rPr>
        <w:t>8</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12"/>
      <w:bookmarkEnd w:id="21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37"/>
        <w:gridCol w:w="1138"/>
        <w:gridCol w:w="1126"/>
        <w:gridCol w:w="1367"/>
        <w:gridCol w:w="1368"/>
        <w:gridCol w:w="1367"/>
        <w:gridCol w:w="1367"/>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四川信托汇证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集合资金信托计划</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30,802,849.32</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30,802,849.32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长江财富</w:t>
            </w:r>
            <w:r>
              <w:rPr>
                <w:rFonts w:ascii="Times New Roman" w:hAnsi="Times New Roman" w:cs="Times New Roman" w:eastAsia="Times New Roman" w:hint="default"/>
                <w:sz w:val="18"/>
                <w:szCs w:val="18"/>
              </w:rPr>
              <w:t>-</w:t>
            </w:r>
            <w:r>
              <w:rPr>
                <w:rFonts w:ascii="宋体" w:hAnsi="宋体" w:cs="宋体" w:eastAsia="宋体" w:hint="default"/>
                <w:sz w:val="18"/>
                <w:szCs w:val="18"/>
              </w:rPr>
              <w:t>中百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号专 项资产管理计划</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50,131,095.90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50,131,095.90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中航信托天惠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信贷及车贷结构化集 合资金信托</w:t>
            </w:r>
          </w:p>
        </w:tc>
        <w:tc>
          <w:tcPr>
            <w:tcW w:w="137" w:type="dxa"/>
            <w:tcBorders>
              <w:top w:val="single" w:sz="4" w:space="0" w:color="000000"/>
              <w:left w:val="single" w:sz="4" w:space="0" w:color="000000"/>
              <w:bottom w:val="single" w:sz="4" w:space="0" w:color="000000"/>
              <w:right w:val="nil" w:sz="6" w:space="0" w:color="auto"/>
            </w:tcBorders>
          </w:tcPr>
          <w:p>
            <w:pP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10,226,849.32</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10,226,849.32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中航信托天惠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信贷及车贷结构化集 合资金信托</w:t>
            </w:r>
          </w:p>
        </w:tc>
        <w:tc>
          <w:tcPr>
            <w:tcW w:w="137" w:type="dxa"/>
            <w:tcBorders>
              <w:top w:val="single" w:sz="4" w:space="0" w:color="000000"/>
              <w:left w:val="single" w:sz="4" w:space="0" w:color="000000"/>
              <w:bottom w:val="single" w:sz="4" w:space="0" w:color="000000"/>
              <w:right w:val="nil" w:sz="6" w:space="0" w:color="auto"/>
            </w:tcBorders>
          </w:tcPr>
          <w:p>
            <w:pP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10,261,369.86</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10,261,369.86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中融</w:t>
            </w:r>
            <w:r>
              <w:rPr>
                <w:rFonts w:ascii="Times New Roman" w:hAnsi="Times New Roman" w:cs="Times New Roman" w:eastAsia="Times New Roman" w:hint="default"/>
                <w:sz w:val="18"/>
                <w:szCs w:val="18"/>
              </w:rPr>
              <w:t>-</w:t>
            </w:r>
            <w:r>
              <w:rPr>
                <w:rFonts w:ascii="宋体" w:hAnsi="宋体" w:cs="宋体" w:eastAsia="宋体" w:hint="default"/>
                <w:sz w:val="18"/>
                <w:szCs w:val="18"/>
              </w:rPr>
              <w:t>华夏孔雀城五 期集合资金信托</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71,795,068.49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71,795,068.49</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101,422,164.40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101,422,164.40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71,795,068.49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71,795,068.49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99.840004pt;margin-top:-84.44632pt;width:105.5pt;height:15.6pt;mso-position-horizontal-relative:page;mso-position-vertical-relative:paragraph;z-index:-77773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（优先级）</w:t>
                  </w:r>
                </w:p>
              </w:txbxContent>
            </v:textbox>
            <w10:wrap type="none"/>
          </v:shape>
        </w:pict>
      </w:r>
      <w:r>
        <w:rPr/>
        <w:pict>
          <v:group style="position:absolute;margin-left:142.039993pt;margin-top:-84.44632pt;width:63.3pt;height:15.6pt;mso-position-horizontal-relative:page;mso-position-vertical-relative:paragraph;z-index:-777688" coordorigin="2841,-1689" coordsize="1266,312">
            <v:shape style="position:absolute;left:2841;top:-1689;width:1266;height:312" coordorigin="2841,-1689" coordsize="1266,312" path="m2841,-1377l4107,-1377,4107,-1689,2841,-1689,2841,-1377xe" filled="true" fillcolor="#ffffff" stroked="false">
              <v:path arrowok="t"/>
              <v:fill type="solid"/>
            </v:shape>
            <w10:wrap type="none"/>
          </v:group>
        </w:pict>
      </w:r>
      <w:bookmarkStart w:name="9、长期股权投资" w:id="213"/>
      <w:bookmarkEnd w:id="213"/>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6384"/>
        <w:gridCol w:w="798"/>
        <w:gridCol w:w="797"/>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2"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804"/>
        <w:gridCol w:w="792"/>
        <w:gridCol w:w="798"/>
        <w:gridCol w:w="798"/>
        <w:gridCol w:w="798"/>
        <w:gridCol w:w="793"/>
        <w:gridCol w:w="804"/>
        <w:gridCol w:w="798"/>
        <w:gridCol w:w="798"/>
      </w:tblGrid>
      <w:tr>
        <w:trPr>
          <w:trHeight w:val="16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4"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79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3" w:right="27"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4"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372" w:hRule="exact"/>
        </w:trPr>
        <w:tc>
          <w:tcPr>
            <w:tcW w:w="796"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156" w:hRule="exact"/>
        </w:trPr>
        <w:tc>
          <w:tcPr>
            <w:tcW w:w="79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tcPr>
          <w:p>
            <w:pPr/>
          </w:p>
        </w:tc>
      </w:tr>
      <w:tr>
        <w:trPr>
          <w:trHeight w:val="161"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深圳市拜 特科技股 份有限公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19,356,54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0.14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19,550,35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193,813.8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广东同望 科技股份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51,949,16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1,259,745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71,305,70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19,550,35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1,453,558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71,305,70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19,550,35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1,453,558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71" w:lineRule="auto" w:before="10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月，公司董事会审议通过《关于出售公司所持拜特科技股份的议案》，以协议方式出售公司所持拜特</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全部股份，转让价格为人民币</w:t>
      </w:r>
      <w:r>
        <w:rPr>
          <w:rFonts w:ascii="Times New Roman" w:hAnsi="Times New Roman" w:cs="Times New Roman" w:eastAsia="Times New Roman" w:hint="default"/>
          <w:sz w:val="20"/>
          <w:szCs w:val="20"/>
        </w:rPr>
        <w:t>5</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股，合计转让价款为人民币</w:t>
      </w:r>
      <w:r>
        <w:rPr>
          <w:rFonts w:ascii="Times New Roman" w:hAnsi="Times New Roman" w:cs="Times New Roman" w:eastAsia="Times New Roman" w:hint="default"/>
          <w:sz w:val="20"/>
          <w:szCs w:val="20"/>
        </w:rPr>
        <w:t>2625</w:t>
      </w:r>
      <w:r>
        <w:rPr>
          <w:rFonts w:ascii="宋体" w:hAnsi="宋体" w:cs="宋体" w:eastAsia="宋体" w:hint="default"/>
          <w:sz w:val="20"/>
          <w:szCs w:val="20"/>
        </w:rPr>
        <w:t>万元。</w:t>
      </w:r>
    </w:p>
    <w:p>
      <w:pPr>
        <w:spacing w:line="240" w:lineRule="auto" w:before="11"/>
        <w:rPr>
          <w:rFonts w:ascii="宋体" w:hAnsi="宋体" w:cs="宋体" w:eastAsia="宋体" w:hint="default"/>
          <w:sz w:val="22"/>
          <w:szCs w:val="22"/>
        </w:rPr>
      </w:pPr>
    </w:p>
    <w:p>
      <w:pPr>
        <w:pStyle w:val="Heading3"/>
        <w:spacing w:line="240" w:lineRule="auto"/>
        <w:ind w:left="153" w:right="0"/>
        <w:jc w:val="left"/>
        <w:rPr>
          <w:b w:val="0"/>
          <w:bCs w:val="0"/>
        </w:rPr>
      </w:pPr>
      <w:bookmarkStart w:name="10、固定资产" w:id="214"/>
      <w:bookmarkEnd w:id="214"/>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15"/>
      <w:bookmarkEnd w:id="21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147,382,811.34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26,962,986.57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11,075,627.79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185,421,425.70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2,011,688.00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4,222,284.69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331,320.77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6,565,293.46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4,222,284.69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331,320.77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4,553,605.46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2,011,688.00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2,011,688.00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3,872,945.08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787,054.79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4,659,999.87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3,872,945.08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787,054.79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4,659,999.87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149,394,499.34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27,312,326.18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10,619,893.77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187,326,719.29</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18,084,285.68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13,452,316.39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7,229,019.22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38,765,621.29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3,438,738.66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4,941,639.49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839,499.40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9,219,877.55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3,438,738.66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4,941,639.49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839,499.40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9,219,877.55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3,018,931.22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699,300.66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3,718,231.88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3,018,931.22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699,300.66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3,718,231.88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21,523,024.34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15,375,024.66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7,369,217.96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44,267,266.96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127,871,475.00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11,937,301.52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3,250,675.81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143,059,452.33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129,298,525.66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13,510,670.18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3,846,608.57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146,655,804.41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在建工程" w:id="216"/>
      <w:bookmarkEnd w:id="216"/>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17"/>
      <w:bookmarkEnd w:id="21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分部房屋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1,871,701.00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1,871,701.00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无形资产" w:id="218"/>
      <w:bookmarkEnd w:id="218"/>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19"/>
      <w:bookmarkEnd w:id="21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3"/>
        <w:gridCol w:w="1397"/>
        <w:gridCol w:w="1368"/>
        <w:gridCol w:w="1382"/>
        <w:gridCol w:w="1380"/>
        <w:gridCol w:w="1568"/>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3,410,226.00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68,377,704.05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12,585,268.59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84,373,198.64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17,375,930.00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5,527,300.00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22,903,230.00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17,375,930.00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5,527,300.00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22,903,230.00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20,786,156.00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68,377,704.05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18,112,568.59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107,276,428.64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507,906.00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14,379,673.49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9,228,195.76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24,115,775.25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188,397.52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6,837,770.40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655,766.12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7,681,934.04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188,397.52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6,837,770.40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655,766.12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7,681,934.04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696,303.52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21,217,443.89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9,883,961.88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31,797,709.29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20,089,852.48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47,160,260.16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8,228,606.71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75,478,719.35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2,902,320.00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53,998,030.56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3,357,072.83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60,257,423.39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62.48%</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未办妥产权证书的土地使用权情况" w:id="220"/>
      <w:bookmarkEnd w:id="22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2979"/>
        <w:gridCol w:w="3189"/>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6"/>
              <w:jc w:val="center"/>
              <w:rPr>
                <w:rFonts w:ascii="宋体" w:hAnsi="宋体" w:cs="宋体" w:eastAsia="宋体" w:hint="default"/>
                <w:sz w:val="18"/>
                <w:szCs w:val="18"/>
              </w:rPr>
            </w:pPr>
            <w:r>
              <w:rPr>
                <w:rFonts w:ascii="宋体" w:hAnsi="宋体" w:cs="宋体" w:eastAsia="宋体" w:hint="default"/>
                <w:sz w:val="18"/>
                <w:szCs w:val="18"/>
              </w:rPr>
              <w:t>北京经济技术开发区河西区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X6-1M2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0" w:right="0"/>
              <w:jc w:val="left"/>
              <w:rPr>
                <w:rFonts w:ascii="Times New Roman" w:hAnsi="Times New Roman" w:cs="Times New Roman" w:eastAsia="Times New Roman" w:hint="default"/>
                <w:sz w:val="18"/>
                <w:szCs w:val="18"/>
              </w:rPr>
            </w:pPr>
            <w:r>
              <w:rPr>
                <w:rFonts w:ascii="Times New Roman"/>
                <w:sz w:val="18"/>
              </w:rPr>
              <w:t>17,375,930.00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3、开发支出" w:id="221"/>
      <w:bookmarkEnd w:id="221"/>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116"/>
        <w:gridCol w:w="1196"/>
        <w:gridCol w:w="1197"/>
        <w:gridCol w:w="1195"/>
        <w:gridCol w:w="1197"/>
        <w:gridCol w:w="1196"/>
        <w:gridCol w:w="1195"/>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司机驿站</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212,269.64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212,269.64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智慧物流港</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4,028,662.24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4,028,662.24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外商投资企业 财政登记项目</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818,969.59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818,969.59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久其集团财务 信息管理软件</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1,028,183.39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1,028,183.39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pacing w:val="-12"/>
                <w:sz w:val="18"/>
                <w:szCs w:val="18"/>
              </w:rPr>
              <w:t>JAVA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的电 子政务平台</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19,089,917.67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19,089,917.67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大数据分析</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692,575.22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692,575.22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久其报表管理 系统</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34,112,179.40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34,112,179.40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久其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集团 管控平台</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36,574,030.85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36,574,030.85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久其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政府 管理服务平台</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25,224,918.60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25,224,918.60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财务共享服务 中心</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5,604,111.69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12,041,213.47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17,645,325.16</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5,604,111.69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133,822,920.07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121,781,706.60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17,645,325.16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118"/>
        <w:jc w:val="left"/>
      </w:pPr>
      <w:r>
        <w:rPr/>
        <w:t>财务共享服务中心项目资本化开始时点为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月，其资本化具体依据为技术委员会立项文件，截止期 </w:t>
      </w:r>
      <w:r>
        <w:rPr>
          <w:spacing w:val="-2"/>
        </w:rPr>
        <w:t>末，产品原型设计已全部完成并评审通过。公司</w:t>
      </w:r>
      <w:r>
        <w:rPr>
          <w:rFonts w:ascii="Times New Roman" w:hAnsi="Times New Roman" w:cs="Times New Roman" w:eastAsia="Times New Roman" w:hint="default"/>
          <w:spacing w:val="-2"/>
        </w:rPr>
        <w:t>2014</w:t>
      </w:r>
      <w:r>
        <w:rPr>
          <w:spacing w:val="-2"/>
        </w:rPr>
        <w:t>年度共发生研究开发支出</w:t>
      </w:r>
      <w:r>
        <w:rPr>
          <w:rFonts w:ascii="Times New Roman" w:hAnsi="Times New Roman" w:cs="Times New Roman" w:eastAsia="Times New Roman" w:hint="default"/>
          <w:spacing w:val="-2"/>
        </w:rPr>
        <w:t>133,822,920.07</w:t>
      </w:r>
      <w:r>
        <w:rPr>
          <w:spacing w:val="-2"/>
        </w:rPr>
        <w:t>元，其中资本</w:t>
      </w:r>
      <w:r>
        <w:rPr>
          <w:spacing w:val="-73"/>
        </w:rPr>
        <w:t> </w:t>
      </w:r>
      <w:r>
        <w:rPr>
          <w:spacing w:val="-73"/>
        </w:rPr>
      </w:r>
      <w:r>
        <w:rPr>
          <w:spacing w:val="-1"/>
        </w:rPr>
        <w:t>化支出</w:t>
      </w:r>
      <w:r>
        <w:rPr>
          <w:rFonts w:ascii="Times New Roman" w:hAnsi="Times New Roman" w:cs="Times New Roman" w:eastAsia="Times New Roman" w:hint="default"/>
          <w:spacing w:val="-1"/>
        </w:rPr>
        <w:t>12,041,213.47</w:t>
      </w:r>
      <w:r>
        <w:rPr>
          <w:spacing w:val="-1"/>
        </w:rPr>
        <w:t>元计入开发支出，费用化支出</w:t>
      </w:r>
      <w:r>
        <w:rPr>
          <w:rFonts w:ascii="Times New Roman" w:hAnsi="Times New Roman" w:cs="Times New Roman" w:eastAsia="Times New Roman" w:hint="default"/>
          <w:spacing w:val="-1"/>
        </w:rPr>
        <w:t>121,781,706.60</w:t>
      </w:r>
      <w:r>
        <w:rPr>
          <w:spacing w:val="-1"/>
        </w:rPr>
        <w:t>元计入管理费用；本期开发支出占本期研</w:t>
      </w:r>
      <w:r>
        <w:rPr>
          <w:spacing w:val="-71"/>
        </w:rPr>
        <w:t> </w:t>
      </w:r>
      <w:r>
        <w:rPr>
          <w:spacing w:val="-71"/>
        </w:rPr>
      </w:r>
      <w:r>
        <w:rPr/>
        <w:t>究开发项目支出总额的比例为</w:t>
      </w:r>
      <w:r>
        <w:rPr>
          <w:rFonts w:ascii="Times New Roman" w:hAnsi="Times New Roman" w:cs="Times New Roman" w:eastAsia="Times New Roman" w:hint="default"/>
        </w:rPr>
        <w:t>9.00%</w:t>
      </w:r>
      <w:r>
        <w:rPr/>
        <w:t>，通过公司内部研发形成的无形资产占无形资产期末账面价值的比例 为</w:t>
      </w:r>
      <w:r>
        <w:rPr>
          <w:rFonts w:ascii="Times New Roman" w:hAnsi="Times New Roman" w:cs="Times New Roman" w:eastAsia="Times New Roman" w:hint="default"/>
        </w:rPr>
        <w:t>62.48%</w:t>
      </w:r>
      <w:r>
        <w:rPr/>
        <w:t>。</w:t>
      </w:r>
    </w:p>
    <w:p>
      <w:pPr>
        <w:spacing w:after="0" w:line="25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4、商誉" w:id="222"/>
      <w:bookmarkEnd w:id="222"/>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23"/>
      <w:bookmarkEnd w:id="22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北京北邮中望信 息科技有限责任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5,627,588.30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5,627,588.30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北京久其智通数 据科技有限公司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2,401,000.00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5,627,588.30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8,028,588.30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24"/>
      <w:bookmarkEnd w:id="22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北京北邮中望信 息科技有限责任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5,627,588.30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5,627,588.30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5,627,588.30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5,627,588.30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309" w:lineRule="auto" w:before="115"/>
        <w:ind w:left="153"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2010-2012</w:t>
      </w:r>
      <w:r>
        <w:rPr>
          <w:rFonts w:ascii="宋体" w:hAnsi="宋体" w:cs="宋体" w:eastAsia="宋体" w:hint="default"/>
          <w:sz w:val="18"/>
          <w:szCs w:val="18"/>
        </w:rPr>
        <w:t>年，北京北邮中望信息科技有限责任公司经营情况不佳，盈利能力不稳定。</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年北邮中望资不抵债的情况没有 </w:t>
      </w:r>
      <w:r>
        <w:rPr>
          <w:rFonts w:ascii="宋体" w:hAnsi="宋体" w:cs="宋体" w:eastAsia="宋体" w:hint="default"/>
          <w:spacing w:val="-2"/>
          <w:sz w:val="18"/>
          <w:szCs w:val="18"/>
        </w:rPr>
        <w:t>得到根本扭转，业务和人员规模更加萎缩，鉴于此，超额投资部分的经济价值没有得到体现，对其投资形成的商誉予以全额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减值。</w:t>
      </w:r>
    </w:p>
    <w:p>
      <w:pPr>
        <w:spacing w:before="65"/>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6"/>
        <w:ind w:left="153" w:right="11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月，公司与北京智通胜创科技有限公司签署《投资合作协议书》，共同出资设立北京久其智通数据科技有限公司， </w:t>
      </w:r>
      <w:r>
        <w:rPr>
          <w:rFonts w:ascii="宋体" w:hAnsi="宋体" w:cs="宋体" w:eastAsia="宋体" w:hint="default"/>
          <w:spacing w:val="-1"/>
          <w:sz w:val="18"/>
          <w:szCs w:val="18"/>
        </w:rPr>
        <w:t>其中，公司以货币出资</w:t>
      </w:r>
      <w:r>
        <w:rPr>
          <w:rFonts w:ascii="Times New Roman" w:hAnsi="Times New Roman" w:cs="Times New Roman" w:eastAsia="Times New Roman" w:hint="default"/>
          <w:spacing w:val="-1"/>
          <w:sz w:val="18"/>
          <w:szCs w:val="18"/>
        </w:rPr>
        <w:t>1000</w:t>
      </w:r>
      <w:r>
        <w:rPr>
          <w:rFonts w:ascii="宋体" w:hAnsi="宋体" w:cs="宋体" w:eastAsia="宋体" w:hint="default"/>
          <w:spacing w:val="-1"/>
          <w:sz w:val="18"/>
          <w:szCs w:val="18"/>
        </w:rPr>
        <w:t>万元，占</w:t>
      </w:r>
      <w:r>
        <w:rPr>
          <w:rFonts w:ascii="Times New Roman" w:hAnsi="Times New Roman" w:cs="Times New Roman" w:eastAsia="Times New Roman" w:hint="default"/>
          <w:spacing w:val="-1"/>
          <w:sz w:val="18"/>
          <w:szCs w:val="18"/>
        </w:rPr>
        <w:t>51.00%</w:t>
      </w:r>
      <w:r>
        <w:rPr>
          <w:rFonts w:ascii="宋体" w:hAnsi="宋体" w:cs="宋体" w:eastAsia="宋体" w:hint="default"/>
          <w:spacing w:val="-1"/>
          <w:sz w:val="18"/>
          <w:szCs w:val="18"/>
        </w:rPr>
        <w:t>股权；北京智通胜创科技有限公司以无形资产出资</w:t>
      </w:r>
      <w:r>
        <w:rPr>
          <w:rFonts w:ascii="Times New Roman" w:hAnsi="Times New Roman" w:cs="Times New Roman" w:eastAsia="Times New Roman" w:hint="default"/>
          <w:spacing w:val="-1"/>
          <w:sz w:val="18"/>
          <w:szCs w:val="18"/>
        </w:rPr>
        <w:t>490</w:t>
      </w:r>
      <w:r>
        <w:rPr>
          <w:rFonts w:ascii="宋体" w:hAnsi="宋体" w:cs="宋体" w:eastAsia="宋体" w:hint="default"/>
          <w:spacing w:val="-1"/>
          <w:sz w:val="18"/>
          <w:szCs w:val="18"/>
        </w:rPr>
        <w:t>万元，占</w:t>
      </w:r>
      <w:r>
        <w:rPr>
          <w:rFonts w:ascii="Times New Roman" w:hAnsi="Times New Roman" w:cs="Times New Roman" w:eastAsia="Times New Roman" w:hint="default"/>
          <w:spacing w:val="-1"/>
          <w:sz w:val="18"/>
          <w:szCs w:val="18"/>
        </w:rPr>
        <w:t>49.00%</w:t>
      </w:r>
      <w:r>
        <w:rPr>
          <w:rFonts w:ascii="宋体" w:hAnsi="宋体" w:cs="宋体" w:eastAsia="宋体" w:hint="default"/>
          <w:spacing w:val="-1"/>
          <w:sz w:val="18"/>
          <w:szCs w:val="18"/>
        </w:rPr>
        <w:t>股权，公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司投资成本超出可辨认净资产部分确认为商誉。</w:t>
      </w:r>
    </w:p>
    <w:p>
      <w:pPr>
        <w:spacing w:line="240" w:lineRule="auto" w:before="6"/>
        <w:rPr>
          <w:rFonts w:ascii="宋体" w:hAnsi="宋体" w:cs="宋体" w:eastAsia="宋体" w:hint="default"/>
          <w:sz w:val="23"/>
          <w:szCs w:val="23"/>
        </w:rPr>
      </w:pPr>
    </w:p>
    <w:p>
      <w:pPr>
        <w:pStyle w:val="Heading3"/>
        <w:spacing w:line="240" w:lineRule="auto"/>
        <w:ind w:left="153" w:right="0"/>
        <w:jc w:val="both"/>
        <w:rPr>
          <w:b w:val="0"/>
          <w:bCs w:val="0"/>
        </w:rPr>
      </w:pPr>
      <w:bookmarkStart w:name="15、长期待摊费用" w:id="225"/>
      <w:bookmarkEnd w:id="225"/>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国英一号装修费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103,617.48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73,141.68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30,475.80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亦庄研发楼装修费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1,673,625.13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1,396,608.29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277,016.84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天津鼎泰装修费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57,866.57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35,466.53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176,361.63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77,387.43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98,974.20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75,221.07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31,125.96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44,095.11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2,086,691.88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1,600,663.40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486,028.48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6、递延所得税资产/递延所得税负债" w:id="226"/>
      <w:bookmarkEnd w:id="226"/>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27"/>
      <w:bookmarkEnd w:id="22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4,955,502.10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534,862.86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2,126,635.30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229,064.06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1,212,833.76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121,283.38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1,528,773.84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152,877.38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6,168,335.86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656,146.24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3,655,409.14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381,941.44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28"/>
      <w:bookmarkEnd w:id="22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交易性金融工具公允价 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799,905.59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79,990.56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788,375.18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78,837.52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799,905.59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79,990.56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788,375.18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78,837.52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29"/>
      <w:bookmarkEnd w:id="22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656,146.24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381,941.44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79,990.56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78,837.52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30"/>
      <w:bookmarkEnd w:id="23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20,195.70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18,660.58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20,195.70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18,660.58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应付账款" w:id="231"/>
      <w:bookmarkEnd w:id="231"/>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32"/>
      <w:bookmarkEnd w:id="23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486,942.44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1,055,603.50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788,380.89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476,051.20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932,737.81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1,336,073.64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2,973,322.20</w:t>
            </w:r>
          </w:p>
        </w:tc>
      </w:tr>
    </w:tbl>
    <w:p>
      <w:pPr>
        <w:spacing w:line="240" w:lineRule="auto" w:before="2"/>
        <w:rPr>
          <w:rFonts w:ascii="宋体" w:hAnsi="宋体" w:cs="宋体" w:eastAsia="宋体" w:hint="default"/>
          <w:sz w:val="19"/>
          <w:szCs w:val="19"/>
        </w:rPr>
      </w:pPr>
    </w:p>
    <w:p>
      <w:pPr>
        <w:spacing w:line="506" w:lineRule="auto" w:before="35"/>
        <w:ind w:left="153" w:right="1953" w:firstLine="0"/>
        <w:jc w:val="left"/>
        <w:rPr>
          <w:rFonts w:ascii="宋体" w:hAnsi="宋体" w:cs="宋体" w:eastAsia="宋体" w:hint="default"/>
          <w:sz w:val="21"/>
          <w:szCs w:val="21"/>
        </w:rPr>
      </w:pPr>
      <w:bookmarkStart w:name="（2）账龄超过1年的重要应付账款"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年的重要应付账款</w:t>
      </w:r>
      <w:r>
        <w:rPr>
          <w:rFonts w:ascii="宋体" w:hAnsi="宋体" w:cs="宋体" w:eastAsia="宋体" w:hint="default"/>
          <w:b/>
          <w:bCs/>
          <w:w w:val="99"/>
          <w:sz w:val="21"/>
          <w:szCs w:val="21"/>
        </w:rPr>
        <w:t> </w:t>
      </w:r>
      <w:r>
        <w:rPr>
          <w:rFonts w:ascii="宋体" w:hAnsi="宋体" w:cs="宋体" w:eastAsia="宋体" w:hint="default"/>
          <w:sz w:val="21"/>
          <w:szCs w:val="21"/>
        </w:rPr>
        <w:t>报告期账龄超过一年的应付账款主要为未到账期工程款，无单项金额重大的</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年以上应付账款。</w:t>
      </w:r>
    </w:p>
    <w:p>
      <w:pPr>
        <w:spacing w:line="240" w:lineRule="auto" w:before="10"/>
        <w:rPr>
          <w:rFonts w:ascii="宋体" w:hAnsi="宋体" w:cs="宋体" w:eastAsia="宋体" w:hint="default"/>
          <w:sz w:val="28"/>
          <w:szCs w:val="28"/>
        </w:rPr>
      </w:pPr>
    </w:p>
    <w:p>
      <w:pPr>
        <w:pStyle w:val="Heading3"/>
        <w:spacing w:line="240" w:lineRule="auto"/>
        <w:ind w:left="153" w:right="0"/>
        <w:jc w:val="left"/>
        <w:rPr>
          <w:b w:val="0"/>
          <w:bCs w:val="0"/>
        </w:rPr>
      </w:pPr>
      <w:bookmarkStart w:name="18、预收款项" w:id="234"/>
      <w:bookmarkEnd w:id="234"/>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35"/>
      <w:bookmarkEnd w:id="23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4,977,698.40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1,627,616.98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82,837.00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237,924.00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158,678.00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307,275.00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5,737,912.40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2,331,493.98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36"/>
      <w:bookmarkEnd w:id="23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before="87"/>
        <w:ind w:left="24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期末建造合同形成的已结算未完工项目情况" w:id="237"/>
      <w:bookmarkEnd w:id="23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360" w:lineRule="auto" w:before="87"/>
        <w:ind w:left="154" w:right="9852" w:firstLine="90"/>
        <w:jc w:val="left"/>
        <w:rPr>
          <w:rFonts w:ascii="宋体" w:hAnsi="宋体" w:cs="宋体" w:eastAsia="宋体" w:hint="default"/>
          <w:sz w:val="18"/>
          <w:szCs w:val="18"/>
        </w:rPr>
      </w:pPr>
      <w:r>
        <w:rPr>
          <w:rFonts w:ascii="宋体" w:hAnsi="宋体" w:cs="宋体" w:eastAsia="宋体" w:hint="default"/>
          <w:sz w:val="18"/>
          <w:szCs w:val="18"/>
        </w:rPr>
        <w:t>无 其他说明：</w:t>
      </w:r>
    </w:p>
    <w:p>
      <w:pPr>
        <w:pStyle w:val="BodyText"/>
        <w:spacing w:line="290" w:lineRule="exact"/>
        <w:ind w:right="0"/>
        <w:jc w:val="left"/>
      </w:pPr>
      <w:r>
        <w:rPr/>
        <w:t>报告期账龄超过一年的预收款项主要系未完工项目与未结算尾款，无单项金额重大的</w:t>
      </w: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年以上预收账款。</w:t>
      </w:r>
    </w:p>
    <w:p>
      <w:pPr>
        <w:spacing w:after="0" w:line="290"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9、应付职工薪酬" w:id="238"/>
      <w:bookmarkEnd w:id="238"/>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39"/>
      <w:bookmarkEnd w:id="23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32,581,140.45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193,420,232.34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183,283,072.24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42,718,300.55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18,668,072.19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18,668,072.19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70,917.00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70,917.00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32,581,140.45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212,159,221.53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202,022,061.43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42,718,300.55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40"/>
      <w:bookmarkEnd w:id="24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30,137,852.60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166,038,494.17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155,624,758.77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40,551,588.00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7,496,234.62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7,496,234.62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9,606,128.09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9,606,128.09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8,588,525.20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8,588,525.20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321,681.66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321,681.66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695,921.23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695,921.23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9,819,821.06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9,826,479.06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2,436,629.85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459,554.40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729,471.70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2,166,712.55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32,581,140.45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193,420,232.34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183,283,072.24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42,718,300.55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41"/>
      <w:bookmarkEnd w:id="24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17,620,864.98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17,620,864.98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1,047,207.21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1,047,207.21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18,668,072.19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18,668,072.19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应交税费" w:id="242"/>
      <w:bookmarkEnd w:id="242"/>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5,039,503.92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4,098,127.75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196,464.21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2,554,883.89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3,309,888.79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768,529.63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597,351.25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380,311.19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312,308.87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16,358.48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272,198.58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223,050.49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平抑副食品基金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9,037,686.34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8,744,472.73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21、应付利息" w:id="243"/>
      <w:bookmarkEnd w:id="243"/>
      <w:r>
        <w:rPr>
          <w:b w:val="0"/>
          <w:bCs w:val="0"/>
        </w:rPr>
      </w:r>
      <w:r>
        <w:rPr>
          <w:rFonts w:ascii="Times New Roman" w:hAnsi="Times New Roman" w:cs="Times New Roman" w:eastAsia="Times New Roman" w:hint="default"/>
        </w:rPr>
        <w:t>21</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687,583.46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687,583.46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687,583.46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687,583.46</w:t>
            </w:r>
          </w:p>
        </w:tc>
      </w:tr>
    </w:tbl>
    <w:p>
      <w:pPr>
        <w:spacing w:line="360" w:lineRule="auto" w:before="51"/>
        <w:ind w:left="153" w:right="787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 其他说明：</w:t>
      </w:r>
    </w:p>
    <w:p>
      <w:pPr>
        <w:spacing w:before="25"/>
        <w:ind w:left="153" w:right="0" w:firstLine="0"/>
        <w:jc w:val="left"/>
        <w:rPr>
          <w:rFonts w:ascii="宋体" w:hAnsi="宋体" w:cs="宋体" w:eastAsia="宋体" w:hint="default"/>
          <w:sz w:val="18"/>
          <w:szCs w:val="18"/>
        </w:rPr>
      </w:pPr>
      <w:r>
        <w:rPr>
          <w:rFonts w:ascii="宋体" w:hAnsi="宋体" w:cs="宋体" w:eastAsia="宋体" w:hint="default"/>
          <w:sz w:val="18"/>
          <w:szCs w:val="18"/>
        </w:rPr>
        <w:t>其他借款应付利息为子公司北京北邮中望信息科技有限责任公司以前年度股东借款应付利息。</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2、其他应付款" w:id="244"/>
      <w:bookmarkEnd w:id="244"/>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45"/>
      <w:bookmarkEnd w:id="24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员工保险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1,534,509.90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644,643.77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441,020.00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417,490.90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业务报销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361,818.15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249,416.88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房租押金租金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284,730.00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33,665.55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4,384.77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4,689,915.00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3,547,701.87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账龄超过1年的重要其他应付款" w:id="246"/>
      <w:bookmarkEnd w:id="24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1,227,150.00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子公司原股东往来款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梁雄健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子公司股东往来款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司亚清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子公司股东往来款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1,953,750.00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递延收益" w:id="247"/>
      <w:bookmarkEnd w:id="247"/>
      <w:r>
        <w:rPr>
          <w:b w:val="0"/>
          <w:bCs w:val="0"/>
        </w:rPr>
      </w:r>
      <w:r>
        <w:rPr>
          <w:rFonts w:ascii="Times New Roman" w:hAnsi="Times New Roman" w:cs="Times New Roman" w:eastAsia="Times New Roman" w:hint="default"/>
        </w:rPr>
        <w:t>23</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1,528,773.84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315,940.08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1,212,833.76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1,528,773.84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315,940.08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1,212,833.76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both"/>
              <w:rPr>
                <w:rFonts w:ascii="宋体" w:hAnsi="宋体" w:cs="宋体" w:eastAsia="宋体" w:hint="default"/>
                <w:sz w:val="18"/>
                <w:szCs w:val="18"/>
              </w:rPr>
            </w:pPr>
            <w:r>
              <w:rPr>
                <w:rFonts w:ascii="宋体" w:hAnsi="宋体" w:cs="宋体" w:eastAsia="宋体" w:hint="default"/>
                <w:sz w:val="18"/>
                <w:szCs w:val="18"/>
              </w:rPr>
              <w:t>基于新一代开发 平台的集团管控 软件的升级改造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1,528,773.84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315,940.08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1,212,833.76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1,528,773.84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315,940.08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1,212,833.76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300" w:lineRule="auto" w:before="115"/>
        <w:ind w:left="153" w:right="112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月，根据北京市发展和改革委员会《关于北京久其软件股份有限公司基于新一代开发平台的集团管控软件的升级改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造项目资金申请报告的批复》（京发改</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[2012]1313</w:t>
      </w:r>
      <w:r>
        <w:rPr>
          <w:rFonts w:ascii="宋体" w:hAnsi="宋体" w:cs="宋体" w:eastAsia="宋体" w:hint="default"/>
          <w:sz w:val="18"/>
          <w:szCs w:val="18"/>
        </w:rPr>
        <w:t>号），公司收到</w:t>
      </w:r>
      <w:r>
        <w:rPr>
          <w:rFonts w:ascii="Times New Roman" w:hAnsi="Times New Roman" w:cs="Times New Roman" w:eastAsia="Times New Roman" w:hint="default"/>
          <w:sz w:val="18"/>
          <w:szCs w:val="18"/>
        </w:rPr>
        <w:t>“</w:t>
      </w:r>
      <w:r>
        <w:rPr>
          <w:rFonts w:ascii="宋体" w:hAnsi="宋体" w:cs="宋体" w:eastAsia="宋体" w:hint="default"/>
          <w:sz w:val="18"/>
          <w:szCs w:val="18"/>
        </w:rPr>
        <w:t>基于新一代开发平台的集团管控软件的升级改造项目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
          <w:sz w:val="18"/>
          <w:szCs w:val="18"/>
        </w:rPr>
        <w:t>专项补贴</w:t>
      </w:r>
      <w:r>
        <w:rPr>
          <w:rFonts w:ascii="Times New Roman" w:hAnsi="Times New Roman" w:cs="Times New Roman" w:eastAsia="Times New Roman" w:hint="default"/>
          <w:spacing w:val="-1"/>
          <w:sz w:val="18"/>
          <w:szCs w:val="18"/>
        </w:rPr>
        <w:t>1,700,000.00</w:t>
      </w:r>
      <w:r>
        <w:rPr>
          <w:rFonts w:ascii="宋体" w:hAnsi="宋体" w:cs="宋体" w:eastAsia="宋体" w:hint="default"/>
          <w:spacing w:val="-1"/>
          <w:sz w:val="18"/>
          <w:szCs w:val="18"/>
        </w:rPr>
        <w:t>元；截止</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月，该资金已全部用于购买机器设备和无形资产，该专项补贴按机器设备和无形资产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使用年限分摊计入营业外收入，本年计入营业外收入</w:t>
      </w:r>
      <w:r>
        <w:rPr>
          <w:rFonts w:ascii="Times New Roman" w:hAnsi="Times New Roman" w:cs="Times New Roman" w:eastAsia="Times New Roman" w:hint="default"/>
          <w:sz w:val="18"/>
          <w:szCs w:val="18"/>
        </w:rPr>
        <w:t>315,940.08</w:t>
      </w:r>
      <w:r>
        <w:rPr>
          <w:rFonts w:ascii="宋体" w:hAnsi="宋体" w:cs="宋体" w:eastAsia="宋体" w:hint="default"/>
          <w:sz w:val="18"/>
          <w:szCs w:val="18"/>
        </w:rPr>
        <w:t>元。</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24、股本" w:id="248"/>
      <w:bookmarkEnd w:id="248"/>
      <w:r>
        <w:rPr>
          <w:b w:val="0"/>
          <w:bCs w:val="0"/>
        </w:rPr>
      </w:r>
      <w:r>
        <w:rPr>
          <w:rFonts w:ascii="Times New Roman" w:hAnsi="Times New Roman" w:cs="Times New Roman" w:eastAsia="Times New Roman" w:hint="default"/>
        </w:rPr>
        <w:t>24</w:t>
      </w:r>
      <w:r>
        <w:rPr/>
        <w:t>、股本</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175,795,305.00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175,795,305.00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5、资本公积" w:id="249"/>
      <w:bookmarkEnd w:id="249"/>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255,019,596.69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255,019,596.69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20,899,633.82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20,899,633.82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275,919,230.51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275,919,230.51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盈余公积" w:id="250"/>
      <w:bookmarkEnd w:id="250"/>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38,841,898.35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44,963,753.07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38,841,898.35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44,963,753.07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7、未分配利润" w:id="251"/>
      <w:bookmarkEnd w:id="251"/>
      <w:r>
        <w:rPr>
          <w:b w:val="0"/>
          <w:bCs w:val="0"/>
        </w:rPr>
      </w:r>
      <w:r>
        <w:rPr>
          <w:rFonts w:ascii="Times New Roman" w:hAnsi="Times New Roman" w:cs="Times New Roman" w:eastAsia="Times New Roman" w:hint="default"/>
        </w:rPr>
        <w:t>27</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218,193,819.13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182,310,083.56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218,193,819.13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182,310,083.56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72,679,211.46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59,433,902.96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6,121,854.72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5,970,636.89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31,643,154.90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17,579,530.50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253,108,020.97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218,193,819.13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8、营业收入和营业成本" w:id="252"/>
      <w:bookmarkEnd w:id="252"/>
      <w:r>
        <w:rPr>
          <w:b w:val="0"/>
          <w:bCs w:val="0"/>
        </w:rPr>
      </w:r>
      <w:r>
        <w:rPr>
          <w:rFonts w:ascii="Times New Roman" w:hAnsi="Times New Roman" w:cs="Times New Roman" w:eastAsia="Times New Roman" w:hint="default"/>
        </w:rPr>
        <w:t>28</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325,919,322.40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16,379,457.86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288,774,492.15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7,834,873.69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759,225.00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770,958.85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326,678,547.40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16,379,457.86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289,545,451.00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7,834,873.69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9、营业税金及附加" w:id="253"/>
      <w:bookmarkEnd w:id="253"/>
      <w:r>
        <w:rPr>
          <w:b w:val="0"/>
          <w:bCs w:val="0"/>
        </w:rPr>
      </w:r>
      <w:r>
        <w:rPr>
          <w:rFonts w:ascii="Times New Roman" w:hAnsi="Times New Roman" w:cs="Times New Roman" w:eastAsia="Times New Roman" w:hint="default"/>
        </w:rPr>
        <w:t>29</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51,335.10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621,726.01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1,142,941.07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846,128.55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817,951.38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605,405.51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副食品调控基金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5,087.95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2,444.21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2,019,064.37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2,075,704.38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销售费用" w:id="254"/>
      <w:bookmarkEnd w:id="254"/>
      <w:r>
        <w:rPr>
          <w:b w:val="0"/>
          <w:bCs w:val="0"/>
        </w:rPr>
      </w:r>
      <w:r>
        <w:rPr>
          <w:rFonts w:ascii="Times New Roman" w:hAnsi="Times New Roman" w:cs="Times New Roman" w:eastAsia="Times New Roman" w:hint="default"/>
        </w:rPr>
        <w:t>30</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17,083,916.60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16,121,168.22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1,726,395.74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1,646,710.60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722,151.07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262,892.00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1,386,969.00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1,123,939.10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484,956.15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86,188.06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2,575,243.10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2,816,762.84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23,979,631.66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22,057,660.82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管理费用" w:id="255"/>
      <w:bookmarkEnd w:id="255"/>
      <w:r>
        <w:rPr>
          <w:b w:val="0"/>
          <w:bCs w:val="0"/>
        </w:rPr>
      </w:r>
      <w:r>
        <w:rPr>
          <w:rFonts w:ascii="Times New Roman" w:hAnsi="Times New Roman" w:cs="Times New Roman" w:eastAsia="Times New Roman" w:hint="default"/>
        </w:rPr>
        <w:t>31</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121,781,706.60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105,345,215.63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77,137,366.04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63,540,141.19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2,978,839.73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2,514,546.06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5,238,564.44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5,055,308.62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6,135,153.78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5,555,949.40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2,580,856.42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2,942,537.62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2,719,788.21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2,361,812.97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2,546,456.01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2,420,379.70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2,899,996.85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3,141,555.17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1,600,663.40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1,774,946.76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12,185,527.54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9,531,681.72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237,804,919.02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204,184,074.84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2、财务费用" w:id="256"/>
      <w:bookmarkEnd w:id="256"/>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-3,073,117.06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-3,237,752.35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-3,067,595.72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-3,226,552.73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资产减值损失" w:id="257"/>
      <w:bookmarkEnd w:id="257"/>
      <w:r>
        <w:rPr>
          <w:b w:val="0"/>
          <w:bCs w:val="0"/>
        </w:rPr>
      </w:r>
      <w:r>
        <w:rPr>
          <w:rFonts w:ascii="Times New Roman" w:hAnsi="Times New Roman" w:cs="Times New Roman" w:eastAsia="Times New Roman" w:hint="default"/>
        </w:rPr>
        <w:t>33</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2,830,401.92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1,061,016.61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2,971,594.34</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2,830,401.92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4,032,610.95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公允价值变动收益" w:id="258"/>
      <w:bookmarkEnd w:id="258"/>
      <w:r>
        <w:rPr>
          <w:b w:val="0"/>
          <w:bCs w:val="0"/>
        </w:rPr>
      </w:r>
      <w:r>
        <w:rPr>
          <w:rFonts w:ascii="Times New Roman" w:hAnsi="Times New Roman" w:cs="Times New Roman" w:eastAsia="Times New Roman" w:hint="default"/>
        </w:rPr>
        <w:t>34</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102,583.41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102,583.41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投资收益" w:id="259"/>
      <w:bookmarkEnd w:id="259"/>
      <w:r>
        <w:rPr>
          <w:b w:val="0"/>
          <w:bCs w:val="0"/>
        </w:rPr>
      </w:r>
      <w:r>
        <w:rPr>
          <w:rFonts w:ascii="Times New Roman" w:hAnsi="Times New Roman" w:cs="Times New Roman" w:eastAsia="Times New Roman" w:hint="default"/>
        </w:rPr>
        <w:t>35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1,453,558.98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-1,786,676.19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6,699,645.98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3,809,526.69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3,242,535.62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5,856,520.50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1,795,068.49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处置持有至到期投资取得的投资收益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984,516.18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1,229,880.71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18,803,768.33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4,480,808.63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）权益核算的长期股权投资说明：</w:t>
      </w:r>
    </w:p>
    <w:p>
      <w:pPr>
        <w:spacing w:line="300" w:lineRule="auto"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①深圳市拜特科技股份有限公司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1-11</w:t>
      </w:r>
      <w:r>
        <w:rPr>
          <w:rFonts w:ascii="宋体" w:hAnsi="宋体" w:cs="宋体" w:eastAsia="宋体" w:hint="default"/>
          <w:sz w:val="18"/>
          <w:szCs w:val="18"/>
        </w:rPr>
        <w:t>月未经审计的净利润为</w:t>
      </w:r>
      <w:r>
        <w:rPr>
          <w:rFonts w:ascii="Times New Roman" w:hAnsi="Times New Roman" w:cs="Times New Roman" w:eastAsia="Times New Roman" w:hint="default"/>
          <w:sz w:val="18"/>
          <w:szCs w:val="18"/>
        </w:rPr>
        <w:t>1,028,135.78</w:t>
      </w:r>
      <w:r>
        <w:rPr>
          <w:rFonts w:ascii="宋体" w:hAnsi="宋体" w:cs="宋体" w:eastAsia="宋体" w:hint="default"/>
          <w:sz w:val="18"/>
          <w:szCs w:val="18"/>
        </w:rPr>
        <w:t>元，公司当年按权益法核算的长期股权投资</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=1,028,135.78*18.851%=193,813.88</w:t>
      </w:r>
      <w:r>
        <w:rPr>
          <w:rFonts w:ascii="宋体" w:hAnsi="宋体" w:cs="宋体" w:eastAsia="宋体" w:hint="default"/>
          <w:sz w:val="18"/>
          <w:szCs w:val="18"/>
        </w:rPr>
        <w:t>元。</w:t>
      </w:r>
    </w:p>
    <w:p>
      <w:pPr>
        <w:spacing w:line="300" w:lineRule="auto" w:before="13"/>
        <w:ind w:left="153" w:right="1033" w:firstLine="0"/>
        <w:jc w:val="left"/>
        <w:rPr>
          <w:rFonts w:ascii="宋体" w:hAnsi="宋体" w:cs="宋体" w:eastAsia="宋体" w:hint="default"/>
          <w:sz w:val="18"/>
          <w:szCs w:val="18"/>
        </w:rPr>
      </w:pPr>
      <w:r>
        <w:rPr>
          <w:rFonts w:ascii="宋体" w:hAnsi="宋体" w:cs="宋体" w:eastAsia="宋体" w:hint="default"/>
          <w:spacing w:val="-6"/>
          <w:sz w:val="18"/>
          <w:szCs w:val="18"/>
        </w:rPr>
        <w:t>②大华会计师事务所（特殊普通合伙）对广东同望科技股份有限公司</w:t>
      </w: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年度财务报表进行了审计，并出具了大华审字【</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001264</w:t>
      </w:r>
      <w:r>
        <w:rPr>
          <w:rFonts w:ascii="宋体" w:hAnsi="宋体" w:cs="宋体" w:eastAsia="宋体" w:hint="default"/>
          <w:sz w:val="18"/>
          <w:szCs w:val="18"/>
        </w:rPr>
        <w:t>号审计报告，广东同望科技股份有限公司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年度净利润为</w:t>
      </w:r>
      <w:r>
        <w:rPr>
          <w:rFonts w:ascii="Times New Roman" w:hAnsi="Times New Roman" w:cs="Times New Roman" w:eastAsia="Times New Roman" w:hint="default"/>
          <w:sz w:val="18"/>
          <w:szCs w:val="18"/>
        </w:rPr>
        <w:t>6,190,393.63</w:t>
      </w:r>
      <w:r>
        <w:rPr>
          <w:rFonts w:ascii="宋体" w:hAnsi="宋体" w:cs="宋体" w:eastAsia="宋体" w:hint="default"/>
          <w:sz w:val="18"/>
          <w:szCs w:val="18"/>
        </w:rPr>
        <w:t>元，公司当年按权益法核算的长期股权投资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=6,190,393.63*20.35%=1,259,745.10</w:t>
      </w:r>
      <w:r>
        <w:rPr>
          <w:rFonts w:ascii="宋体" w:hAnsi="宋体" w:cs="宋体" w:eastAsia="宋体" w:hint="default"/>
          <w:sz w:val="18"/>
          <w:szCs w:val="18"/>
        </w:rPr>
        <w:t>元。</w:t>
      </w:r>
    </w:p>
    <w:p>
      <w:pPr>
        <w:spacing w:line="300" w:lineRule="auto" w:before="13"/>
        <w:ind w:left="183" w:right="0" w:hanging="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）处置长期股权投资产生的投资收益 </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月，公司董事会审议通过《关于出售公司所持拜特科技股份的议案》，以协议方式出售公司所持拜特</w:t>
      </w:r>
      <w:r>
        <w:rPr>
          <w:rFonts w:ascii="Times New Roman" w:hAnsi="Times New Roman" w:cs="Times New Roman" w:eastAsia="Times New Roman" w:hint="default"/>
          <w:spacing w:val="-4"/>
          <w:sz w:val="18"/>
          <w:szCs w:val="18"/>
        </w:rPr>
        <w:t>525</w:t>
      </w:r>
      <w:r>
        <w:rPr>
          <w:rFonts w:ascii="宋体" w:hAnsi="宋体" w:cs="宋体" w:eastAsia="宋体" w:hint="default"/>
          <w:spacing w:val="-4"/>
          <w:sz w:val="18"/>
          <w:szCs w:val="18"/>
        </w:rPr>
        <w:t>万股股份，</w:t>
      </w:r>
      <w:r>
        <w:rPr>
          <w:rFonts w:ascii="宋体" w:hAnsi="宋体" w:cs="宋体" w:eastAsia="宋体" w:hint="default"/>
          <w:spacing w:val="-88"/>
          <w:sz w:val="18"/>
          <w:szCs w:val="18"/>
        </w:rPr>
        <w:t> </w:t>
      </w:r>
      <w:r>
        <w:rPr>
          <w:rFonts w:ascii="宋体" w:hAnsi="宋体" w:cs="宋体" w:eastAsia="宋体" w:hint="default"/>
          <w:sz w:val="18"/>
          <w:szCs w:val="18"/>
        </w:rPr>
        <w:t>转让价格为人民币</w:t>
      </w:r>
      <w:r>
        <w:rPr>
          <w:rFonts w:ascii="Times New Roman" w:hAnsi="Times New Roman" w:cs="Times New Roman" w:eastAsia="Times New Roman" w:hint="default"/>
          <w:sz w:val="18"/>
          <w:szCs w:val="18"/>
        </w:rPr>
        <w:t>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股，合计转让价款为人民币</w:t>
      </w:r>
      <w:r>
        <w:rPr>
          <w:rFonts w:ascii="Times New Roman" w:hAnsi="Times New Roman" w:cs="Times New Roman" w:eastAsia="Times New Roman" w:hint="default"/>
          <w:sz w:val="18"/>
          <w:szCs w:val="18"/>
        </w:rPr>
        <w:t>2625</w:t>
      </w:r>
      <w:r>
        <w:rPr>
          <w:rFonts w:ascii="宋体" w:hAnsi="宋体" w:cs="宋体" w:eastAsia="宋体" w:hint="default"/>
          <w:sz w:val="18"/>
          <w:szCs w:val="18"/>
        </w:rPr>
        <w:t>万元，处置投资收益为</w:t>
      </w:r>
      <w:r>
        <w:rPr>
          <w:rFonts w:ascii="Times New Roman" w:hAnsi="Times New Roman" w:cs="Times New Roman" w:eastAsia="Times New Roman" w:hint="default"/>
          <w:sz w:val="18"/>
          <w:szCs w:val="18"/>
        </w:rPr>
        <w:t>6,699,645.98</w:t>
      </w:r>
      <w:r>
        <w:rPr>
          <w:rFonts w:ascii="宋体" w:hAnsi="宋体" w:cs="宋体" w:eastAsia="宋体" w:hint="default"/>
          <w:sz w:val="18"/>
          <w:szCs w:val="18"/>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36、营业外收入" w:id="260"/>
      <w:bookmarkEnd w:id="260"/>
      <w:r>
        <w:rPr>
          <w:b w:val="0"/>
          <w:bCs w:val="0"/>
        </w:rPr>
      </w:r>
      <w:r>
        <w:rPr>
          <w:rFonts w:ascii="Times New Roman" w:hAnsi="Times New Roman" w:cs="Times New Roman" w:eastAsia="Times New Roman" w:hint="default"/>
        </w:rPr>
        <w:t>36</w:t>
      </w:r>
      <w:r>
        <w:rPr/>
        <w:t>、营业外收入</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70,819.55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70,819.55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70,819.55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70,819.55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8,206,377.72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2,303,946.16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8,206,377.72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无法支付的款项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59,072.88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276,453.66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192.78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2,858,237.10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5,416,272.13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4,396.90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22,584.14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63,277.00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11,198,904.15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8,020,193.25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8,340,667.05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企业税收扶持资金奖励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智慧</w:t>
            </w:r>
            <w:r>
              <w:rPr>
                <w:rFonts w:ascii="Times New Roman" w:hAnsi="Times New Roman" w:cs="Times New Roman" w:eastAsia="Times New Roman" w:hint="default"/>
                <w:sz w:val="18"/>
                <w:szCs w:val="18"/>
              </w:rPr>
              <w:t>“</w:t>
            </w:r>
            <w:r>
              <w:rPr>
                <w:rFonts w:ascii="宋体" w:hAnsi="宋体" w:cs="宋体" w:eastAsia="宋体" w:hint="default"/>
                <w:sz w:val="18"/>
                <w:szCs w:val="18"/>
              </w:rPr>
              <w:t>物流港</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的研发与示范应 用</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年度海南省电子信息产 业发展专项资金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中关村商标奖励、著作权补贴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海淀区促进产学研合作专项</w:t>
            </w:r>
            <w:r>
              <w:rPr>
                <w:rFonts w:ascii="Times New Roman" w:hAnsi="Times New Roman" w:cs="Times New Roman" w:eastAsia="Times New Roman" w:hint="default"/>
                <w:sz w:val="18"/>
                <w:szCs w:val="18"/>
              </w:rPr>
              <w:t>-- </w:t>
            </w:r>
            <w:r>
              <w:rPr>
                <w:rFonts w:ascii="宋体" w:hAnsi="宋体" w:cs="宋体" w:eastAsia="宋体" w:hint="default"/>
                <w:sz w:val="18"/>
                <w:szCs w:val="18"/>
              </w:rPr>
              <w:t>产学研合作示范基地项目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年度开发区科技创新专 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营改增财政补贴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1,197.36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基于新一代开发平台的集团 管控软件的升级改造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315,940.08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171,226.16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中介服务支持资金补贴款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面向数据密集型行业的大数 据管理系统及数据分析平台 研发与产业化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专利申请资助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基于新一代信息技术的管理 软件平台创新能力建设项目 补贴资金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重点培育企业资金奖励专项 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重大联合攻关项目研发资助 项目补贴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科技型中小企业技术创新基 金无偿资助项目《行政事业单 位资产管理系统》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省重大科技专项资金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年省应用技术研发与示 范推广专项资金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年国家中小企业专项资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年企业信息管理补助经 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科技型中小企业技术创新基 金无偿资助项目《久其企业集 团综合信息管理平台》</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8,206,377.72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2,303,946.16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营业外支出" w:id="261"/>
      <w:bookmarkEnd w:id="261"/>
      <w:r>
        <w:rPr>
          <w:b w:val="0"/>
          <w:bCs w:val="0"/>
        </w:rPr>
      </w:r>
      <w:r>
        <w:rPr>
          <w:rFonts w:ascii="Times New Roman" w:hAnsi="Times New Roman" w:cs="Times New Roman" w:eastAsia="Times New Roman" w:hint="default"/>
        </w:rPr>
        <w:t>37</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744,908.68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843,367.17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744,908.68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744,908.68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843,367.17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744,908.68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184,023.70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184,023.70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928,932.38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1,844,579.65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928,932.38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所得税费用" w:id="262"/>
      <w:bookmarkEnd w:id="262"/>
      <w:r>
        <w:rPr>
          <w:b w:val="0"/>
          <w:bCs w:val="0"/>
        </w:rPr>
      </w:r>
      <w:r>
        <w:rPr>
          <w:rFonts w:ascii="Times New Roman" w:hAnsi="Times New Roman" w:cs="Times New Roman" w:eastAsia="Times New Roman" w:hint="default"/>
        </w:rPr>
        <w:t>38</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63"/>
      <w:bookmarkEnd w:id="26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4,444,325.65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4,171,324.56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-273,051.76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60,640.81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4,171,273.89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4,231,965.37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64"/>
      <w:bookmarkEnd w:id="26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75,817,938.80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4,444,325.65</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-273,051.76</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4,171,273.89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现金流量表项目" w:id="265"/>
      <w:bookmarkEnd w:id="265"/>
      <w:r>
        <w:rPr>
          <w:b w:val="0"/>
          <w:bCs w:val="0"/>
        </w:rPr>
      </w:r>
      <w:r>
        <w:rPr>
          <w:rFonts w:ascii="Times New Roman" w:hAnsi="Times New Roman" w:cs="Times New Roman" w:eastAsia="Times New Roman" w:hint="default"/>
        </w:rPr>
        <w:t>39</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66"/>
      <w:bookmarkEnd w:id="26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7,890,437.64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2,132,720.00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3,073,117.06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3,237,752.35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18,023.00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10,963,554.70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5,388,495.35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67"/>
      <w:bookmarkEnd w:id="26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0"/>
              <w:jc w:val="center"/>
              <w:rPr>
                <w:rFonts w:ascii="宋体" w:hAnsi="宋体" w:cs="宋体" w:eastAsia="宋体" w:hint="default"/>
                <w:sz w:val="18"/>
                <w:szCs w:val="18"/>
              </w:rPr>
            </w:pPr>
            <w:r>
              <w:rPr>
                <w:rFonts w:ascii="宋体" w:hAnsi="宋体" w:cs="宋体" w:eastAsia="宋体" w:hint="default"/>
                <w:sz w:val="18"/>
                <w:szCs w:val="18"/>
              </w:rPr>
              <w:t>支付销售费用、管理费用和其它支出等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45,742,467.16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46,619,150.71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60.889954pt;width:151.25pt;height:40.8pt;mso-position-horizontal-relative:page;mso-position-vertical-relative:page;z-index:-777664" coordorigin="4467,11218" coordsize="3025,816">
            <v:group style="position:absolute;left:4478;top:11229;width:2;height:392" coordorigin="4478,11229" coordsize="2,392">
              <v:shape style="position:absolute;left:4478;top:11229;width:2;height:392" coordorigin="4478,11229" coordsize="0,392" path="m4478,11229l4478,11620e" filled="false" stroked="true" strokeweight="1.140pt" strokecolor="#ffffff">
                <v:path arrowok="t"/>
              </v:shape>
            </v:group>
            <v:group style="position:absolute;left:4490;top:11229;width:3002;height:392" coordorigin="4490,11229" coordsize="3002,392">
              <v:shape style="position:absolute;left:4490;top:11229;width:3002;height:392" coordorigin="4490,11229" coordsize="3002,392" path="m4490,11620l7491,11620,7491,11229,4490,11229,4490,11620xe" filled="true" fillcolor="#ffffff" stroked="false">
                <v:path arrowok="t"/>
                <v:fill type="solid"/>
              </v:shape>
            </v:group>
            <v:group style="position:absolute;left:4478;top:11631;width:2;height:392" coordorigin="4478,11631" coordsize="2,392">
              <v:shape style="position:absolute;left:4478;top:11631;width:2;height:392" coordorigin="4478,11631" coordsize="0,392" path="m4478,11631l4478,12022e" filled="false" stroked="true" strokeweight="1.140pt" strokecolor="#ffffff">
                <v:path arrowok="t"/>
              </v:shape>
            </v:group>
            <v:group style="position:absolute;left:4490;top:11631;width:3002;height:392" coordorigin="4490,11631" coordsize="3002,392">
              <v:shape style="position:absolute;left:4490;top:11631;width:3002;height:392" coordorigin="4490,11631" coordsize="3002,392" path="m4490,12022l7491,12022,7491,11631,4490,11631,4490,1202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付现</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45,742,467.16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46,619,150.71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支付的其他与筹资活动有关的现金" w:id="268"/>
      <w:bookmarkEnd w:id="268"/>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6,121,509.43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6,121,509.43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现金流量表补充资料" w:id="269"/>
      <w:bookmarkEnd w:id="269"/>
      <w:r>
        <w:rPr>
          <w:b w:val="0"/>
          <w:bCs w:val="0"/>
        </w:rPr>
      </w:r>
      <w:r>
        <w:rPr>
          <w:rFonts w:ascii="Times New Roman" w:hAnsi="Times New Roman" w:cs="Times New Roman" w:eastAsia="Times New Roman" w:hint="default"/>
        </w:rPr>
        <w:t>40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70"/>
      <w:bookmarkEnd w:id="27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71,646,664.91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59,114,119.32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2,830,401.92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4,032,610.95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8,863,614.06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9,240,257.27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6,845,839.76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5,579,077.48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1,600,663.40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1,774,946.76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674,089.13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842,430.01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-102,583.41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-18,803,768.33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-4,480,808.63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-274,204.80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50,382.47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10,258.34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1,139,084.14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-691,057.00</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-8,830,762.44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-15,484,319.16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17,661,752.81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12,215,635.30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83,342,997.19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72,100,949.70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277,333,109.93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225,233,358.80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225,233,358.80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227,967,441.43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52,099,751.13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-2,734,082.63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271"/>
      <w:bookmarkEnd w:id="27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277,333,109.93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225,233,358.80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245,264.40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429,120.96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277,087,845.53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224,804,237.84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277,333,109.93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225,233,358.80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所有权或使用权受到限制的资产" w:id="272"/>
      <w:bookmarkEnd w:id="272"/>
      <w:r>
        <w:rPr>
          <w:b w:val="0"/>
          <w:bCs w:val="0"/>
        </w:rPr>
      </w:r>
      <w:r>
        <w:rPr>
          <w:rFonts w:ascii="Times New Roman" w:hAnsi="Times New Roman" w:cs="Times New Roman" w:eastAsia="Times New Roman" w:hint="default"/>
        </w:rPr>
        <w:t>41</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2"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9,854,474.50</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本公司向银行申请开具无条件、不可撤 销的担保函所存入的保证金存款</w:t>
            </w:r>
          </w:p>
        </w:tc>
      </w:tr>
      <w:tr>
        <w:trPr>
          <w:trHeight w:val="391"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9,854,474.50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八、合并范围的变更" w:id="273"/>
      <w:bookmarkEnd w:id="27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其他原因的合并范围变动" w:id="274"/>
      <w:bookmarkEnd w:id="274"/>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300" w:lineRule="auto" w:before="115"/>
        <w:ind w:left="153"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月，公司与北京智通胜创科技有限公司签署《投资合作协议书》，共同出资设立北京久其智通数据科技有限公司，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其中，公司以货币出资</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万元，占</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股权；北京智通胜创科技有限公司以无形资产出资</w:t>
      </w:r>
      <w:r>
        <w:rPr>
          <w:rFonts w:ascii="Times New Roman" w:hAnsi="Times New Roman" w:cs="Times New Roman" w:eastAsia="Times New Roman" w:hint="default"/>
          <w:sz w:val="18"/>
          <w:szCs w:val="18"/>
        </w:rPr>
        <w:t>490</w:t>
      </w:r>
      <w:r>
        <w:rPr>
          <w:rFonts w:ascii="宋体" w:hAnsi="宋体" w:cs="宋体" w:eastAsia="宋体" w:hint="default"/>
          <w:sz w:val="18"/>
          <w:szCs w:val="18"/>
        </w:rPr>
        <w:t>万元，占</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股权，该无形</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资产已经北京海峡资产评估有限公司出具的海峡评字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Times New Roman" w:hAnsi="Times New Roman" w:cs="Times New Roman" w:eastAsia="Times New Roman" w:hint="default"/>
          <w:sz w:val="18"/>
          <w:szCs w:val="18"/>
        </w:rPr>
        <w:t>018</w:t>
      </w:r>
      <w:r>
        <w:rPr>
          <w:rFonts w:ascii="宋体" w:hAnsi="宋体" w:cs="宋体" w:eastAsia="宋体" w:hint="default"/>
          <w:sz w:val="18"/>
          <w:szCs w:val="18"/>
        </w:rPr>
        <w:t>号资产评估报告予以评估。</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九、在其他主体中的权益" w:id="275"/>
      <w:bookmarkEnd w:id="27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在子公司中的权益" w:id="276"/>
      <w:bookmarkEnd w:id="27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企业集团的构成" w:id="277"/>
      <w:bookmarkEnd w:id="27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北京久其政务软 件股份有限公司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新疆久其科技有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重庆久其软件有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北京北邮中望信 息科技有限责任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海南久其云计算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澄迈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小驿科技（海南</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海口</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北京久其智通数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278"/>
      <w:bookmarkEnd w:id="27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center"/>
              <w:rPr>
                <w:rFonts w:ascii="宋体" w:hAnsi="宋体" w:cs="宋体" w:eastAsia="宋体" w:hint="default"/>
                <w:sz w:val="18"/>
                <w:szCs w:val="18"/>
              </w:rPr>
            </w:pPr>
            <w:r>
              <w:rPr>
                <w:rFonts w:ascii="宋体" w:hAnsi="宋体" w:cs="宋体" w:eastAsia="宋体" w:hint="default"/>
                <w:sz w:val="18"/>
                <w:szCs w:val="18"/>
              </w:rPr>
              <w:t>广东久其软件有限公司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9,673.40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1,585,953.48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北京久其政务软件股份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69,825.35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313,694.77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北京北邮中望信息科技 有限责任公司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127,109.15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-593,727.28</w:t>
            </w:r>
            <w:r>
              <w:rPr>
                <w:rFonts w:ascii="Times New Roman"/>
                <w:sz w:val="18"/>
              </w:rPr>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北京久其智通数据科技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-596,012.69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6,704,987.31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279"/>
      <w:bookmarkEnd w:id="27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4415"/>
        <w:gridCol w:w="4403"/>
      </w:tblGrid>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广东久 其软件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4,664,31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260,984.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4,925,30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162,681.</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162,681.</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4,936,76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341,079.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5,277,84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544,269.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544,269.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 其政务 软件股 份有限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65,539,6</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89.77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21,881,0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38.32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87,420,7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28.09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24,681,7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74.57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24,681,7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74.57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52,049,4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23.20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4,965,29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57,014,7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22.10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8,240,83</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8,240,83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7.88</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北京北 邮中望 信息科 技有限 责任公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68,145.3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1,349.78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3,612,02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0.61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3,612,02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568,613.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5,244.74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573,857.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4,874,79</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1.20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4,874,79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1.20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北京久 其智通 数据科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8,908,05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4.35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4,803,53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13,711,5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27,943.0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27,943.0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广东久其软 件有限公司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3,545,155.09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29,049.25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29,049.25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-142,940.92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3,457,142.20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-35,147.55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-35,147.55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104,397.16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北京久其政 务软件股份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50,860,771.4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13,965,069.3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13,965,069.3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30,196,635.2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32,437,454.1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8,096,713.75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8,096,713.75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8,847,957.68</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北京北邮中 望信息科技 有限责任公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1,259,497.10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758,407.83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758,407.83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-14,916.80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4,675,323.85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-2,079,731.98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-2,079,731.98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-2,298,935.43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北京久其智 通数据科技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-1,216,352.43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-1,216,352.43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-1,074,912.65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在合营安排或联营企业中的权益" w:id="280"/>
      <w:bookmarkEnd w:id="280"/>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合营企业或联营企业" w:id="281"/>
      <w:bookmarkEnd w:id="28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广东同望科技股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联营企业的主要财务信息" w:id="282"/>
      <w:bookmarkEnd w:id="282"/>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436"/>
        <w:gridCol w:w="3210"/>
        <w:gridCol w:w="3209"/>
      </w:tblGrid>
      <w:tr>
        <w:trPr>
          <w:trHeight w:val="347" w:hRule="exact"/>
        </w:trPr>
        <w:tc>
          <w:tcPr>
            <w:tcW w:w="3436" w:type="dxa"/>
            <w:vMerge w:val="restart"/>
            <w:tcBorders>
              <w:top w:val="single" w:sz="6" w:space="0" w:color="000000"/>
              <w:left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64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广东同望科技股份有限公司</w:t>
            </w:r>
          </w:p>
        </w:tc>
      </w:tr>
      <w:tr>
        <w:trPr>
          <w:trHeight w:val="347" w:hRule="exact"/>
        </w:trPr>
        <w:tc>
          <w:tcPr>
            <w:tcW w:w="3436" w:type="dxa"/>
            <w:vMerge/>
            <w:tcBorders>
              <w:left w:val="single" w:sz="6" w:space="0" w:color="000000"/>
              <w:bottom w:val="single" w:sz="6" w:space="0" w:color="000000"/>
              <w:right w:val="single" w:sz="6" w:space="0" w:color="000000"/>
            </w:tcBorders>
          </w:tcPr>
          <w:p>
            <w:pP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期末余额</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21"/>
                <w:sz w:val="16"/>
                <w:szCs w:val="16"/>
              </w:rPr>
              <w:t> </w:t>
            </w:r>
            <w:r>
              <w:rPr>
                <w:rFonts w:ascii="宋体" w:hAnsi="宋体" w:cs="宋体" w:eastAsia="宋体" w:hint="default"/>
                <w:sz w:val="16"/>
                <w:szCs w:val="16"/>
              </w:rPr>
              <w:t>本期发生额</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年初余额</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21"/>
                <w:sz w:val="16"/>
                <w:szCs w:val="16"/>
              </w:rPr>
              <w:t> </w:t>
            </w:r>
            <w:r>
              <w:rPr>
                <w:rFonts w:ascii="宋体" w:hAnsi="宋体" w:cs="宋体" w:eastAsia="宋体" w:hint="default"/>
                <w:sz w:val="16"/>
                <w:szCs w:val="16"/>
              </w:rPr>
              <w:t>上期发生额</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69,154,910.35</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70,540,134.98</w:t>
            </w:r>
          </w:p>
        </w:tc>
      </w:tr>
      <w:tr>
        <w:trPr>
          <w:trHeight w:val="348"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79,434,687.70</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73,983,545.27</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资产合计</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148,589,598.05</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6"/>
                <w:szCs w:val="16"/>
              </w:rPr>
            </w:pPr>
            <w:r>
              <w:rPr>
                <w:rFonts w:ascii="Times New Roman"/>
                <w:sz w:val="16"/>
              </w:rPr>
              <w:t>144,523,680.25</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34,566,068.98</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36,467,211.48</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266,666.67</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490,000.00</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34,832,735.65</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36,957,211.48</w:t>
            </w:r>
          </w:p>
        </w:tc>
      </w:tr>
      <w:tr>
        <w:trPr>
          <w:trHeight w:val="348" w:hRule="exact"/>
        </w:trPr>
        <w:tc>
          <w:tcPr>
            <w:tcW w:w="3436" w:type="dxa"/>
            <w:tcBorders>
              <w:top w:val="single" w:sz="6" w:space="0" w:color="000000"/>
              <w:left w:val="single" w:sz="6" w:space="0" w:color="000000"/>
              <w:bottom w:val="single" w:sz="6" w:space="0" w:color="000000"/>
              <w:right w:val="single" w:sz="6" w:space="0" w:color="000000"/>
            </w:tcBorders>
          </w:tcPr>
          <w:p>
            <w:pP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113,756,862.40</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107,566,468.77</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按持股比例计算的净资产份额</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23,149,521.50</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21,889,776.39</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调整事项</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商誉</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内部交易未实现利润</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对联营企业权益投资的账面价值</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53,208,911.08</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51,949,165.98</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存在公开报价的联营企业权益投资的公允价值</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80,220,054.09</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77,251,061.51</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6"/>
                <w:szCs w:val="16"/>
              </w:rPr>
            </w:pPr>
            <w:r>
              <w:rPr>
                <w:rFonts w:ascii="Times New Roman"/>
                <w:sz w:val="16"/>
              </w:rPr>
              <w:t>6,190,393.63</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2,573,919.66</w:t>
            </w: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终止经营的净利润</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综合收益总额</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6"/>
                <w:szCs w:val="16"/>
              </w:rPr>
            </w:pPr>
            <w:r>
              <w:rPr>
                <w:rFonts w:ascii="Times New Roman"/>
                <w:sz w:val="16"/>
              </w:rPr>
              <w:t>6,190,393.63</w:t>
            </w:r>
          </w:p>
        </w:tc>
        <w:tc>
          <w:tcPr>
            <w:tcW w:w="3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2,573,919.66</w:t>
            </w:r>
          </w:p>
        </w:tc>
      </w:tr>
      <w:tr>
        <w:trPr>
          <w:trHeight w:val="348" w:hRule="exact"/>
        </w:trPr>
        <w:tc>
          <w:tcPr>
            <w:tcW w:w="3436" w:type="dxa"/>
            <w:tcBorders>
              <w:top w:val="single" w:sz="6" w:space="0" w:color="000000"/>
              <w:left w:val="single" w:sz="6" w:space="0" w:color="000000"/>
              <w:bottom w:val="single" w:sz="6" w:space="0" w:color="000000"/>
              <w:right w:val="single" w:sz="6" w:space="0" w:color="000000"/>
            </w:tcBorders>
          </w:tcPr>
          <w:p>
            <w:pP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436"/>
        <w:gridCol w:w="3210"/>
        <w:gridCol w:w="3209"/>
      </w:tblGrid>
      <w:tr>
        <w:trPr>
          <w:trHeight w:val="348" w:hRule="exact"/>
        </w:trPr>
        <w:tc>
          <w:tcPr>
            <w:tcW w:w="3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本年度收到的来自联营企业的股利</w:t>
            </w:r>
          </w:p>
        </w:tc>
        <w:tc>
          <w:tcPr>
            <w:tcW w:w="3210"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与金融工具相关的风险" w:id="283"/>
      <w:bookmarkEnd w:id="283"/>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8"/>
        <w:jc w:val="left"/>
      </w:pPr>
      <w:r>
        <w:rPr>
          <w:spacing w:val="-1"/>
        </w:rPr>
        <w:t>本公司在经营过程中面临各种金融风险：信用风险、市场风险和流动性风险。公司董事会全面负责风险管</w:t>
      </w:r>
      <w:r>
        <w:rPr>
          <w:spacing w:val="-83"/>
        </w:rPr>
        <w:t> </w:t>
      </w:r>
      <w:r>
        <w:rPr>
          <w:spacing w:val="-83"/>
        </w:rPr>
      </w:r>
      <w:r>
        <w:rPr>
          <w:spacing w:val="-1"/>
        </w:rPr>
        <w:t>理目标和政策的确定，并对风险管理目标和政策承担最终责任。本公司的内部审计师也会审计风险管理的</w:t>
      </w:r>
      <w:r>
        <w:rPr>
          <w:spacing w:val="-81"/>
        </w:rPr>
        <w:t> </w:t>
      </w:r>
      <w:r>
        <w:rPr>
          <w:spacing w:val="-81"/>
        </w:rPr>
      </w:r>
      <w:r>
        <w:rPr/>
        <w:t>政策和程序，并且将有关发现汇报给审计委员会。 </w:t>
      </w:r>
      <w:r>
        <w:rPr>
          <w:spacing w:val="-1"/>
        </w:rPr>
        <w:t>本公司风险管理的总体目标是在不过度影响公司竞争力和应变力的情况下，制定尽可能降低风险的风险管</w:t>
      </w:r>
      <w:r>
        <w:rPr>
          <w:spacing w:val="-81"/>
        </w:rPr>
        <w:t> </w:t>
      </w:r>
      <w:r>
        <w:rPr>
          <w:spacing w:val="-81"/>
        </w:rPr>
      </w:r>
      <w:r>
        <w:rPr/>
        <w:t>理政策。</w:t>
      </w:r>
    </w:p>
    <w:p>
      <w:pPr>
        <w:pStyle w:val="BodyText"/>
        <w:spacing w:line="268" w:lineRule="auto" w:before="7"/>
        <w:ind w:right="1117"/>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宋体" w:hAnsi="宋体" w:cs="宋体" w:eastAsia="宋体" w:hint="default"/>
          <w:b/>
          <w:bCs/>
        </w:rPr>
        <w:t>信用风险</w:t>
      </w:r>
      <w:r>
        <w:rPr>
          <w:rFonts w:ascii="宋体" w:hAnsi="宋体" w:cs="宋体" w:eastAsia="宋体" w:hint="default"/>
          <w:b/>
          <w:bCs/>
          <w:spacing w:val="1"/>
          <w:w w:val="99"/>
        </w:rPr>
        <w:t> </w:t>
      </w:r>
      <w:r>
        <w:rPr>
          <w:spacing w:val="-1"/>
        </w:rPr>
        <w:t>信用风险是指金融工具的一方不履行义务，造成另一方发生财务损失的风险。本公司主要面临赊销导致的</w:t>
      </w:r>
      <w:r>
        <w:rPr>
          <w:spacing w:val="-81"/>
        </w:rPr>
        <w:t> </w:t>
      </w:r>
      <w:r>
        <w:rPr>
          <w:spacing w:val="-81"/>
        </w:rPr>
      </w:r>
      <w:r>
        <w:rPr>
          <w:spacing w:val="-1"/>
        </w:rPr>
        <w:t>客户信用风险。在签订新合同之前，本公司会对新客户的信用风险进行评估，包括外部信用评级和在某些</w:t>
      </w:r>
      <w:r>
        <w:rPr>
          <w:spacing w:val="-83"/>
        </w:rPr>
        <w:t> </w:t>
      </w:r>
      <w:r>
        <w:rPr>
          <w:spacing w:val="-83"/>
        </w:rPr>
      </w:r>
      <w:r>
        <w:rPr>
          <w:spacing w:val="-1"/>
        </w:rPr>
        <w:t>情况下的银行资信证明（当此信息可获取时）。公司对每一客户均设置了赊销限额，该限额为无需获得额</w:t>
      </w:r>
      <w:r>
        <w:rPr>
          <w:spacing w:val="-86"/>
        </w:rPr>
        <w:t> </w:t>
      </w:r>
      <w:r>
        <w:rPr>
          <w:spacing w:val="-86"/>
        </w:rPr>
      </w:r>
      <w:r>
        <w:rPr/>
        <w:t>外批准的最大额度。公司的主要客户为境处客户，为主要客户的应收款项办理了出口业务信用保险。 </w:t>
      </w:r>
      <w:r>
        <w:rPr>
          <w:spacing w:val="3"/>
        </w:rPr>
        <w:t>公司通过对已有客户信用评级的季度监控以及应收账款账龄分析的月度审核来确保公司的整体信用风险</w:t>
      </w:r>
      <w:r>
        <w:rPr>
          <w:spacing w:val="-82"/>
        </w:rPr>
        <w:t> </w:t>
      </w:r>
      <w:r>
        <w:rPr>
          <w:spacing w:val="-82"/>
        </w:rPr>
      </w:r>
      <w:r>
        <w:rPr/>
        <w:t>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 </w:t>
      </w:r>
      <w:r>
        <w:rPr>
          <w:spacing w:val="-1"/>
        </w:rPr>
        <w:t>会放在受限制客户名单里，并且只有在额外批准的前提下，公司才可在未来期间内对其赊销，否则必须要</w:t>
      </w:r>
      <w:r>
        <w:rPr>
          <w:spacing w:val="-83"/>
        </w:rPr>
        <w:t> </w:t>
      </w:r>
      <w:r>
        <w:rPr>
          <w:spacing w:val="-83"/>
        </w:rPr>
      </w:r>
      <w:r>
        <w:rPr/>
        <w:t>求其提前支付相应款项。</w:t>
      </w:r>
    </w:p>
    <w:p>
      <w:pPr>
        <w:pStyle w:val="BodyText"/>
        <w:spacing w:line="264" w:lineRule="auto" w:before="12"/>
        <w:ind w:right="0"/>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宋体" w:hAnsi="宋体" w:cs="宋体" w:eastAsia="宋体" w:hint="default"/>
          <w:b/>
          <w:bCs/>
        </w:rPr>
        <w:t>市场风险</w:t>
      </w:r>
      <w:r>
        <w:rPr>
          <w:rFonts w:ascii="宋体" w:hAnsi="宋体" w:cs="宋体" w:eastAsia="宋体" w:hint="default"/>
          <w:b/>
          <w:bCs/>
          <w:spacing w:val="1"/>
          <w:w w:val="99"/>
        </w:rPr>
        <w:t> </w:t>
      </w:r>
      <w:r>
        <w:rPr>
          <w:spacing w:val="-1"/>
        </w:rPr>
        <w:t>金融工具的市场风险，是指金融工具的公允价值或未来现金流量因市场价格变动而发生波动的风险，包括</w:t>
      </w:r>
      <w:r>
        <w:rPr>
          <w:spacing w:val="-81"/>
        </w:rPr>
        <w:t> </w:t>
      </w:r>
      <w:r>
        <w:rPr>
          <w:spacing w:val="-81"/>
        </w:rPr>
      </w:r>
      <w:r>
        <w:rPr/>
        <w:t>外汇风险、利率风险和其他价格风险。</w:t>
      </w:r>
    </w:p>
    <w:p>
      <w:pPr>
        <w:pStyle w:val="BodyText"/>
        <w:spacing w:line="266" w:lineRule="auto" w:before="16"/>
        <w:ind w:left="154" w:right="0"/>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利率风险，是指金融工具的公允价值或未来现金流量因市场利率变动而发生波动的风险。本公司没有带息</w:t>
      </w:r>
      <w:r>
        <w:rPr>
          <w:spacing w:val="-81"/>
        </w:rPr>
        <w:t> </w:t>
      </w:r>
      <w:r>
        <w:rPr>
          <w:spacing w:val="-81"/>
        </w:rPr>
      </w:r>
      <w:r>
        <w:rPr/>
        <w:t>负债，没有面临的利率风险。</w:t>
      </w:r>
    </w:p>
    <w:p>
      <w:pPr>
        <w:pStyle w:val="BodyText"/>
        <w:spacing w:line="264" w:lineRule="auto" w:before="14"/>
        <w:ind w:right="0"/>
        <w:jc w:val="left"/>
      </w:pPr>
      <w:r>
        <w:rPr/>
        <w:t>（</w:t>
      </w:r>
      <w:r>
        <w:rPr>
          <w:rFonts w:ascii="Times New Roman" w:hAnsi="Times New Roman" w:cs="Times New Roman" w:eastAsia="Times New Roman" w:hint="default"/>
        </w:rPr>
        <w:t>2</w:t>
      </w:r>
      <w:r>
        <w:rPr/>
        <w:t>）外汇风险 </w:t>
      </w:r>
      <w:r>
        <w:rPr>
          <w:spacing w:val="-1"/>
        </w:rPr>
        <w:t>外汇风险，是指金融工具的公允价值或未来现金流量因外汇汇率变动而发生波动的风险。本公司没有外汇</w:t>
      </w:r>
      <w:r>
        <w:rPr>
          <w:spacing w:val="-81"/>
        </w:rPr>
        <w:t> </w:t>
      </w:r>
      <w:r>
        <w:rPr>
          <w:spacing w:val="-81"/>
        </w:rPr>
      </w:r>
      <w:r>
        <w:rPr/>
        <w:t>业务，没有面临的外汇风险。</w:t>
      </w:r>
    </w:p>
    <w:p>
      <w:pPr>
        <w:pStyle w:val="BodyText"/>
        <w:spacing w:line="266" w:lineRule="auto" w:before="16"/>
        <w:ind w:right="0"/>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流动风险，是指企业在履行以交付现金或其他金融资产的方式结算的义务时发生资金短缺的风险。本公司</w:t>
      </w:r>
      <w:r>
        <w:rPr>
          <w:spacing w:val="-81"/>
        </w:rPr>
        <w:t> </w:t>
      </w:r>
      <w:r>
        <w:rPr>
          <w:spacing w:val="-81"/>
        </w:rPr>
      </w:r>
      <w:r>
        <w:rPr>
          <w:spacing w:val="-1"/>
        </w:rPr>
        <w:t>的政策是确保拥有充足的现金以偿还到期债务。流动性风险由本公司的财务部门集中控制。财务部门通过</w:t>
      </w:r>
      <w:r>
        <w:rPr>
          <w:spacing w:val="-81"/>
        </w:rPr>
        <w:t> </w:t>
      </w:r>
      <w:r>
        <w:rPr>
          <w:spacing w:val="-81"/>
        </w:rPr>
      </w:r>
      <w:r>
        <w:rPr/>
        <w:t>监控现金余额、确保公司在所有合理预测的情况下拥有充足的资金偿还债务。</w:t>
      </w:r>
    </w:p>
    <w:p>
      <w:pPr>
        <w:spacing w:line="240" w:lineRule="auto" w:before="4"/>
        <w:rPr>
          <w:rFonts w:ascii="宋体" w:hAnsi="宋体" w:cs="宋体" w:eastAsia="宋体" w:hint="default"/>
          <w:sz w:val="22"/>
          <w:szCs w:val="22"/>
        </w:rPr>
      </w:pPr>
    </w:p>
    <w:p>
      <w:pPr>
        <w:pStyle w:val="Heading2"/>
        <w:spacing w:line="240" w:lineRule="auto"/>
        <w:ind w:right="0"/>
        <w:jc w:val="left"/>
        <w:rPr>
          <w:b w:val="0"/>
          <w:bCs w:val="0"/>
        </w:rPr>
      </w:pPr>
      <w:bookmarkStart w:name="十一、公允价值的披露" w:id="284"/>
      <w:bookmarkEnd w:id="28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以公允价值计量的资产和负债的期末公允价值" w:id="285"/>
      <w:bookmarkEnd w:id="28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38"/>
        <w:gridCol w:w="1925"/>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90"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38" w:type="dxa"/>
            <w:vMerge/>
            <w:tcBorders>
              <w:left w:val="single" w:sz="4" w:space="0" w:color="000000"/>
              <w:right w:val="single" w:sz="4" w:space="0" w:color="000000"/>
            </w:tcBorders>
            <w:shd w:val="clear" w:color="auto" w:fill="D2D2D2"/>
          </w:tcPr>
          <w:p>
            <w:pPr/>
          </w:p>
        </w:tc>
        <w:tc>
          <w:tcPr>
            <w:tcW w:w="1925"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67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58" w:right="0"/>
              <w:jc w:val="left"/>
              <w:rPr>
                <w:rFonts w:ascii="Times New Roman" w:hAnsi="Times New Roman" w:cs="Times New Roman" w:eastAsia="Times New Roman" w:hint="default"/>
                <w:sz w:val="18"/>
                <w:szCs w:val="18"/>
              </w:rPr>
            </w:pPr>
            <w:r>
              <w:rPr>
                <w:rFonts w:ascii="Times New Roman"/>
                <w:sz w:val="18"/>
              </w:rPr>
              <w:t>50,799,905.59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50,799,905.59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36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50,799,905.59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50,799,905.59</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50,799,905.59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50,799,905.59</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101,422,164.40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101,422,164.40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152,222,069.99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152,222,069.99</w:t>
            </w:r>
          </w:p>
        </w:tc>
      </w:tr>
      <w:tr>
        <w:trPr>
          <w:trHeight w:val="16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95" w:type="dxa"/>
            <w:vMerge/>
            <w:tcBorders>
              <w:left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二层次公允价值计量项目，采用的估值技术和重要参数的定性及定量信" w:id="286"/>
      <w:bookmarkEnd w:id="286"/>
      <w:r>
        <w:rPr>
          <w:b w:val="0"/>
          <w:bCs w:val="0"/>
        </w:rPr>
      </w:r>
      <w:r>
        <w:rPr>
          <w:rFonts w:ascii="Times New Roman" w:hAnsi="Times New Roman" w:cs="Times New Roman" w:eastAsia="Times New Roman" w:hint="default"/>
        </w:rPr>
        <w:t>2</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重要参数为预期利率、起息日、到期日与本金。</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二、关联方及关联交易" w:id="287"/>
      <w:bookmarkEnd w:id="287"/>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288"/>
      <w:bookmarkEnd w:id="28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北京久其科技投资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董泰湘</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18.83%</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赵福君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13.43%</w:t>
            </w:r>
          </w:p>
        </w:tc>
      </w:tr>
    </w:tbl>
    <w:p>
      <w:pPr>
        <w:spacing w:line="357" w:lineRule="auto" w:before="51"/>
        <w:ind w:left="154" w:right="769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本企业最终控制方是董泰湘、赵福君。</w:t>
      </w:r>
    </w:p>
    <w:p>
      <w:pPr>
        <w:spacing w:line="240" w:lineRule="auto" w:before="1"/>
        <w:rPr>
          <w:rFonts w:ascii="宋体" w:hAnsi="宋体" w:cs="宋体" w:eastAsia="宋体" w:hint="default"/>
          <w:sz w:val="20"/>
          <w:szCs w:val="20"/>
        </w:rPr>
      </w:pPr>
    </w:p>
    <w:p>
      <w:pPr>
        <w:spacing w:line="547" w:lineRule="auto" w:before="0"/>
        <w:ind w:left="153" w:right="4347" w:firstLine="0"/>
        <w:jc w:val="left"/>
        <w:rPr>
          <w:rFonts w:ascii="宋体" w:hAnsi="宋体" w:cs="宋体" w:eastAsia="宋体" w:hint="default"/>
          <w:sz w:val="21"/>
          <w:szCs w:val="21"/>
        </w:rPr>
      </w:pPr>
      <w:bookmarkStart w:name="2、本企业的子公司情况" w:id="289"/>
      <w:bookmarkEnd w:id="2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290"/>
      <w:bookmarkEnd w:id="29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5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关联方情况" w:id="291"/>
      <w:bookmarkEnd w:id="29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同受母公司控制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0"/>
        <w:jc w:val="left"/>
        <w:rPr>
          <w:b w:val="0"/>
          <w:bCs w:val="0"/>
        </w:rPr>
      </w:pPr>
      <w:bookmarkStart w:name="5、关联交易情况" w:id="292"/>
      <w:bookmarkEnd w:id="29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购销商品、提供和接受劳务的关联交易" w:id="293"/>
      <w:bookmarkEnd w:id="29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深圳市拜特科技股份有限公司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524,528.28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61,723.25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434,140.00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294"/>
      <w:bookmarkEnd w:id="294"/>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2088"/>
        <w:gridCol w:w="2393"/>
        <w:gridCol w:w="239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66,308.00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80,906.00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北京久其移动商务科技有限公司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138,696.00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关键管理人员报酬" w:id="295"/>
      <w:bookmarkEnd w:id="295"/>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4,580,006.44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4,990,849.38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交易" w:id="296"/>
      <w:bookmarkEnd w:id="296"/>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344"/>
        <w:gridCol w:w="2289"/>
        <w:gridCol w:w="2114"/>
        <w:gridCol w:w="2110"/>
      </w:tblGrid>
      <w:tr>
        <w:trPr>
          <w:trHeight w:val="348"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关联方</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关联业务内容</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49" w:right="0"/>
              <w:jc w:val="left"/>
              <w:rPr>
                <w:rFonts w:ascii="宋体" w:hAnsi="宋体" w:cs="宋体" w:eastAsia="宋体" w:hint="default"/>
                <w:sz w:val="16"/>
                <w:szCs w:val="16"/>
              </w:rPr>
            </w:pPr>
            <w:r>
              <w:rPr>
                <w:rFonts w:ascii="宋体" w:hAnsi="宋体" w:cs="宋体" w:eastAsia="宋体" w:hint="default"/>
                <w:sz w:val="16"/>
                <w:szCs w:val="16"/>
              </w:rPr>
              <w:t>本期发生额</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46" w:right="0"/>
              <w:jc w:val="left"/>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347"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北京久其移动商务科技有限公司</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代收代缴网络宽带费</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22,641.51</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13,207.55</w:t>
            </w:r>
          </w:p>
        </w:tc>
      </w:tr>
      <w:tr>
        <w:trPr>
          <w:trHeight w:val="347" w:hRule="exact"/>
        </w:trPr>
        <w:tc>
          <w:tcPr>
            <w:tcW w:w="3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北京久其移动商务科技有限公司</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代收代缴电费</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21,538.47</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6,645.30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6、关联方应收应付款项" w:id="297"/>
      <w:bookmarkEnd w:id="29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项目" w:id="298"/>
      <w:bookmarkEnd w:id="298"/>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广东同望科技股份有限公司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136,140.00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股份支付" w:id="299"/>
      <w:bookmarkEnd w:id="299"/>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支付的修改、终止情况" w:id="300"/>
      <w:bookmarkEnd w:id="300"/>
      <w:r>
        <w:rPr>
          <w:b w:val="0"/>
          <w:bCs w:val="0"/>
        </w:rPr>
      </w:r>
      <w:r>
        <w:rPr>
          <w:rFonts w:ascii="Times New Roman" w:hAnsi="Times New Roman" w:cs="Times New Roman" w:eastAsia="Times New Roman" w:hint="default"/>
        </w:rPr>
        <w:t>1</w:t>
      </w:r>
      <w:r>
        <w:rPr/>
        <w:t>、股份支付的修改、终止情况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0"/>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17</w:t>
      </w:r>
      <w:r>
        <w:rPr>
          <w:spacing w:val="-5"/>
        </w:rPr>
        <w:t>日，公司收到经中国证券登记结算有限责任公司深圳分公司审核确认的《注销证券结果报表》，</w:t>
      </w:r>
      <w:r>
        <w:rPr>
          <w:spacing w:val="-83"/>
        </w:rPr>
        <w:t> </w:t>
      </w:r>
      <w:r>
        <w:rPr>
          <w:spacing w:val="-83"/>
        </w:rPr>
      </w:r>
      <w:r>
        <w:rPr/>
        <w:t>股票期权注销事宜已完成。</w:t>
      </w:r>
    </w:p>
    <w:p>
      <w:pPr>
        <w:spacing w:line="240" w:lineRule="auto" w:before="13"/>
        <w:rPr>
          <w:rFonts w:ascii="宋体" w:hAnsi="宋体" w:cs="宋体" w:eastAsia="宋体" w:hint="default"/>
          <w:sz w:val="22"/>
          <w:szCs w:val="22"/>
        </w:rPr>
      </w:pPr>
    </w:p>
    <w:p>
      <w:pPr>
        <w:pStyle w:val="Heading2"/>
        <w:spacing w:line="240" w:lineRule="auto"/>
        <w:ind w:left="154" w:right="0"/>
        <w:jc w:val="left"/>
        <w:rPr>
          <w:b w:val="0"/>
          <w:bCs w:val="0"/>
        </w:rPr>
      </w:pPr>
      <w:bookmarkStart w:name="十四、承诺及或有事项" w:id="301"/>
      <w:bookmarkEnd w:id="301"/>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02"/>
      <w:bookmarkEnd w:id="30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0"/>
        <w:ind w:left="154"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日，本公司无需要披露的承诺事项。</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2、或有事项" w:id="303"/>
      <w:bookmarkEnd w:id="30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5712" w:firstLine="0"/>
        <w:jc w:val="left"/>
        <w:rPr>
          <w:rFonts w:ascii="宋体" w:hAnsi="宋体" w:cs="宋体" w:eastAsia="宋体" w:hint="default"/>
          <w:sz w:val="21"/>
          <w:szCs w:val="21"/>
        </w:rPr>
      </w:pPr>
      <w:bookmarkStart w:name="（1）资产负债表日存在的重要或有事项"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日，本公司无需要披露的或有事项。</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bookmarkStart w:name="（2）公司没有需要披露的重要或有事项，也应予以说明" w:id="305"/>
      <w:bookmarkEnd w:id="30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五、资产负债表日后事项" w:id="306"/>
      <w:bookmarkEnd w:id="306"/>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利润分配情况" w:id="307"/>
      <w:bookmarkEnd w:id="307"/>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19,819,873.70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19,819,873.70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其他资产负债表日后事项说明" w:id="308"/>
      <w:bookmarkEnd w:id="308"/>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spacing w:line="300" w:lineRule="auto" w:before="0"/>
        <w:ind w:left="154" w:right="1131"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）公司第五届董事会第十三次（临时）会议审议通过了《关于出售控股子公司股权的议案》，控股子公司北京北邮中望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信息科技有限责任公司于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日完成工商变更登记手续。</w:t>
      </w:r>
    </w:p>
    <w:p>
      <w:pPr>
        <w:spacing w:line="307" w:lineRule="auto" w:before="13"/>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日，本公司收到中国证券登记结算有限责任公司深圳分公司出具的《股份登记申请受理确认书》及《上市</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公司股份未到帐结构表》、《证券持有人名册》，中国证券登记结算有限责任公司深圳分公司登记存管部已受理上市公司本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次发行新增股份登记申请材料，发行新股数量为</w:t>
      </w:r>
      <w:r>
        <w:rPr>
          <w:rFonts w:ascii="Times New Roman" w:hAnsi="Times New Roman" w:cs="Times New Roman" w:eastAsia="Times New Roman" w:hint="default"/>
          <w:sz w:val="18"/>
          <w:szCs w:val="18"/>
        </w:rPr>
        <w:t>22,403,432</w:t>
      </w:r>
      <w:r>
        <w:rPr>
          <w:rFonts w:ascii="宋体" w:hAnsi="宋体" w:cs="宋体" w:eastAsia="宋体" w:hint="default"/>
          <w:sz w:val="18"/>
          <w:szCs w:val="18"/>
        </w:rPr>
        <w:t>股（包括向王新、李勇</w:t>
      </w:r>
      <w:r>
        <w:rPr>
          <w:rFonts w:ascii="Times New Roman" w:hAnsi="Times New Roman" w:cs="Times New Roman" w:eastAsia="Times New Roman" w:hint="default"/>
          <w:sz w:val="18"/>
          <w:szCs w:val="18"/>
        </w:rPr>
        <w:t>2</w:t>
      </w:r>
      <w:r>
        <w:rPr>
          <w:rFonts w:ascii="宋体" w:hAnsi="宋体" w:cs="宋体" w:eastAsia="宋体" w:hint="default"/>
          <w:sz w:val="18"/>
          <w:szCs w:val="18"/>
        </w:rPr>
        <w:t>名交易对方发行的</w:t>
      </w:r>
      <w:r>
        <w:rPr>
          <w:rFonts w:ascii="Times New Roman" w:hAnsi="Times New Roman" w:cs="Times New Roman" w:eastAsia="Times New Roman" w:hint="default"/>
          <w:sz w:val="18"/>
          <w:szCs w:val="18"/>
        </w:rPr>
        <w:t>16,480,686</w:t>
      </w:r>
      <w:r>
        <w:rPr>
          <w:rFonts w:ascii="宋体" w:hAnsi="宋体" w:cs="宋体" w:eastAsia="宋体" w:hint="default"/>
          <w:sz w:val="18"/>
          <w:szCs w:val="18"/>
        </w:rPr>
        <w:t>股和向久其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科技非公开发行的</w:t>
      </w:r>
      <w:r>
        <w:rPr>
          <w:rFonts w:ascii="Times New Roman" w:hAnsi="Times New Roman" w:cs="Times New Roman" w:eastAsia="Times New Roman" w:hint="default"/>
          <w:sz w:val="18"/>
          <w:szCs w:val="18"/>
        </w:rPr>
        <w:t>5,922,746</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新增股份后总股本为</w:t>
      </w:r>
      <w:r>
        <w:rPr>
          <w:rFonts w:ascii="Times New Roman" w:hAnsi="Times New Roman" w:cs="Times New Roman" w:eastAsia="Times New Roman" w:hint="default"/>
          <w:sz w:val="18"/>
          <w:szCs w:val="18"/>
        </w:rPr>
        <w:t>198,198,737</w:t>
      </w:r>
      <w:r>
        <w:rPr>
          <w:rFonts w:ascii="宋体" w:hAnsi="宋体" w:cs="宋体" w:eastAsia="宋体" w:hint="default"/>
          <w:sz w:val="18"/>
          <w:szCs w:val="18"/>
        </w:rPr>
        <w:t>股。</w:t>
      </w:r>
    </w:p>
    <w:p>
      <w:pPr>
        <w:spacing w:after="0" w:line="30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十六、其他重要事项" w:id="309"/>
      <w:bookmarkEnd w:id="30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其他" w:id="310"/>
      <w:bookmarkEnd w:id="310"/>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113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日，中国证监会核准公司购买北京亿起联科技有限公司（以下简称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亿起联科技</w:t>
      </w:r>
      <w:r>
        <w:rPr>
          <w:rFonts w:ascii="Times New Roman" w:hAnsi="Times New Roman" w:cs="Times New Roman" w:eastAsia="Times New Roman" w:hint="default"/>
          <w:sz w:val="18"/>
          <w:szCs w:val="18"/>
        </w:rPr>
        <w:t>”</w:t>
      </w:r>
      <w:r>
        <w:rPr>
          <w:rFonts w:ascii="宋体" w:hAnsi="宋体" w:cs="宋体" w:eastAsia="宋体" w:hint="default"/>
          <w:sz w:val="18"/>
          <w:szCs w:val="18"/>
        </w:rPr>
        <w:t>）相关资产，亿起联科技 就股权交割向北京市工商行政管理局怀柔分局申请了变更登记，</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日，公司完成非公开发行股份及支付现金用作 股权转让的对价支付。</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十七、母公司财务报表主要项目注释" w:id="311"/>
      <w:bookmarkEnd w:id="311"/>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应收账款" w:id="312"/>
      <w:bookmarkEnd w:id="31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应收账款分类披露" w:id="313"/>
      <w:bookmarkEnd w:id="31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57,590,2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82.84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1,298,32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56,291,95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58,506,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937.39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1,098,547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57,408,389.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1,920,04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1,920,04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59,510,3</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26.84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3,218,37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56,291,95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6.14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58,506,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937.39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1,098,547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57,408,389.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42,683,224.24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6,707,208.00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335,360.40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49,390,432.24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335,360.40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7,031,533.00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703,153.30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103,305.00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57,477,173.24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1,298,326.70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bl>
    <w:p>
      <w:pPr>
        <w:spacing w:line="338" w:lineRule="auto"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已单独计提减值准备的应收账款除外，公司根据以前年度与之相同或相类似的、按账龄段划分的具有类似信用风险特征的应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收账款组合的实际损失率为基础，结合现时情况分析法确定坏账准备计提的比例。</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00" w:lineRule="auto" w:before="33"/>
        <w:ind w:left="153" w:right="1119" w:firstLine="0"/>
        <w:jc w:val="left"/>
        <w:rPr>
          <w:rFonts w:ascii="宋体" w:hAnsi="宋体" w:cs="宋体" w:eastAsia="宋体" w:hint="default"/>
          <w:sz w:val="19"/>
          <w:szCs w:val="19"/>
        </w:rPr>
      </w:pPr>
      <w:r>
        <w:rPr>
          <w:rFonts w:ascii="宋体" w:hAnsi="宋体" w:cs="宋体" w:eastAsia="宋体" w:hint="default"/>
          <w:spacing w:val="-1"/>
          <w:sz w:val="19"/>
          <w:szCs w:val="19"/>
        </w:rPr>
        <w:t>内部及关联方应收款项，除有特别证据，否则不计提坏账。该组合中应收账款期末余额为</w:t>
      </w:r>
      <w:r>
        <w:rPr>
          <w:rFonts w:ascii="宋体" w:hAnsi="宋体" w:cs="宋体" w:eastAsia="宋体" w:hint="default"/>
          <w:spacing w:val="-1"/>
          <w:sz w:val="19"/>
          <w:szCs w:val="19"/>
        </w:rPr>
        <w:t>113,109.60</w:t>
      </w:r>
      <w:r>
        <w:rPr>
          <w:rFonts w:ascii="宋体" w:hAnsi="宋体" w:cs="宋体" w:eastAsia="宋体" w:hint="default"/>
          <w:spacing w:val="-1"/>
          <w:sz w:val="19"/>
          <w:szCs w:val="19"/>
        </w:rPr>
        <w:t>元，坏账准备期</w:t>
      </w:r>
      <w:r>
        <w:rPr>
          <w:rFonts w:ascii="宋体" w:hAnsi="宋体" w:cs="宋体" w:eastAsia="宋体" w:hint="default"/>
          <w:w w:val="99"/>
          <w:sz w:val="19"/>
          <w:szCs w:val="19"/>
        </w:rPr>
        <w:t> </w:t>
      </w:r>
      <w:r>
        <w:rPr>
          <w:rFonts w:ascii="宋体" w:hAnsi="宋体" w:cs="宋体" w:eastAsia="宋体" w:hint="default"/>
          <w:sz w:val="19"/>
          <w:szCs w:val="19"/>
        </w:rPr>
        <w:t>末余额为</w:t>
      </w:r>
      <w:r>
        <w:rPr>
          <w:rFonts w:ascii="宋体" w:hAnsi="宋体" w:cs="宋体" w:eastAsia="宋体" w:hint="default"/>
          <w:sz w:val="19"/>
          <w:szCs w:val="19"/>
        </w:rPr>
        <w:t>0</w:t>
      </w:r>
      <w:r>
        <w:rPr>
          <w:rFonts w:ascii="宋体" w:hAnsi="宋体" w:cs="宋体" w:eastAsia="宋体" w:hint="default"/>
          <w:sz w:val="19"/>
          <w:szCs w:val="19"/>
        </w:rPr>
        <w:t>，计提比例为</w:t>
      </w:r>
      <w:r>
        <w:rPr>
          <w:rFonts w:ascii="宋体" w:hAnsi="宋体" w:cs="宋体" w:eastAsia="宋体" w:hint="default"/>
          <w:sz w:val="19"/>
          <w:szCs w:val="19"/>
        </w:rPr>
        <w:t>0.</w:t>
      </w:r>
    </w:p>
    <w:p>
      <w:pPr>
        <w:spacing w:line="240" w:lineRule="auto" w:before="12"/>
        <w:rPr>
          <w:rFonts w:ascii="宋体" w:hAnsi="宋体" w:cs="宋体" w:eastAsia="宋体" w:hint="default"/>
          <w:sz w:val="22"/>
          <w:szCs w:val="22"/>
        </w:rPr>
      </w:pPr>
    </w:p>
    <w:p>
      <w:pPr>
        <w:pStyle w:val="Heading3"/>
        <w:spacing w:line="240" w:lineRule="auto"/>
        <w:ind w:left="153" w:right="0"/>
        <w:jc w:val="left"/>
        <w:rPr>
          <w:b w:val="0"/>
          <w:bCs w:val="0"/>
        </w:rPr>
      </w:pPr>
      <w:bookmarkStart w:name="（2）本期计提、收回或转回的坏账准备情况" w:id="314"/>
      <w:bookmarkEnd w:id="3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2,119,823.00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元；本期收回或转回坏账准备金额元。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按欠款方归集的期末余额前五吊的应收账款情况" w:id="315"/>
      <w:bookmarkEnd w:id="31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3218"/>
        <w:gridCol w:w="2027"/>
        <w:gridCol w:w="2330"/>
        <w:gridCol w:w="2084"/>
      </w:tblGrid>
      <w:tr>
        <w:trPr>
          <w:trHeight w:val="355" w:hRule="exact"/>
        </w:trPr>
        <w:tc>
          <w:tcPr>
            <w:tcW w:w="3218" w:type="dxa"/>
            <w:vMerge w:val="restart"/>
            <w:tcBorders>
              <w:top w:val="single" w:sz="6" w:space="0" w:color="000000"/>
              <w:left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6441"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52" w:hRule="exact"/>
        </w:trPr>
        <w:tc>
          <w:tcPr>
            <w:tcW w:w="3218" w:type="dxa"/>
            <w:vMerge/>
            <w:tcBorders>
              <w:left w:val="single" w:sz="6" w:space="0" w:color="000000"/>
              <w:bottom w:val="single" w:sz="12" w:space="0" w:color="000000"/>
              <w:right w:val="single" w:sz="6" w:space="0" w:color="000000"/>
            </w:tcBorders>
          </w:tcPr>
          <w:p>
            <w:pP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应收账款</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16"/>
                <w:szCs w:val="16"/>
              </w:rPr>
            </w:pPr>
            <w:r>
              <w:rPr>
                <w:rFonts w:ascii="宋体" w:hAnsi="宋体" w:cs="宋体" w:eastAsia="宋体" w:hint="default"/>
                <w:sz w:val="16"/>
                <w:szCs w:val="16"/>
              </w:rPr>
              <w:t>占应收账款合计数的比例</w:t>
            </w:r>
            <w:r>
              <w:rPr>
                <w:rFonts w:ascii="Times New Roman" w:hAnsi="Times New Roman" w:cs="Times New Roman" w:eastAsia="Times New Roman" w:hint="default"/>
                <w:sz w:val="16"/>
                <w:szCs w:val="16"/>
              </w:rPr>
              <w:t>(%)</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715"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353"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4,800,000.00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8.07</w:t>
            </w:r>
          </w:p>
        </w:tc>
        <w:tc>
          <w:tcPr>
            <w:tcW w:w="2084"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2,820,000.00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4.74</w:t>
            </w:r>
          </w:p>
        </w:tc>
        <w:tc>
          <w:tcPr>
            <w:tcW w:w="2084" w:type="dxa"/>
            <w:tcBorders>
              <w:top w:val="single" w:sz="12" w:space="0" w:color="000000"/>
              <w:left w:val="single" w:sz="6" w:space="0" w:color="000000"/>
              <w:bottom w:val="single" w:sz="12" w:space="0" w:color="000000"/>
              <w:right w:val="single" w:sz="6" w:space="0" w:color="000000"/>
            </w:tcBorders>
          </w:tcPr>
          <w:p>
            <w:pPr/>
          </w:p>
        </w:tc>
      </w:tr>
      <w:tr>
        <w:trPr>
          <w:trHeight w:val="352"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2,436,000.00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4.09</w:t>
            </w:r>
          </w:p>
        </w:tc>
        <w:tc>
          <w:tcPr>
            <w:tcW w:w="2084" w:type="dxa"/>
            <w:tcBorders>
              <w:top w:val="single" w:sz="12" w:space="0" w:color="000000"/>
              <w:left w:val="single" w:sz="6" w:space="0" w:color="000000"/>
              <w:bottom w:val="single" w:sz="12" w:space="0" w:color="000000"/>
              <w:right w:val="single" w:sz="6" w:space="0" w:color="000000"/>
            </w:tcBorders>
          </w:tcPr>
          <w:p>
            <w:pPr/>
          </w:p>
        </w:tc>
      </w:tr>
      <w:tr>
        <w:trPr>
          <w:trHeight w:val="353"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2,146,000.00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3.61</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715" w:right="0"/>
              <w:jc w:val="left"/>
              <w:rPr>
                <w:rFonts w:ascii="Times New Roman" w:hAnsi="Times New Roman" w:cs="Times New Roman" w:eastAsia="Times New Roman" w:hint="default"/>
                <w:sz w:val="16"/>
                <w:szCs w:val="16"/>
              </w:rPr>
            </w:pPr>
            <w:r>
              <w:rPr>
                <w:rFonts w:ascii="Times New Roman"/>
                <w:sz w:val="16"/>
              </w:rPr>
              <w:t>31,600.00</w:t>
            </w:r>
          </w:p>
        </w:tc>
      </w:tr>
      <w:tr>
        <w:trPr>
          <w:trHeight w:val="352"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9"/>
              <w:ind w:left="2" w:right="0"/>
              <w:jc w:val="left"/>
              <w:rPr>
                <w:rFonts w:ascii="Times New Roman" w:hAnsi="Times New Roman" w:cs="Times New Roman" w:eastAsia="Times New Roman" w:hint="default"/>
                <w:sz w:val="18"/>
                <w:szCs w:val="18"/>
              </w:rPr>
            </w:pPr>
            <w:r>
              <w:rPr>
                <w:rFonts w:ascii="宋体" w:hAnsi="宋体" w:cs="宋体" w:eastAsia="宋体" w:hint="default"/>
                <w:sz w:val="16"/>
                <w:szCs w:val="16"/>
              </w:rPr>
              <w:t>单位</w:t>
            </w:r>
            <w:r>
              <w:rPr>
                <w:rFonts w:ascii="Times New Roman" w:hAnsi="Times New Roman" w:cs="Times New Roman" w:eastAsia="Times New Roman" w:hint="default"/>
                <w:sz w:val="18"/>
                <w:szCs w:val="18"/>
              </w:rPr>
              <w:t>5</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1,500,000.00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2.52</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675" w:right="0"/>
              <w:jc w:val="left"/>
              <w:rPr>
                <w:rFonts w:ascii="Times New Roman" w:hAnsi="Times New Roman" w:cs="Times New Roman" w:eastAsia="Times New Roman" w:hint="default"/>
                <w:sz w:val="16"/>
                <w:szCs w:val="16"/>
              </w:rPr>
            </w:pPr>
            <w:r>
              <w:rPr>
                <w:rFonts w:ascii="Times New Roman"/>
                <w:sz w:val="16"/>
              </w:rPr>
              <w:t>150,000.00</w:t>
            </w:r>
          </w:p>
        </w:tc>
      </w:tr>
      <w:tr>
        <w:trPr>
          <w:trHeight w:val="352" w:hRule="exact"/>
        </w:trPr>
        <w:tc>
          <w:tcPr>
            <w:tcW w:w="32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0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13,702,000.00</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23.03</w:t>
            </w:r>
          </w:p>
        </w:tc>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675" w:right="0"/>
              <w:jc w:val="left"/>
              <w:rPr>
                <w:rFonts w:ascii="Times New Roman" w:hAnsi="Times New Roman" w:cs="Times New Roman" w:eastAsia="Times New Roman" w:hint="default"/>
                <w:sz w:val="16"/>
                <w:szCs w:val="16"/>
              </w:rPr>
            </w:pPr>
            <w:r>
              <w:rPr>
                <w:rFonts w:ascii="Times New Roman"/>
                <w:sz w:val="16"/>
              </w:rPr>
              <w:t>181,600.00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其他应收款" w:id="316"/>
      <w:bookmarkEnd w:id="31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17"/>
      <w:bookmarkEnd w:id="31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21"/>
        <w:gridCol w:w="944"/>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34" w:type="dxa"/>
            <w:gridSpan w:val="2"/>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21" w:type="dxa"/>
            <w:tcBorders>
              <w:top w:val="single" w:sz="4" w:space="0" w:color="000000"/>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3" w:right="0"/>
              <w:jc w:val="left"/>
              <w:rPr>
                <w:rFonts w:ascii="Times New Roman" w:hAnsi="Times New Roman" w:cs="Times New Roman" w:eastAsia="Times New Roman" w:hint="default"/>
                <w:sz w:val="18"/>
                <w:szCs w:val="18"/>
              </w:rPr>
            </w:pPr>
            <w:r>
              <w:rPr>
                <w:rFonts w:ascii="Times New Roman"/>
                <w:sz w:val="18"/>
              </w:rPr>
              <w:t>32,851,1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1,131,72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3.45%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31,719,38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17,939,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848,747.1</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4.73%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17,090,605.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12.15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8.40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3.75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352.35</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32,851,1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1,131,72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31,719,38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17,939,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352.35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848,747.1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17,090,605.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4,335,597.00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4,484,977.00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3,106,384.00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310,638.40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600,525.00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339,150.00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67,830.00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145,266.00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145,266.00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12,079,277.00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1,131,728.40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r>
    </w:tbl>
    <w:p>
      <w:pPr>
        <w:spacing w:line="338" w:lineRule="auto"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已单独计提减值准备的其他应收款除外，公司根据以前年度与之相同或相类似的、按账龄段划分的具有类似信用风险特征的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其他应收款组合的实际损失率为基础，结合现时情况分析法确定坏账准备计提的比例。</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28" w:lineRule="auto"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对公司内部员工备用金或关联方借款，除有确定依据无法收回全额计提坏账准备外，不确认坏账准备。该组合中其他应收款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期末余额为</w:t>
      </w:r>
      <w:r>
        <w:rPr>
          <w:rFonts w:ascii="Times New Roman" w:hAnsi="Times New Roman" w:cs="Times New Roman" w:eastAsia="Times New Roman" w:hint="default"/>
          <w:sz w:val="18"/>
          <w:szCs w:val="18"/>
        </w:rPr>
        <w:t>20,771,835.15</w:t>
      </w:r>
      <w:r>
        <w:rPr>
          <w:rFonts w:ascii="宋体" w:hAnsi="宋体" w:cs="宋体" w:eastAsia="宋体" w:hint="default"/>
          <w:sz w:val="18"/>
          <w:szCs w:val="18"/>
        </w:rPr>
        <w:t>元，未计提坏账准备。</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318"/>
      <w:bookmarkEnd w:id="3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282,981.30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319"/>
      <w:bookmarkEnd w:id="31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4,397,811.97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2,840,316.37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11,138,627.00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10,174,273.60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17,314,673.18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4,924,762.38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32,851,112.15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17,939,352.35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320"/>
      <w:bookmarkEnd w:id="32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往来结算款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15,574,023.18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往来结算款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往来结算款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2,177,040.00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217,704.00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往来结算款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21,776,063.18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626,454.00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21"/>
      <w:bookmarkEnd w:id="32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66,595,924.58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66,595,924.58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46,595,924.58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46,595,924.58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53,208,911.08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53,208,911.08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71,305,706.12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71,305,706.12</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119,804,835.66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119,804,835.66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117,901,630.70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117,901,630.70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22"/>
      <w:bookmarkEnd w:id="32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西安久其软件有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2,974,522.70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2,974,522.70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上海久其软件有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3,203,281.00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3,203,281.00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2,952,000.00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2,952,000.00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1,504,638.24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1,504,638.24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北京久其政务软 件股份有限公司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10,582,354.54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10,582,354.54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新疆久其科技有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2,876,628.10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2,876,628.10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重庆久其软件有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北京北邮中望信 息科技有限责任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7,502,500.00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7,502,500.00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海南久其云计算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北京久其智通数 据科技有限公司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46,595,924.58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66,595,924.58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23"/>
      <w:bookmarkEnd w:id="32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深圳市拜 特科技股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19,356,54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19,550,35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193,813.8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广东同望 科技股份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51,949,16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1,259,745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71,305,70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19,550,35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1,453,558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71,305,70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19,550,35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1,453,558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53,208,91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其他说明" w:id="324"/>
      <w:bookmarkEnd w:id="32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营业收入和营业成本" w:id="325"/>
      <w:bookmarkEnd w:id="32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255,746,122.10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12,991,213.25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239,848,358.95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6,543,346.02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759,225.00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770,958.85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256,505,347.10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12,991,213.25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240,619,317.80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6,543,346.02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26"/>
      <w:bookmarkEnd w:id="32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1,453,558.98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-1,786,676.19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6,699,645.98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-683,073.20</w:t>
            </w:r>
            <w:r>
              <w:rPr>
                <w:rFonts w:ascii="Times New Roman"/>
                <w:sz w:val="18"/>
              </w:rPr>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3,809,526.69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3,242,535.62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5,856,520.50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1,795,068.49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处置持有至到期投资的投资收益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984,516.18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1,229,880.71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18,803,768.33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3,797,735.43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327"/>
      <w:bookmarkEnd w:id="32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328"/>
      <w:bookmarkEnd w:id="328"/>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29"/>
      <w:bookmarkEnd w:id="32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-674,089.13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8,206,377.72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公司报告期内获得政府补助明细请参看 本报告第十一节七、合并财务报表项目 注释中的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、营业外收入</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6,841,036.68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公司报告期内购买的信托产品的投资收 益及预计收益</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3,821,057.10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9"/>
              <w:jc w:val="center"/>
              <w:rPr>
                <w:rFonts w:ascii="宋体" w:hAnsi="宋体" w:cs="宋体" w:eastAsia="宋体" w:hint="default"/>
                <w:sz w:val="18"/>
                <w:szCs w:val="18"/>
              </w:rPr>
            </w:pPr>
            <w:r>
              <w:rPr>
                <w:rFonts w:ascii="宋体" w:hAnsi="宋体" w:cs="宋体" w:eastAsia="宋体" w:hint="default"/>
                <w:sz w:val="18"/>
                <w:szCs w:val="18"/>
              </w:rPr>
              <w:t>公司报告期内购买的银行理财产品、资</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29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1"/>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管产品的投资收益及预计收益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-120,553.92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6,699,645.98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公司报告期内处置拜特科技股权的投资 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2,204,751.55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-8,581.29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22,577,304.17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330"/>
      <w:bookmarkEnd w:id="33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0.4134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0.2850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31"/>
      <w:bookmarkEnd w:id="33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332"/>
      <w:bookmarkEnd w:id="33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333"/>
      <w:bookmarkEnd w:id="33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会计政策变更相关补充资料" w:id="334"/>
      <w:bookmarkEnd w:id="334"/>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right="4249"/>
        <w:jc w:val="center"/>
        <w:rPr>
          <w:b w:val="0"/>
          <w:bCs w:val="0"/>
        </w:rPr>
      </w:pPr>
      <w:bookmarkStart w:name="第十二节 备查文件目录" w:id="335"/>
      <w:bookmarkEnd w:id="335"/>
      <w:r>
        <w:rPr>
          <w:b w:val="0"/>
          <w:bCs w:val="0"/>
        </w:rPr>
      </w:r>
      <w:bookmarkStart w:name="_bookmark10" w:id="336"/>
      <w:bookmarkEnd w:id="336"/>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、载有公司法定代表人赵福君、公司财务总监邱安超及会计机构负责人马巧红签名并盖章的会计报表。</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、载有立信会计师事务所（特殊普通合伙）盖章、注册会计师陈勇波、胡碟签名并盖章的公司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年度审计报告原件。</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、报告期内在中国证监会指定报纸上公开披露过的所有公司文件正本及公告的原稿。</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、载有公司董事长签名的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年度报告文本原件。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spacing w:line="477" w:lineRule="auto" w:before="0"/>
        <w:ind w:left="8173" w:right="1130" w:hanging="540"/>
        <w:jc w:val="right"/>
        <w:rPr>
          <w:rFonts w:ascii="宋体" w:hAnsi="宋体" w:cs="宋体" w:eastAsia="宋体" w:hint="default"/>
          <w:sz w:val="18"/>
          <w:szCs w:val="18"/>
        </w:rPr>
      </w:pPr>
      <w:r>
        <w:rPr>
          <w:rFonts w:ascii="宋体" w:hAnsi="宋体" w:cs="宋体" w:eastAsia="宋体" w:hint="default"/>
          <w:sz w:val="18"/>
          <w:szCs w:val="18"/>
        </w:rPr>
        <w:t>北京久其软件股份有限公司 法定代表人：赵福君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8192" type="#_x0000_t75" stroked="false">
          <v:imagedata r:id="rId1" o:title=""/>
        </v:shape>
      </w:pict>
    </w:r>
    <w:r>
      <w:rPr/>
      <w:pict>
        <v:shape style="position:absolute;margin-left:533.179993pt;margin-top:795.517944pt;width:6.5pt;height:11pt;mso-position-horizontal-relative:page;mso-position-vertical-relative:page;z-index:-778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8144" type="#_x0000_t75" stroked="false">
          <v:imagedata r:id="rId1" o:title=""/>
        </v:shape>
      </w:pict>
    </w:r>
    <w:r>
      <w:rPr/>
      <w:pict>
        <v:shape style="position:absolute;margin-left:527.679993pt;margin-top:781.957947pt;width:13pt;height:11pt;mso-position-horizontal-relative:page;mso-position-vertical-relative:page;z-index:-778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8096" type="#_x0000_t75" stroked="false">
          <v:imagedata r:id="rId1" o:title=""/>
        </v:shape>
      </w:pict>
    </w:r>
    <w:r>
      <w:rPr/>
      <w:pict>
        <v:shape style="position:absolute;margin-left:524.179993pt;margin-top:781.957947pt;width:15.5pt;height:11pt;mso-position-horizontal-relative:page;mso-position-vertical-relative:page;z-index:-778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78048" type="#_x0000_t75" stroked="false">
          <v:imagedata r:id="rId1" o:title=""/>
        </v:shape>
      </w:pict>
    </w:r>
    <w:r>
      <w:rPr/>
      <w:pict>
        <v:shape style="position:absolute;margin-left:523.179993pt;margin-top:781.957947pt;width:17.5pt;height:11pt;mso-position-horizontal-relative:page;mso-position-vertical-relative:page;z-index:-778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778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北京久其软件股份有限公司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3270"/>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jiuqi.com.cn/" TargetMode="External"/><Relationship Id="rId10" Type="http://schemas.openxmlformats.org/officeDocument/2006/relationships/hyperlink" Target="mailto:002279@jiuqi.com.cn" TargetMode="External"/><Relationship Id="rId11" Type="http://schemas.openxmlformats.org/officeDocument/2006/relationships/hyperlink" Target="mailto:whx@jiuqi.com.cn" TargetMode="External"/><Relationship Id="rId12" Type="http://schemas.openxmlformats.org/officeDocument/2006/relationships/hyperlink" Target="mailto:liuwenjia@jiuqi.com.cn"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cninfo.com.cn&#20026;&#20844;&#21496;/" TargetMode="External"/><Relationship Id="rId18" Type="http://schemas.openxmlformats.org/officeDocument/2006/relationships/image" Target="media/image6.jpeg"/><Relationship Id="rId19" Type="http://schemas.openxmlformats.org/officeDocument/2006/relationships/footer" Target="footer3.xml"/><Relationship Id="rId20"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2020-05-06T16:39:18Z</dcterms:created>
  <dcterms:modified xsi:type="dcterms:W3CDTF">2020-05-06T16:39:18Z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2015-04-20T00:00:00Z</vt:filetime>
  </property>
  <property fmtid="{D5CDD505-2E9C-101B-9397-08002B2CF9AE}" pid="3" name="Creator">
    <vt:lpwstr>Microsoft® Office Word 2007</vt:lpwstr>
  </property>
  <property fmtid="{D5CDD505-2E9C-101B-9397-08002B2CF9AE}" pid="4" name="LastSaved">
    <vt:filetime>2020-05-06T00:00:00Z</vt:filetime>
  </property>
</Properties>
</file>